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2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45" w:lineRule="exact"/>
        <w:rPr>
          <w:sz w:val="24"/>
          <w:szCs w:val="24"/>
          <w:color w:val="auto"/>
        </w:rPr>
      </w:pPr>
    </w:p>
    <w:p>
      <w:pPr>
        <w:ind w:left="8"/>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82" w:lineRule="exact"/>
        <w:rPr>
          <w:sz w:val="24"/>
          <w:szCs w:val="24"/>
          <w:color w:val="auto"/>
        </w:rPr>
      </w:pPr>
    </w:p>
    <w:p>
      <w:pPr>
        <w:ind w:left="8"/>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32"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7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78"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78" w:lineRule="exact"/>
        <w:rPr>
          <w:sz w:val="24"/>
          <w:szCs w:val="24"/>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78" w:lineRule="exact"/>
        <w:rPr>
          <w:rFonts w:ascii="MS PGothic" w:cs="MS PGothic" w:eastAsia="MS PGothic" w:hAnsi="MS PGothic"/>
          <w:sz w:val="12"/>
          <w:szCs w:val="12"/>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20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3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3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23" w:lineRule="exact"/>
        <w:rPr>
          <w:sz w:val="24"/>
          <w:szCs w:val="24"/>
          <w:color w:val="auto"/>
        </w:rPr>
      </w:pPr>
    </w:p>
    <w:p>
      <w:pPr>
        <w:ind w:left="228" w:hanging="228"/>
        <w:spacing w:after="0"/>
        <w:tabs>
          <w:tab w:leader="none" w:pos="22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78" w:lineRule="exact"/>
        <w:rPr>
          <w:sz w:val="24"/>
          <w:szCs w:val="24"/>
          <w:color w:val="auto"/>
        </w:rPr>
      </w:pPr>
    </w:p>
    <w:p>
      <w:pPr>
        <w:ind w:left="228" w:hanging="228"/>
        <w:spacing w:after="0"/>
        <w:tabs>
          <w:tab w:leader="none" w:pos="22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below per Exchange Act Rules 14a-6(i)(1) and 0-11.</w:t>
      </w:r>
    </w:p>
    <w:p>
      <w:pPr>
        <w:spacing w:after="0" w:line="123" w:lineRule="exact"/>
        <w:rPr>
          <w:rFonts w:ascii="MS PGothic" w:cs="MS PGothic" w:eastAsia="MS PGothic" w:hAnsi="MS PGothic"/>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of each class of securities to which transaction applies:</w:t>
      </w:r>
    </w:p>
    <w:p>
      <w:pPr>
        <w:spacing w:after="0" w:line="150" w:lineRule="exact"/>
        <w:rPr>
          <w:rFonts w:ascii="Times New Roman" w:cs="Times New Roman" w:eastAsia="Times New Roman" w:hAnsi="Times New Roman"/>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Aggregate number of securities to which transaction applies:</w:t>
      </w:r>
    </w:p>
    <w:p>
      <w:pPr>
        <w:spacing w:after="0" w:line="150" w:lineRule="exact"/>
        <w:rPr>
          <w:rFonts w:ascii="Times New Roman" w:cs="Times New Roman" w:eastAsia="Times New Roman" w:hAnsi="Times New Roman"/>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 unit price or other underlying value of transaction computed pursuant to Exchange Act Rule 0-11 (Set forth the amount on which the filing fee is calculated and state how it was determined):</w:t>
      </w:r>
    </w:p>
    <w:p>
      <w:pPr>
        <w:spacing w:after="0" w:line="150" w:lineRule="exact"/>
        <w:rPr>
          <w:rFonts w:ascii="Times New Roman" w:cs="Times New Roman" w:eastAsia="Times New Roman" w:hAnsi="Times New Roman"/>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maximum aggregate value of transaction:</w:t>
      </w:r>
    </w:p>
    <w:p>
      <w:pPr>
        <w:spacing w:after="0" w:line="150" w:lineRule="exact"/>
        <w:rPr>
          <w:rFonts w:ascii="Times New Roman" w:cs="Times New Roman" w:eastAsia="Times New Roman" w:hAnsi="Times New Roman"/>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fee paid:</w:t>
      </w:r>
    </w:p>
    <w:p>
      <w:pPr>
        <w:spacing w:after="0" w:line="186"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78" w:lineRule="exact"/>
        <w:rPr>
          <w:rFonts w:ascii="MS PGothic" w:cs="MS PGothic" w:eastAsia="MS PGothic" w:hAnsi="MS PGothic"/>
          <w:sz w:val="12"/>
          <w:szCs w:val="12"/>
          <w:color w:val="auto"/>
        </w:rPr>
      </w:pPr>
    </w:p>
    <w:p>
      <w:pPr>
        <w:ind w:left="228" w:hanging="228"/>
        <w:spacing w:after="0" w:line="279" w:lineRule="auto"/>
        <w:tabs>
          <w:tab w:leader="none" w:pos="22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Previously Paid:</w:t>
      </w:r>
    </w:p>
    <w:p>
      <w:pPr>
        <w:spacing w:after="0" w:line="150" w:lineRule="exact"/>
        <w:rPr>
          <w:rFonts w:ascii="Times New Roman" w:cs="Times New Roman" w:eastAsia="Times New Roman" w:hAnsi="Times New Roman"/>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Schedule or Registration Statement No.:</w:t>
      </w:r>
    </w:p>
    <w:p>
      <w:pPr>
        <w:spacing w:after="0" w:line="150" w:lineRule="exact"/>
        <w:rPr>
          <w:rFonts w:ascii="Times New Roman" w:cs="Times New Roman" w:eastAsia="Times New Roman" w:hAnsi="Times New Roman"/>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Filing Party:</w:t>
      </w:r>
    </w:p>
    <w:p>
      <w:pPr>
        <w:spacing w:after="0" w:line="150" w:lineRule="exact"/>
        <w:rPr>
          <w:rFonts w:ascii="Times New Roman" w:cs="Times New Roman" w:eastAsia="Times New Roman" w:hAnsi="Times New Roman"/>
          <w:sz w:val="12"/>
          <w:szCs w:val="12"/>
          <w:color w:val="auto"/>
        </w:rPr>
      </w:pPr>
    </w:p>
    <w:p>
      <w:pPr>
        <w:ind w:left="1208" w:hanging="703"/>
        <w:spacing w:after="0"/>
        <w:tabs>
          <w:tab w:leader="none" w:pos="1208"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-1851660</wp:posOffset>
            </wp:positionV>
            <wp:extent cx="64065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-1668780</wp:posOffset>
            </wp:positionV>
            <wp:extent cx="64065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-1485900</wp:posOffset>
            </wp:positionV>
            <wp:extent cx="64065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-1303020</wp:posOffset>
            </wp:positionV>
            <wp:extent cx="64065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-1120140</wp:posOffset>
            </wp:positionV>
            <wp:extent cx="64065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-520065</wp:posOffset>
            </wp:positionV>
            <wp:extent cx="64065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-337185</wp:posOffset>
            </wp:positionV>
            <wp:extent cx="64065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-154305</wp:posOffset>
            </wp:positionV>
            <wp:extent cx="64065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27940</wp:posOffset>
            </wp:positionV>
            <wp:extent cx="64065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065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6166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6166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6052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6052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340360</wp:posOffset>
            </wp:positionV>
            <wp:extent cx="474345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743450" cy="81724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20" w:type="dxa"/>
            <w:vAlign w:val="bottom"/>
          </w:tcPr>
          <w:p>
            <w:pPr>
              <w:ind w:left="1980"/>
              <w:spacing w:after="0"/>
              <w:rPr>
                <w:rFonts w:ascii="Arial" w:cs="Arial" w:eastAsia="Arial" w:hAnsi="Arial"/>
                <w:sz w:val="13"/>
                <w:szCs w:val="13"/>
                <w:b w:val="1"/>
                <w:bCs w:val="1"/>
                <w:color w:val="auto"/>
              </w:rPr>
            </w:pPr>
            <w:hyperlink w:anchor="page5">
              <w:r>
                <w:rPr>
                  <w:rFonts w:ascii="Arial" w:cs="Arial" w:eastAsia="Arial" w:hAnsi="Arial"/>
                  <w:sz w:val="13"/>
                  <w:szCs w:val="13"/>
                  <w:b w:val="1"/>
                  <w:bCs w:val="1"/>
                  <w:color w:val="auto"/>
                </w:rPr>
                <w:t>DEFINED TERMS</w:t>
              </w:r>
            </w:hyperlink>
          </w:p>
        </w:tc>
        <w:tc>
          <w:tcPr>
            <w:tcW w:w="520" w:type="dxa"/>
            <w:vAlign w:val="bottom"/>
          </w:tcPr>
          <w:p>
            <w:pPr>
              <w:jc w:val="right"/>
              <w:ind w:right="82"/>
              <w:spacing w:after="0"/>
              <w:rPr>
                <w:rFonts w:ascii="Arial" w:cs="Arial" w:eastAsia="Arial" w:hAnsi="Arial"/>
                <w:sz w:val="13"/>
                <w:szCs w:val="13"/>
                <w:b w:val="1"/>
                <w:bCs w:val="1"/>
                <w:color w:val="auto"/>
              </w:rPr>
            </w:pPr>
            <w:hyperlink w:anchor="page5">
              <w:r>
                <w:rPr>
                  <w:rFonts w:ascii="Arial" w:cs="Arial" w:eastAsia="Arial" w:hAnsi="Arial"/>
                  <w:sz w:val="13"/>
                  <w:szCs w:val="13"/>
                  <w:b w:val="1"/>
                  <w:bCs w:val="1"/>
                  <w:color w:val="auto"/>
                </w:rPr>
                <w:t>ii</w:t>
              </w:r>
            </w:hyperlink>
          </w:p>
        </w:tc>
        <w:tc>
          <w:tcPr>
            <w:tcW w:w="3260" w:type="dxa"/>
            <w:vAlign w:val="bottom"/>
          </w:tcPr>
          <w:p>
            <w:pPr>
              <w:ind w:left="160"/>
              <w:spacing w:after="0"/>
              <w:rPr>
                <w:rFonts w:ascii="Arial" w:cs="Arial" w:eastAsia="Arial" w:hAnsi="Arial"/>
                <w:sz w:val="13"/>
                <w:szCs w:val="13"/>
                <w:b w:val="1"/>
                <w:bCs w:val="1"/>
                <w:color w:val="auto"/>
              </w:rPr>
            </w:pPr>
            <w:hyperlink w:anchor="page56">
              <w:r>
                <w:rPr>
                  <w:rFonts w:ascii="Arial" w:cs="Arial" w:eastAsia="Arial" w:hAnsi="Arial"/>
                  <w:sz w:val="13"/>
                  <w:szCs w:val="13"/>
                  <w:b w:val="1"/>
                  <w:bCs w:val="1"/>
                  <w:color w:val="auto"/>
                </w:rPr>
                <w:t>EXECUTIVE COMPENSATION</w:t>
              </w:r>
            </w:hyperlink>
          </w:p>
        </w:tc>
        <w:tc>
          <w:tcPr>
            <w:tcW w:w="2400" w:type="dxa"/>
            <w:vAlign w:val="bottom"/>
          </w:tcPr>
          <w:p>
            <w:pPr>
              <w:jc w:val="right"/>
              <w:ind w:right="1923"/>
              <w:spacing w:after="0"/>
              <w:rPr>
                <w:rFonts w:ascii="Arial" w:cs="Arial" w:eastAsia="Arial" w:hAnsi="Arial"/>
                <w:sz w:val="13"/>
                <w:szCs w:val="13"/>
                <w:b w:val="1"/>
                <w:bCs w:val="1"/>
                <w:color w:val="auto"/>
              </w:rPr>
            </w:pPr>
            <w:hyperlink w:anchor="page56">
              <w:r>
                <w:rPr>
                  <w:rFonts w:ascii="Arial" w:cs="Arial" w:eastAsia="Arial" w:hAnsi="Arial"/>
                  <w:sz w:val="13"/>
                  <w:szCs w:val="13"/>
                  <w:b w:val="1"/>
                  <w:bCs w:val="1"/>
                  <w:color w:val="auto"/>
                </w:rPr>
                <w:t>50</w:t>
              </w:r>
            </w:hyperlink>
          </w:p>
        </w:tc>
        <w:tc>
          <w:tcPr>
            <w:tcW w:w="0" w:type="dxa"/>
            <w:vAlign w:val="bottom"/>
          </w:tcPr>
          <w:p>
            <w:pPr>
              <w:spacing w:after="0"/>
              <w:rPr>
                <w:sz w:val="1"/>
                <w:szCs w:val="1"/>
                <w:color w:val="auto"/>
              </w:rPr>
            </w:pPr>
          </w:p>
        </w:tc>
      </w:tr>
      <w:tr>
        <w:trPr>
          <w:trHeight w:val="184"/>
        </w:trPr>
        <w:tc>
          <w:tcPr>
            <w:tcW w:w="5120" w:type="dxa"/>
            <w:vAlign w:val="bottom"/>
            <w:vMerge w:val="restart"/>
          </w:tcPr>
          <w:p>
            <w:pPr>
              <w:ind w:left="1980"/>
              <w:spacing w:after="0"/>
              <w:rPr>
                <w:rFonts w:ascii="Arial" w:cs="Arial" w:eastAsia="Arial" w:hAnsi="Arial"/>
                <w:sz w:val="13"/>
                <w:szCs w:val="13"/>
                <w:b w:val="1"/>
                <w:bCs w:val="1"/>
                <w:color w:val="auto"/>
              </w:rPr>
            </w:pPr>
            <w:hyperlink w:anchor="page6">
              <w:r>
                <w:rPr>
                  <w:rFonts w:ascii="Arial" w:cs="Arial" w:eastAsia="Arial" w:hAnsi="Arial"/>
                  <w:sz w:val="13"/>
                  <w:szCs w:val="13"/>
                  <w:b w:val="1"/>
                  <w:bCs w:val="1"/>
                  <w:color w:val="auto"/>
                </w:rPr>
                <w:t>FORWARD-LOOKING STATEMENTS</w:t>
              </w:r>
            </w:hyperlink>
          </w:p>
        </w:tc>
        <w:tc>
          <w:tcPr>
            <w:tcW w:w="520" w:type="dxa"/>
            <w:vAlign w:val="bottom"/>
            <w:vMerge w:val="restart"/>
          </w:tcPr>
          <w:p>
            <w:pPr>
              <w:jc w:val="right"/>
              <w:ind w:right="82"/>
              <w:spacing w:after="0"/>
              <w:rPr>
                <w:rFonts w:ascii="Arial" w:cs="Arial" w:eastAsia="Arial" w:hAnsi="Arial"/>
                <w:sz w:val="13"/>
                <w:szCs w:val="13"/>
                <w:b w:val="1"/>
                <w:bCs w:val="1"/>
                <w:color w:val="auto"/>
              </w:rPr>
            </w:pPr>
            <w:hyperlink w:anchor="page6">
              <w:r>
                <w:rPr>
                  <w:rFonts w:ascii="Arial" w:cs="Arial" w:eastAsia="Arial" w:hAnsi="Arial"/>
                  <w:sz w:val="13"/>
                  <w:szCs w:val="13"/>
                  <w:b w:val="1"/>
                  <w:bCs w:val="1"/>
                  <w:color w:val="auto"/>
                </w:rPr>
                <w:t>iii</w:t>
              </w:r>
            </w:hyperlink>
          </w:p>
        </w:tc>
        <w:tc>
          <w:tcPr>
            <w:tcW w:w="3260" w:type="dxa"/>
            <w:vAlign w:val="bottom"/>
          </w:tcPr>
          <w:p>
            <w:pPr>
              <w:ind w:left="160"/>
              <w:spacing w:after="0"/>
              <w:rPr>
                <w:rFonts w:ascii="Arial" w:cs="Arial" w:eastAsia="Arial" w:hAnsi="Arial"/>
                <w:sz w:val="11"/>
                <w:szCs w:val="11"/>
                <w:color w:val="auto"/>
              </w:rPr>
            </w:pPr>
            <w:hyperlink w:anchor="page56">
              <w:r>
                <w:rPr>
                  <w:rFonts w:ascii="Arial" w:cs="Arial" w:eastAsia="Arial" w:hAnsi="Arial"/>
                  <w:sz w:val="11"/>
                  <w:szCs w:val="11"/>
                  <w:color w:val="auto"/>
                </w:rPr>
                <w:t>Compensation Discussion and Analysis</w:t>
              </w:r>
            </w:hyperlink>
          </w:p>
        </w:tc>
        <w:tc>
          <w:tcPr>
            <w:tcW w:w="2400" w:type="dxa"/>
            <w:vAlign w:val="bottom"/>
          </w:tcPr>
          <w:p>
            <w:pPr>
              <w:jc w:val="right"/>
              <w:ind w:right="1923"/>
              <w:spacing w:after="0"/>
              <w:rPr>
                <w:rFonts w:ascii="Arial" w:cs="Arial" w:eastAsia="Arial" w:hAnsi="Arial"/>
                <w:sz w:val="11"/>
                <w:szCs w:val="11"/>
                <w:color w:val="auto"/>
              </w:rPr>
            </w:pPr>
            <w:hyperlink w:anchor="page56">
              <w:r>
                <w:rPr>
                  <w:rFonts w:ascii="Arial" w:cs="Arial" w:eastAsia="Arial" w:hAnsi="Arial"/>
                  <w:sz w:val="11"/>
                  <w:szCs w:val="11"/>
                  <w:color w:val="auto"/>
                </w:rPr>
                <w:t>50</w:t>
              </w:r>
            </w:hyperlink>
          </w:p>
        </w:tc>
        <w:tc>
          <w:tcPr>
            <w:tcW w:w="0" w:type="dxa"/>
            <w:vAlign w:val="bottom"/>
          </w:tcPr>
          <w:p>
            <w:pPr>
              <w:spacing w:after="0"/>
              <w:rPr>
                <w:sz w:val="1"/>
                <w:szCs w:val="1"/>
                <w:color w:val="auto"/>
              </w:rPr>
            </w:pPr>
          </w:p>
        </w:tc>
      </w:tr>
      <w:tr>
        <w:trPr>
          <w:trHeight w:val="86"/>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75">
              <w:r>
                <w:rPr>
                  <w:rFonts w:ascii="Arial" w:cs="Arial" w:eastAsia="Arial" w:hAnsi="Arial"/>
                  <w:sz w:val="11"/>
                  <w:szCs w:val="11"/>
                  <w:color w:val="auto"/>
                </w:rPr>
                <w:t>Human Capital Committee Report</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75">
              <w:r>
                <w:rPr>
                  <w:rFonts w:ascii="Arial" w:cs="Arial" w:eastAsia="Arial" w:hAnsi="Arial"/>
                  <w:sz w:val="11"/>
                  <w:szCs w:val="11"/>
                  <w:color w:val="auto"/>
                </w:rPr>
                <w:t>69</w:t>
              </w:r>
            </w:hyperlink>
          </w:p>
        </w:tc>
        <w:tc>
          <w:tcPr>
            <w:tcW w:w="0" w:type="dxa"/>
            <w:vAlign w:val="bottom"/>
          </w:tcPr>
          <w:p>
            <w:pPr>
              <w:spacing w:after="0"/>
              <w:rPr>
                <w:sz w:val="1"/>
                <w:szCs w:val="1"/>
                <w:color w:val="auto"/>
              </w:rPr>
            </w:pPr>
          </w:p>
        </w:tc>
      </w:tr>
      <w:tr>
        <w:trPr>
          <w:trHeight w:val="112"/>
        </w:trPr>
        <w:tc>
          <w:tcPr>
            <w:tcW w:w="5120" w:type="dxa"/>
            <w:vAlign w:val="bottom"/>
            <w:vMerge w:val="restart"/>
          </w:tcPr>
          <w:p>
            <w:pPr>
              <w:ind w:left="1980"/>
              <w:spacing w:after="0"/>
              <w:rPr>
                <w:rFonts w:ascii="Arial" w:cs="Arial" w:eastAsia="Arial" w:hAnsi="Arial"/>
                <w:sz w:val="13"/>
                <w:szCs w:val="13"/>
                <w:b w:val="1"/>
                <w:bCs w:val="1"/>
                <w:color w:val="auto"/>
              </w:rPr>
            </w:pPr>
            <w:hyperlink w:anchor="page8">
              <w:r>
                <w:rPr>
                  <w:rFonts w:ascii="Arial" w:cs="Arial" w:eastAsia="Arial" w:hAnsi="Arial"/>
                  <w:sz w:val="13"/>
                  <w:szCs w:val="13"/>
                  <w:b w:val="1"/>
                  <w:bCs w:val="1"/>
                  <w:color w:val="auto"/>
                </w:rPr>
                <w:t>NOTICE OF ANNUAL MEETING</w:t>
              </w:r>
            </w:hyperlink>
          </w:p>
        </w:tc>
        <w:tc>
          <w:tcPr>
            <w:tcW w:w="520" w:type="dxa"/>
            <w:vAlign w:val="bottom"/>
            <w:vMerge w:val="restart"/>
          </w:tcPr>
          <w:p>
            <w:pPr>
              <w:jc w:val="right"/>
              <w:ind w:right="82"/>
              <w:spacing w:after="0"/>
              <w:rPr>
                <w:rFonts w:ascii="Arial" w:cs="Arial" w:eastAsia="Arial" w:hAnsi="Arial"/>
                <w:sz w:val="13"/>
                <w:szCs w:val="13"/>
                <w:b w:val="1"/>
                <w:bCs w:val="1"/>
                <w:color w:val="auto"/>
              </w:rPr>
            </w:pPr>
            <w:hyperlink w:anchor="page8">
              <w:r>
                <w:rPr>
                  <w:rFonts w:ascii="Arial" w:cs="Arial" w:eastAsia="Arial" w:hAnsi="Arial"/>
                  <w:sz w:val="13"/>
                  <w:szCs w:val="13"/>
                  <w:b w:val="1"/>
                  <w:bCs w:val="1"/>
                  <w:color w:val="auto"/>
                </w:rPr>
                <w:t>1</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1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75">
              <w:r>
                <w:rPr>
                  <w:rFonts w:ascii="Arial" w:cs="Arial" w:eastAsia="Arial" w:hAnsi="Arial"/>
                  <w:sz w:val="11"/>
                  <w:szCs w:val="11"/>
                  <w:color w:val="auto"/>
                </w:rPr>
                <w:t>Human Capital Committee Interlocks and Insider Participation</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75">
              <w:r>
                <w:rPr>
                  <w:rFonts w:ascii="Arial" w:cs="Arial" w:eastAsia="Arial" w:hAnsi="Arial"/>
                  <w:sz w:val="11"/>
                  <w:szCs w:val="11"/>
                  <w:color w:val="auto"/>
                </w:rPr>
                <w:t>69</w:t>
              </w:r>
            </w:hyperlink>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6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tcPr>
          <w:p>
            <w:pPr>
              <w:ind w:left="1980"/>
              <w:spacing w:after="0"/>
              <w:rPr>
                <w:rFonts w:ascii="Arial" w:cs="Arial" w:eastAsia="Arial" w:hAnsi="Arial"/>
                <w:sz w:val="13"/>
                <w:szCs w:val="13"/>
                <w:b w:val="1"/>
                <w:bCs w:val="1"/>
                <w:color w:val="auto"/>
              </w:rPr>
            </w:pPr>
            <w:hyperlink w:anchor="page10">
              <w:r>
                <w:rPr>
                  <w:rFonts w:ascii="Arial" w:cs="Arial" w:eastAsia="Arial" w:hAnsi="Arial"/>
                  <w:sz w:val="13"/>
                  <w:szCs w:val="13"/>
                  <w:b w:val="1"/>
                  <w:bCs w:val="1"/>
                  <w:color w:val="auto"/>
                </w:rPr>
                <w:t>MESSAGE FROM OUR CHAIRMAN AND CEO</w:t>
              </w:r>
            </w:hyperlink>
          </w:p>
        </w:tc>
        <w:tc>
          <w:tcPr>
            <w:tcW w:w="520" w:type="dxa"/>
            <w:vAlign w:val="bottom"/>
          </w:tcPr>
          <w:p>
            <w:pPr>
              <w:jc w:val="right"/>
              <w:ind w:right="82"/>
              <w:spacing w:after="0"/>
              <w:rPr>
                <w:rFonts w:ascii="Arial" w:cs="Arial" w:eastAsia="Arial" w:hAnsi="Arial"/>
                <w:sz w:val="13"/>
                <w:szCs w:val="13"/>
                <w:b w:val="1"/>
                <w:bCs w:val="1"/>
                <w:color w:val="auto"/>
              </w:rPr>
            </w:pPr>
            <w:hyperlink w:anchor="page10">
              <w:r>
                <w:rPr>
                  <w:rFonts w:ascii="Arial" w:cs="Arial" w:eastAsia="Arial" w:hAnsi="Arial"/>
                  <w:sz w:val="13"/>
                  <w:szCs w:val="13"/>
                  <w:b w:val="1"/>
                  <w:bCs w:val="1"/>
                  <w:color w:val="auto"/>
                </w:rPr>
                <w:t>3</w:t>
              </w:r>
            </w:hyperlink>
          </w:p>
        </w:tc>
        <w:tc>
          <w:tcPr>
            <w:tcW w:w="3260" w:type="dxa"/>
            <w:vAlign w:val="bottom"/>
          </w:tcPr>
          <w:p>
            <w:pPr>
              <w:ind w:left="160"/>
              <w:spacing w:after="0"/>
              <w:rPr>
                <w:rFonts w:ascii="Arial" w:cs="Arial" w:eastAsia="Arial" w:hAnsi="Arial"/>
                <w:sz w:val="11"/>
                <w:szCs w:val="11"/>
                <w:color w:val="auto"/>
              </w:rPr>
            </w:pPr>
            <w:hyperlink w:anchor="page75">
              <w:r>
                <w:rPr>
                  <w:rFonts w:ascii="Arial" w:cs="Arial" w:eastAsia="Arial" w:hAnsi="Arial"/>
                  <w:sz w:val="11"/>
                  <w:szCs w:val="11"/>
                  <w:color w:val="auto"/>
                </w:rPr>
                <w:t>Compensation and Risk</w:t>
              </w:r>
            </w:hyperlink>
          </w:p>
        </w:tc>
        <w:tc>
          <w:tcPr>
            <w:tcW w:w="2400" w:type="dxa"/>
            <w:vAlign w:val="bottom"/>
          </w:tcPr>
          <w:p>
            <w:pPr>
              <w:jc w:val="right"/>
              <w:ind w:right="1923"/>
              <w:spacing w:after="0"/>
              <w:rPr>
                <w:rFonts w:ascii="Arial" w:cs="Arial" w:eastAsia="Arial" w:hAnsi="Arial"/>
                <w:sz w:val="11"/>
                <w:szCs w:val="11"/>
                <w:color w:val="auto"/>
              </w:rPr>
            </w:pPr>
            <w:hyperlink w:anchor="page75">
              <w:r>
                <w:rPr>
                  <w:rFonts w:ascii="Arial" w:cs="Arial" w:eastAsia="Arial" w:hAnsi="Arial"/>
                  <w:sz w:val="11"/>
                  <w:szCs w:val="11"/>
                  <w:color w:val="auto"/>
                </w:rPr>
                <w:t>69</w:t>
              </w:r>
            </w:hyperlink>
          </w:p>
        </w:tc>
        <w:tc>
          <w:tcPr>
            <w:tcW w:w="0" w:type="dxa"/>
            <w:vAlign w:val="bottom"/>
          </w:tcPr>
          <w:p>
            <w:pPr>
              <w:spacing w:after="0"/>
              <w:rPr>
                <w:sz w:val="1"/>
                <w:szCs w:val="1"/>
                <w:color w:val="auto"/>
              </w:rPr>
            </w:pPr>
          </w:p>
        </w:tc>
      </w:tr>
      <w:tr>
        <w:trPr>
          <w:trHeight w:val="166"/>
        </w:trPr>
        <w:tc>
          <w:tcPr>
            <w:tcW w:w="5120" w:type="dxa"/>
            <w:vAlign w:val="bottom"/>
            <w:vMerge w:val="restart"/>
          </w:tcPr>
          <w:p>
            <w:pPr>
              <w:ind w:left="1980"/>
              <w:spacing w:after="0"/>
              <w:rPr>
                <w:rFonts w:ascii="Arial" w:cs="Arial" w:eastAsia="Arial" w:hAnsi="Arial"/>
                <w:sz w:val="13"/>
                <w:szCs w:val="13"/>
                <w:b w:val="1"/>
                <w:bCs w:val="1"/>
                <w:color w:val="auto"/>
              </w:rPr>
            </w:pPr>
            <w:hyperlink w:anchor="page12">
              <w:r>
                <w:rPr>
                  <w:rFonts w:ascii="Arial" w:cs="Arial" w:eastAsia="Arial" w:hAnsi="Arial"/>
                  <w:sz w:val="13"/>
                  <w:szCs w:val="13"/>
                  <w:b w:val="1"/>
                  <w:bCs w:val="1"/>
                  <w:color w:val="auto"/>
                </w:rPr>
                <w:t>ABOUT FOOT LOCKER, INC.</w:t>
              </w:r>
            </w:hyperlink>
          </w:p>
        </w:tc>
        <w:tc>
          <w:tcPr>
            <w:tcW w:w="520" w:type="dxa"/>
            <w:vAlign w:val="bottom"/>
            <w:vMerge w:val="restart"/>
          </w:tcPr>
          <w:p>
            <w:pPr>
              <w:jc w:val="right"/>
              <w:ind w:right="82"/>
              <w:spacing w:after="0"/>
              <w:rPr>
                <w:rFonts w:ascii="Arial" w:cs="Arial" w:eastAsia="Arial" w:hAnsi="Arial"/>
                <w:sz w:val="13"/>
                <w:szCs w:val="13"/>
                <w:b w:val="1"/>
                <w:bCs w:val="1"/>
                <w:color w:val="auto"/>
              </w:rPr>
            </w:pPr>
            <w:hyperlink w:anchor="page12">
              <w:r>
                <w:rPr>
                  <w:rFonts w:ascii="Arial" w:cs="Arial" w:eastAsia="Arial" w:hAnsi="Arial"/>
                  <w:sz w:val="13"/>
                  <w:szCs w:val="13"/>
                  <w:b w:val="1"/>
                  <w:bCs w:val="1"/>
                  <w:color w:val="auto"/>
                </w:rPr>
                <w:t>5</w:t>
              </w:r>
            </w:hyperlink>
          </w:p>
        </w:tc>
        <w:tc>
          <w:tcPr>
            <w:tcW w:w="3260" w:type="dxa"/>
            <w:vAlign w:val="bottom"/>
          </w:tcPr>
          <w:p>
            <w:pPr>
              <w:ind w:left="160"/>
              <w:spacing w:after="0"/>
              <w:rPr>
                <w:rFonts w:ascii="Arial" w:cs="Arial" w:eastAsia="Arial" w:hAnsi="Arial"/>
                <w:sz w:val="11"/>
                <w:szCs w:val="11"/>
                <w:color w:val="auto"/>
              </w:rPr>
            </w:pPr>
            <w:hyperlink w:anchor="page76">
              <w:r>
                <w:rPr>
                  <w:rFonts w:ascii="Arial" w:cs="Arial" w:eastAsia="Arial" w:hAnsi="Arial"/>
                  <w:sz w:val="11"/>
                  <w:szCs w:val="11"/>
                  <w:color w:val="auto"/>
                </w:rPr>
                <w:t>Summary Compensation Table</w:t>
              </w:r>
            </w:hyperlink>
          </w:p>
        </w:tc>
        <w:tc>
          <w:tcPr>
            <w:tcW w:w="2400" w:type="dxa"/>
            <w:vAlign w:val="bottom"/>
          </w:tcPr>
          <w:p>
            <w:pPr>
              <w:jc w:val="right"/>
              <w:ind w:right="1923"/>
              <w:spacing w:after="0"/>
              <w:rPr>
                <w:rFonts w:ascii="Arial" w:cs="Arial" w:eastAsia="Arial" w:hAnsi="Arial"/>
                <w:sz w:val="11"/>
                <w:szCs w:val="11"/>
                <w:color w:val="auto"/>
              </w:rPr>
            </w:pPr>
            <w:hyperlink w:anchor="page76">
              <w:r>
                <w:rPr>
                  <w:rFonts w:ascii="Arial" w:cs="Arial" w:eastAsia="Arial" w:hAnsi="Arial"/>
                  <w:sz w:val="11"/>
                  <w:szCs w:val="11"/>
                  <w:color w:val="auto"/>
                </w:rPr>
                <w:t>70</w:t>
              </w:r>
            </w:hyperlink>
          </w:p>
        </w:tc>
        <w:tc>
          <w:tcPr>
            <w:tcW w:w="0" w:type="dxa"/>
            <w:vAlign w:val="bottom"/>
          </w:tcPr>
          <w:p>
            <w:pPr>
              <w:spacing w:after="0"/>
              <w:rPr>
                <w:sz w:val="1"/>
                <w:szCs w:val="1"/>
                <w:color w:val="auto"/>
              </w:rPr>
            </w:pPr>
          </w:p>
        </w:tc>
      </w:tr>
      <w:tr>
        <w:trPr>
          <w:trHeight w:val="104"/>
        </w:trPr>
        <w:tc>
          <w:tcPr>
            <w:tcW w:w="51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77">
              <w:r>
                <w:rPr>
                  <w:rFonts w:ascii="Arial" w:cs="Arial" w:eastAsia="Arial" w:hAnsi="Arial"/>
                  <w:sz w:val="11"/>
                  <w:szCs w:val="11"/>
                  <w:color w:val="auto"/>
                </w:rPr>
                <w:t>Employment Agreements and Other Arrangements</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77">
              <w:r>
                <w:rPr>
                  <w:rFonts w:ascii="Arial" w:cs="Arial" w:eastAsia="Arial" w:hAnsi="Arial"/>
                  <w:sz w:val="11"/>
                  <w:szCs w:val="11"/>
                  <w:color w:val="auto"/>
                </w:rPr>
                <w:t>72</w:t>
              </w:r>
            </w:hyperlink>
          </w:p>
        </w:tc>
        <w:tc>
          <w:tcPr>
            <w:tcW w:w="0" w:type="dxa"/>
            <w:vAlign w:val="bottom"/>
          </w:tcPr>
          <w:p>
            <w:pPr>
              <w:spacing w:after="0"/>
              <w:rPr>
                <w:sz w:val="1"/>
                <w:szCs w:val="1"/>
                <w:color w:val="auto"/>
              </w:rPr>
            </w:pPr>
          </w:p>
        </w:tc>
      </w:tr>
      <w:tr>
        <w:trPr>
          <w:trHeight w:val="94"/>
        </w:trPr>
        <w:tc>
          <w:tcPr>
            <w:tcW w:w="5120" w:type="dxa"/>
            <w:vAlign w:val="bottom"/>
            <w:vMerge w:val="restart"/>
          </w:tcPr>
          <w:p>
            <w:pPr>
              <w:ind w:left="1980"/>
              <w:spacing w:after="0"/>
              <w:rPr>
                <w:rFonts w:ascii="Arial" w:cs="Arial" w:eastAsia="Arial" w:hAnsi="Arial"/>
                <w:sz w:val="11"/>
                <w:szCs w:val="11"/>
                <w:color w:val="auto"/>
              </w:rPr>
            </w:pPr>
            <w:hyperlink w:anchor="page12">
              <w:r>
                <w:rPr>
                  <w:rFonts w:ascii="Arial" w:cs="Arial" w:eastAsia="Arial" w:hAnsi="Arial"/>
                  <w:sz w:val="11"/>
                  <w:szCs w:val="11"/>
                  <w:color w:val="auto"/>
                </w:rPr>
                <w:t>Inspire and Empower Youth Culture</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12">
              <w:r>
                <w:rPr>
                  <w:rFonts w:ascii="Arial" w:cs="Arial" w:eastAsia="Arial" w:hAnsi="Arial"/>
                  <w:sz w:val="11"/>
                  <w:szCs w:val="11"/>
                  <w:color w:val="auto"/>
                </w:rPr>
                <w:t>5</w:t>
              </w:r>
            </w:hyperlink>
          </w:p>
        </w:tc>
        <w:tc>
          <w:tcPr>
            <w:tcW w:w="326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79">
              <w:r>
                <w:rPr>
                  <w:rFonts w:ascii="Arial" w:cs="Arial" w:eastAsia="Arial" w:hAnsi="Arial"/>
                  <w:sz w:val="11"/>
                  <w:szCs w:val="11"/>
                  <w:color w:val="auto"/>
                </w:rPr>
                <w:t>Grants of Plan-Based Awards in Fiscal 2021</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79">
              <w:r>
                <w:rPr>
                  <w:rFonts w:ascii="Arial" w:cs="Arial" w:eastAsia="Arial" w:hAnsi="Arial"/>
                  <w:sz w:val="11"/>
                  <w:szCs w:val="11"/>
                  <w:color w:val="auto"/>
                </w:rPr>
                <w:t>74</w:t>
              </w:r>
            </w:hyperlink>
          </w:p>
        </w:tc>
        <w:tc>
          <w:tcPr>
            <w:tcW w:w="0" w:type="dxa"/>
            <w:vAlign w:val="bottom"/>
          </w:tcPr>
          <w:p>
            <w:pPr>
              <w:spacing w:after="0"/>
              <w:rPr>
                <w:sz w:val="1"/>
                <w:szCs w:val="1"/>
                <w:color w:val="auto"/>
              </w:rPr>
            </w:pPr>
          </w:p>
        </w:tc>
      </w:tr>
      <w:tr>
        <w:trPr>
          <w:trHeight w:val="108"/>
        </w:trPr>
        <w:tc>
          <w:tcPr>
            <w:tcW w:w="5120" w:type="dxa"/>
            <w:vAlign w:val="bottom"/>
            <w:vMerge w:val="restart"/>
          </w:tcPr>
          <w:p>
            <w:pPr>
              <w:ind w:left="1980"/>
              <w:spacing w:after="0"/>
              <w:rPr>
                <w:rFonts w:ascii="Arial" w:cs="Arial" w:eastAsia="Arial" w:hAnsi="Arial"/>
                <w:sz w:val="11"/>
                <w:szCs w:val="11"/>
                <w:color w:val="auto"/>
              </w:rPr>
            </w:pPr>
            <w:hyperlink w:anchor="page12">
              <w:r>
                <w:rPr>
                  <w:rFonts w:ascii="Arial" w:cs="Arial" w:eastAsia="Arial" w:hAnsi="Arial"/>
                  <w:sz w:val="11"/>
                  <w:szCs w:val="11"/>
                  <w:color w:val="auto"/>
                </w:rPr>
                <w:t>Our Strategic Imperatives</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12">
              <w:r>
                <w:rPr>
                  <w:rFonts w:ascii="Arial" w:cs="Arial" w:eastAsia="Arial" w:hAnsi="Arial"/>
                  <w:sz w:val="11"/>
                  <w:szCs w:val="11"/>
                  <w:color w:val="auto"/>
                </w:rPr>
                <w:t>5</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82">
              <w:r>
                <w:rPr>
                  <w:rFonts w:ascii="Arial" w:cs="Arial" w:eastAsia="Arial" w:hAnsi="Arial"/>
                  <w:sz w:val="11"/>
                  <w:szCs w:val="11"/>
                  <w:color w:val="auto"/>
                </w:rPr>
                <w:t>Outstanding Equity Awards at Fiscal 2021 Year-End</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82">
              <w:r>
                <w:rPr>
                  <w:rFonts w:ascii="Arial" w:cs="Arial" w:eastAsia="Arial" w:hAnsi="Arial"/>
                  <w:sz w:val="11"/>
                  <w:szCs w:val="11"/>
                  <w:color w:val="auto"/>
                </w:rPr>
                <w:t>78</w:t>
              </w:r>
            </w:hyperlink>
          </w:p>
        </w:tc>
        <w:tc>
          <w:tcPr>
            <w:tcW w:w="0" w:type="dxa"/>
            <w:vAlign w:val="bottom"/>
          </w:tcPr>
          <w:p>
            <w:pPr>
              <w:spacing w:after="0"/>
              <w:rPr>
                <w:sz w:val="1"/>
                <w:szCs w:val="1"/>
                <w:color w:val="auto"/>
              </w:rPr>
            </w:pPr>
          </w:p>
        </w:tc>
      </w:tr>
      <w:tr>
        <w:trPr>
          <w:trHeight w:val="108"/>
        </w:trPr>
        <w:tc>
          <w:tcPr>
            <w:tcW w:w="5120" w:type="dxa"/>
            <w:vAlign w:val="bottom"/>
            <w:vMerge w:val="restart"/>
          </w:tcPr>
          <w:p>
            <w:pPr>
              <w:ind w:left="1980"/>
              <w:spacing w:after="0"/>
              <w:rPr>
                <w:rFonts w:ascii="Arial" w:cs="Arial" w:eastAsia="Arial" w:hAnsi="Arial"/>
                <w:sz w:val="11"/>
                <w:szCs w:val="11"/>
                <w:color w:val="auto"/>
              </w:rPr>
            </w:pPr>
            <w:hyperlink w:anchor="page13">
              <w:r>
                <w:rPr>
                  <w:rFonts w:ascii="Arial" w:cs="Arial" w:eastAsia="Arial" w:hAnsi="Arial"/>
                  <w:sz w:val="11"/>
                  <w:szCs w:val="11"/>
                  <w:color w:val="auto"/>
                </w:rPr>
                <w:t>Our ESG Program</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13">
              <w:r>
                <w:rPr>
                  <w:rFonts w:ascii="Arial" w:cs="Arial" w:eastAsia="Arial" w:hAnsi="Arial"/>
                  <w:sz w:val="11"/>
                  <w:szCs w:val="11"/>
                  <w:color w:val="auto"/>
                </w:rPr>
                <w:t>6</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88">
              <w:r>
                <w:rPr>
                  <w:rFonts w:ascii="Arial" w:cs="Arial" w:eastAsia="Arial" w:hAnsi="Arial"/>
                  <w:sz w:val="11"/>
                  <w:szCs w:val="11"/>
                  <w:color w:val="auto"/>
                </w:rPr>
                <w:t>Option Exercises and Stock Vested in Fiscal 2021</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88">
              <w:r>
                <w:rPr>
                  <w:rFonts w:ascii="Arial" w:cs="Arial" w:eastAsia="Arial" w:hAnsi="Arial"/>
                  <w:sz w:val="11"/>
                  <w:szCs w:val="11"/>
                  <w:color w:val="auto"/>
                </w:rPr>
                <w:t>87</w:t>
              </w:r>
            </w:hyperlink>
          </w:p>
        </w:tc>
        <w:tc>
          <w:tcPr>
            <w:tcW w:w="0" w:type="dxa"/>
            <w:vAlign w:val="bottom"/>
          </w:tcPr>
          <w:p>
            <w:pPr>
              <w:spacing w:after="0"/>
              <w:rPr>
                <w:sz w:val="1"/>
                <w:szCs w:val="1"/>
                <w:color w:val="auto"/>
              </w:rPr>
            </w:pPr>
          </w:p>
        </w:tc>
      </w:tr>
      <w:tr>
        <w:trPr>
          <w:trHeight w:val="108"/>
        </w:trPr>
        <w:tc>
          <w:tcPr>
            <w:tcW w:w="5120" w:type="dxa"/>
            <w:vAlign w:val="bottom"/>
            <w:vMerge w:val="restart"/>
          </w:tcPr>
          <w:p>
            <w:pPr>
              <w:ind w:left="1980"/>
              <w:spacing w:after="0"/>
              <w:rPr>
                <w:rFonts w:ascii="Arial" w:cs="Arial" w:eastAsia="Arial" w:hAnsi="Arial"/>
                <w:sz w:val="11"/>
                <w:szCs w:val="11"/>
                <w:color w:val="auto"/>
              </w:rPr>
            </w:pPr>
            <w:hyperlink w:anchor="page13">
              <w:r>
                <w:rPr>
                  <w:rFonts w:ascii="Arial" w:cs="Arial" w:eastAsia="Arial" w:hAnsi="Arial"/>
                  <w:sz w:val="11"/>
                  <w:szCs w:val="11"/>
                  <w:color w:val="auto"/>
                </w:rPr>
                <w:t>Our Climate Stewardship</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13">
              <w:r>
                <w:rPr>
                  <w:rFonts w:ascii="Arial" w:cs="Arial" w:eastAsia="Arial" w:hAnsi="Arial"/>
                  <w:sz w:val="11"/>
                  <w:szCs w:val="11"/>
                  <w:color w:val="auto"/>
                </w:rPr>
                <w:t>6</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88">
              <w:r>
                <w:rPr>
                  <w:rFonts w:ascii="Arial" w:cs="Arial" w:eastAsia="Arial" w:hAnsi="Arial"/>
                  <w:sz w:val="11"/>
                  <w:szCs w:val="11"/>
                  <w:color w:val="auto"/>
                </w:rPr>
                <w:t>Pension Benefits in Fiscal 2021</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88">
              <w:r>
                <w:rPr>
                  <w:rFonts w:ascii="Arial" w:cs="Arial" w:eastAsia="Arial" w:hAnsi="Arial"/>
                  <w:sz w:val="11"/>
                  <w:szCs w:val="11"/>
                  <w:color w:val="auto"/>
                </w:rPr>
                <w:t>87</w:t>
              </w:r>
            </w:hyperlink>
          </w:p>
        </w:tc>
        <w:tc>
          <w:tcPr>
            <w:tcW w:w="0" w:type="dxa"/>
            <w:vAlign w:val="bottom"/>
          </w:tcPr>
          <w:p>
            <w:pPr>
              <w:spacing w:after="0"/>
              <w:rPr>
                <w:sz w:val="1"/>
                <w:szCs w:val="1"/>
                <w:color w:val="auto"/>
              </w:rPr>
            </w:pPr>
          </w:p>
        </w:tc>
      </w:tr>
      <w:tr>
        <w:trPr>
          <w:trHeight w:val="108"/>
        </w:trPr>
        <w:tc>
          <w:tcPr>
            <w:tcW w:w="5120" w:type="dxa"/>
            <w:vAlign w:val="bottom"/>
            <w:vMerge w:val="restart"/>
          </w:tcPr>
          <w:p>
            <w:pPr>
              <w:ind w:left="1980"/>
              <w:spacing w:after="0"/>
              <w:rPr>
                <w:rFonts w:ascii="Arial" w:cs="Arial" w:eastAsia="Arial" w:hAnsi="Arial"/>
                <w:sz w:val="11"/>
                <w:szCs w:val="11"/>
                <w:color w:val="auto"/>
              </w:rPr>
            </w:pPr>
            <w:hyperlink w:anchor="page14">
              <w:r>
                <w:rPr>
                  <w:rFonts w:ascii="Arial" w:cs="Arial" w:eastAsia="Arial" w:hAnsi="Arial"/>
                  <w:sz w:val="11"/>
                  <w:szCs w:val="11"/>
                  <w:color w:val="auto"/>
                </w:rPr>
                <w:t>Our Fiscal 2021 Highlights</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14">
              <w:r>
                <w:rPr>
                  <w:rFonts w:ascii="Arial" w:cs="Arial" w:eastAsia="Arial" w:hAnsi="Arial"/>
                  <w:sz w:val="11"/>
                  <w:szCs w:val="11"/>
                  <w:color w:val="auto"/>
                </w:rPr>
                <w:t>7</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89">
              <w:r>
                <w:rPr>
                  <w:rFonts w:ascii="Arial" w:cs="Arial" w:eastAsia="Arial" w:hAnsi="Arial"/>
                  <w:sz w:val="11"/>
                  <w:szCs w:val="11"/>
                  <w:color w:val="auto"/>
                </w:rPr>
                <w:t>Defined Benefit Retirement Plans</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89">
              <w:r>
                <w:rPr>
                  <w:rFonts w:ascii="Arial" w:cs="Arial" w:eastAsia="Arial" w:hAnsi="Arial"/>
                  <w:sz w:val="11"/>
                  <w:szCs w:val="11"/>
                  <w:color w:val="auto"/>
                </w:rPr>
                <w:t>88</w:t>
              </w:r>
            </w:hyperlink>
          </w:p>
        </w:tc>
        <w:tc>
          <w:tcPr>
            <w:tcW w:w="0" w:type="dxa"/>
            <w:vAlign w:val="bottom"/>
          </w:tcPr>
          <w:p>
            <w:pPr>
              <w:spacing w:after="0"/>
              <w:rPr>
                <w:sz w:val="1"/>
                <w:szCs w:val="1"/>
                <w:color w:val="auto"/>
              </w:rPr>
            </w:pPr>
          </w:p>
        </w:tc>
      </w:tr>
      <w:tr>
        <w:trPr>
          <w:trHeight w:val="108"/>
        </w:trPr>
        <w:tc>
          <w:tcPr>
            <w:tcW w:w="5120" w:type="dxa"/>
            <w:vAlign w:val="bottom"/>
            <w:vMerge w:val="restart"/>
          </w:tcPr>
          <w:p>
            <w:pPr>
              <w:ind w:left="1980"/>
              <w:spacing w:after="0"/>
              <w:rPr>
                <w:rFonts w:ascii="Arial" w:cs="Arial" w:eastAsia="Arial" w:hAnsi="Arial"/>
                <w:sz w:val="11"/>
                <w:szCs w:val="11"/>
                <w:color w:val="auto"/>
              </w:rPr>
            </w:pPr>
            <w:hyperlink w:anchor="page14">
              <w:r>
                <w:rPr>
                  <w:rFonts w:ascii="Arial" w:cs="Arial" w:eastAsia="Arial" w:hAnsi="Arial"/>
                  <w:sz w:val="11"/>
                  <w:szCs w:val="11"/>
                  <w:color w:val="auto"/>
                </w:rPr>
                <w:t>Emerging Stronger from the COVID-19 Pandemic</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14">
              <w:r>
                <w:rPr>
                  <w:rFonts w:ascii="Arial" w:cs="Arial" w:eastAsia="Arial" w:hAnsi="Arial"/>
                  <w:sz w:val="11"/>
                  <w:szCs w:val="11"/>
                  <w:color w:val="auto"/>
                </w:rPr>
                <w:t>7</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91">
              <w:r>
                <w:rPr>
                  <w:rFonts w:ascii="Arial" w:cs="Arial" w:eastAsia="Arial" w:hAnsi="Arial"/>
                  <w:sz w:val="11"/>
                  <w:szCs w:val="11"/>
                  <w:color w:val="auto"/>
                </w:rPr>
                <w:t>401(k) Plan</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91">
              <w:r>
                <w:rPr>
                  <w:rFonts w:ascii="Arial" w:cs="Arial" w:eastAsia="Arial" w:hAnsi="Arial"/>
                  <w:sz w:val="11"/>
                  <w:szCs w:val="11"/>
                  <w:color w:val="auto"/>
                </w:rPr>
                <w:t>90</w:t>
              </w:r>
            </w:hyperlink>
          </w:p>
        </w:tc>
        <w:tc>
          <w:tcPr>
            <w:tcW w:w="0" w:type="dxa"/>
            <w:vAlign w:val="bottom"/>
          </w:tcPr>
          <w:p>
            <w:pPr>
              <w:spacing w:after="0"/>
              <w:rPr>
                <w:sz w:val="1"/>
                <w:szCs w:val="1"/>
                <w:color w:val="auto"/>
              </w:rPr>
            </w:pPr>
          </w:p>
        </w:tc>
      </w:tr>
      <w:tr>
        <w:trPr>
          <w:trHeight w:val="108"/>
        </w:trPr>
        <w:tc>
          <w:tcPr>
            <w:tcW w:w="5120" w:type="dxa"/>
            <w:vAlign w:val="bottom"/>
            <w:vMerge w:val="restart"/>
          </w:tcPr>
          <w:p>
            <w:pPr>
              <w:ind w:left="1980"/>
              <w:spacing w:after="0"/>
              <w:rPr>
                <w:rFonts w:ascii="Arial" w:cs="Arial" w:eastAsia="Arial" w:hAnsi="Arial"/>
                <w:sz w:val="11"/>
                <w:szCs w:val="11"/>
                <w:color w:val="auto"/>
              </w:rPr>
            </w:pPr>
            <w:hyperlink w:anchor="page14">
              <w:r>
                <w:rPr>
                  <w:rFonts w:ascii="Arial" w:cs="Arial" w:eastAsia="Arial" w:hAnsi="Arial"/>
                  <w:sz w:val="11"/>
                  <w:szCs w:val="11"/>
                  <w:color w:val="auto"/>
                </w:rPr>
                <w:t>Learn More About Our Company</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14">
              <w:r>
                <w:rPr>
                  <w:rFonts w:ascii="Arial" w:cs="Arial" w:eastAsia="Arial" w:hAnsi="Arial"/>
                  <w:sz w:val="11"/>
                  <w:szCs w:val="11"/>
                  <w:color w:val="auto"/>
                </w:rPr>
                <w:t>7</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92">
              <w:r>
                <w:rPr>
                  <w:rFonts w:ascii="Arial" w:cs="Arial" w:eastAsia="Arial" w:hAnsi="Arial"/>
                  <w:sz w:val="11"/>
                  <w:szCs w:val="11"/>
                  <w:color w:val="auto"/>
                </w:rPr>
                <w:t>Nonqualified Deferred Compensation in Fiscal 2021</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92">
              <w:r>
                <w:rPr>
                  <w:rFonts w:ascii="Arial" w:cs="Arial" w:eastAsia="Arial" w:hAnsi="Arial"/>
                  <w:sz w:val="11"/>
                  <w:szCs w:val="11"/>
                  <w:color w:val="auto"/>
                </w:rPr>
                <w:t>91</w:t>
              </w:r>
            </w:hyperlink>
          </w:p>
        </w:tc>
        <w:tc>
          <w:tcPr>
            <w:tcW w:w="0" w:type="dxa"/>
            <w:vAlign w:val="bottom"/>
          </w:tcPr>
          <w:p>
            <w:pPr>
              <w:spacing w:after="0"/>
              <w:rPr>
                <w:sz w:val="1"/>
                <w:szCs w:val="1"/>
                <w:color w:val="auto"/>
              </w:rPr>
            </w:pPr>
          </w:p>
        </w:tc>
      </w:tr>
      <w:tr>
        <w:trPr>
          <w:trHeight w:val="108"/>
        </w:trPr>
        <w:tc>
          <w:tcPr>
            <w:tcW w:w="5120" w:type="dxa"/>
            <w:vAlign w:val="bottom"/>
            <w:vMerge w:val="restart"/>
          </w:tcPr>
          <w:p>
            <w:pPr>
              <w:ind w:left="1980"/>
              <w:spacing w:after="0"/>
              <w:rPr>
                <w:rFonts w:ascii="Arial" w:cs="Arial" w:eastAsia="Arial" w:hAnsi="Arial"/>
                <w:sz w:val="13"/>
                <w:szCs w:val="13"/>
                <w:b w:val="1"/>
                <w:bCs w:val="1"/>
                <w:color w:val="auto"/>
              </w:rPr>
            </w:pPr>
            <w:hyperlink w:anchor="page15">
              <w:r>
                <w:rPr>
                  <w:rFonts w:ascii="Arial" w:cs="Arial" w:eastAsia="Arial" w:hAnsi="Arial"/>
                  <w:sz w:val="13"/>
                  <w:szCs w:val="13"/>
                  <w:b w:val="1"/>
                  <w:bCs w:val="1"/>
                  <w:color w:val="auto"/>
                </w:rPr>
                <w:t>VOTING ROADMAP</w:t>
              </w:r>
            </w:hyperlink>
          </w:p>
        </w:tc>
        <w:tc>
          <w:tcPr>
            <w:tcW w:w="520" w:type="dxa"/>
            <w:vAlign w:val="bottom"/>
            <w:vMerge w:val="restart"/>
          </w:tcPr>
          <w:p>
            <w:pPr>
              <w:jc w:val="right"/>
              <w:ind w:right="82"/>
              <w:spacing w:after="0"/>
              <w:rPr>
                <w:rFonts w:ascii="Arial" w:cs="Arial" w:eastAsia="Arial" w:hAnsi="Arial"/>
                <w:sz w:val="13"/>
                <w:szCs w:val="13"/>
                <w:b w:val="1"/>
                <w:bCs w:val="1"/>
                <w:color w:val="auto"/>
              </w:rPr>
            </w:pPr>
            <w:hyperlink w:anchor="page15">
              <w:r>
                <w:rPr>
                  <w:rFonts w:ascii="Arial" w:cs="Arial" w:eastAsia="Arial" w:hAnsi="Arial"/>
                  <w:sz w:val="13"/>
                  <w:szCs w:val="13"/>
                  <w:b w:val="1"/>
                  <w:bCs w:val="1"/>
                  <w:color w:val="auto"/>
                </w:rPr>
                <w:t>8</w:t>
              </w:r>
            </w:hyperlink>
          </w:p>
        </w:tc>
        <w:tc>
          <w:tcPr>
            <w:tcW w:w="326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3260" w:type="dxa"/>
            <w:vAlign w:val="bottom"/>
          </w:tcPr>
          <w:p>
            <w:pPr>
              <w:ind w:left="160"/>
              <w:spacing w:after="0"/>
              <w:rPr>
                <w:rFonts w:ascii="Arial" w:cs="Arial" w:eastAsia="Arial" w:hAnsi="Arial"/>
                <w:sz w:val="11"/>
                <w:szCs w:val="11"/>
                <w:color w:val="auto"/>
              </w:rPr>
            </w:pPr>
            <w:hyperlink w:anchor="page93">
              <w:r>
                <w:rPr>
                  <w:rFonts w:ascii="Arial" w:cs="Arial" w:eastAsia="Arial" w:hAnsi="Arial"/>
                  <w:sz w:val="11"/>
                  <w:szCs w:val="11"/>
                  <w:color w:val="auto"/>
                </w:rPr>
                <w:t>Potential Payments Upon Termination or Change in Control</w:t>
              </w:r>
            </w:hyperlink>
          </w:p>
        </w:tc>
        <w:tc>
          <w:tcPr>
            <w:tcW w:w="2400" w:type="dxa"/>
            <w:vAlign w:val="bottom"/>
          </w:tcPr>
          <w:p>
            <w:pPr>
              <w:jc w:val="right"/>
              <w:ind w:right="1923"/>
              <w:spacing w:after="0"/>
              <w:rPr>
                <w:rFonts w:ascii="Arial" w:cs="Arial" w:eastAsia="Arial" w:hAnsi="Arial"/>
                <w:sz w:val="11"/>
                <w:szCs w:val="11"/>
                <w:color w:val="auto"/>
              </w:rPr>
            </w:pPr>
            <w:hyperlink w:anchor="page93">
              <w:r>
                <w:rPr>
                  <w:rFonts w:ascii="Arial" w:cs="Arial" w:eastAsia="Arial" w:hAnsi="Arial"/>
                  <w:sz w:val="11"/>
                  <w:szCs w:val="11"/>
                  <w:color w:val="auto"/>
                </w:rPr>
                <w:t>92</w:t>
              </w:r>
            </w:hyperlink>
          </w:p>
        </w:tc>
        <w:tc>
          <w:tcPr>
            <w:tcW w:w="0" w:type="dxa"/>
            <w:vAlign w:val="bottom"/>
          </w:tcPr>
          <w:p>
            <w:pPr>
              <w:spacing w:after="0"/>
              <w:rPr>
                <w:sz w:val="1"/>
                <w:szCs w:val="1"/>
                <w:color w:val="auto"/>
              </w:rPr>
            </w:pPr>
          </w:p>
        </w:tc>
      </w:tr>
      <w:tr>
        <w:trPr>
          <w:trHeight w:val="248"/>
        </w:trPr>
        <w:tc>
          <w:tcPr>
            <w:tcW w:w="5120" w:type="dxa"/>
            <w:vAlign w:val="bottom"/>
          </w:tcPr>
          <w:p>
            <w:pPr>
              <w:ind w:left="1980"/>
              <w:spacing w:after="0"/>
              <w:rPr>
                <w:rFonts w:ascii="Arial" w:cs="Arial" w:eastAsia="Arial" w:hAnsi="Arial"/>
                <w:sz w:val="13"/>
                <w:szCs w:val="13"/>
                <w:b w:val="1"/>
                <w:bCs w:val="1"/>
                <w:color w:val="auto"/>
              </w:rPr>
            </w:pPr>
            <w:hyperlink w:anchor="page20">
              <w:r>
                <w:rPr>
                  <w:rFonts w:ascii="Arial" w:cs="Arial" w:eastAsia="Arial" w:hAnsi="Arial"/>
                  <w:sz w:val="13"/>
                  <w:szCs w:val="13"/>
                  <w:b w:val="1"/>
                  <w:bCs w:val="1"/>
                  <w:color w:val="auto"/>
                </w:rPr>
                <w:t>RECOGNITION</w:t>
              </w:r>
            </w:hyperlink>
          </w:p>
        </w:tc>
        <w:tc>
          <w:tcPr>
            <w:tcW w:w="520" w:type="dxa"/>
            <w:vAlign w:val="bottom"/>
          </w:tcPr>
          <w:p>
            <w:pPr>
              <w:jc w:val="right"/>
              <w:ind w:right="82"/>
              <w:spacing w:after="0"/>
              <w:rPr>
                <w:rFonts w:ascii="Arial" w:cs="Arial" w:eastAsia="Arial" w:hAnsi="Arial"/>
                <w:sz w:val="13"/>
                <w:szCs w:val="13"/>
                <w:b w:val="1"/>
                <w:bCs w:val="1"/>
                <w:color w:val="auto"/>
              </w:rPr>
            </w:pPr>
            <w:hyperlink w:anchor="page20">
              <w:r>
                <w:rPr>
                  <w:rFonts w:ascii="Arial" w:cs="Arial" w:eastAsia="Arial" w:hAnsi="Arial"/>
                  <w:sz w:val="13"/>
                  <w:szCs w:val="13"/>
                  <w:b w:val="1"/>
                  <w:bCs w:val="1"/>
                  <w:color w:val="auto"/>
                </w:rPr>
                <w:t>13</w:t>
              </w:r>
            </w:hyperlink>
          </w:p>
        </w:tc>
        <w:tc>
          <w:tcPr>
            <w:tcW w:w="3260" w:type="dxa"/>
            <w:vAlign w:val="bottom"/>
          </w:tcPr>
          <w:p>
            <w:pPr>
              <w:ind w:left="160"/>
              <w:spacing w:after="0"/>
              <w:rPr>
                <w:rFonts w:ascii="Arial" w:cs="Arial" w:eastAsia="Arial" w:hAnsi="Arial"/>
                <w:sz w:val="11"/>
                <w:szCs w:val="11"/>
                <w:color w:val="auto"/>
              </w:rPr>
            </w:pPr>
            <w:hyperlink w:anchor="page96">
              <w:r>
                <w:rPr>
                  <w:rFonts w:ascii="Arial" w:cs="Arial" w:eastAsia="Arial" w:hAnsi="Arial"/>
                  <w:sz w:val="11"/>
                  <w:szCs w:val="11"/>
                  <w:color w:val="auto"/>
                </w:rPr>
                <w:t>CEO Pay Ratio</w:t>
              </w:r>
            </w:hyperlink>
          </w:p>
        </w:tc>
        <w:tc>
          <w:tcPr>
            <w:tcW w:w="2400" w:type="dxa"/>
            <w:vAlign w:val="bottom"/>
          </w:tcPr>
          <w:p>
            <w:pPr>
              <w:jc w:val="right"/>
              <w:ind w:right="1923"/>
              <w:spacing w:after="0"/>
              <w:rPr>
                <w:rFonts w:ascii="Arial" w:cs="Arial" w:eastAsia="Arial" w:hAnsi="Arial"/>
                <w:sz w:val="11"/>
                <w:szCs w:val="11"/>
                <w:color w:val="auto"/>
              </w:rPr>
            </w:pPr>
            <w:hyperlink w:anchor="page96">
              <w:r>
                <w:rPr>
                  <w:rFonts w:ascii="Arial" w:cs="Arial" w:eastAsia="Arial" w:hAnsi="Arial"/>
                  <w:sz w:val="11"/>
                  <w:szCs w:val="11"/>
                  <w:color w:val="auto"/>
                </w:rPr>
                <w:t>95</w:t>
              </w:r>
            </w:hyperlink>
          </w:p>
        </w:tc>
        <w:tc>
          <w:tcPr>
            <w:tcW w:w="0" w:type="dxa"/>
            <w:vAlign w:val="bottom"/>
          </w:tcPr>
          <w:p>
            <w:pPr>
              <w:spacing w:after="0"/>
              <w:rPr>
                <w:sz w:val="1"/>
                <w:szCs w:val="1"/>
                <w:color w:val="auto"/>
              </w:rPr>
            </w:pPr>
          </w:p>
        </w:tc>
      </w:tr>
      <w:tr>
        <w:trPr>
          <w:trHeight w:val="270"/>
        </w:trPr>
        <w:tc>
          <w:tcPr>
            <w:tcW w:w="5120" w:type="dxa"/>
            <w:vAlign w:val="bottom"/>
          </w:tcPr>
          <w:p>
            <w:pPr>
              <w:ind w:left="1980"/>
              <w:spacing w:after="0"/>
              <w:rPr>
                <w:rFonts w:ascii="Arial" w:cs="Arial" w:eastAsia="Arial" w:hAnsi="Arial"/>
                <w:sz w:val="13"/>
                <w:szCs w:val="13"/>
                <w:b w:val="1"/>
                <w:bCs w:val="1"/>
                <w:color w:val="E31F26"/>
              </w:rPr>
            </w:pPr>
            <w:hyperlink w:anchor="page22">
              <w:r>
                <w:rPr>
                  <w:rFonts w:ascii="Arial" w:cs="Arial" w:eastAsia="Arial" w:hAnsi="Arial"/>
                  <w:sz w:val="13"/>
                  <w:szCs w:val="13"/>
                  <w:b w:val="1"/>
                  <w:bCs w:val="1"/>
                  <w:color w:val="E31F26"/>
                </w:rPr>
                <w:t>PROPOSAL 1: ELECTION OF DIRECTORS</w:t>
              </w:r>
            </w:hyperlink>
          </w:p>
        </w:tc>
        <w:tc>
          <w:tcPr>
            <w:tcW w:w="520" w:type="dxa"/>
            <w:vAlign w:val="bottom"/>
          </w:tcPr>
          <w:p>
            <w:pPr>
              <w:jc w:val="right"/>
              <w:ind w:right="82"/>
              <w:spacing w:after="0"/>
              <w:rPr>
                <w:rFonts w:ascii="Arial" w:cs="Arial" w:eastAsia="Arial" w:hAnsi="Arial"/>
                <w:sz w:val="13"/>
                <w:szCs w:val="13"/>
                <w:b w:val="1"/>
                <w:bCs w:val="1"/>
                <w:color w:val="E31F26"/>
              </w:rPr>
            </w:pPr>
            <w:hyperlink w:anchor="page22">
              <w:r>
                <w:rPr>
                  <w:rFonts w:ascii="Arial" w:cs="Arial" w:eastAsia="Arial" w:hAnsi="Arial"/>
                  <w:sz w:val="13"/>
                  <w:szCs w:val="13"/>
                  <w:b w:val="1"/>
                  <w:bCs w:val="1"/>
                  <w:color w:val="E31F26"/>
                </w:rPr>
                <w:t>15</w:t>
              </w:r>
            </w:hyperlink>
          </w:p>
        </w:tc>
        <w:tc>
          <w:tcPr>
            <w:tcW w:w="3260" w:type="dxa"/>
            <w:vAlign w:val="bottom"/>
          </w:tcPr>
          <w:p>
            <w:pPr>
              <w:ind w:left="160"/>
              <w:spacing w:after="0"/>
              <w:rPr>
                <w:rFonts w:ascii="Arial" w:cs="Arial" w:eastAsia="Arial" w:hAnsi="Arial"/>
                <w:sz w:val="13"/>
                <w:szCs w:val="13"/>
                <w:b w:val="1"/>
                <w:bCs w:val="1"/>
                <w:color w:val="auto"/>
              </w:rPr>
            </w:pPr>
            <w:hyperlink w:anchor="page97">
              <w:r>
                <w:rPr>
                  <w:rFonts w:ascii="Arial" w:cs="Arial" w:eastAsia="Arial" w:hAnsi="Arial"/>
                  <w:sz w:val="13"/>
                  <w:szCs w:val="13"/>
                  <w:b w:val="1"/>
                  <w:bCs w:val="1"/>
                  <w:color w:val="auto"/>
                </w:rPr>
                <w:t>ESG</w:t>
              </w:r>
            </w:hyperlink>
          </w:p>
        </w:tc>
        <w:tc>
          <w:tcPr>
            <w:tcW w:w="2400" w:type="dxa"/>
            <w:vAlign w:val="bottom"/>
          </w:tcPr>
          <w:p>
            <w:pPr>
              <w:jc w:val="right"/>
              <w:ind w:right="1923"/>
              <w:spacing w:after="0"/>
              <w:rPr>
                <w:rFonts w:ascii="Arial" w:cs="Arial" w:eastAsia="Arial" w:hAnsi="Arial"/>
                <w:sz w:val="13"/>
                <w:szCs w:val="13"/>
                <w:b w:val="1"/>
                <w:bCs w:val="1"/>
                <w:color w:val="auto"/>
              </w:rPr>
            </w:pPr>
            <w:hyperlink w:anchor="page97">
              <w:r>
                <w:rPr>
                  <w:rFonts w:ascii="Arial" w:cs="Arial" w:eastAsia="Arial" w:hAnsi="Arial"/>
                  <w:sz w:val="13"/>
                  <w:szCs w:val="13"/>
                  <w:b w:val="1"/>
                  <w:bCs w:val="1"/>
                  <w:color w:val="auto"/>
                </w:rPr>
                <w:t>96</w:t>
              </w:r>
            </w:hyperlink>
          </w:p>
        </w:tc>
        <w:tc>
          <w:tcPr>
            <w:tcW w:w="0" w:type="dxa"/>
            <w:vAlign w:val="bottom"/>
          </w:tcPr>
          <w:p>
            <w:pPr>
              <w:spacing w:after="0"/>
              <w:rPr>
                <w:sz w:val="1"/>
                <w:szCs w:val="1"/>
                <w:color w:val="auto"/>
              </w:rPr>
            </w:pPr>
          </w:p>
        </w:tc>
      </w:tr>
      <w:tr>
        <w:trPr>
          <w:trHeight w:val="199"/>
        </w:trPr>
        <w:tc>
          <w:tcPr>
            <w:tcW w:w="5120" w:type="dxa"/>
            <w:vAlign w:val="bottom"/>
          </w:tcPr>
          <w:p>
            <w:pPr>
              <w:ind w:left="1980"/>
              <w:spacing w:after="0"/>
              <w:rPr>
                <w:rFonts w:ascii="Arial" w:cs="Arial" w:eastAsia="Arial" w:hAnsi="Arial"/>
                <w:sz w:val="11"/>
                <w:szCs w:val="11"/>
                <w:color w:val="auto"/>
              </w:rPr>
            </w:pPr>
            <w:hyperlink w:anchor="page22">
              <w:r>
                <w:rPr>
                  <w:rFonts w:ascii="Arial" w:cs="Arial" w:eastAsia="Arial" w:hAnsi="Arial"/>
                  <w:sz w:val="11"/>
                  <w:szCs w:val="11"/>
                  <w:color w:val="auto"/>
                </w:rPr>
                <w:t>Director Nominees</w:t>
              </w:r>
            </w:hyperlink>
          </w:p>
        </w:tc>
        <w:tc>
          <w:tcPr>
            <w:tcW w:w="520" w:type="dxa"/>
            <w:vAlign w:val="bottom"/>
          </w:tcPr>
          <w:p>
            <w:pPr>
              <w:jc w:val="right"/>
              <w:ind w:right="82"/>
              <w:spacing w:after="0"/>
              <w:rPr>
                <w:rFonts w:ascii="Arial" w:cs="Arial" w:eastAsia="Arial" w:hAnsi="Arial"/>
                <w:sz w:val="11"/>
                <w:szCs w:val="11"/>
                <w:color w:val="auto"/>
              </w:rPr>
            </w:pPr>
            <w:hyperlink w:anchor="page22">
              <w:r>
                <w:rPr>
                  <w:rFonts w:ascii="Arial" w:cs="Arial" w:eastAsia="Arial" w:hAnsi="Arial"/>
                  <w:sz w:val="11"/>
                  <w:szCs w:val="11"/>
                  <w:color w:val="auto"/>
                </w:rPr>
                <w:t>15</w:t>
              </w:r>
            </w:hyperlink>
          </w:p>
        </w:tc>
        <w:tc>
          <w:tcPr>
            <w:tcW w:w="3260" w:type="dxa"/>
            <w:vAlign w:val="bottom"/>
          </w:tcPr>
          <w:p>
            <w:pPr>
              <w:ind w:left="160"/>
              <w:spacing w:after="0"/>
              <w:rPr>
                <w:rFonts w:ascii="Arial" w:cs="Arial" w:eastAsia="Arial" w:hAnsi="Arial"/>
                <w:sz w:val="13"/>
                <w:szCs w:val="13"/>
                <w:b w:val="1"/>
                <w:bCs w:val="1"/>
                <w:color w:val="E31F26"/>
              </w:rPr>
            </w:pPr>
            <w:hyperlink w:anchor="page99">
              <w:r>
                <w:rPr>
                  <w:rFonts w:ascii="Arial" w:cs="Arial" w:eastAsia="Arial" w:hAnsi="Arial"/>
                  <w:sz w:val="13"/>
                  <w:szCs w:val="13"/>
                  <w:b w:val="1"/>
                  <w:bCs w:val="1"/>
                  <w:color w:val="E31F26"/>
                </w:rPr>
                <w:t>PROPOSAL 3: ADVISORY VOTE ON</w:t>
              </w:r>
            </w:hyperlink>
          </w:p>
        </w:tc>
        <w:tc>
          <w:tcPr>
            <w:tcW w:w="2400" w:type="dxa"/>
            <w:vAlign w:val="bottom"/>
          </w:tcPr>
          <w:p>
            <w:pPr>
              <w:jc w:val="right"/>
              <w:ind w:right="1923"/>
              <w:spacing w:after="0"/>
              <w:rPr>
                <w:rFonts w:ascii="Arial" w:cs="Arial" w:eastAsia="Arial" w:hAnsi="Arial"/>
                <w:sz w:val="13"/>
                <w:szCs w:val="13"/>
                <w:b w:val="1"/>
                <w:bCs w:val="1"/>
                <w:color w:val="E31F26"/>
              </w:rPr>
            </w:pPr>
            <w:hyperlink w:anchor="page99">
              <w:r>
                <w:rPr>
                  <w:rFonts w:ascii="Arial" w:cs="Arial" w:eastAsia="Arial" w:hAnsi="Arial"/>
                  <w:sz w:val="13"/>
                  <w:szCs w:val="13"/>
                  <w:b w:val="1"/>
                  <w:bCs w:val="1"/>
                  <w:color w:val="E31F26"/>
                </w:rPr>
                <w:t>98</w:t>
              </w:r>
            </w:hyperlink>
          </w:p>
        </w:tc>
        <w:tc>
          <w:tcPr>
            <w:tcW w:w="0" w:type="dxa"/>
            <w:vAlign w:val="bottom"/>
          </w:tcPr>
          <w:p>
            <w:pPr>
              <w:spacing w:after="0"/>
              <w:rPr>
                <w:sz w:val="1"/>
                <w:szCs w:val="1"/>
                <w:color w:val="auto"/>
              </w:rPr>
            </w:pPr>
          </w:p>
        </w:tc>
      </w:tr>
      <w:tr>
        <w:trPr>
          <w:trHeight w:val="183"/>
        </w:trPr>
        <w:tc>
          <w:tcPr>
            <w:tcW w:w="5120" w:type="dxa"/>
            <w:vAlign w:val="bottom"/>
          </w:tcPr>
          <w:p>
            <w:pPr>
              <w:ind w:left="1980"/>
              <w:spacing w:after="0"/>
              <w:rPr>
                <w:rFonts w:ascii="Arial" w:cs="Arial" w:eastAsia="Arial" w:hAnsi="Arial"/>
                <w:sz w:val="11"/>
                <w:szCs w:val="11"/>
                <w:color w:val="auto"/>
              </w:rPr>
            </w:pPr>
            <w:hyperlink w:anchor="page22">
              <w:r>
                <w:rPr>
                  <w:rFonts w:ascii="Arial" w:cs="Arial" w:eastAsia="Arial" w:hAnsi="Arial"/>
                  <w:sz w:val="11"/>
                  <w:szCs w:val="11"/>
                  <w:color w:val="auto"/>
                </w:rPr>
                <w:t>Director Qualifications</w:t>
              </w:r>
            </w:hyperlink>
          </w:p>
        </w:tc>
        <w:tc>
          <w:tcPr>
            <w:tcW w:w="520" w:type="dxa"/>
            <w:vAlign w:val="bottom"/>
          </w:tcPr>
          <w:p>
            <w:pPr>
              <w:jc w:val="right"/>
              <w:ind w:right="82"/>
              <w:spacing w:after="0"/>
              <w:rPr>
                <w:rFonts w:ascii="Arial" w:cs="Arial" w:eastAsia="Arial" w:hAnsi="Arial"/>
                <w:sz w:val="11"/>
                <w:szCs w:val="11"/>
                <w:color w:val="auto"/>
              </w:rPr>
            </w:pPr>
            <w:hyperlink w:anchor="page22">
              <w:r>
                <w:rPr>
                  <w:rFonts w:ascii="Arial" w:cs="Arial" w:eastAsia="Arial" w:hAnsi="Arial"/>
                  <w:sz w:val="11"/>
                  <w:szCs w:val="11"/>
                  <w:color w:val="auto"/>
                </w:rPr>
                <w:t>15</w:t>
              </w:r>
            </w:hyperlink>
          </w:p>
        </w:tc>
        <w:tc>
          <w:tcPr>
            <w:tcW w:w="3260" w:type="dxa"/>
            <w:vAlign w:val="bottom"/>
          </w:tcPr>
          <w:p>
            <w:pPr>
              <w:ind w:left="160"/>
              <w:spacing w:after="0"/>
              <w:rPr>
                <w:rFonts w:ascii="Arial" w:cs="Arial" w:eastAsia="Arial" w:hAnsi="Arial"/>
                <w:sz w:val="13"/>
                <w:szCs w:val="13"/>
                <w:b w:val="1"/>
                <w:bCs w:val="1"/>
                <w:color w:val="E31F26"/>
              </w:rPr>
            </w:pPr>
            <w:hyperlink w:anchor="page99">
              <w:r>
                <w:rPr>
                  <w:rFonts w:ascii="Arial" w:cs="Arial" w:eastAsia="Arial" w:hAnsi="Arial"/>
                  <w:sz w:val="13"/>
                  <w:szCs w:val="13"/>
                  <w:b w:val="1"/>
                  <w:bCs w:val="1"/>
                  <w:color w:val="E31F26"/>
                </w:rPr>
                <w:t>FREQUENCY OF SAY-ON-PAY VOTES</w:t>
              </w:r>
            </w:hyperlink>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20" w:type="dxa"/>
            <w:vAlign w:val="bottom"/>
          </w:tcPr>
          <w:p>
            <w:pPr>
              <w:ind w:left="1980"/>
              <w:spacing w:after="0"/>
              <w:rPr>
                <w:rFonts w:ascii="Arial" w:cs="Arial" w:eastAsia="Arial" w:hAnsi="Arial"/>
                <w:sz w:val="11"/>
                <w:szCs w:val="11"/>
                <w:color w:val="auto"/>
              </w:rPr>
            </w:pPr>
            <w:hyperlink w:anchor="page23">
              <w:r>
                <w:rPr>
                  <w:rFonts w:ascii="Arial" w:cs="Arial" w:eastAsia="Arial" w:hAnsi="Arial"/>
                  <w:sz w:val="11"/>
                  <w:szCs w:val="11"/>
                  <w:color w:val="auto"/>
                </w:rPr>
                <w:t>Director Nominees at a Glance</w:t>
              </w:r>
            </w:hyperlink>
          </w:p>
        </w:tc>
        <w:tc>
          <w:tcPr>
            <w:tcW w:w="520" w:type="dxa"/>
            <w:vAlign w:val="bottom"/>
          </w:tcPr>
          <w:p>
            <w:pPr>
              <w:jc w:val="right"/>
              <w:ind w:right="82"/>
              <w:spacing w:after="0"/>
              <w:rPr>
                <w:rFonts w:ascii="Arial" w:cs="Arial" w:eastAsia="Arial" w:hAnsi="Arial"/>
                <w:sz w:val="11"/>
                <w:szCs w:val="11"/>
                <w:color w:val="auto"/>
              </w:rPr>
            </w:pPr>
            <w:hyperlink w:anchor="page23">
              <w:r>
                <w:rPr>
                  <w:rFonts w:ascii="Arial" w:cs="Arial" w:eastAsia="Arial" w:hAnsi="Arial"/>
                  <w:sz w:val="11"/>
                  <w:szCs w:val="11"/>
                  <w:color w:val="auto"/>
                </w:rPr>
                <w:t>16</w:t>
              </w:r>
            </w:hyperlink>
          </w:p>
        </w:tc>
        <w:tc>
          <w:tcPr>
            <w:tcW w:w="3260" w:type="dxa"/>
            <w:vAlign w:val="bottom"/>
          </w:tcPr>
          <w:p>
            <w:pPr>
              <w:ind w:left="160"/>
              <w:spacing w:after="0"/>
              <w:rPr>
                <w:rFonts w:ascii="Arial" w:cs="Arial" w:eastAsia="Arial" w:hAnsi="Arial"/>
                <w:sz w:val="13"/>
                <w:szCs w:val="13"/>
                <w:b w:val="1"/>
                <w:bCs w:val="1"/>
                <w:color w:val="E31F26"/>
              </w:rPr>
            </w:pPr>
            <w:hyperlink w:anchor="page100">
              <w:r>
                <w:rPr>
                  <w:rFonts w:ascii="Arial" w:cs="Arial" w:eastAsia="Arial" w:hAnsi="Arial"/>
                  <w:sz w:val="13"/>
                  <w:szCs w:val="13"/>
                  <w:b w:val="1"/>
                  <w:bCs w:val="1"/>
                  <w:color w:val="E31F26"/>
                </w:rPr>
                <w:t>PROPOSAL 4: RATIFICATION OF APPOINTMENT</w:t>
              </w:r>
            </w:hyperlink>
          </w:p>
        </w:tc>
        <w:tc>
          <w:tcPr>
            <w:tcW w:w="2400" w:type="dxa"/>
            <w:vAlign w:val="bottom"/>
          </w:tcPr>
          <w:p>
            <w:pPr>
              <w:jc w:val="right"/>
              <w:ind w:right="1923"/>
              <w:spacing w:after="0"/>
              <w:rPr>
                <w:rFonts w:ascii="Arial" w:cs="Arial" w:eastAsia="Arial" w:hAnsi="Arial"/>
                <w:sz w:val="13"/>
                <w:szCs w:val="13"/>
                <w:b w:val="1"/>
                <w:bCs w:val="1"/>
                <w:color w:val="E31F26"/>
              </w:rPr>
            </w:pPr>
            <w:hyperlink w:anchor="page100">
              <w:r>
                <w:rPr>
                  <w:rFonts w:ascii="Arial" w:cs="Arial" w:eastAsia="Arial" w:hAnsi="Arial"/>
                  <w:sz w:val="13"/>
                  <w:szCs w:val="13"/>
                  <w:b w:val="1"/>
                  <w:bCs w:val="1"/>
                  <w:color w:val="E31F26"/>
                </w:rPr>
                <w:t>99</w:t>
              </w:r>
            </w:hyperlink>
          </w:p>
        </w:tc>
        <w:tc>
          <w:tcPr>
            <w:tcW w:w="0" w:type="dxa"/>
            <w:vAlign w:val="bottom"/>
          </w:tcPr>
          <w:p>
            <w:pPr>
              <w:spacing w:after="0"/>
              <w:rPr>
                <w:sz w:val="1"/>
                <w:szCs w:val="1"/>
                <w:color w:val="auto"/>
              </w:rPr>
            </w:pPr>
          </w:p>
        </w:tc>
      </w:tr>
      <w:tr>
        <w:trPr>
          <w:trHeight w:val="144"/>
        </w:trPr>
        <w:tc>
          <w:tcPr>
            <w:tcW w:w="5120" w:type="dxa"/>
            <w:vAlign w:val="bottom"/>
          </w:tcPr>
          <w:p>
            <w:pPr>
              <w:ind w:left="1980"/>
              <w:spacing w:after="0"/>
              <w:rPr>
                <w:rFonts w:ascii="Arial" w:cs="Arial" w:eastAsia="Arial" w:hAnsi="Arial"/>
                <w:sz w:val="11"/>
                <w:szCs w:val="11"/>
                <w:color w:val="auto"/>
              </w:rPr>
            </w:pPr>
            <w:hyperlink w:anchor="page29">
              <w:r>
                <w:rPr>
                  <w:rFonts w:ascii="Arial" w:cs="Arial" w:eastAsia="Arial" w:hAnsi="Arial"/>
                  <w:sz w:val="11"/>
                  <w:szCs w:val="11"/>
                  <w:color w:val="auto"/>
                </w:rPr>
                <w:t>Director Nominees’ Skillset Matrix</w:t>
              </w:r>
            </w:hyperlink>
          </w:p>
        </w:tc>
        <w:tc>
          <w:tcPr>
            <w:tcW w:w="520" w:type="dxa"/>
            <w:vAlign w:val="bottom"/>
          </w:tcPr>
          <w:p>
            <w:pPr>
              <w:jc w:val="right"/>
              <w:ind w:right="82"/>
              <w:spacing w:after="0"/>
              <w:rPr>
                <w:rFonts w:ascii="Arial" w:cs="Arial" w:eastAsia="Arial" w:hAnsi="Arial"/>
                <w:sz w:val="11"/>
                <w:szCs w:val="11"/>
                <w:color w:val="auto"/>
              </w:rPr>
            </w:pPr>
            <w:hyperlink w:anchor="page29">
              <w:r>
                <w:rPr>
                  <w:rFonts w:ascii="Arial" w:cs="Arial" w:eastAsia="Arial" w:hAnsi="Arial"/>
                  <w:sz w:val="11"/>
                  <w:szCs w:val="11"/>
                  <w:color w:val="auto"/>
                </w:rPr>
                <w:t>23</w:t>
              </w:r>
            </w:hyperlink>
          </w:p>
        </w:tc>
        <w:tc>
          <w:tcPr>
            <w:tcW w:w="3260" w:type="dxa"/>
            <w:vAlign w:val="bottom"/>
          </w:tcPr>
          <w:p>
            <w:pPr>
              <w:ind w:left="160"/>
              <w:spacing w:after="0" w:line="144" w:lineRule="exact"/>
              <w:rPr>
                <w:rFonts w:ascii="Arial" w:cs="Arial" w:eastAsia="Arial" w:hAnsi="Arial"/>
                <w:sz w:val="13"/>
                <w:szCs w:val="13"/>
                <w:b w:val="1"/>
                <w:bCs w:val="1"/>
                <w:color w:val="E31F26"/>
              </w:rPr>
            </w:pPr>
            <w:hyperlink w:anchor="page100">
              <w:r>
                <w:rPr>
                  <w:rFonts w:ascii="Arial" w:cs="Arial" w:eastAsia="Arial" w:hAnsi="Arial"/>
                  <w:sz w:val="13"/>
                  <w:szCs w:val="13"/>
                  <w:b w:val="1"/>
                  <w:bCs w:val="1"/>
                  <w:color w:val="E31F26"/>
                </w:rPr>
                <w:t>OF OUR INDEPENDENT REGISTERED PUBLIC</w:t>
              </w:r>
            </w:hyperlink>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20" w:type="dxa"/>
            <w:vAlign w:val="bottom"/>
            <w:vMerge w:val="restart"/>
          </w:tcPr>
          <w:p>
            <w:pPr>
              <w:ind w:left="1980"/>
              <w:spacing w:after="0"/>
              <w:rPr>
                <w:rFonts w:ascii="Arial" w:cs="Arial" w:eastAsia="Arial" w:hAnsi="Arial"/>
                <w:sz w:val="13"/>
                <w:szCs w:val="13"/>
                <w:b w:val="1"/>
                <w:bCs w:val="1"/>
                <w:color w:val="auto"/>
              </w:rPr>
            </w:pPr>
            <w:hyperlink w:anchor="page31">
              <w:r>
                <w:rPr>
                  <w:rFonts w:ascii="Arial" w:cs="Arial" w:eastAsia="Arial" w:hAnsi="Arial"/>
                  <w:sz w:val="13"/>
                  <w:szCs w:val="13"/>
                  <w:b w:val="1"/>
                  <w:bCs w:val="1"/>
                  <w:color w:val="auto"/>
                </w:rPr>
                <w:t>GOVERNANCE</w:t>
              </w:r>
            </w:hyperlink>
          </w:p>
        </w:tc>
        <w:tc>
          <w:tcPr>
            <w:tcW w:w="520" w:type="dxa"/>
            <w:vAlign w:val="bottom"/>
            <w:vMerge w:val="restart"/>
          </w:tcPr>
          <w:p>
            <w:pPr>
              <w:jc w:val="right"/>
              <w:ind w:right="82"/>
              <w:spacing w:after="0"/>
              <w:rPr>
                <w:rFonts w:ascii="Arial" w:cs="Arial" w:eastAsia="Arial" w:hAnsi="Arial"/>
                <w:sz w:val="13"/>
                <w:szCs w:val="13"/>
                <w:b w:val="1"/>
                <w:bCs w:val="1"/>
                <w:color w:val="auto"/>
              </w:rPr>
            </w:pPr>
            <w:hyperlink w:anchor="page31">
              <w:r>
                <w:rPr>
                  <w:rFonts w:ascii="Arial" w:cs="Arial" w:eastAsia="Arial" w:hAnsi="Arial"/>
                  <w:sz w:val="13"/>
                  <w:szCs w:val="13"/>
                  <w:b w:val="1"/>
                  <w:bCs w:val="1"/>
                  <w:color w:val="auto"/>
                </w:rPr>
                <w:t>25</w:t>
              </w:r>
            </w:hyperlink>
          </w:p>
        </w:tc>
        <w:tc>
          <w:tcPr>
            <w:tcW w:w="3260" w:type="dxa"/>
            <w:vAlign w:val="bottom"/>
          </w:tcPr>
          <w:p>
            <w:pPr>
              <w:ind w:left="160"/>
              <w:spacing w:after="0"/>
              <w:rPr>
                <w:rFonts w:ascii="Arial" w:cs="Arial" w:eastAsia="Arial" w:hAnsi="Arial"/>
                <w:sz w:val="13"/>
                <w:szCs w:val="13"/>
                <w:b w:val="1"/>
                <w:bCs w:val="1"/>
                <w:color w:val="E31F26"/>
              </w:rPr>
            </w:pPr>
            <w:hyperlink w:anchor="page100">
              <w:r>
                <w:rPr>
                  <w:rFonts w:ascii="Arial" w:cs="Arial" w:eastAsia="Arial" w:hAnsi="Arial"/>
                  <w:sz w:val="13"/>
                  <w:szCs w:val="13"/>
                  <w:b w:val="1"/>
                  <w:bCs w:val="1"/>
                  <w:color w:val="E31F26"/>
                </w:rPr>
                <w:t>ACCOUNTING FIRM</w:t>
              </w:r>
            </w:hyperlink>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1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101">
              <w:r>
                <w:rPr>
                  <w:rFonts w:ascii="Arial" w:cs="Arial" w:eastAsia="Arial" w:hAnsi="Arial"/>
                  <w:sz w:val="11"/>
                  <w:szCs w:val="11"/>
                  <w:color w:val="auto"/>
                </w:rPr>
                <w:t>Audit and Non-Audit Fees</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101">
              <w:r>
                <w:rPr>
                  <w:rFonts w:ascii="Arial" w:cs="Arial" w:eastAsia="Arial" w:hAnsi="Arial"/>
                  <w:sz w:val="11"/>
                  <w:szCs w:val="11"/>
                  <w:color w:val="auto"/>
                </w:rPr>
                <w:t>100</w:t>
              </w:r>
            </w:hyperlink>
          </w:p>
        </w:tc>
        <w:tc>
          <w:tcPr>
            <w:tcW w:w="0" w:type="dxa"/>
            <w:vAlign w:val="bottom"/>
          </w:tcPr>
          <w:p>
            <w:pPr>
              <w:spacing w:after="0"/>
              <w:rPr>
                <w:sz w:val="1"/>
                <w:szCs w:val="1"/>
                <w:color w:val="auto"/>
              </w:rPr>
            </w:pPr>
          </w:p>
        </w:tc>
      </w:tr>
      <w:tr>
        <w:trPr>
          <w:trHeight w:val="58"/>
        </w:trPr>
        <w:tc>
          <w:tcPr>
            <w:tcW w:w="5120" w:type="dxa"/>
            <w:vAlign w:val="bottom"/>
            <w:vMerge w:val="restart"/>
          </w:tcPr>
          <w:p>
            <w:pPr>
              <w:ind w:left="1980"/>
              <w:spacing w:after="0"/>
              <w:rPr>
                <w:rFonts w:ascii="Arial" w:cs="Arial" w:eastAsia="Arial" w:hAnsi="Arial"/>
                <w:sz w:val="11"/>
                <w:szCs w:val="11"/>
                <w:color w:val="auto"/>
              </w:rPr>
            </w:pPr>
            <w:hyperlink w:anchor="page31">
              <w:r>
                <w:rPr>
                  <w:rFonts w:ascii="Arial" w:cs="Arial" w:eastAsia="Arial" w:hAnsi="Arial"/>
                  <w:sz w:val="11"/>
                  <w:szCs w:val="11"/>
                  <w:color w:val="auto"/>
                </w:rPr>
                <w:t>Our Board of Directors</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31">
              <w:r>
                <w:rPr>
                  <w:rFonts w:ascii="Arial" w:cs="Arial" w:eastAsia="Arial" w:hAnsi="Arial"/>
                  <w:sz w:val="11"/>
                  <w:szCs w:val="11"/>
                  <w:color w:val="auto"/>
                </w:rPr>
                <w:t>25</w:t>
              </w:r>
            </w:hyperlink>
          </w:p>
        </w:tc>
        <w:tc>
          <w:tcPr>
            <w:tcW w:w="3260" w:type="dxa"/>
            <w:vAlign w:val="bottom"/>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1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101">
              <w:r>
                <w:rPr>
                  <w:rFonts w:ascii="Arial" w:cs="Arial" w:eastAsia="Arial" w:hAnsi="Arial"/>
                  <w:sz w:val="11"/>
                  <w:szCs w:val="11"/>
                  <w:color w:val="auto"/>
                </w:rPr>
                <w:t>Audit Committee Preapproval Policies and Procedures</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101">
              <w:r>
                <w:rPr>
                  <w:rFonts w:ascii="Arial" w:cs="Arial" w:eastAsia="Arial" w:hAnsi="Arial"/>
                  <w:sz w:val="11"/>
                  <w:szCs w:val="11"/>
                  <w:color w:val="auto"/>
                </w:rPr>
                <w:t>100</w:t>
              </w:r>
            </w:hyperlink>
          </w:p>
        </w:tc>
        <w:tc>
          <w:tcPr>
            <w:tcW w:w="0" w:type="dxa"/>
            <w:vAlign w:val="bottom"/>
          </w:tcPr>
          <w:p>
            <w:pPr>
              <w:spacing w:after="0"/>
              <w:rPr>
                <w:sz w:val="1"/>
                <w:szCs w:val="1"/>
                <w:color w:val="auto"/>
              </w:rPr>
            </w:pPr>
          </w:p>
        </w:tc>
      </w:tr>
      <w:tr>
        <w:trPr>
          <w:trHeight w:val="72"/>
        </w:trPr>
        <w:tc>
          <w:tcPr>
            <w:tcW w:w="5120" w:type="dxa"/>
            <w:vAlign w:val="bottom"/>
            <w:vMerge w:val="restart"/>
          </w:tcPr>
          <w:p>
            <w:pPr>
              <w:ind w:left="1980"/>
              <w:spacing w:after="0"/>
              <w:rPr>
                <w:rFonts w:ascii="Arial" w:cs="Arial" w:eastAsia="Arial" w:hAnsi="Arial"/>
                <w:sz w:val="11"/>
                <w:szCs w:val="11"/>
                <w:color w:val="auto"/>
              </w:rPr>
            </w:pPr>
            <w:hyperlink w:anchor="page39">
              <w:r>
                <w:rPr>
                  <w:rFonts w:ascii="Arial" w:cs="Arial" w:eastAsia="Arial" w:hAnsi="Arial"/>
                  <w:sz w:val="11"/>
                  <w:szCs w:val="11"/>
                  <w:color w:val="auto"/>
                </w:rPr>
                <w:t>Our Board’s Oversight of Our Business</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39">
              <w:r>
                <w:rPr>
                  <w:rFonts w:ascii="Arial" w:cs="Arial" w:eastAsia="Arial" w:hAnsi="Arial"/>
                  <w:sz w:val="11"/>
                  <w:szCs w:val="11"/>
                  <w:color w:val="auto"/>
                </w:rPr>
                <w:t>33</w:t>
              </w:r>
            </w:hyperlink>
          </w:p>
        </w:tc>
        <w:tc>
          <w:tcPr>
            <w:tcW w:w="326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51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260" w:type="dxa"/>
            <w:vAlign w:val="bottom"/>
            <w:vMerge w:val="restart"/>
          </w:tcPr>
          <w:p>
            <w:pPr>
              <w:ind w:left="160"/>
              <w:spacing w:after="0"/>
              <w:rPr>
                <w:rFonts w:ascii="Arial" w:cs="Arial" w:eastAsia="Arial" w:hAnsi="Arial"/>
                <w:sz w:val="11"/>
                <w:szCs w:val="11"/>
                <w:color w:val="auto"/>
              </w:rPr>
            </w:pPr>
            <w:hyperlink w:anchor="page102">
              <w:r>
                <w:rPr>
                  <w:rFonts w:ascii="Arial" w:cs="Arial" w:eastAsia="Arial" w:hAnsi="Arial"/>
                  <w:sz w:val="11"/>
                  <w:szCs w:val="11"/>
                  <w:color w:val="auto"/>
                </w:rPr>
                <w:t>Audit Committee Report</w:t>
              </w:r>
            </w:hyperlink>
          </w:p>
        </w:tc>
        <w:tc>
          <w:tcPr>
            <w:tcW w:w="2400" w:type="dxa"/>
            <w:vAlign w:val="bottom"/>
            <w:vMerge w:val="restart"/>
          </w:tcPr>
          <w:p>
            <w:pPr>
              <w:jc w:val="right"/>
              <w:ind w:right="1923"/>
              <w:spacing w:after="0"/>
              <w:rPr>
                <w:rFonts w:ascii="Arial" w:cs="Arial" w:eastAsia="Arial" w:hAnsi="Arial"/>
                <w:sz w:val="11"/>
                <w:szCs w:val="11"/>
                <w:color w:val="auto"/>
              </w:rPr>
            </w:pPr>
            <w:hyperlink w:anchor="page102">
              <w:r>
                <w:rPr>
                  <w:rFonts w:ascii="Arial" w:cs="Arial" w:eastAsia="Arial" w:hAnsi="Arial"/>
                  <w:sz w:val="11"/>
                  <w:szCs w:val="11"/>
                  <w:color w:val="auto"/>
                </w:rPr>
                <w:t>101</w:t>
              </w:r>
            </w:hyperlink>
          </w:p>
        </w:tc>
        <w:tc>
          <w:tcPr>
            <w:tcW w:w="0" w:type="dxa"/>
            <w:vAlign w:val="bottom"/>
          </w:tcPr>
          <w:p>
            <w:pPr>
              <w:spacing w:after="0"/>
              <w:rPr>
                <w:sz w:val="1"/>
                <w:szCs w:val="1"/>
                <w:color w:val="auto"/>
              </w:rPr>
            </w:pPr>
          </w:p>
        </w:tc>
      </w:tr>
      <w:tr>
        <w:trPr>
          <w:trHeight w:val="72"/>
        </w:trPr>
        <w:tc>
          <w:tcPr>
            <w:tcW w:w="5120" w:type="dxa"/>
            <w:vAlign w:val="bottom"/>
            <w:vMerge w:val="restart"/>
          </w:tcPr>
          <w:p>
            <w:pPr>
              <w:ind w:left="1980"/>
              <w:spacing w:after="0"/>
              <w:rPr>
                <w:rFonts w:ascii="Arial" w:cs="Arial" w:eastAsia="Arial" w:hAnsi="Arial"/>
                <w:sz w:val="11"/>
                <w:szCs w:val="11"/>
                <w:color w:val="auto"/>
              </w:rPr>
            </w:pPr>
            <w:hyperlink w:anchor="page44">
              <w:r>
                <w:rPr>
                  <w:rFonts w:ascii="Arial" w:cs="Arial" w:eastAsia="Arial" w:hAnsi="Arial"/>
                  <w:sz w:val="11"/>
                  <w:szCs w:val="11"/>
                  <w:color w:val="auto"/>
                </w:rPr>
                <w:t>Shareholder Engagement</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44">
              <w:r>
                <w:rPr>
                  <w:rFonts w:ascii="Arial" w:cs="Arial" w:eastAsia="Arial" w:hAnsi="Arial"/>
                  <w:sz w:val="11"/>
                  <w:szCs w:val="11"/>
                  <w:color w:val="auto"/>
                </w:rPr>
                <w:t>38</w:t>
              </w:r>
            </w:hyperlink>
          </w:p>
        </w:tc>
        <w:tc>
          <w:tcPr>
            <w:tcW w:w="326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51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260" w:type="dxa"/>
            <w:vAlign w:val="bottom"/>
            <w:vMerge w:val="restart"/>
          </w:tcPr>
          <w:p>
            <w:pPr>
              <w:ind w:left="160"/>
              <w:spacing w:after="0"/>
              <w:rPr>
                <w:rFonts w:ascii="Arial" w:cs="Arial" w:eastAsia="Arial" w:hAnsi="Arial"/>
                <w:sz w:val="13"/>
                <w:szCs w:val="13"/>
                <w:b w:val="1"/>
                <w:bCs w:val="1"/>
                <w:color w:val="auto"/>
              </w:rPr>
            </w:pPr>
            <w:hyperlink w:anchor="page103">
              <w:r>
                <w:rPr>
                  <w:rFonts w:ascii="Arial" w:cs="Arial" w:eastAsia="Arial" w:hAnsi="Arial"/>
                  <w:sz w:val="13"/>
                  <w:szCs w:val="13"/>
                  <w:b w:val="1"/>
                  <w:bCs w:val="1"/>
                  <w:color w:val="auto"/>
                </w:rPr>
                <w:t>SHARE OWNERSHIP</w:t>
              </w:r>
            </w:hyperlink>
          </w:p>
        </w:tc>
        <w:tc>
          <w:tcPr>
            <w:tcW w:w="2400" w:type="dxa"/>
            <w:vAlign w:val="bottom"/>
            <w:vMerge w:val="restart"/>
          </w:tcPr>
          <w:p>
            <w:pPr>
              <w:jc w:val="right"/>
              <w:ind w:right="1923"/>
              <w:spacing w:after="0"/>
              <w:rPr>
                <w:rFonts w:ascii="Arial" w:cs="Arial" w:eastAsia="Arial" w:hAnsi="Arial"/>
                <w:sz w:val="13"/>
                <w:szCs w:val="13"/>
                <w:b w:val="1"/>
                <w:bCs w:val="1"/>
                <w:color w:val="auto"/>
              </w:rPr>
            </w:pPr>
            <w:hyperlink w:anchor="page103">
              <w:r>
                <w:rPr>
                  <w:rFonts w:ascii="Arial" w:cs="Arial" w:eastAsia="Arial" w:hAnsi="Arial"/>
                  <w:sz w:val="13"/>
                  <w:szCs w:val="13"/>
                  <w:b w:val="1"/>
                  <w:bCs w:val="1"/>
                  <w:color w:val="auto"/>
                </w:rPr>
                <w:t>102</w:t>
              </w:r>
            </w:hyperlink>
          </w:p>
        </w:tc>
        <w:tc>
          <w:tcPr>
            <w:tcW w:w="0" w:type="dxa"/>
            <w:vAlign w:val="bottom"/>
          </w:tcPr>
          <w:p>
            <w:pPr>
              <w:spacing w:after="0"/>
              <w:rPr>
                <w:sz w:val="1"/>
                <w:szCs w:val="1"/>
                <w:color w:val="auto"/>
              </w:rPr>
            </w:pPr>
          </w:p>
        </w:tc>
      </w:tr>
      <w:tr>
        <w:trPr>
          <w:trHeight w:val="158"/>
        </w:trPr>
        <w:tc>
          <w:tcPr>
            <w:tcW w:w="5120" w:type="dxa"/>
            <w:vAlign w:val="bottom"/>
            <w:vMerge w:val="restart"/>
          </w:tcPr>
          <w:p>
            <w:pPr>
              <w:ind w:left="1980"/>
              <w:spacing w:after="0"/>
              <w:rPr>
                <w:rFonts w:ascii="Arial" w:cs="Arial" w:eastAsia="Arial" w:hAnsi="Arial"/>
                <w:sz w:val="11"/>
                <w:szCs w:val="11"/>
                <w:color w:val="auto"/>
              </w:rPr>
            </w:pPr>
            <w:hyperlink w:anchor="page45">
              <w:r>
                <w:rPr>
                  <w:rFonts w:ascii="Arial" w:cs="Arial" w:eastAsia="Arial" w:hAnsi="Arial"/>
                  <w:sz w:val="11"/>
                  <w:szCs w:val="11"/>
                  <w:color w:val="auto"/>
                </w:rPr>
                <w:t>Communications with the Board</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45">
              <w:r>
                <w:rPr>
                  <w:rFonts w:ascii="Arial" w:cs="Arial" w:eastAsia="Arial" w:hAnsi="Arial"/>
                  <w:sz w:val="11"/>
                  <w:szCs w:val="11"/>
                  <w:color w:val="auto"/>
                </w:rPr>
                <w:t>39</w:t>
              </w:r>
            </w:hyperlink>
          </w:p>
        </w:tc>
        <w:tc>
          <w:tcPr>
            <w:tcW w:w="326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51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260" w:type="dxa"/>
            <w:vAlign w:val="bottom"/>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120" w:type="dxa"/>
            <w:vAlign w:val="bottom"/>
            <w:vMerge w:val="restart"/>
          </w:tcPr>
          <w:p>
            <w:pPr>
              <w:ind w:left="1980"/>
              <w:spacing w:after="0"/>
              <w:rPr>
                <w:rFonts w:ascii="Arial" w:cs="Arial" w:eastAsia="Arial" w:hAnsi="Arial"/>
                <w:sz w:val="11"/>
                <w:szCs w:val="11"/>
                <w:color w:val="auto"/>
              </w:rPr>
            </w:pPr>
            <w:hyperlink w:anchor="page45">
              <w:r>
                <w:rPr>
                  <w:rFonts w:ascii="Arial" w:cs="Arial" w:eastAsia="Arial" w:hAnsi="Arial"/>
                  <w:sz w:val="11"/>
                  <w:szCs w:val="11"/>
                  <w:color w:val="auto"/>
                </w:rPr>
                <w:t>Majority Voting in the Election of Directors</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45">
              <w:r>
                <w:rPr>
                  <w:rFonts w:ascii="Arial" w:cs="Arial" w:eastAsia="Arial" w:hAnsi="Arial"/>
                  <w:sz w:val="11"/>
                  <w:szCs w:val="11"/>
                  <w:color w:val="auto"/>
                </w:rPr>
                <w:t>39</w:t>
              </w:r>
            </w:hyperlink>
          </w:p>
        </w:tc>
        <w:tc>
          <w:tcPr>
            <w:tcW w:w="3260" w:type="dxa"/>
            <w:vAlign w:val="bottom"/>
          </w:tcPr>
          <w:p>
            <w:pPr>
              <w:ind w:left="160"/>
              <w:spacing w:after="0"/>
              <w:rPr>
                <w:rFonts w:ascii="Arial" w:cs="Arial" w:eastAsia="Arial" w:hAnsi="Arial"/>
                <w:sz w:val="11"/>
                <w:szCs w:val="11"/>
                <w:color w:val="auto"/>
              </w:rPr>
            </w:pPr>
            <w:hyperlink w:anchor="page103">
              <w:r>
                <w:rPr>
                  <w:rFonts w:ascii="Arial" w:cs="Arial" w:eastAsia="Arial" w:hAnsi="Arial"/>
                  <w:sz w:val="11"/>
                  <w:szCs w:val="11"/>
                  <w:color w:val="auto"/>
                </w:rPr>
                <w:t>Directors and Executive Officers</w:t>
              </w:r>
            </w:hyperlink>
          </w:p>
        </w:tc>
        <w:tc>
          <w:tcPr>
            <w:tcW w:w="2400" w:type="dxa"/>
            <w:vAlign w:val="bottom"/>
          </w:tcPr>
          <w:p>
            <w:pPr>
              <w:jc w:val="right"/>
              <w:ind w:right="1923"/>
              <w:spacing w:after="0"/>
              <w:rPr>
                <w:rFonts w:ascii="Arial" w:cs="Arial" w:eastAsia="Arial" w:hAnsi="Arial"/>
                <w:sz w:val="11"/>
                <w:szCs w:val="11"/>
                <w:color w:val="auto"/>
              </w:rPr>
            </w:pPr>
            <w:hyperlink w:anchor="page103">
              <w:r>
                <w:rPr>
                  <w:rFonts w:ascii="Arial" w:cs="Arial" w:eastAsia="Arial" w:hAnsi="Arial"/>
                  <w:sz w:val="11"/>
                  <w:szCs w:val="11"/>
                  <w:color w:val="auto"/>
                </w:rPr>
                <w:t>102</w:t>
              </w:r>
            </w:hyperlink>
          </w:p>
        </w:tc>
        <w:tc>
          <w:tcPr>
            <w:tcW w:w="0" w:type="dxa"/>
            <w:vAlign w:val="bottom"/>
          </w:tcPr>
          <w:p>
            <w:pPr>
              <w:spacing w:after="0"/>
              <w:rPr>
                <w:sz w:val="1"/>
                <w:szCs w:val="1"/>
                <w:color w:val="auto"/>
              </w:rPr>
            </w:pPr>
          </w:p>
        </w:tc>
      </w:tr>
      <w:tr>
        <w:trPr>
          <w:trHeight w:val="54"/>
        </w:trPr>
        <w:tc>
          <w:tcPr>
            <w:tcW w:w="51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2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120" w:type="dxa"/>
            <w:vAlign w:val="bottom"/>
            <w:vMerge w:val="restart"/>
          </w:tcPr>
          <w:p>
            <w:pPr>
              <w:ind w:left="1980"/>
              <w:spacing w:after="0"/>
              <w:rPr>
                <w:rFonts w:ascii="Arial" w:cs="Arial" w:eastAsia="Arial" w:hAnsi="Arial"/>
                <w:sz w:val="11"/>
                <w:szCs w:val="11"/>
                <w:color w:val="auto"/>
              </w:rPr>
            </w:pPr>
            <w:hyperlink w:anchor="page45">
              <w:r>
                <w:rPr>
                  <w:rFonts w:ascii="Arial" w:cs="Arial" w:eastAsia="Arial" w:hAnsi="Arial"/>
                  <w:sz w:val="11"/>
                  <w:szCs w:val="11"/>
                  <w:color w:val="auto"/>
                </w:rPr>
                <w:t>Proxy Access</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45">
              <w:r>
                <w:rPr>
                  <w:rFonts w:ascii="Arial" w:cs="Arial" w:eastAsia="Arial" w:hAnsi="Arial"/>
                  <w:sz w:val="11"/>
                  <w:szCs w:val="11"/>
                  <w:color w:val="auto"/>
                </w:rPr>
                <w:t>39</w:t>
              </w:r>
            </w:hyperlink>
          </w:p>
        </w:tc>
        <w:tc>
          <w:tcPr>
            <w:tcW w:w="3260" w:type="dxa"/>
            <w:vAlign w:val="bottom"/>
          </w:tcPr>
          <w:p>
            <w:pPr>
              <w:ind w:left="160"/>
              <w:spacing w:after="0"/>
              <w:rPr>
                <w:rFonts w:ascii="Arial" w:cs="Arial" w:eastAsia="Arial" w:hAnsi="Arial"/>
                <w:sz w:val="11"/>
                <w:szCs w:val="11"/>
                <w:color w:val="auto"/>
              </w:rPr>
            </w:pPr>
            <w:hyperlink w:anchor="page104">
              <w:r>
                <w:rPr>
                  <w:rFonts w:ascii="Arial" w:cs="Arial" w:eastAsia="Arial" w:hAnsi="Arial"/>
                  <w:sz w:val="11"/>
                  <w:szCs w:val="11"/>
                  <w:color w:val="auto"/>
                </w:rPr>
                <w:t>Principal Shareholders</w:t>
              </w:r>
            </w:hyperlink>
          </w:p>
        </w:tc>
        <w:tc>
          <w:tcPr>
            <w:tcW w:w="2400" w:type="dxa"/>
            <w:vAlign w:val="bottom"/>
          </w:tcPr>
          <w:p>
            <w:pPr>
              <w:jc w:val="right"/>
              <w:ind w:right="1923"/>
              <w:spacing w:after="0"/>
              <w:rPr>
                <w:rFonts w:ascii="Arial" w:cs="Arial" w:eastAsia="Arial" w:hAnsi="Arial"/>
                <w:sz w:val="11"/>
                <w:szCs w:val="11"/>
                <w:color w:val="auto"/>
              </w:rPr>
            </w:pPr>
            <w:hyperlink w:anchor="page104">
              <w:r>
                <w:rPr>
                  <w:rFonts w:ascii="Arial" w:cs="Arial" w:eastAsia="Arial" w:hAnsi="Arial"/>
                  <w:sz w:val="11"/>
                  <w:szCs w:val="11"/>
                  <w:color w:val="auto"/>
                </w:rPr>
                <w:t>103</w:t>
              </w:r>
            </w:hyperlink>
          </w:p>
        </w:tc>
        <w:tc>
          <w:tcPr>
            <w:tcW w:w="0" w:type="dxa"/>
            <w:vAlign w:val="bottom"/>
          </w:tcPr>
          <w:p>
            <w:pPr>
              <w:spacing w:after="0"/>
              <w:rPr>
                <w:sz w:val="1"/>
                <w:szCs w:val="1"/>
                <w:color w:val="auto"/>
              </w:rPr>
            </w:pPr>
          </w:p>
        </w:tc>
      </w:tr>
      <w:tr>
        <w:trPr>
          <w:trHeight w:val="54"/>
        </w:trPr>
        <w:tc>
          <w:tcPr>
            <w:tcW w:w="51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2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120" w:type="dxa"/>
            <w:vAlign w:val="bottom"/>
            <w:vMerge w:val="restart"/>
          </w:tcPr>
          <w:p>
            <w:pPr>
              <w:ind w:left="1980"/>
              <w:spacing w:after="0"/>
              <w:rPr>
                <w:rFonts w:ascii="Arial" w:cs="Arial" w:eastAsia="Arial" w:hAnsi="Arial"/>
                <w:sz w:val="13"/>
                <w:szCs w:val="13"/>
                <w:b w:val="1"/>
                <w:bCs w:val="1"/>
                <w:color w:val="auto"/>
              </w:rPr>
            </w:pPr>
            <w:hyperlink w:anchor="page46">
              <w:r>
                <w:rPr>
                  <w:rFonts w:ascii="Arial" w:cs="Arial" w:eastAsia="Arial" w:hAnsi="Arial"/>
                  <w:sz w:val="13"/>
                  <w:szCs w:val="13"/>
                  <w:b w:val="1"/>
                  <w:bCs w:val="1"/>
                  <w:color w:val="auto"/>
                </w:rPr>
                <w:t>BOARD OF DIRECTORS</w:t>
              </w:r>
            </w:hyperlink>
          </w:p>
        </w:tc>
        <w:tc>
          <w:tcPr>
            <w:tcW w:w="520" w:type="dxa"/>
            <w:vAlign w:val="bottom"/>
            <w:vMerge w:val="restart"/>
          </w:tcPr>
          <w:p>
            <w:pPr>
              <w:jc w:val="right"/>
              <w:ind w:right="82"/>
              <w:spacing w:after="0"/>
              <w:rPr>
                <w:rFonts w:ascii="Arial" w:cs="Arial" w:eastAsia="Arial" w:hAnsi="Arial"/>
                <w:sz w:val="13"/>
                <w:szCs w:val="13"/>
                <w:b w:val="1"/>
                <w:bCs w:val="1"/>
                <w:color w:val="auto"/>
              </w:rPr>
            </w:pPr>
            <w:hyperlink w:anchor="page46">
              <w:r>
                <w:rPr>
                  <w:rFonts w:ascii="Arial" w:cs="Arial" w:eastAsia="Arial" w:hAnsi="Arial"/>
                  <w:sz w:val="13"/>
                  <w:szCs w:val="13"/>
                  <w:b w:val="1"/>
                  <w:bCs w:val="1"/>
                  <w:color w:val="auto"/>
                </w:rPr>
                <w:t>40</w:t>
              </w:r>
            </w:hyperlink>
          </w:p>
        </w:tc>
        <w:tc>
          <w:tcPr>
            <w:tcW w:w="3260" w:type="dxa"/>
            <w:vAlign w:val="bottom"/>
          </w:tcPr>
          <w:p>
            <w:pPr>
              <w:ind w:left="160"/>
              <w:spacing w:after="0"/>
              <w:rPr>
                <w:rFonts w:ascii="Arial" w:cs="Arial" w:eastAsia="Arial" w:hAnsi="Arial"/>
                <w:sz w:val="13"/>
                <w:szCs w:val="13"/>
                <w:b w:val="1"/>
                <w:bCs w:val="1"/>
                <w:color w:val="auto"/>
              </w:rPr>
            </w:pPr>
            <w:hyperlink w:anchor="page105">
              <w:r>
                <w:rPr>
                  <w:rFonts w:ascii="Arial" w:cs="Arial" w:eastAsia="Arial" w:hAnsi="Arial"/>
                  <w:sz w:val="13"/>
                  <w:szCs w:val="13"/>
                  <w:b w:val="1"/>
                  <w:bCs w:val="1"/>
                  <w:color w:val="auto"/>
                </w:rPr>
                <w:t>DEADLINES AND PROCEDURES FOR</w:t>
              </w:r>
            </w:hyperlink>
          </w:p>
        </w:tc>
        <w:tc>
          <w:tcPr>
            <w:tcW w:w="2400" w:type="dxa"/>
            <w:vAlign w:val="bottom"/>
          </w:tcPr>
          <w:p>
            <w:pPr>
              <w:jc w:val="right"/>
              <w:ind w:right="1923"/>
              <w:spacing w:after="0"/>
              <w:rPr>
                <w:rFonts w:ascii="Arial" w:cs="Arial" w:eastAsia="Arial" w:hAnsi="Arial"/>
                <w:sz w:val="13"/>
                <w:szCs w:val="13"/>
                <w:b w:val="1"/>
                <w:bCs w:val="1"/>
                <w:color w:val="auto"/>
              </w:rPr>
            </w:pPr>
            <w:hyperlink w:anchor="page105">
              <w:r>
                <w:rPr>
                  <w:rFonts w:ascii="Arial" w:cs="Arial" w:eastAsia="Arial" w:hAnsi="Arial"/>
                  <w:sz w:val="13"/>
                  <w:szCs w:val="13"/>
                  <w:b w:val="1"/>
                  <w:bCs w:val="1"/>
                  <w:color w:val="auto"/>
                </w:rPr>
                <w:t>104</w:t>
              </w:r>
            </w:hyperlink>
          </w:p>
        </w:tc>
        <w:tc>
          <w:tcPr>
            <w:tcW w:w="0" w:type="dxa"/>
            <w:vAlign w:val="bottom"/>
          </w:tcPr>
          <w:p>
            <w:pPr>
              <w:spacing w:after="0"/>
              <w:rPr>
                <w:sz w:val="1"/>
                <w:szCs w:val="1"/>
                <w:color w:val="auto"/>
              </w:rPr>
            </w:pPr>
          </w:p>
        </w:tc>
      </w:tr>
      <w:tr>
        <w:trPr>
          <w:trHeight w:val="89"/>
        </w:trPr>
        <w:tc>
          <w:tcPr>
            <w:tcW w:w="51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60" w:type="dxa"/>
            <w:vAlign w:val="bottom"/>
            <w:vMerge w:val="restart"/>
          </w:tcPr>
          <w:p>
            <w:pPr>
              <w:ind w:left="160"/>
              <w:spacing w:after="0" w:line="144" w:lineRule="exact"/>
              <w:rPr>
                <w:rFonts w:ascii="Arial" w:cs="Arial" w:eastAsia="Arial" w:hAnsi="Arial"/>
                <w:sz w:val="13"/>
                <w:szCs w:val="13"/>
                <w:b w:val="1"/>
                <w:bCs w:val="1"/>
                <w:color w:val="auto"/>
              </w:rPr>
            </w:pPr>
            <w:hyperlink w:anchor="page105">
              <w:r>
                <w:rPr>
                  <w:rFonts w:ascii="Arial" w:cs="Arial" w:eastAsia="Arial" w:hAnsi="Arial"/>
                  <w:sz w:val="13"/>
                  <w:szCs w:val="13"/>
                  <w:b w:val="1"/>
                  <w:bCs w:val="1"/>
                  <w:color w:val="auto"/>
                </w:rPr>
                <w:t>NOMINATIONS AND SHAREHOLDER</w:t>
              </w:r>
            </w:hyperlink>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5120" w:type="dxa"/>
            <w:vAlign w:val="bottom"/>
            <w:vMerge w:val="restart"/>
          </w:tcPr>
          <w:p>
            <w:pPr>
              <w:ind w:left="1980"/>
              <w:spacing w:after="0"/>
              <w:rPr>
                <w:rFonts w:ascii="Arial" w:cs="Arial" w:eastAsia="Arial" w:hAnsi="Arial"/>
                <w:sz w:val="11"/>
                <w:szCs w:val="11"/>
                <w:color w:val="auto"/>
              </w:rPr>
            </w:pPr>
            <w:hyperlink w:anchor="page47">
              <w:r>
                <w:rPr>
                  <w:rFonts w:ascii="Arial" w:cs="Arial" w:eastAsia="Arial" w:hAnsi="Arial"/>
                  <w:sz w:val="11"/>
                  <w:szCs w:val="11"/>
                  <w:color w:val="auto"/>
                </w:rPr>
                <w:t>Committees</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47">
              <w:r>
                <w:rPr>
                  <w:rFonts w:ascii="Arial" w:cs="Arial" w:eastAsia="Arial" w:hAnsi="Arial"/>
                  <w:sz w:val="11"/>
                  <w:szCs w:val="11"/>
                  <w:color w:val="auto"/>
                </w:rPr>
                <w:t>41</w:t>
              </w:r>
            </w:hyperlink>
          </w:p>
        </w:tc>
        <w:tc>
          <w:tcPr>
            <w:tcW w:w="3260" w:type="dxa"/>
            <w:vAlign w:val="bottom"/>
            <w:vMerge w:val="continue"/>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51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3260" w:type="dxa"/>
            <w:vAlign w:val="bottom"/>
          </w:tcPr>
          <w:p>
            <w:pPr>
              <w:ind w:left="160"/>
              <w:spacing w:after="0"/>
              <w:rPr>
                <w:rFonts w:ascii="Arial" w:cs="Arial" w:eastAsia="Arial" w:hAnsi="Arial"/>
                <w:sz w:val="13"/>
                <w:szCs w:val="13"/>
                <w:b w:val="1"/>
                <w:bCs w:val="1"/>
                <w:color w:val="auto"/>
              </w:rPr>
            </w:pPr>
            <w:hyperlink w:anchor="page105">
              <w:r>
                <w:rPr>
                  <w:rFonts w:ascii="Arial" w:cs="Arial" w:eastAsia="Arial" w:hAnsi="Arial"/>
                  <w:sz w:val="13"/>
                  <w:szCs w:val="13"/>
                  <w:b w:val="1"/>
                  <w:bCs w:val="1"/>
                  <w:color w:val="auto"/>
                </w:rPr>
                <w:t>PROPOSALS FOR THE 2023 ANNUAL MEETING</w:t>
              </w:r>
            </w:hyperlink>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980"/>
              <w:spacing w:after="0"/>
              <w:rPr>
                <w:rFonts w:ascii="Arial" w:cs="Arial" w:eastAsia="Arial" w:hAnsi="Arial"/>
                <w:sz w:val="11"/>
                <w:szCs w:val="11"/>
                <w:color w:val="auto"/>
              </w:rPr>
            </w:pPr>
            <w:hyperlink w:anchor="page49">
              <w:r>
                <w:rPr>
                  <w:rFonts w:ascii="Arial" w:cs="Arial" w:eastAsia="Arial" w:hAnsi="Arial"/>
                  <w:sz w:val="11"/>
                  <w:szCs w:val="11"/>
                  <w:color w:val="auto"/>
                </w:rPr>
                <w:t>Director Compensation</w:t>
              </w:r>
            </w:hyperlink>
          </w:p>
        </w:tc>
        <w:tc>
          <w:tcPr>
            <w:tcW w:w="520" w:type="dxa"/>
            <w:vAlign w:val="bottom"/>
          </w:tcPr>
          <w:p>
            <w:pPr>
              <w:jc w:val="right"/>
              <w:ind w:right="82"/>
              <w:spacing w:after="0"/>
              <w:rPr>
                <w:rFonts w:ascii="Arial" w:cs="Arial" w:eastAsia="Arial" w:hAnsi="Arial"/>
                <w:sz w:val="11"/>
                <w:szCs w:val="11"/>
                <w:color w:val="auto"/>
              </w:rPr>
            </w:pPr>
            <w:hyperlink w:anchor="page49">
              <w:r>
                <w:rPr>
                  <w:rFonts w:ascii="Arial" w:cs="Arial" w:eastAsia="Arial" w:hAnsi="Arial"/>
                  <w:sz w:val="11"/>
                  <w:szCs w:val="11"/>
                  <w:color w:val="auto"/>
                </w:rPr>
                <w:t>43</w:t>
              </w:r>
            </w:hyperlink>
          </w:p>
        </w:tc>
        <w:tc>
          <w:tcPr>
            <w:tcW w:w="3260" w:type="dxa"/>
            <w:vAlign w:val="bottom"/>
            <w:vMerge w:val="restart"/>
          </w:tcPr>
          <w:p>
            <w:pPr>
              <w:ind w:left="160"/>
              <w:spacing w:after="0"/>
              <w:rPr>
                <w:rFonts w:ascii="Arial" w:cs="Arial" w:eastAsia="Arial" w:hAnsi="Arial"/>
                <w:sz w:val="13"/>
                <w:szCs w:val="13"/>
                <w:b w:val="1"/>
                <w:bCs w:val="1"/>
                <w:color w:val="auto"/>
              </w:rPr>
            </w:pPr>
            <w:hyperlink w:anchor="page106">
              <w:r>
                <w:rPr>
                  <w:rFonts w:ascii="Arial" w:cs="Arial" w:eastAsia="Arial" w:hAnsi="Arial"/>
                  <w:sz w:val="13"/>
                  <w:szCs w:val="13"/>
                  <w:b w:val="1"/>
                  <w:bCs w:val="1"/>
                  <w:color w:val="auto"/>
                </w:rPr>
                <w:t>FREQUENTLY ASKED QUESTIONS</w:t>
              </w:r>
            </w:hyperlink>
          </w:p>
        </w:tc>
        <w:tc>
          <w:tcPr>
            <w:tcW w:w="2400" w:type="dxa"/>
            <w:vAlign w:val="bottom"/>
            <w:vMerge w:val="restart"/>
          </w:tcPr>
          <w:p>
            <w:pPr>
              <w:jc w:val="right"/>
              <w:ind w:right="1923"/>
              <w:spacing w:after="0"/>
              <w:rPr>
                <w:rFonts w:ascii="Arial" w:cs="Arial" w:eastAsia="Arial" w:hAnsi="Arial"/>
                <w:sz w:val="13"/>
                <w:szCs w:val="13"/>
                <w:b w:val="1"/>
                <w:bCs w:val="1"/>
                <w:color w:val="auto"/>
              </w:rPr>
            </w:pPr>
            <w:hyperlink w:anchor="page106">
              <w:r>
                <w:rPr>
                  <w:rFonts w:ascii="Arial" w:cs="Arial" w:eastAsia="Arial" w:hAnsi="Arial"/>
                  <w:sz w:val="13"/>
                  <w:szCs w:val="13"/>
                  <w:b w:val="1"/>
                  <w:bCs w:val="1"/>
                  <w:color w:val="auto"/>
                </w:rPr>
                <w:t>105</w:t>
              </w:r>
            </w:hyperlink>
          </w:p>
        </w:tc>
        <w:tc>
          <w:tcPr>
            <w:tcW w:w="0" w:type="dxa"/>
            <w:vAlign w:val="bottom"/>
          </w:tcPr>
          <w:p>
            <w:pPr>
              <w:spacing w:after="0"/>
              <w:rPr>
                <w:sz w:val="1"/>
                <w:szCs w:val="1"/>
                <w:color w:val="auto"/>
              </w:rPr>
            </w:pPr>
          </w:p>
        </w:tc>
      </w:tr>
      <w:tr>
        <w:trPr>
          <w:trHeight w:val="122"/>
        </w:trPr>
        <w:tc>
          <w:tcPr>
            <w:tcW w:w="5120" w:type="dxa"/>
            <w:vAlign w:val="bottom"/>
            <w:vMerge w:val="restart"/>
          </w:tcPr>
          <w:p>
            <w:pPr>
              <w:ind w:left="1980"/>
              <w:spacing w:after="0"/>
              <w:rPr>
                <w:rFonts w:ascii="Arial" w:cs="Arial" w:eastAsia="Arial" w:hAnsi="Arial"/>
                <w:sz w:val="11"/>
                <w:szCs w:val="11"/>
                <w:color w:val="auto"/>
              </w:rPr>
            </w:pPr>
            <w:hyperlink w:anchor="page53">
              <w:r>
                <w:rPr>
                  <w:rFonts w:ascii="Arial" w:cs="Arial" w:eastAsia="Arial" w:hAnsi="Arial"/>
                  <w:sz w:val="11"/>
                  <w:szCs w:val="11"/>
                  <w:color w:val="auto"/>
                </w:rPr>
                <w:t>Directors and Officers Indemnification and Insurance</w:t>
              </w:r>
            </w:hyperlink>
          </w:p>
        </w:tc>
        <w:tc>
          <w:tcPr>
            <w:tcW w:w="520" w:type="dxa"/>
            <w:vAlign w:val="bottom"/>
            <w:vMerge w:val="restart"/>
          </w:tcPr>
          <w:p>
            <w:pPr>
              <w:jc w:val="right"/>
              <w:ind w:right="82"/>
              <w:spacing w:after="0"/>
              <w:rPr>
                <w:rFonts w:ascii="Arial" w:cs="Arial" w:eastAsia="Arial" w:hAnsi="Arial"/>
                <w:sz w:val="11"/>
                <w:szCs w:val="11"/>
                <w:color w:val="auto"/>
              </w:rPr>
            </w:pPr>
            <w:hyperlink w:anchor="page53">
              <w:r>
                <w:rPr>
                  <w:rFonts w:ascii="Arial" w:cs="Arial" w:eastAsia="Arial" w:hAnsi="Arial"/>
                  <w:sz w:val="11"/>
                  <w:szCs w:val="11"/>
                  <w:color w:val="auto"/>
                </w:rPr>
                <w:t>47</w:t>
              </w:r>
            </w:hyperlink>
          </w:p>
        </w:tc>
        <w:tc>
          <w:tcPr>
            <w:tcW w:w="326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51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120" w:type="dxa"/>
            <w:vAlign w:val="bottom"/>
            <w:vMerge w:val="restart"/>
          </w:tcPr>
          <w:p>
            <w:pPr>
              <w:ind w:left="1980"/>
              <w:spacing w:after="0"/>
              <w:rPr>
                <w:rFonts w:ascii="Arial" w:cs="Arial" w:eastAsia="Arial" w:hAnsi="Arial"/>
                <w:sz w:val="13"/>
                <w:szCs w:val="13"/>
                <w:b w:val="1"/>
                <w:bCs w:val="1"/>
                <w:color w:val="E31F26"/>
              </w:rPr>
            </w:pPr>
            <w:hyperlink w:anchor="page55">
              <w:r>
                <w:rPr>
                  <w:rFonts w:ascii="Arial" w:cs="Arial" w:eastAsia="Arial" w:hAnsi="Arial"/>
                  <w:sz w:val="13"/>
                  <w:szCs w:val="13"/>
                  <w:b w:val="1"/>
                  <w:bCs w:val="1"/>
                  <w:color w:val="E31F26"/>
                </w:rPr>
                <w:t>PROPOSAL 2: ADVISORY VOTE TO APPROVE</w:t>
              </w:r>
            </w:hyperlink>
          </w:p>
        </w:tc>
        <w:tc>
          <w:tcPr>
            <w:tcW w:w="520" w:type="dxa"/>
            <w:vAlign w:val="bottom"/>
          </w:tcPr>
          <w:p>
            <w:pPr>
              <w:spacing w:after="0"/>
              <w:rPr>
                <w:sz w:val="16"/>
                <w:szCs w:val="16"/>
                <w:color w:val="auto"/>
              </w:rPr>
            </w:pPr>
          </w:p>
        </w:tc>
        <w:tc>
          <w:tcPr>
            <w:tcW w:w="3260" w:type="dxa"/>
            <w:vAlign w:val="bottom"/>
          </w:tcPr>
          <w:p>
            <w:pPr>
              <w:ind w:left="160"/>
              <w:spacing w:after="0"/>
              <w:rPr>
                <w:rFonts w:ascii="Arial" w:cs="Arial" w:eastAsia="Arial" w:hAnsi="Arial"/>
                <w:sz w:val="13"/>
                <w:szCs w:val="13"/>
                <w:b w:val="1"/>
                <w:bCs w:val="1"/>
                <w:color w:val="auto"/>
              </w:rPr>
            </w:pPr>
            <w:hyperlink w:anchor="page108">
              <w:r>
                <w:rPr>
                  <w:rFonts w:ascii="Arial" w:cs="Arial" w:eastAsia="Arial" w:hAnsi="Arial"/>
                  <w:sz w:val="13"/>
                  <w:szCs w:val="13"/>
                  <w:b w:val="1"/>
                  <w:bCs w:val="1"/>
                  <w:color w:val="auto"/>
                </w:rPr>
                <w:t>HELPFUL RESOURCES</w:t>
              </w:r>
            </w:hyperlink>
          </w:p>
        </w:tc>
        <w:tc>
          <w:tcPr>
            <w:tcW w:w="2400" w:type="dxa"/>
            <w:vAlign w:val="bottom"/>
          </w:tcPr>
          <w:p>
            <w:pPr>
              <w:jc w:val="right"/>
              <w:ind w:right="1923"/>
              <w:spacing w:after="0"/>
              <w:rPr>
                <w:rFonts w:ascii="Arial" w:cs="Arial" w:eastAsia="Arial" w:hAnsi="Arial"/>
                <w:sz w:val="13"/>
                <w:szCs w:val="13"/>
                <w:b w:val="1"/>
                <w:bCs w:val="1"/>
                <w:color w:val="auto"/>
              </w:rPr>
            </w:pPr>
            <w:hyperlink w:anchor="page108">
              <w:r>
                <w:rPr>
                  <w:rFonts w:ascii="Arial" w:cs="Arial" w:eastAsia="Arial" w:hAnsi="Arial"/>
                  <w:sz w:val="13"/>
                  <w:szCs w:val="13"/>
                  <w:b w:val="1"/>
                  <w:bCs w:val="1"/>
                  <w:color w:val="auto"/>
                </w:rPr>
                <w:t>107</w:t>
              </w:r>
            </w:hyperlink>
          </w:p>
        </w:tc>
        <w:tc>
          <w:tcPr>
            <w:tcW w:w="0" w:type="dxa"/>
            <w:vAlign w:val="bottom"/>
          </w:tcPr>
          <w:p>
            <w:pPr>
              <w:spacing w:after="0"/>
              <w:rPr>
                <w:sz w:val="1"/>
                <w:szCs w:val="1"/>
                <w:color w:val="auto"/>
              </w:rPr>
            </w:pPr>
          </w:p>
        </w:tc>
      </w:tr>
      <w:tr>
        <w:trPr>
          <w:trHeight w:val="55"/>
        </w:trPr>
        <w:tc>
          <w:tcPr>
            <w:tcW w:w="51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5120" w:type="dxa"/>
            <w:vAlign w:val="bottom"/>
          </w:tcPr>
          <w:p>
            <w:pPr>
              <w:ind w:left="1980"/>
              <w:spacing w:after="0"/>
              <w:rPr>
                <w:rFonts w:ascii="Arial" w:cs="Arial" w:eastAsia="Arial" w:hAnsi="Arial"/>
                <w:sz w:val="13"/>
                <w:szCs w:val="13"/>
                <w:b w:val="1"/>
                <w:bCs w:val="1"/>
                <w:color w:val="E31F26"/>
              </w:rPr>
            </w:pPr>
            <w:hyperlink w:anchor="page55">
              <w:r>
                <w:rPr>
                  <w:rFonts w:ascii="Arial" w:cs="Arial" w:eastAsia="Arial" w:hAnsi="Arial"/>
                  <w:sz w:val="13"/>
                  <w:szCs w:val="13"/>
                  <w:b w:val="1"/>
                  <w:bCs w:val="1"/>
                  <w:color w:val="E31F26"/>
                </w:rPr>
                <w:t>NEO COMPENSATION</w:t>
              </w:r>
            </w:hyperlink>
          </w:p>
        </w:tc>
        <w:tc>
          <w:tcPr>
            <w:tcW w:w="520" w:type="dxa"/>
            <w:vAlign w:val="bottom"/>
          </w:tcPr>
          <w:p>
            <w:pPr>
              <w:jc w:val="right"/>
              <w:ind w:right="82"/>
              <w:spacing w:after="0"/>
              <w:rPr>
                <w:rFonts w:ascii="Arial" w:cs="Arial" w:eastAsia="Arial" w:hAnsi="Arial"/>
                <w:sz w:val="13"/>
                <w:szCs w:val="13"/>
                <w:b w:val="1"/>
                <w:bCs w:val="1"/>
                <w:color w:val="E31F26"/>
              </w:rPr>
            </w:pPr>
            <w:hyperlink w:anchor="page55">
              <w:r>
                <w:rPr>
                  <w:rFonts w:ascii="Arial" w:cs="Arial" w:eastAsia="Arial" w:hAnsi="Arial"/>
                  <w:sz w:val="13"/>
                  <w:szCs w:val="13"/>
                  <w:b w:val="1"/>
                  <w:bCs w:val="1"/>
                  <w:color w:val="E31F26"/>
                </w:rPr>
                <w:t>49</w:t>
              </w:r>
            </w:hyperlink>
          </w:p>
        </w:tc>
        <w:tc>
          <w:tcPr>
            <w:tcW w:w="32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2"/>
        </w:trPr>
        <w:tc>
          <w:tcPr>
            <w:tcW w:w="5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tcPr>
          <w:p>
            <w:pPr>
              <w:ind w:left="180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400" w:type="dxa"/>
            <w:vAlign w:val="bottom"/>
          </w:tcPr>
          <w:p>
            <w:pPr>
              <w:jc w:val="right"/>
              <w:ind w:right="2263"/>
              <w:spacing w:after="0"/>
              <w:rPr>
                <w:sz w:val="20"/>
                <w:szCs w:val="20"/>
                <w:color w:val="auto"/>
              </w:rPr>
            </w:pPr>
            <w:r>
              <w:rPr>
                <w:rFonts w:ascii="Arial" w:cs="Arial" w:eastAsia="Arial" w:hAnsi="Arial"/>
                <w:sz w:val="11"/>
                <w:szCs w:val="11"/>
                <w:b w:val="1"/>
                <w:bCs w:val="1"/>
                <w:color w:val="FFFFFF"/>
              </w:rPr>
              <w:t>i</w:t>
            </w:r>
          </w:p>
        </w:tc>
        <w:tc>
          <w:tcPr>
            <w:tcW w:w="0" w:type="dxa"/>
            <w:vAlign w:val="bottom"/>
          </w:tcPr>
          <w:p>
            <w:pPr>
              <w:spacing w:after="0"/>
              <w:rPr>
                <w:sz w:val="1"/>
                <w:szCs w:val="1"/>
                <w:color w:val="auto"/>
              </w:rPr>
            </w:pPr>
          </w:p>
        </w:tc>
      </w:tr>
      <w:tr>
        <w:trPr>
          <w:trHeight w:val="174"/>
        </w:trPr>
        <w:tc>
          <w:tcPr>
            <w:tcW w:w="5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-313690</wp:posOffset>
            </wp:positionV>
            <wp:extent cx="36576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1249045</wp:posOffset>
            </wp:positionV>
            <wp:extent cx="466344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63440" cy="2286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340360</wp:posOffset>
            </wp:positionV>
            <wp:extent cx="4743450"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743450" cy="80581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360" w:type="dxa"/>
            <w:vAlign w:val="bottom"/>
            <w:tcBorders>
              <w:bottom w:val="single" w:sz="8" w:color="CCCCCC"/>
            </w:tcBorders>
          </w:tcPr>
          <w:p>
            <w:pPr>
              <w:spacing w:after="0"/>
              <w:rPr>
                <w:sz w:val="20"/>
                <w:szCs w:val="20"/>
                <w:color w:val="auto"/>
              </w:rPr>
            </w:pPr>
            <w:r>
              <w:rPr>
                <w:rFonts w:ascii="Arial" w:cs="Arial" w:eastAsia="Arial" w:hAnsi="Arial"/>
                <w:sz w:val="10"/>
                <w:szCs w:val="10"/>
                <w:b w:val="1"/>
                <w:bCs w:val="1"/>
                <w:color w:val="D60011"/>
              </w:rPr>
              <w:t>1165(e) Plan</w:t>
            </w:r>
          </w:p>
        </w:tc>
        <w:tc>
          <w:tcPr>
            <w:tcW w:w="5980" w:type="dxa"/>
            <w:vAlign w:val="bottom"/>
            <w:tcBorders>
              <w:bottom w:val="single" w:sz="8" w:color="CCCCCC"/>
            </w:tcBorders>
          </w:tcPr>
          <w:p>
            <w:pPr>
              <w:ind w:left="200"/>
              <w:spacing w:after="0"/>
              <w:rPr>
                <w:sz w:val="20"/>
                <w:szCs w:val="20"/>
                <w:color w:val="auto"/>
              </w:rPr>
            </w:pPr>
            <w:r>
              <w:rPr>
                <w:rFonts w:ascii="Arial" w:cs="Arial" w:eastAsia="Arial" w:hAnsi="Arial"/>
                <w:sz w:val="10"/>
                <w:szCs w:val="10"/>
                <w:color w:val="auto"/>
              </w:rPr>
              <w:t>Foot Locker Puerto Rico 1165(e) Plan, as amended and restated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401(k) Plan</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401(k) Plan, as amended and restated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Annual Incentive Plan</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Executive Incentive Cash Compensation Plan</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Annual Meeting</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2022 Annual Meeting of Shareholders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Annual Report</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Annual Report on Form 10-K for the year ended January 29, 2022</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Board</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Board of Directors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CACM</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Consistently Applied Compensation Measure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CAP</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Compensation Advisory Partners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CCPA</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California Consumer Privacy Act</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CD&amp;A</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Compensation Discussion and Analysis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Common Stock</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Locker’s Common Stock, par value $0.01 per share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Company/Foot Locker</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Inc.</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Corporate Headquarters</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330 West 34th Street, New York, New York 10001</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DIBs</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Diversity, Inclusion, and Belonging</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DSU</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Deferred Stock Unit (an accounting equivalent of one share of Common Stock)</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DTC</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Direct-to-Customer</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EDT</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Eastern Daylight Time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ERG</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Employee Resource Group</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ERISA</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Employee Retirement Income Security Act of 1974, as amended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ESG</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Environmental, Social, and Governance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ESPP</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2013 Foot Locker Employees Stock Purchase Plan</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Excess Cash Plan</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Excess Cash Balance Plan</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Excess Savings Plan</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Excess Savings Plan</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Exchange Act</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Securities Exchange Act of 1934, as amended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FASB</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Financial Accounting Standards Board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FDRA</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Footwear Distributors and Retailers of America</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Finance Committee</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Finance and Investment Oversight Committee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GAAP</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U.S. Generally Accepted Accounting Principles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GDPR</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EU General Data Protection Regulation</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GHG</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Greenhouse Gas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Human Capital Committee</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Human Capital and Compensation Committee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IAP</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International Assignment Policy</w:t>
            </w:r>
          </w:p>
        </w:tc>
      </w:tr>
      <w:tr>
        <w:trPr>
          <w:trHeight w:val="92"/>
        </w:trPr>
        <w:tc>
          <w:tcPr>
            <w:tcW w:w="1360" w:type="dxa"/>
            <w:vAlign w:val="bottom"/>
          </w:tcPr>
          <w:p>
            <w:pPr>
              <w:spacing w:after="0" w:line="92" w:lineRule="exact"/>
              <w:rPr>
                <w:sz w:val="20"/>
                <w:szCs w:val="20"/>
                <w:color w:val="auto"/>
              </w:rPr>
            </w:pPr>
            <w:r>
              <w:rPr>
                <w:rFonts w:ascii="Arial" w:cs="Arial" w:eastAsia="Arial" w:hAnsi="Arial"/>
                <w:sz w:val="10"/>
                <w:szCs w:val="10"/>
                <w:b w:val="1"/>
                <w:bCs w:val="1"/>
                <w:color w:val="D60011"/>
              </w:rPr>
              <w:t>Interest Account</w:t>
            </w:r>
          </w:p>
        </w:tc>
        <w:tc>
          <w:tcPr>
            <w:tcW w:w="5980" w:type="dxa"/>
            <w:vAlign w:val="bottom"/>
          </w:tcPr>
          <w:p>
            <w:pPr>
              <w:ind w:left="200"/>
              <w:spacing w:after="0" w:line="92" w:lineRule="exact"/>
              <w:rPr>
                <w:sz w:val="20"/>
                <w:szCs w:val="20"/>
                <w:color w:val="auto"/>
              </w:rPr>
            </w:pPr>
            <w:r>
              <w:rPr>
                <w:rFonts w:ascii="Arial" w:cs="Arial" w:eastAsia="Arial" w:hAnsi="Arial"/>
                <w:sz w:val="10"/>
                <w:szCs w:val="10"/>
                <w:color w:val="auto"/>
                <w:w w:val="97"/>
              </w:rPr>
              <w:t>a hypothetical investment account bearing interest at the rate of 120% of the applicable federal long-term rate, compounded annually,</w:t>
            </w:r>
          </w:p>
        </w:tc>
      </w:tr>
      <w:tr>
        <w:trPr>
          <w:trHeight w:val="113"/>
        </w:trPr>
        <w:tc>
          <w:tcPr>
            <w:tcW w:w="1360" w:type="dxa"/>
            <w:vAlign w:val="bottom"/>
            <w:tcBorders>
              <w:bottom w:val="single" w:sz="8" w:color="CCCCCC"/>
            </w:tcBorders>
          </w:tcPr>
          <w:p>
            <w:pPr>
              <w:spacing w:after="0"/>
              <w:rPr>
                <w:sz w:val="9"/>
                <w:szCs w:val="9"/>
                <w:color w:val="auto"/>
              </w:rPr>
            </w:pPr>
          </w:p>
        </w:tc>
        <w:tc>
          <w:tcPr>
            <w:tcW w:w="5980" w:type="dxa"/>
            <w:vAlign w:val="bottom"/>
            <w:tcBorders>
              <w:bottom w:val="single" w:sz="8" w:color="CCCCCC"/>
            </w:tcBorders>
          </w:tcPr>
          <w:p>
            <w:pPr>
              <w:ind w:left="200"/>
              <w:spacing w:after="0" w:line="113" w:lineRule="exact"/>
              <w:rPr>
                <w:sz w:val="20"/>
                <w:szCs w:val="20"/>
                <w:color w:val="auto"/>
              </w:rPr>
            </w:pPr>
            <w:r>
              <w:rPr>
                <w:rFonts w:ascii="Arial" w:cs="Arial" w:eastAsia="Arial" w:hAnsi="Arial"/>
                <w:sz w:val="10"/>
                <w:szCs w:val="10"/>
                <w:color w:val="auto"/>
              </w:rPr>
              <w:t>and set as of the first day of each plan year</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IRC</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Internal Revenue Code of 1986, as amended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LEED</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Leading in Education and Economic Development</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LTI</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Long-Term Incentive Program</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NACD</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National Association of Corporate Directors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NEO</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Named Executive Officer</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Notice</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Notice of Internet Availability of Proxy Materials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NPS</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Net Promoter Score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NYSE</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New York Stock Exchange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PCAOB</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Public Company Accounting Oversight Board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PSU</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Performance Stock Unit</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Record Date</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March 21, 2022</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Responsibility Committee</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Nominating and Corporate Responsibility Committee</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Retirement Plan</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Retirement Plan, as amended and restated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RILA</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Retail Industry Leaders Association</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ROIC</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Return on Invested Capital</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RSU</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Restricted Stock Unit (time-based)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SASB</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Sustainability Accounting Standards Board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SEC</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U.S. Securities and Exchange Commission</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SERP</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Supplemental Executive Retirement Plan, as amended and restated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Stock Incentive Plan</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Foot Locker 2007 Stock Incentive Plan, as amended and restated</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TCFD</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Task Force on Climate-related Financial Disclosures</w:t>
            </w:r>
          </w:p>
        </w:tc>
      </w:tr>
      <w:tr>
        <w:trPr>
          <w:trHeight w:val="97"/>
        </w:trPr>
        <w:tc>
          <w:tcPr>
            <w:tcW w:w="1360" w:type="dxa"/>
            <w:vAlign w:val="bottom"/>
            <w:tcBorders>
              <w:bottom w:val="single" w:sz="8" w:color="CCCCCC"/>
            </w:tcBorders>
          </w:tcPr>
          <w:p>
            <w:pPr>
              <w:spacing w:after="0" w:line="97" w:lineRule="exact"/>
              <w:rPr>
                <w:sz w:val="20"/>
                <w:szCs w:val="20"/>
                <w:color w:val="auto"/>
              </w:rPr>
            </w:pPr>
            <w:r>
              <w:rPr>
                <w:rFonts w:ascii="Arial" w:cs="Arial" w:eastAsia="Arial" w:hAnsi="Arial"/>
                <w:sz w:val="10"/>
                <w:szCs w:val="10"/>
                <w:b w:val="1"/>
                <w:bCs w:val="1"/>
                <w:color w:val="D60011"/>
              </w:rPr>
              <w:t>TSR</w:t>
            </w:r>
          </w:p>
        </w:tc>
        <w:tc>
          <w:tcPr>
            <w:tcW w:w="5980" w:type="dxa"/>
            <w:vAlign w:val="bottom"/>
            <w:tcBorders>
              <w:bottom w:val="single" w:sz="8" w:color="CCCCCC"/>
            </w:tcBorders>
          </w:tcPr>
          <w:p>
            <w:pPr>
              <w:ind w:left="200"/>
              <w:spacing w:after="0" w:line="97" w:lineRule="exact"/>
              <w:rPr>
                <w:sz w:val="20"/>
                <w:szCs w:val="20"/>
                <w:color w:val="auto"/>
              </w:rPr>
            </w:pPr>
            <w:r>
              <w:rPr>
                <w:rFonts w:ascii="Arial" w:cs="Arial" w:eastAsia="Arial" w:hAnsi="Arial"/>
                <w:sz w:val="10"/>
                <w:szCs w:val="10"/>
                <w:color w:val="auto"/>
              </w:rPr>
              <w:t>Total Shareholder Return</w:t>
            </w:r>
          </w:p>
        </w:tc>
      </w:tr>
      <w:tr>
        <w:trPr>
          <w:trHeight w:val="120"/>
        </w:trPr>
        <w:tc>
          <w:tcPr>
            <w:tcW w:w="1360" w:type="dxa"/>
            <w:vAlign w:val="bottom"/>
          </w:tcPr>
          <w:p>
            <w:pPr>
              <w:spacing w:after="0"/>
              <w:rPr>
                <w:sz w:val="20"/>
                <w:szCs w:val="20"/>
                <w:color w:val="auto"/>
              </w:rPr>
            </w:pPr>
            <w:r>
              <w:rPr>
                <w:rFonts w:ascii="Arial" w:cs="Arial" w:eastAsia="Arial" w:hAnsi="Arial"/>
                <w:sz w:val="10"/>
                <w:szCs w:val="10"/>
                <w:b w:val="1"/>
                <w:bCs w:val="1"/>
                <w:color w:val="D60011"/>
              </w:rPr>
              <w:t>VIF</w:t>
            </w:r>
          </w:p>
        </w:tc>
        <w:tc>
          <w:tcPr>
            <w:tcW w:w="5980" w:type="dxa"/>
            <w:vAlign w:val="bottom"/>
          </w:tcPr>
          <w:p>
            <w:pPr>
              <w:ind w:left="200"/>
              <w:spacing w:after="0"/>
              <w:rPr>
                <w:sz w:val="20"/>
                <w:szCs w:val="20"/>
                <w:color w:val="auto"/>
              </w:rPr>
            </w:pPr>
            <w:r>
              <w:rPr>
                <w:rFonts w:ascii="Arial" w:cs="Arial" w:eastAsia="Arial" w:hAnsi="Arial"/>
                <w:sz w:val="10"/>
                <w:szCs w:val="10"/>
                <w:color w:val="auto"/>
              </w:rPr>
              <w:t>Voting Instruction Form</w:t>
            </w:r>
          </w:p>
        </w:tc>
      </w:tr>
      <w:tr>
        <w:trPr>
          <w:trHeight w:val="31"/>
        </w:trPr>
        <w:tc>
          <w:tcPr>
            <w:tcW w:w="1360" w:type="dxa"/>
            <w:vAlign w:val="bottom"/>
            <w:tcBorders>
              <w:bottom w:val="single" w:sz="8" w:color="D60010"/>
            </w:tcBorders>
          </w:tcPr>
          <w:p>
            <w:pPr>
              <w:spacing w:after="0"/>
              <w:rPr>
                <w:sz w:val="2"/>
                <w:szCs w:val="2"/>
                <w:color w:val="auto"/>
              </w:rPr>
            </w:pPr>
          </w:p>
        </w:tc>
        <w:tc>
          <w:tcPr>
            <w:tcW w:w="5980" w:type="dxa"/>
            <w:vAlign w:val="bottom"/>
            <w:tcBorders>
              <w:bottom w:val="single" w:sz="8" w:color="D60010"/>
            </w:tcBorders>
          </w:tcPr>
          <w:p>
            <w:pPr>
              <w:spacing w:after="0"/>
              <w:rPr>
                <w:sz w:val="2"/>
                <w:szCs w:val="2"/>
                <w:color w:val="auto"/>
              </w:rPr>
            </w:pPr>
          </w:p>
        </w:tc>
      </w:tr>
    </w:tbl>
    <w:p>
      <w:pPr>
        <w:spacing w:after="0" w:line="130" w:lineRule="exact"/>
        <w:rPr>
          <w:sz w:val="20"/>
          <w:szCs w:val="20"/>
          <w:color w:val="auto"/>
        </w:rPr>
      </w:pPr>
    </w:p>
    <w:p>
      <w:pPr>
        <w:ind w:left="1540" w:hanging="336"/>
        <w:spacing w:after="0"/>
        <w:tabs>
          <w:tab w:leader="none" w:pos="1540" w:val="left"/>
        </w:tabs>
        <w:numPr>
          <w:ilvl w:val="0"/>
          <w:numId w:val="6"/>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139700</wp:posOffset>
            </wp:positionV>
            <wp:extent cx="71780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-139700</wp:posOffset>
            </wp:positionV>
            <wp:extent cx="365760" cy="217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340360</wp:posOffset>
            </wp:positionV>
            <wp:extent cx="4743450" cy="731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743450" cy="731520"/>
                    </a:xfrm>
                    <a:prstGeom prst="rect">
                      <a:avLst/>
                    </a:prstGeom>
                    <a:noFill/>
                  </pic:spPr>
                </pic:pic>
              </a:graphicData>
            </a:graphic>
          </wp:anchor>
        </w:drawing>
      </w:r>
    </w:p>
    <w:p>
      <w:pPr>
        <w:spacing w:after="0" w:line="201" w:lineRule="exact"/>
        <w:rPr>
          <w:sz w:val="20"/>
          <w:szCs w:val="20"/>
          <w:color w:val="auto"/>
        </w:rPr>
      </w:pPr>
    </w:p>
    <w:p>
      <w:pPr>
        <w:ind w:left="840" w:right="4719"/>
        <w:spacing w:after="0" w:line="241" w:lineRule="auto"/>
        <w:rPr>
          <w:sz w:val="20"/>
          <w:szCs w:val="20"/>
          <w:color w:val="auto"/>
        </w:rPr>
      </w:pPr>
      <w:r>
        <w:rPr>
          <w:rFonts w:ascii="Arial" w:cs="Arial" w:eastAsia="Arial" w:hAnsi="Arial"/>
          <w:sz w:val="11"/>
          <w:szCs w:val="11"/>
          <w:color w:val="auto"/>
        </w:rPr>
        <w:t>This Proxy Statement contains forward-looking statements within the meaning of the U.S. securities laws. Other than statements of historical facts, all statements that address activities, events, or developments that the Company anticipates will or may occur in the future, including, but not limited to, future merchandise and vendor mix, real estate opportunities, acquisitions, strategic partnerships, capital expenditures, dividend payments, share repurchases, strategic plans, financial objectives, growth of the Company’s business and operations, and other such matters, are forward-looking statements. These forward-looking statements are based on many assumptions and factors, which are detailed in the Company’s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-880745</wp:posOffset>
            </wp:positionV>
            <wp:extent cx="1697355" cy="3366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7355" cy="3366135"/>
                    </a:xfrm>
                    <a:prstGeom prst="rect">
                      <a:avLst/>
                    </a:prstGeom>
                    <a:noFill/>
                  </pic:spPr>
                </pic:pic>
              </a:graphicData>
            </a:graphic>
          </wp:anchor>
        </w:drawing>
      </w:r>
    </w:p>
    <w:p>
      <w:pPr>
        <w:spacing w:after="0" w:line="95" w:lineRule="exact"/>
        <w:rPr>
          <w:sz w:val="20"/>
          <w:szCs w:val="20"/>
          <w:color w:val="auto"/>
        </w:rPr>
      </w:pPr>
    </w:p>
    <w:p>
      <w:pPr>
        <w:ind w:left="840" w:right="4739"/>
        <w:spacing w:after="0" w:line="268" w:lineRule="auto"/>
        <w:rPr>
          <w:sz w:val="20"/>
          <w:szCs w:val="20"/>
          <w:color w:val="auto"/>
        </w:rPr>
      </w:pPr>
      <w:r>
        <w:rPr>
          <w:rFonts w:ascii="Arial" w:cs="Arial" w:eastAsia="Arial" w:hAnsi="Arial"/>
          <w:sz w:val="10"/>
          <w:szCs w:val="10"/>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Annual Report and subsequent filings with the SEC. Any changes in such assumptions or factors could produce significantly different results. The Company undertakes no obligation to update forward-looking statements, whether as a result of new information, future events, or otherwise. Website references throughout this Proxy Statement are provided for convenience only, and the content on the referenced websites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4826000</wp:posOffset>
            </wp:positionH>
            <wp:positionV relativeFrom="paragraph">
              <wp:posOffset>1525905</wp:posOffset>
            </wp:positionV>
            <wp:extent cx="36576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1119"/>
        <w:spacing w:after="0"/>
        <w:tabs>
          <w:tab w:leader="none" w:pos="60" w:val="left"/>
        </w:tabs>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r>
        <w:rPr>
          <w:sz w:val="20"/>
          <w:szCs w:val="20"/>
          <w:color w:val="auto"/>
        </w:rPr>
        <w:tab/>
      </w:r>
      <w:r>
        <w:rPr>
          <w:rFonts w:ascii="Arial" w:cs="Arial" w:eastAsia="Arial" w:hAnsi="Arial"/>
          <w:sz w:val="14"/>
          <w:szCs w:val="14"/>
          <w:b w:val="1"/>
          <w:bCs w:val="1"/>
          <w:color w:val="FFFFFF"/>
          <w:vertAlign w:val="subscript"/>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190500</wp:posOffset>
            </wp:positionV>
            <wp:extent cx="71780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2030095</wp:posOffset>
            </wp:positionV>
            <wp:extent cx="71780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340360</wp:posOffset>
            </wp:positionV>
            <wp:extent cx="4743450" cy="902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743450" cy="9029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2480" w:type="dxa"/>
        <w:tblCellMar>
          <w:top w:w="0" w:type="dxa"/>
          <w:left w:w="0" w:type="dxa"/>
          <w:bottom w:w="0" w:type="dxa"/>
          <w:right w:w="0" w:type="dxa"/>
        </w:tblCellMar>
      </w:tblPr>
      <w:tr>
        <w:trPr>
          <w:trHeight w:val="126"/>
        </w:trPr>
        <w:tc>
          <w:tcPr>
            <w:tcW w:w="1560" w:type="dxa"/>
            <w:vAlign w:val="bottom"/>
          </w:tcPr>
          <w:p>
            <w:pPr>
              <w:spacing w:after="0"/>
              <w:rPr>
                <w:sz w:val="20"/>
                <w:szCs w:val="20"/>
                <w:color w:val="auto"/>
              </w:rPr>
            </w:pPr>
            <w:r>
              <w:rPr>
                <w:rFonts w:ascii="Arial" w:cs="Arial" w:eastAsia="Arial" w:hAnsi="Arial"/>
                <w:sz w:val="11"/>
                <w:szCs w:val="11"/>
                <w:b w:val="1"/>
                <w:bCs w:val="1"/>
                <w:color w:val="auto"/>
              </w:rPr>
              <w:t>DATE AND TIME</w:t>
            </w:r>
          </w:p>
        </w:tc>
        <w:tc>
          <w:tcPr>
            <w:tcW w:w="3040" w:type="dxa"/>
            <w:vAlign w:val="bottom"/>
          </w:tcPr>
          <w:p>
            <w:pPr>
              <w:ind w:left="720"/>
              <w:spacing w:after="0"/>
              <w:rPr>
                <w:sz w:val="20"/>
                <w:szCs w:val="20"/>
                <w:color w:val="auto"/>
              </w:rPr>
            </w:pPr>
            <w:r>
              <w:rPr>
                <w:rFonts w:ascii="Arial" w:cs="Arial" w:eastAsia="Arial" w:hAnsi="Arial"/>
                <w:sz w:val="11"/>
                <w:szCs w:val="11"/>
                <w:b w:val="1"/>
                <w:bCs w:val="1"/>
                <w:color w:val="auto"/>
              </w:rPr>
              <w:t>VIRTUAL</w:t>
            </w:r>
          </w:p>
        </w:tc>
        <w:tc>
          <w:tcPr>
            <w:tcW w:w="1820" w:type="dxa"/>
            <w:vAlign w:val="bottom"/>
          </w:tcPr>
          <w:p>
            <w:pPr>
              <w:ind w:left="460"/>
              <w:spacing w:after="0"/>
              <w:rPr>
                <w:sz w:val="20"/>
                <w:szCs w:val="20"/>
                <w:color w:val="auto"/>
              </w:rPr>
            </w:pPr>
            <w:r>
              <w:rPr>
                <w:rFonts w:ascii="Arial" w:cs="Arial" w:eastAsia="Arial" w:hAnsi="Arial"/>
                <w:sz w:val="11"/>
                <w:szCs w:val="11"/>
                <w:b w:val="1"/>
                <w:bCs w:val="1"/>
                <w:color w:val="auto"/>
              </w:rPr>
              <w:t>RECORD DATE</w:t>
            </w:r>
          </w:p>
        </w:tc>
      </w:tr>
      <w:tr>
        <w:trPr>
          <w:trHeight w:val="126"/>
        </w:trPr>
        <w:tc>
          <w:tcPr>
            <w:tcW w:w="1560" w:type="dxa"/>
            <w:vAlign w:val="bottom"/>
          </w:tcPr>
          <w:p>
            <w:pPr>
              <w:spacing w:after="0"/>
              <w:rPr>
                <w:sz w:val="20"/>
                <w:szCs w:val="20"/>
                <w:color w:val="auto"/>
              </w:rPr>
            </w:pPr>
            <w:r>
              <w:rPr>
                <w:rFonts w:ascii="Arial" w:cs="Arial" w:eastAsia="Arial" w:hAnsi="Arial"/>
                <w:sz w:val="11"/>
                <w:szCs w:val="11"/>
                <w:color w:val="auto"/>
              </w:rPr>
              <w:t>May 18, 2022 at</w:t>
            </w:r>
          </w:p>
        </w:tc>
        <w:tc>
          <w:tcPr>
            <w:tcW w:w="3040" w:type="dxa"/>
            <w:vAlign w:val="bottom"/>
          </w:tcPr>
          <w:p>
            <w:pPr>
              <w:ind w:left="720"/>
              <w:spacing w:after="0"/>
              <w:rPr>
                <w:sz w:val="20"/>
                <w:szCs w:val="20"/>
                <w:color w:val="auto"/>
              </w:rPr>
            </w:pPr>
            <w:r>
              <w:rPr>
                <w:rFonts w:ascii="Arial" w:cs="Arial" w:eastAsia="Arial" w:hAnsi="Arial"/>
                <w:sz w:val="11"/>
                <w:szCs w:val="11"/>
                <w:b w:val="1"/>
                <w:bCs w:val="1"/>
                <w:color w:val="auto"/>
              </w:rPr>
              <w:t>MEETING SITE</w:t>
            </w:r>
          </w:p>
        </w:tc>
        <w:tc>
          <w:tcPr>
            <w:tcW w:w="1820" w:type="dxa"/>
            <w:vAlign w:val="bottom"/>
          </w:tcPr>
          <w:p>
            <w:pPr>
              <w:ind w:left="460"/>
              <w:spacing w:after="0"/>
              <w:rPr>
                <w:sz w:val="20"/>
                <w:szCs w:val="20"/>
                <w:color w:val="auto"/>
              </w:rPr>
            </w:pPr>
            <w:r>
              <w:rPr>
                <w:rFonts w:ascii="Arial" w:cs="Arial" w:eastAsia="Arial" w:hAnsi="Arial"/>
                <w:sz w:val="11"/>
                <w:szCs w:val="11"/>
                <w:color w:val="auto"/>
                <w:w w:val="96"/>
              </w:rPr>
              <w:t>Shareholders of record as of</w:t>
            </w:r>
          </w:p>
        </w:tc>
      </w:tr>
      <w:tr>
        <w:trPr>
          <w:trHeight w:val="126"/>
        </w:trPr>
        <w:tc>
          <w:tcPr>
            <w:tcW w:w="1560" w:type="dxa"/>
            <w:vAlign w:val="bottom"/>
          </w:tcPr>
          <w:p>
            <w:pPr>
              <w:spacing w:after="0"/>
              <w:rPr>
                <w:sz w:val="20"/>
                <w:szCs w:val="20"/>
                <w:color w:val="auto"/>
              </w:rPr>
            </w:pPr>
            <w:r>
              <w:rPr>
                <w:rFonts w:ascii="Arial" w:cs="Arial" w:eastAsia="Arial" w:hAnsi="Arial"/>
                <w:sz w:val="11"/>
                <w:szCs w:val="11"/>
                <w:color w:val="auto"/>
              </w:rPr>
              <w:t>9:00 a.m. EDT</w:t>
            </w:r>
          </w:p>
        </w:tc>
        <w:tc>
          <w:tcPr>
            <w:tcW w:w="3040" w:type="dxa"/>
            <w:vAlign w:val="bottom"/>
          </w:tcPr>
          <w:p>
            <w:pPr>
              <w:ind w:left="720"/>
              <w:spacing w:after="0"/>
              <w:rPr>
                <w:sz w:val="20"/>
                <w:szCs w:val="20"/>
                <w:color w:val="auto"/>
              </w:rPr>
            </w:pPr>
            <w:r>
              <w:rPr>
                <w:rFonts w:ascii="Arial" w:cs="Arial" w:eastAsia="Arial" w:hAnsi="Arial"/>
                <w:sz w:val="11"/>
                <w:szCs w:val="11"/>
                <w:color w:val="auto"/>
              </w:rPr>
              <w:t>virtualshareholdermeeting.com/FL2022</w:t>
            </w:r>
          </w:p>
        </w:tc>
        <w:tc>
          <w:tcPr>
            <w:tcW w:w="1820" w:type="dxa"/>
            <w:vAlign w:val="bottom"/>
          </w:tcPr>
          <w:p>
            <w:pPr>
              <w:ind w:left="460"/>
              <w:spacing w:after="0"/>
              <w:rPr>
                <w:sz w:val="20"/>
                <w:szCs w:val="20"/>
                <w:color w:val="auto"/>
              </w:rPr>
            </w:pPr>
            <w:r>
              <w:rPr>
                <w:rFonts w:ascii="Arial" w:cs="Arial" w:eastAsia="Arial" w:hAnsi="Arial"/>
                <w:sz w:val="11"/>
                <w:szCs w:val="11"/>
                <w:color w:val="auto"/>
              </w:rPr>
              <w:t>March 21, 2022 can vote at</w:t>
            </w:r>
          </w:p>
        </w:tc>
      </w:tr>
      <w:tr>
        <w:trPr>
          <w:trHeight w:val="142"/>
        </w:trPr>
        <w:tc>
          <w:tcPr>
            <w:tcW w:w="15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20" w:type="dxa"/>
            <w:vAlign w:val="bottom"/>
          </w:tcPr>
          <w:p>
            <w:pPr>
              <w:ind w:left="460"/>
              <w:spacing w:after="0"/>
              <w:rPr>
                <w:sz w:val="20"/>
                <w:szCs w:val="20"/>
                <w:color w:val="auto"/>
              </w:rPr>
            </w:pPr>
            <w:r>
              <w:rPr>
                <w:rFonts w:ascii="Arial" w:cs="Arial" w:eastAsia="Arial" w:hAnsi="Arial"/>
                <w:sz w:val="11"/>
                <w:szCs w:val="11"/>
                <w:color w:val="auto"/>
              </w:rPr>
              <w:t>the 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-323850</wp:posOffset>
            </wp:positionV>
            <wp:extent cx="251460" cy="228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1460" cy="22860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-323850</wp:posOffset>
            </wp:positionV>
            <wp:extent cx="234315" cy="234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315" cy="234315"/>
                    </a:xfrm>
                    <a:prstGeom prst="rect">
                      <a:avLst/>
                    </a:prstGeom>
                    <a:noFill/>
                  </pic:spPr>
                </pic:pic>
              </a:graphicData>
            </a:graphic>
          </wp:anchor>
        </w:drawing>
      </w:r>
    </w:p>
    <w:p>
      <w:pPr>
        <w:spacing w:after="0" w:line="90" w:lineRule="exact"/>
        <w:rPr>
          <w:sz w:val="20"/>
          <w:szCs w:val="20"/>
          <w:color w:val="auto"/>
        </w:rPr>
      </w:pPr>
    </w:p>
    <w:p>
      <w:pPr>
        <w:jc w:val="both"/>
        <w:ind w:left="1980" w:right="1980"/>
        <w:spacing w:after="0" w:line="259" w:lineRule="auto"/>
        <w:rPr>
          <w:sz w:val="20"/>
          <w:szCs w:val="20"/>
          <w:color w:val="auto"/>
        </w:rPr>
      </w:pPr>
      <w:r>
        <w:rPr>
          <w:rFonts w:ascii="Arial" w:cs="Arial" w:eastAsia="Arial" w:hAnsi="Arial"/>
          <w:sz w:val="11"/>
          <w:szCs w:val="11"/>
          <w:color w:val="auto"/>
        </w:rPr>
        <w:t xml:space="preserve">All shares that have been properly voted and not revoked will be voted at the Annual Meeting. If you sign and return a proxy card but do not give voting instructions, the shares represented by that proxy card will be voted as recommended by the Board. </w:t>
      </w:r>
      <w:r>
        <w:rPr>
          <w:rFonts w:ascii="Arial" w:cs="Arial" w:eastAsia="Arial" w:hAnsi="Arial"/>
          <w:sz w:val="11"/>
          <w:szCs w:val="11"/>
          <w:b w:val="1"/>
          <w:bCs w:val="1"/>
          <w:color w:val="auto"/>
        </w:rPr>
        <w:t>Your vote is very important to us. Please vote</w:t>
      </w:r>
      <w:r>
        <w:rPr>
          <w:rFonts w:ascii="Arial" w:cs="Arial" w:eastAsia="Arial" w:hAnsi="Arial"/>
          <w:sz w:val="11"/>
          <w:szCs w:val="11"/>
          <w:color w:val="auto"/>
        </w:rPr>
        <w:t xml:space="preserve"> </w:t>
      </w:r>
      <w:r>
        <w:rPr>
          <w:rFonts w:ascii="Arial" w:cs="Arial" w:eastAsia="Arial" w:hAnsi="Arial"/>
          <w:sz w:val="11"/>
          <w:szCs w:val="11"/>
          <w:b w:val="1"/>
          <w:bCs w:val="1"/>
          <w:color w:val="auto"/>
        </w:rPr>
        <w:t>your shares.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ITEMS OF BUSINESS</w:t>
      </w:r>
    </w:p>
    <w:p>
      <w:pPr>
        <w:spacing w:after="0" w:line="14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1820" w:type="dxa"/>
            <w:vAlign w:val="bottom"/>
          </w:tcPr>
          <w:p>
            <w:pPr>
              <w:ind w:left="60"/>
              <w:spacing w:after="0"/>
              <w:rPr>
                <w:sz w:val="20"/>
                <w:szCs w:val="20"/>
                <w:color w:val="auto"/>
              </w:rPr>
            </w:pPr>
            <w:r>
              <w:rPr>
                <w:rFonts w:ascii="Arial" w:cs="Arial" w:eastAsia="Arial" w:hAnsi="Arial"/>
                <w:sz w:val="10"/>
                <w:szCs w:val="10"/>
                <w:b w:val="1"/>
                <w:bCs w:val="1"/>
                <w:color w:val="auto"/>
              </w:rPr>
              <w:t>Board’s Voting</w:t>
            </w:r>
          </w:p>
        </w:tc>
        <w:tc>
          <w:tcPr>
            <w:tcW w:w="1240" w:type="dxa"/>
            <w:vAlign w:val="bottom"/>
          </w:tcPr>
          <w:p>
            <w:pPr>
              <w:ind w:left="100"/>
              <w:spacing w:after="0"/>
              <w:rPr>
                <w:sz w:val="20"/>
                <w:szCs w:val="20"/>
                <w:color w:val="auto"/>
              </w:rPr>
            </w:pPr>
            <w:r>
              <w:rPr>
                <w:rFonts w:ascii="Arial" w:cs="Arial" w:eastAsia="Arial" w:hAnsi="Arial"/>
                <w:sz w:val="10"/>
                <w:szCs w:val="10"/>
                <w:b w:val="1"/>
                <w:bCs w:val="1"/>
                <w:color w:val="auto"/>
              </w:rPr>
              <w:t>Vote Required</w:t>
            </w:r>
          </w:p>
        </w:tc>
        <w:tc>
          <w:tcPr>
            <w:tcW w:w="0" w:type="dxa"/>
            <w:vAlign w:val="bottom"/>
          </w:tcPr>
          <w:p>
            <w:pPr>
              <w:spacing w:after="0"/>
              <w:rPr>
                <w:sz w:val="1"/>
                <w:szCs w:val="1"/>
                <w:color w:val="auto"/>
              </w:rPr>
            </w:pPr>
          </w:p>
        </w:tc>
      </w:tr>
      <w:tr>
        <w:trPr>
          <w:trHeight w:val="131"/>
        </w:trPr>
        <w:tc>
          <w:tcPr>
            <w:tcW w:w="4280" w:type="dxa"/>
            <w:vAlign w:val="bottom"/>
          </w:tcPr>
          <w:p>
            <w:pPr>
              <w:spacing w:after="0"/>
              <w:rPr>
                <w:sz w:val="20"/>
                <w:szCs w:val="20"/>
                <w:color w:val="auto"/>
              </w:rPr>
            </w:pPr>
            <w:r>
              <w:rPr>
                <w:rFonts w:ascii="Arial" w:cs="Arial" w:eastAsia="Arial" w:hAnsi="Arial"/>
                <w:sz w:val="10"/>
                <w:szCs w:val="10"/>
                <w:b w:val="1"/>
                <w:bCs w:val="1"/>
                <w:color w:val="auto"/>
              </w:rPr>
              <w:t>Proposal</w:t>
            </w:r>
          </w:p>
        </w:tc>
        <w:tc>
          <w:tcPr>
            <w:tcW w:w="1820" w:type="dxa"/>
            <w:vAlign w:val="bottom"/>
          </w:tcPr>
          <w:p>
            <w:pPr>
              <w:ind w:left="60"/>
              <w:spacing w:after="0"/>
              <w:rPr>
                <w:sz w:val="20"/>
                <w:szCs w:val="20"/>
                <w:color w:val="auto"/>
              </w:rPr>
            </w:pPr>
            <w:r>
              <w:rPr>
                <w:rFonts w:ascii="Arial" w:cs="Arial" w:eastAsia="Arial" w:hAnsi="Arial"/>
                <w:sz w:val="10"/>
                <w:szCs w:val="10"/>
                <w:b w:val="1"/>
                <w:bCs w:val="1"/>
                <w:color w:val="auto"/>
              </w:rPr>
              <w:t>Recommendation</w:t>
            </w:r>
          </w:p>
        </w:tc>
        <w:tc>
          <w:tcPr>
            <w:tcW w:w="1240" w:type="dxa"/>
            <w:vAlign w:val="bottom"/>
          </w:tcPr>
          <w:p>
            <w:pPr>
              <w:ind w:left="100"/>
              <w:spacing w:after="0"/>
              <w:rPr>
                <w:sz w:val="20"/>
                <w:szCs w:val="20"/>
                <w:color w:val="auto"/>
              </w:rPr>
            </w:pPr>
            <w:r>
              <w:rPr>
                <w:rFonts w:ascii="Arial" w:cs="Arial" w:eastAsia="Arial" w:hAnsi="Arial"/>
                <w:sz w:val="10"/>
                <w:szCs w:val="10"/>
                <w:b w:val="1"/>
                <w:bCs w:val="1"/>
                <w:color w:val="auto"/>
              </w:rPr>
              <w:t>to Approve</w:t>
            </w:r>
          </w:p>
        </w:tc>
        <w:tc>
          <w:tcPr>
            <w:tcW w:w="0" w:type="dxa"/>
            <w:vAlign w:val="bottom"/>
          </w:tcPr>
          <w:p>
            <w:pPr>
              <w:spacing w:after="0"/>
              <w:rPr>
                <w:sz w:val="1"/>
                <w:szCs w:val="1"/>
                <w:color w:val="auto"/>
              </w:rPr>
            </w:pPr>
          </w:p>
        </w:tc>
      </w:tr>
      <w:tr>
        <w:trPr>
          <w:trHeight w:val="38"/>
        </w:trPr>
        <w:tc>
          <w:tcPr>
            <w:tcW w:w="4280" w:type="dxa"/>
            <w:vAlign w:val="bottom"/>
            <w:tcBorders>
              <w:bottom w:val="single" w:sz="8" w:color="D60010"/>
            </w:tcBorders>
          </w:tcPr>
          <w:p>
            <w:pPr>
              <w:spacing w:after="0"/>
              <w:rPr>
                <w:sz w:val="3"/>
                <w:szCs w:val="3"/>
                <w:color w:val="auto"/>
              </w:rPr>
            </w:pPr>
          </w:p>
        </w:tc>
        <w:tc>
          <w:tcPr>
            <w:tcW w:w="1820" w:type="dxa"/>
            <w:vAlign w:val="bottom"/>
            <w:tcBorders>
              <w:bottom w:val="single" w:sz="8" w:color="D60010"/>
            </w:tcBorders>
          </w:tcPr>
          <w:p>
            <w:pPr>
              <w:spacing w:after="0"/>
              <w:rPr>
                <w:sz w:val="3"/>
                <w:szCs w:val="3"/>
                <w:color w:val="auto"/>
              </w:rPr>
            </w:pPr>
          </w:p>
        </w:tc>
        <w:tc>
          <w:tcPr>
            <w:tcW w:w="1240" w:type="dxa"/>
            <w:vAlign w:val="bottom"/>
            <w:tcBorders>
              <w:bottom w:val="single" w:sz="8" w:color="D60010"/>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280" w:type="dxa"/>
            <w:vAlign w:val="bottom"/>
          </w:tcPr>
          <w:p>
            <w:pPr>
              <w:ind w:left="200"/>
              <w:spacing w:after="0"/>
              <w:rPr>
                <w:sz w:val="20"/>
                <w:szCs w:val="20"/>
                <w:color w:val="auto"/>
              </w:rPr>
            </w:pPr>
            <w:r>
              <w:rPr>
                <w:rFonts w:ascii="Arial" w:cs="Arial" w:eastAsia="Arial" w:hAnsi="Arial"/>
                <w:sz w:val="12"/>
                <w:szCs w:val="12"/>
                <w:b w:val="1"/>
                <w:bCs w:val="1"/>
                <w:color w:val="D60011"/>
              </w:rPr>
              <w:t>Item</w:t>
            </w:r>
          </w:p>
        </w:tc>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820" w:type="dxa"/>
            <w:vAlign w:val="bottom"/>
          </w:tcPr>
          <w:p>
            <w:pPr>
              <w:ind w:left="580"/>
              <w:spacing w:after="0"/>
              <w:rPr>
                <w:sz w:val="20"/>
                <w:szCs w:val="20"/>
                <w:color w:val="auto"/>
              </w:rPr>
            </w:pPr>
            <w:r>
              <w:rPr>
                <w:rFonts w:ascii="Arial" w:cs="Arial" w:eastAsia="Arial" w:hAnsi="Arial"/>
                <w:sz w:val="12"/>
                <w:szCs w:val="12"/>
                <w:b w:val="1"/>
                <w:bCs w:val="1"/>
                <w:color w:val="D60011"/>
              </w:rPr>
              <w:t>FOR</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760"/>
              <w:spacing w:after="0" w:line="135" w:lineRule="exact"/>
              <w:rPr>
                <w:sz w:val="20"/>
                <w:szCs w:val="20"/>
                <w:color w:val="auto"/>
              </w:rPr>
            </w:pPr>
            <w:r>
              <w:rPr>
                <w:rFonts w:ascii="Arial" w:cs="Arial" w:eastAsia="Arial" w:hAnsi="Arial"/>
                <w:sz w:val="12"/>
                <w:szCs w:val="12"/>
                <w:color w:val="auto"/>
              </w:rPr>
              <w:t>Elect ten directors to the Board to serve for one-year terms</w:t>
            </w:r>
          </w:p>
        </w:tc>
        <w:tc>
          <w:tcPr>
            <w:tcW w:w="1820" w:type="dxa"/>
            <w:vAlign w:val="bottom"/>
          </w:tcPr>
          <w:p>
            <w:pPr>
              <w:ind w:left="580"/>
              <w:spacing w:after="0" w:line="135" w:lineRule="exact"/>
              <w:rPr>
                <w:sz w:val="20"/>
                <w:szCs w:val="20"/>
                <w:color w:val="auto"/>
              </w:rPr>
            </w:pPr>
            <w:r>
              <w:rPr>
                <w:rFonts w:ascii="Arial" w:cs="Arial" w:eastAsia="Arial" w:hAnsi="Arial"/>
                <w:sz w:val="12"/>
                <w:szCs w:val="12"/>
                <w:color w:val="auto"/>
              </w:rPr>
              <w:t>each of the</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nominees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80" w:type="dxa"/>
            <w:vAlign w:val="bottom"/>
            <w:tcBorders>
              <w:bottom w:val="single" w:sz="8" w:color="CCCCCC"/>
            </w:tcBorders>
          </w:tcPr>
          <w:p>
            <w:pPr>
              <w:spacing w:after="0"/>
              <w:rPr>
                <w:sz w:val="10"/>
                <w:szCs w:val="10"/>
                <w:color w:val="auto"/>
              </w:rPr>
            </w:pPr>
          </w:p>
        </w:tc>
        <w:tc>
          <w:tcPr>
            <w:tcW w:w="1820" w:type="dxa"/>
            <w:vAlign w:val="bottom"/>
            <w:tcBorders>
              <w:bottom w:val="single" w:sz="8" w:color="CCCCCC"/>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4280" w:type="dxa"/>
            <w:vAlign w:val="bottom"/>
          </w:tcPr>
          <w:p>
            <w:pPr>
              <w:ind w:left="200"/>
              <w:spacing w:after="0"/>
              <w:rPr>
                <w:sz w:val="20"/>
                <w:szCs w:val="20"/>
                <w:color w:val="auto"/>
              </w:rPr>
            </w:pPr>
            <w:r>
              <w:rPr>
                <w:rFonts w:ascii="Arial" w:cs="Arial" w:eastAsia="Arial" w:hAnsi="Arial"/>
                <w:sz w:val="12"/>
                <w:szCs w:val="12"/>
                <w:b w:val="1"/>
                <w:bCs w:val="1"/>
                <w:color w:val="D60011"/>
              </w:rPr>
              <w:t>Item</w:t>
            </w:r>
          </w:p>
        </w:tc>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280" w:type="dxa"/>
            <w:vAlign w:val="bottom"/>
          </w:tcPr>
          <w:p>
            <w:pPr>
              <w:ind w:left="760"/>
              <w:spacing w:after="0"/>
              <w:rPr>
                <w:sz w:val="20"/>
                <w:szCs w:val="20"/>
                <w:color w:val="auto"/>
              </w:rPr>
            </w:pPr>
            <w:r>
              <w:rPr>
                <w:rFonts w:ascii="Arial" w:cs="Arial" w:eastAsia="Arial" w:hAnsi="Arial"/>
                <w:sz w:val="12"/>
                <w:szCs w:val="12"/>
                <w:color w:val="auto"/>
              </w:rPr>
              <w:t>Vote, on an advisory basis, to approve the Company’s NEOs’</w:t>
            </w:r>
          </w:p>
        </w:tc>
        <w:tc>
          <w:tcPr>
            <w:tcW w:w="1820" w:type="dxa"/>
            <w:vAlign w:val="bottom"/>
            <w:vMerge w:val="restart"/>
          </w:tcPr>
          <w:p>
            <w:pPr>
              <w:ind w:left="580"/>
              <w:spacing w:after="0"/>
              <w:rPr>
                <w:sz w:val="20"/>
                <w:szCs w:val="20"/>
                <w:color w:val="auto"/>
              </w:rPr>
            </w:pPr>
            <w:r>
              <w:rPr>
                <w:rFonts w:ascii="Arial" w:cs="Arial" w:eastAsia="Arial" w:hAnsi="Arial"/>
                <w:sz w:val="12"/>
                <w:szCs w:val="12"/>
                <w:b w:val="1"/>
                <w:bCs w:val="1"/>
                <w:color w:val="D60011"/>
              </w:rPr>
              <w:t>FOR</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4280" w:type="dxa"/>
            <w:vAlign w:val="bottom"/>
            <w:vMerge w:val="restart"/>
          </w:tcPr>
          <w:p>
            <w:pPr>
              <w:ind w:left="760"/>
              <w:spacing w:after="0"/>
              <w:rPr>
                <w:sz w:val="20"/>
                <w:szCs w:val="20"/>
                <w:color w:val="auto"/>
              </w:rPr>
            </w:pPr>
            <w:r>
              <w:rPr>
                <w:rFonts w:ascii="Arial" w:cs="Arial" w:eastAsia="Arial" w:hAnsi="Arial"/>
                <w:sz w:val="12"/>
                <w:szCs w:val="12"/>
                <w:color w:val="auto"/>
              </w:rPr>
              <w:t>compensation</w:t>
            </w:r>
          </w:p>
        </w:tc>
        <w:tc>
          <w:tcPr>
            <w:tcW w:w="182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280" w:type="dxa"/>
            <w:vAlign w:val="bottom"/>
            <w:vMerge w:val="continue"/>
          </w:tcPr>
          <w:p>
            <w:pPr>
              <w:spacing w:after="0"/>
              <w:rPr>
                <w:sz w:val="4"/>
                <w:szCs w:val="4"/>
                <w:color w:val="auto"/>
              </w:rPr>
            </w:pPr>
          </w:p>
        </w:tc>
        <w:tc>
          <w:tcPr>
            <w:tcW w:w="18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280" w:type="dxa"/>
            <w:vAlign w:val="bottom"/>
            <w:tcBorders>
              <w:bottom w:val="single" w:sz="8" w:color="CCCCCC"/>
            </w:tcBorders>
          </w:tcPr>
          <w:p>
            <w:pPr>
              <w:spacing w:after="0"/>
              <w:rPr>
                <w:sz w:val="17"/>
                <w:szCs w:val="17"/>
                <w:color w:val="auto"/>
              </w:rPr>
            </w:pPr>
          </w:p>
        </w:tc>
        <w:tc>
          <w:tcPr>
            <w:tcW w:w="1820" w:type="dxa"/>
            <w:vAlign w:val="bottom"/>
            <w:tcBorders>
              <w:bottom w:val="single" w:sz="8" w:color="CCCCCC"/>
            </w:tcBorders>
          </w:tcPr>
          <w:p>
            <w:pPr>
              <w:spacing w:after="0"/>
              <w:rPr>
                <w:sz w:val="17"/>
                <w:szCs w:val="17"/>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Majority of</w:t>
            </w:r>
          </w:p>
        </w:tc>
        <w:tc>
          <w:tcPr>
            <w:tcW w:w="0" w:type="dxa"/>
            <w:vAlign w:val="bottom"/>
          </w:tcPr>
          <w:p>
            <w:pPr>
              <w:spacing w:after="0"/>
              <w:rPr>
                <w:sz w:val="1"/>
                <w:szCs w:val="1"/>
                <w:color w:val="auto"/>
              </w:rPr>
            </w:pPr>
          </w:p>
        </w:tc>
      </w:tr>
      <w:tr>
        <w:trPr>
          <w:trHeight w:val="111"/>
        </w:trPr>
        <w:tc>
          <w:tcPr>
            <w:tcW w:w="4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40" w:type="dxa"/>
            <w:vAlign w:val="bottom"/>
          </w:tcPr>
          <w:p>
            <w:pPr>
              <w:ind w:left="100"/>
              <w:spacing w:after="0" w:line="111" w:lineRule="exact"/>
              <w:rPr>
                <w:sz w:val="20"/>
                <w:szCs w:val="20"/>
                <w:color w:val="auto"/>
              </w:rPr>
            </w:pPr>
            <w:r>
              <w:rPr>
                <w:rFonts w:ascii="Arial" w:cs="Arial" w:eastAsia="Arial" w:hAnsi="Arial"/>
                <w:sz w:val="12"/>
                <w:szCs w:val="12"/>
                <w:color w:val="auto"/>
              </w:rPr>
              <w:t>Votes Cast by</w:t>
            </w:r>
          </w:p>
        </w:tc>
        <w:tc>
          <w:tcPr>
            <w:tcW w:w="0" w:type="dxa"/>
            <w:vAlign w:val="bottom"/>
          </w:tcPr>
          <w:p>
            <w:pPr>
              <w:spacing w:after="0"/>
              <w:rPr>
                <w:sz w:val="1"/>
                <w:szCs w:val="1"/>
                <w:color w:val="auto"/>
              </w:rPr>
            </w:pPr>
          </w:p>
        </w:tc>
      </w:tr>
      <w:tr>
        <w:trPr>
          <w:trHeight w:val="165"/>
        </w:trPr>
        <w:tc>
          <w:tcPr>
            <w:tcW w:w="4280" w:type="dxa"/>
            <w:vAlign w:val="bottom"/>
          </w:tcPr>
          <w:p>
            <w:pPr>
              <w:ind w:left="200"/>
              <w:spacing w:after="0"/>
              <w:rPr>
                <w:sz w:val="20"/>
                <w:szCs w:val="20"/>
                <w:color w:val="auto"/>
              </w:rPr>
            </w:pPr>
            <w:r>
              <w:rPr>
                <w:rFonts w:ascii="Arial" w:cs="Arial" w:eastAsia="Arial" w:hAnsi="Arial"/>
                <w:sz w:val="12"/>
                <w:szCs w:val="12"/>
                <w:b w:val="1"/>
                <w:bCs w:val="1"/>
                <w:color w:val="D60011"/>
              </w:rPr>
              <w:t>Item</w:t>
            </w:r>
          </w:p>
        </w:tc>
        <w:tc>
          <w:tcPr>
            <w:tcW w:w="18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Shareholders</w:t>
            </w:r>
          </w:p>
        </w:tc>
        <w:tc>
          <w:tcPr>
            <w:tcW w:w="0" w:type="dxa"/>
            <w:vAlign w:val="bottom"/>
          </w:tcPr>
          <w:p>
            <w:pPr>
              <w:spacing w:after="0"/>
              <w:rPr>
                <w:sz w:val="1"/>
                <w:szCs w:val="1"/>
                <w:color w:val="auto"/>
              </w:rPr>
            </w:pPr>
          </w:p>
        </w:tc>
      </w:tr>
      <w:tr>
        <w:trPr>
          <w:trHeight w:val="195"/>
        </w:trPr>
        <w:tc>
          <w:tcPr>
            <w:tcW w:w="4280" w:type="dxa"/>
            <w:vAlign w:val="bottom"/>
          </w:tcPr>
          <w:p>
            <w:pPr>
              <w:ind w:left="760"/>
              <w:spacing w:after="0"/>
              <w:rPr>
                <w:sz w:val="20"/>
                <w:szCs w:val="20"/>
                <w:color w:val="auto"/>
              </w:rPr>
            </w:pPr>
            <w:r>
              <w:rPr>
                <w:rFonts w:ascii="Arial" w:cs="Arial" w:eastAsia="Arial" w:hAnsi="Arial"/>
                <w:sz w:val="12"/>
                <w:szCs w:val="12"/>
                <w:color w:val="auto"/>
              </w:rPr>
              <w:t>Vote, on an advisory basis, on whether the shareholder vote to</w:t>
            </w:r>
          </w:p>
        </w:tc>
        <w:tc>
          <w:tcPr>
            <w:tcW w:w="1820" w:type="dxa"/>
            <w:vAlign w:val="bottom"/>
            <w:vMerge w:val="restart"/>
          </w:tcPr>
          <w:p>
            <w:pPr>
              <w:ind w:left="580"/>
              <w:spacing w:after="0"/>
              <w:rPr>
                <w:sz w:val="20"/>
                <w:szCs w:val="20"/>
                <w:color w:val="auto"/>
              </w:rPr>
            </w:pPr>
            <w:r>
              <w:rPr>
                <w:rFonts w:ascii="Arial" w:cs="Arial" w:eastAsia="Arial" w:hAnsi="Arial"/>
                <w:sz w:val="12"/>
                <w:szCs w:val="12"/>
                <w:b w:val="1"/>
                <w:bCs w:val="1"/>
                <w:color w:val="D60011"/>
              </w:rPr>
              <w:t>FOR</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4280" w:type="dxa"/>
            <w:vAlign w:val="bottom"/>
            <w:vMerge w:val="restart"/>
          </w:tcPr>
          <w:p>
            <w:pPr>
              <w:ind w:left="760"/>
              <w:spacing w:after="0" w:line="135" w:lineRule="exact"/>
              <w:rPr>
                <w:sz w:val="20"/>
                <w:szCs w:val="20"/>
                <w:color w:val="auto"/>
              </w:rPr>
            </w:pPr>
            <w:r>
              <w:rPr>
                <w:rFonts w:ascii="Arial" w:cs="Arial" w:eastAsia="Arial" w:hAnsi="Arial"/>
                <w:sz w:val="12"/>
                <w:szCs w:val="12"/>
                <w:color w:val="auto"/>
              </w:rPr>
              <w:t>approve the Company’s NEOs’ compensation should occur every</w:t>
            </w:r>
          </w:p>
        </w:tc>
        <w:tc>
          <w:tcPr>
            <w:tcW w:w="18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4280" w:type="dxa"/>
            <w:vAlign w:val="bottom"/>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1 year</w:t>
            </w: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4280" w:type="dxa"/>
            <w:vAlign w:val="bottom"/>
            <w:vMerge w:val="restart"/>
          </w:tcPr>
          <w:p>
            <w:pPr>
              <w:ind w:left="760"/>
              <w:spacing w:after="0"/>
              <w:rPr>
                <w:sz w:val="20"/>
                <w:szCs w:val="20"/>
                <w:color w:val="auto"/>
              </w:rPr>
            </w:pPr>
            <w:r>
              <w:rPr>
                <w:rFonts w:ascii="Arial" w:cs="Arial" w:eastAsia="Arial" w:hAnsi="Arial"/>
                <w:sz w:val="12"/>
                <w:szCs w:val="12"/>
                <w:color w:val="auto"/>
              </w:rPr>
              <w:t>1, 2, or 3 years</w:t>
            </w:r>
          </w:p>
        </w:tc>
        <w:tc>
          <w:tcPr>
            <w:tcW w:w="182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428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4280" w:type="dxa"/>
            <w:vAlign w:val="bottom"/>
            <w:tcBorders>
              <w:bottom w:val="single" w:sz="8" w:color="CCCCCC"/>
            </w:tcBorders>
          </w:tcPr>
          <w:p>
            <w:pPr>
              <w:spacing w:after="0"/>
              <w:rPr>
                <w:sz w:val="11"/>
                <w:szCs w:val="11"/>
                <w:color w:val="auto"/>
              </w:rPr>
            </w:pPr>
          </w:p>
        </w:tc>
        <w:tc>
          <w:tcPr>
            <w:tcW w:w="1820" w:type="dxa"/>
            <w:vAlign w:val="bottom"/>
            <w:tcBorders>
              <w:bottom w:val="single" w:sz="8" w:color="CCCCCC"/>
            </w:tcBorders>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4280" w:type="dxa"/>
            <w:vAlign w:val="bottom"/>
          </w:tcPr>
          <w:p>
            <w:pPr>
              <w:ind w:left="200"/>
              <w:spacing w:after="0"/>
              <w:rPr>
                <w:sz w:val="20"/>
                <w:szCs w:val="20"/>
                <w:color w:val="auto"/>
              </w:rPr>
            </w:pPr>
            <w:r>
              <w:rPr>
                <w:rFonts w:ascii="Arial" w:cs="Arial" w:eastAsia="Arial" w:hAnsi="Arial"/>
                <w:sz w:val="12"/>
                <w:szCs w:val="12"/>
                <w:b w:val="1"/>
                <w:bCs w:val="1"/>
                <w:color w:val="D60011"/>
              </w:rPr>
              <w:t>Item</w:t>
            </w:r>
          </w:p>
        </w:tc>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80" w:type="dxa"/>
            <w:vAlign w:val="bottom"/>
          </w:tcPr>
          <w:p>
            <w:pPr>
              <w:ind w:left="760"/>
              <w:spacing w:after="0"/>
              <w:rPr>
                <w:sz w:val="20"/>
                <w:szCs w:val="20"/>
                <w:color w:val="auto"/>
              </w:rPr>
            </w:pPr>
            <w:r>
              <w:rPr>
                <w:rFonts w:ascii="Arial" w:cs="Arial" w:eastAsia="Arial" w:hAnsi="Arial"/>
                <w:sz w:val="12"/>
                <w:szCs w:val="12"/>
                <w:color w:val="auto"/>
              </w:rPr>
              <w:t>Ratify the appointment of KPMG LLP as the Company’s</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760"/>
              <w:spacing w:after="0" w:line="135" w:lineRule="exact"/>
              <w:rPr>
                <w:sz w:val="20"/>
                <w:szCs w:val="20"/>
                <w:color w:val="auto"/>
              </w:rPr>
            </w:pPr>
            <w:r>
              <w:rPr>
                <w:rFonts w:ascii="Arial" w:cs="Arial" w:eastAsia="Arial" w:hAnsi="Arial"/>
                <w:sz w:val="12"/>
                <w:szCs w:val="12"/>
                <w:color w:val="auto"/>
              </w:rPr>
              <w:t>independent registered public accounting firm for the 2022 fiscal</w:t>
            </w:r>
          </w:p>
        </w:tc>
        <w:tc>
          <w:tcPr>
            <w:tcW w:w="1820" w:type="dxa"/>
            <w:vAlign w:val="bottom"/>
          </w:tcPr>
          <w:p>
            <w:pPr>
              <w:ind w:left="580"/>
              <w:spacing w:after="0" w:line="135" w:lineRule="exact"/>
              <w:rPr>
                <w:sz w:val="20"/>
                <w:szCs w:val="20"/>
                <w:color w:val="auto"/>
              </w:rPr>
            </w:pPr>
            <w:r>
              <w:rPr>
                <w:rFonts w:ascii="Arial" w:cs="Arial" w:eastAsia="Arial" w:hAnsi="Arial"/>
                <w:sz w:val="12"/>
                <w:szCs w:val="12"/>
                <w:b w:val="1"/>
                <w:bCs w:val="1"/>
                <w:color w:val="D60011"/>
              </w:rPr>
              <w:t>FOR</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tcPr>
          <w:p>
            <w:pPr>
              <w:ind w:left="760"/>
              <w:spacing w:after="0"/>
              <w:rPr>
                <w:sz w:val="20"/>
                <w:szCs w:val="20"/>
                <w:color w:val="auto"/>
              </w:rPr>
            </w:pPr>
            <w:r>
              <w:rPr>
                <w:rFonts w:ascii="Arial" w:cs="Arial" w:eastAsia="Arial" w:hAnsi="Arial"/>
                <w:sz w:val="12"/>
                <w:szCs w:val="12"/>
                <w:color w:val="auto"/>
              </w:rPr>
              <w:t>year</w:t>
            </w:r>
          </w:p>
        </w:tc>
        <w:tc>
          <w:tcPr>
            <w:tcW w:w="1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95885</wp:posOffset>
            </wp:positionV>
            <wp:extent cx="38747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4770" cy="5715"/>
                    </a:xfrm>
                    <a:prstGeom prst="rect">
                      <a:avLst/>
                    </a:prstGeom>
                    <a:noFill/>
                  </pic:spPr>
                </pic:pic>
              </a:graphicData>
            </a:graphic>
          </wp:anchor>
        </w:drawing>
        <w:drawing>
          <wp:anchor simplePos="0" relativeHeight="251657728" behindDoc="1" locked="0" layoutInCell="0" allowOverlap="1">
            <wp:simplePos x="0" y="0"/>
            <wp:positionH relativeFrom="column">
              <wp:posOffset>1377950</wp:posOffset>
            </wp:positionH>
            <wp:positionV relativeFrom="paragraph">
              <wp:posOffset>-2029460</wp:posOffset>
            </wp:positionV>
            <wp:extent cx="17716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7165" cy="25717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-1989455</wp:posOffset>
            </wp:positionV>
            <wp:extent cx="22288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15430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-1452245</wp:posOffset>
            </wp:positionV>
            <wp:extent cx="240030" cy="268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26860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-1406525</wp:posOffset>
            </wp:positionV>
            <wp:extent cx="22288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15430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-863600</wp:posOffset>
            </wp:positionV>
            <wp:extent cx="240030" cy="262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30" cy="262890"/>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-817880</wp:posOffset>
            </wp:positionV>
            <wp:extent cx="22288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15430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-280670</wp:posOffset>
            </wp:positionV>
            <wp:extent cx="245745"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745" cy="27432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-223520</wp:posOffset>
            </wp:positionV>
            <wp:extent cx="22288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 cy="154305"/>
                    </a:xfrm>
                    <a:prstGeom prst="rect">
                      <a:avLst/>
                    </a:prstGeom>
                    <a:noFill/>
                  </pic:spPr>
                </pic:pic>
              </a:graphicData>
            </a:graphic>
          </wp:anchor>
        </w:drawing>
      </w:r>
    </w:p>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Transact such other business as may properly come before the Annual Meeting and at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92075</wp:posOffset>
            </wp:positionV>
            <wp:extent cx="46634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183515</wp:posOffset>
            </wp:positionV>
            <wp:extent cx="36576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20" w:type="dxa"/>
            <w:vAlign w:val="bottom"/>
          </w:tcPr>
          <w:p>
            <w:pPr>
              <w:jc w:val="right"/>
              <w:ind w:right="2246"/>
              <w:spacing w:after="0"/>
              <w:rPr>
                <w:sz w:val="20"/>
                <w:szCs w:val="20"/>
                <w:color w:val="auto"/>
              </w:rPr>
            </w:pPr>
            <w:r>
              <w:rPr>
                <w:rFonts w:ascii="Arial" w:cs="Arial" w:eastAsia="Arial" w:hAnsi="Arial"/>
                <w:sz w:val="11"/>
                <w:szCs w:val="11"/>
                <w:b w:val="1"/>
                <w:bCs w:val="1"/>
                <w:color w:val="FFFFFF"/>
              </w:rPr>
              <w:t>1</w:t>
            </w:r>
          </w:p>
        </w:tc>
      </w:tr>
      <w:tr>
        <w:trPr>
          <w:trHeight w:val="174"/>
        </w:trPr>
        <w:tc>
          <w:tcPr>
            <w:tcW w:w="87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r>
    </w:tbl>
    <w:p>
      <w:pPr>
        <w:sectPr>
          <w:pgSz w:w="11900" w:h="16838" w:orient="portrait"/>
          <w:cols w:equalWidth="0" w:num="1">
            <w:col w:w="11300"/>
          </w:cols>
          <w:pgMar w:left="300" w:top="1440" w:right="299" w:bottom="1440" w:gutter="0" w:footer="0" w:header="0"/>
        </w:sectPr>
      </w:pPr>
    </w:p>
    <w:bookmarkStart w:id="8" w:name="page9"/>
    <w:bookmarkEnd w:id="8"/>
    <w:p>
      <w:pPr>
        <w:ind w:left="840"/>
        <w:spacing w:after="0"/>
        <w:rPr>
          <w:sz w:val="20"/>
          <w:szCs w:val="20"/>
          <w:color w:val="auto"/>
        </w:rPr>
      </w:pPr>
      <w:r>
        <w:rPr>
          <w:rFonts w:ascii="Arial" w:cs="Arial" w:eastAsia="Arial" w:hAnsi="Arial"/>
          <w:sz w:val="10"/>
          <w:szCs w:val="10"/>
          <w:b w:val="1"/>
          <w:bCs w:val="1"/>
          <w:color w:val="D60011"/>
        </w:rPr>
        <w:t>NOTICE OF ANNUAL MEETING</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PROXY VOTING</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1"/>
          <w:szCs w:val="11"/>
          <w:color w:val="auto"/>
        </w:rPr>
        <w:t>You may vote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90805</wp:posOffset>
            </wp:positionV>
            <wp:extent cx="46634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176530</wp:posOffset>
            </wp:positionV>
            <wp:extent cx="154305" cy="228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228600"/>
                    </a:xfrm>
                    <a:prstGeom prst="rect">
                      <a:avLst/>
                    </a:prstGeom>
                    <a:noFill/>
                  </pic:spPr>
                </pic:pic>
              </a:graphicData>
            </a:graphic>
          </wp:anchor>
        </w:drawing>
      </w:r>
    </w:p>
    <w:p>
      <w:pPr>
        <w:spacing w:after="0" w:line="268" w:lineRule="exact"/>
        <w:rPr>
          <w:sz w:val="20"/>
          <w:szCs w:val="20"/>
          <w:color w:val="auto"/>
        </w:rPr>
      </w:pPr>
    </w:p>
    <w:p>
      <w:pPr>
        <w:ind w:left="1800" w:right="899"/>
        <w:spacing w:after="0" w:line="269" w:lineRule="auto"/>
        <w:rPr>
          <w:sz w:val="20"/>
          <w:szCs w:val="20"/>
          <w:color w:val="auto"/>
        </w:rPr>
      </w:pPr>
      <w:r>
        <w:rPr>
          <w:rFonts w:ascii="Arial" w:cs="Arial" w:eastAsia="Arial" w:hAnsi="Arial"/>
          <w:sz w:val="10"/>
          <w:szCs w:val="10"/>
          <w:color w:val="auto"/>
        </w:rPr>
        <w:t>If you are located within the United States or Canada, you may vote your shares by calling 800-690-6903 and following the recorded instructions. Telephone voting is available 24 hours per day and will be accessible until 11:59 p.m. EDT on May 17, 2022. The telephone voting system has easy to follow instructions and allows you to confirm that the system has properly recorded your vote. If</w:t>
      </w:r>
    </w:p>
    <w:p>
      <w:pPr>
        <w:spacing w:after="0" w:line="1" w:lineRule="exact"/>
        <w:rPr>
          <w:sz w:val="20"/>
          <w:szCs w:val="20"/>
          <w:color w:val="auto"/>
        </w:rPr>
      </w:pPr>
    </w:p>
    <w:p>
      <w:pPr>
        <w:ind w:left="840"/>
        <w:spacing w:after="0"/>
        <w:tabs>
          <w:tab w:leader="none" w:pos="1780" w:val="left"/>
        </w:tabs>
        <w:rPr>
          <w:sz w:val="20"/>
          <w:szCs w:val="20"/>
          <w:color w:val="auto"/>
        </w:rPr>
      </w:pPr>
      <w:r>
        <w:rPr>
          <w:rFonts w:ascii="Arial" w:cs="Arial" w:eastAsia="Arial" w:hAnsi="Arial"/>
          <w:sz w:val="11"/>
          <w:szCs w:val="11"/>
          <w:b w:val="1"/>
          <w:bCs w:val="1"/>
          <w:color w:val="auto"/>
        </w:rPr>
        <w:t>TELEPHONE</w:t>
      </w:r>
      <w:r>
        <w:rPr>
          <w:sz w:val="20"/>
          <w:szCs w:val="20"/>
          <w:color w:val="auto"/>
        </w:rPr>
        <w:tab/>
      </w:r>
      <w:r>
        <w:rPr>
          <w:rFonts w:ascii="Arial" w:cs="Arial" w:eastAsia="Arial" w:hAnsi="Arial"/>
          <w:sz w:val="11"/>
          <w:szCs w:val="11"/>
          <w:color w:val="auto"/>
        </w:rPr>
        <w:t>you vote by telephone, you do NOT need to return a proxy card or VIF.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175895</wp:posOffset>
            </wp:positionV>
            <wp:extent cx="18859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93"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6580" w:type="dxa"/>
            <w:vAlign w:val="bottom"/>
          </w:tcPr>
          <w:p>
            <w:pPr>
              <w:ind w:left="200"/>
              <w:spacing w:after="0"/>
              <w:rPr>
                <w:sz w:val="20"/>
                <w:szCs w:val="20"/>
                <w:color w:val="auto"/>
              </w:rPr>
            </w:pPr>
            <w:r>
              <w:rPr>
                <w:rFonts w:ascii="Arial" w:cs="Arial" w:eastAsia="Arial" w:hAnsi="Arial"/>
                <w:sz w:val="11"/>
                <w:szCs w:val="11"/>
                <w:color w:val="auto"/>
              </w:rPr>
              <w:t>You may scan the QR Code provided to you to vote your shares through the internet with your mobile device. Internet voting is</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6580" w:type="dxa"/>
            <w:vAlign w:val="bottom"/>
          </w:tcPr>
          <w:p>
            <w:pPr>
              <w:ind w:left="200"/>
              <w:spacing w:after="0"/>
              <w:rPr>
                <w:sz w:val="20"/>
                <w:szCs w:val="20"/>
                <w:color w:val="auto"/>
              </w:rPr>
            </w:pPr>
            <w:r>
              <w:rPr>
                <w:rFonts w:ascii="Arial" w:cs="Arial" w:eastAsia="Arial" w:hAnsi="Arial"/>
                <w:sz w:val="11"/>
                <w:szCs w:val="11"/>
                <w:color w:val="auto"/>
                <w:w w:val="99"/>
              </w:rPr>
              <w:t>available 24 hours per day and will be accessible until 11:59 p.m. EDT on May 17, 2022. You will be able to confirm that the system</w:t>
            </w:r>
          </w:p>
        </w:tc>
        <w:tc>
          <w:tcPr>
            <w:tcW w:w="0" w:type="dxa"/>
            <w:vAlign w:val="bottom"/>
          </w:tcPr>
          <w:p>
            <w:pPr>
              <w:spacing w:after="0"/>
              <w:rPr>
                <w:sz w:val="1"/>
                <w:szCs w:val="1"/>
                <w:color w:val="auto"/>
              </w:rPr>
            </w:pPr>
          </w:p>
        </w:tc>
      </w:tr>
      <w:tr>
        <w:trPr>
          <w:trHeight w:val="142"/>
        </w:trPr>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SCANNING</w:t>
            </w:r>
          </w:p>
        </w:tc>
        <w:tc>
          <w:tcPr>
            <w:tcW w:w="6580" w:type="dxa"/>
            <w:vAlign w:val="bottom"/>
          </w:tcPr>
          <w:p>
            <w:pPr>
              <w:ind w:left="200"/>
              <w:spacing w:after="0"/>
              <w:rPr>
                <w:sz w:val="20"/>
                <w:szCs w:val="20"/>
                <w:color w:val="auto"/>
              </w:rPr>
            </w:pPr>
            <w:r>
              <w:rPr>
                <w:rFonts w:ascii="Arial" w:cs="Arial" w:eastAsia="Arial" w:hAnsi="Arial"/>
                <w:sz w:val="11"/>
                <w:szCs w:val="11"/>
                <w:color w:val="auto"/>
              </w:rPr>
              <w:t>has properly recorded your vote. If you scan your QR code to vote, you do NOT need to return a proxy card or VIF.</w:t>
            </w:r>
          </w:p>
        </w:tc>
        <w:tc>
          <w:tcPr>
            <w:tcW w:w="0" w:type="dxa"/>
            <w:vAlign w:val="bottom"/>
          </w:tcPr>
          <w:p>
            <w:pPr>
              <w:spacing w:after="0"/>
              <w:rPr>
                <w:sz w:val="1"/>
                <w:szCs w:val="1"/>
                <w:color w:val="auto"/>
              </w:rPr>
            </w:pPr>
          </w:p>
        </w:tc>
      </w:tr>
      <w:tr>
        <w:trPr>
          <w:trHeight w:val="60"/>
        </w:trPr>
        <w:tc>
          <w:tcPr>
            <w:tcW w:w="760" w:type="dxa"/>
            <w:vAlign w:val="bottom"/>
            <w:vMerge w:val="continue"/>
          </w:tcPr>
          <w:p>
            <w:pPr>
              <w:spacing w:after="0"/>
              <w:rPr>
                <w:sz w:val="5"/>
                <w:szCs w:val="5"/>
                <w:color w:val="auto"/>
              </w:rPr>
            </w:pPr>
          </w:p>
        </w:tc>
        <w:tc>
          <w:tcPr>
            <w:tcW w:w="6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760" w:type="dxa"/>
            <w:vAlign w:val="bottom"/>
            <w:tcBorders>
              <w:bottom w:val="single" w:sz="8" w:color="CCCCCC"/>
            </w:tcBorders>
          </w:tcPr>
          <w:p>
            <w:pPr>
              <w:spacing w:after="0"/>
              <w:rPr>
                <w:sz w:val="9"/>
                <w:szCs w:val="9"/>
                <w:color w:val="auto"/>
              </w:rPr>
            </w:pPr>
          </w:p>
        </w:tc>
        <w:tc>
          <w:tcPr>
            <w:tcW w:w="658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80010</wp:posOffset>
            </wp:positionV>
            <wp:extent cx="188595" cy="1943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194310"/>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AT THE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VIRTUAL</w:t>
      </w:r>
    </w:p>
    <w:p>
      <w:pPr>
        <w:ind w:left="840"/>
        <w:spacing w:after="0"/>
        <w:rPr>
          <w:sz w:val="20"/>
          <w:szCs w:val="20"/>
          <w:color w:val="auto"/>
        </w:rPr>
      </w:pPr>
      <w:r>
        <w:rPr>
          <w:rFonts w:ascii="Arial" w:cs="Arial" w:eastAsia="Arial" w:hAnsi="Arial"/>
          <w:sz w:val="11"/>
          <w:szCs w:val="11"/>
          <w:b w:val="1"/>
          <w:bCs w:val="1"/>
          <w:color w:val="auto"/>
        </w:rPr>
        <w:t>ANNUAL</w:t>
      </w:r>
    </w:p>
    <w:p>
      <w:pPr>
        <w:ind w:left="840"/>
        <w:spacing w:after="0"/>
        <w:rPr>
          <w:sz w:val="20"/>
          <w:szCs w:val="20"/>
          <w:color w:val="auto"/>
        </w:rPr>
      </w:pPr>
      <w:r>
        <w:rPr>
          <w:rFonts w:ascii="Arial" w:cs="Arial" w:eastAsia="Arial" w:hAnsi="Arial"/>
          <w:sz w:val="10"/>
          <w:szCs w:val="10"/>
          <w:b w:val="1"/>
          <w:bCs w:val="1"/>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172085</wp:posOffset>
            </wp:positionV>
            <wp:extent cx="188595" cy="182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595" cy="182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1199"/>
        <w:spacing w:after="0" w:line="268" w:lineRule="auto"/>
        <w:rPr>
          <w:sz w:val="20"/>
          <w:szCs w:val="20"/>
          <w:color w:val="auto"/>
        </w:rPr>
      </w:pPr>
      <w:r>
        <w:rPr>
          <w:rFonts w:ascii="Arial" w:cs="Arial" w:eastAsia="Arial" w:hAnsi="Arial"/>
          <w:sz w:val="11"/>
          <w:szCs w:val="11"/>
          <w:color w:val="auto"/>
        </w:rPr>
        <w:t>You may vote at the virtual Annual Meeting using the 16-digit control number included on your Notice, proxy card, and VIF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260350</wp:posOffset>
            </wp:positionV>
            <wp:extent cx="46634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474" w:lineRule="exact"/>
        <w:rPr>
          <w:sz w:val="20"/>
          <w:szCs w:val="20"/>
          <w:color w:val="auto"/>
        </w:rPr>
      </w:pPr>
    </w:p>
    <w:p>
      <w:pPr>
        <w:sectPr>
          <w:pgSz w:w="11900" w:h="16838" w:orient="portrait"/>
          <w:cols w:equalWidth="0" w:num="2">
            <w:col w:w="1320" w:space="480"/>
            <w:col w:w="7219"/>
          </w:cols>
          <w:pgMar w:left="1440" w:top="502" w:right="1440" w:bottom="1440" w:gutter="0" w:footer="0" w:header="0"/>
          <w:type w:val="continuous"/>
        </w:sectPr>
      </w:pPr>
    </w:p>
    <w:p>
      <w:pPr>
        <w:spacing w:after="0" w:line="107"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740" w:type="dxa"/>
            <w:vAlign w:val="bottom"/>
          </w:tcPr>
          <w:p>
            <w:pPr>
              <w:spacing w:after="0"/>
              <w:rPr>
                <w:sz w:val="10"/>
                <w:szCs w:val="10"/>
                <w:color w:val="auto"/>
              </w:rPr>
            </w:pPr>
          </w:p>
        </w:tc>
        <w:tc>
          <w:tcPr>
            <w:tcW w:w="6600" w:type="dxa"/>
            <w:vAlign w:val="bottom"/>
          </w:tcPr>
          <w:p>
            <w:pPr>
              <w:ind w:left="220"/>
              <w:spacing w:after="0"/>
              <w:rPr>
                <w:sz w:val="20"/>
                <w:szCs w:val="20"/>
                <w:color w:val="auto"/>
              </w:rPr>
            </w:pPr>
            <w:r>
              <w:rPr>
                <w:rFonts w:ascii="Arial" w:cs="Arial" w:eastAsia="Arial" w:hAnsi="Arial"/>
                <w:sz w:val="11"/>
                <w:szCs w:val="11"/>
                <w:color w:val="auto"/>
                <w:w w:val="98"/>
              </w:rPr>
              <w:t xml:space="preserve">You may vote your shares through the internet at </w:t>
            </w:r>
            <w:r>
              <w:rPr>
                <w:rFonts w:ascii="Arial" w:cs="Arial" w:eastAsia="Arial" w:hAnsi="Arial"/>
                <w:sz w:val="11"/>
                <w:szCs w:val="11"/>
                <w:b w:val="1"/>
                <w:bCs w:val="1"/>
                <w:color w:val="D60011"/>
                <w:w w:val="98"/>
              </w:rPr>
              <w:t>proxyvote.com</w:t>
            </w:r>
            <w:r>
              <w:rPr>
                <w:rFonts w:ascii="Arial" w:cs="Arial" w:eastAsia="Arial" w:hAnsi="Arial"/>
                <w:sz w:val="11"/>
                <w:szCs w:val="11"/>
                <w:color w:val="auto"/>
                <w:w w:val="98"/>
              </w:rPr>
              <w:t>. Internet voting is available 24 hours per day and will be accessible</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6600" w:type="dxa"/>
            <w:vAlign w:val="bottom"/>
          </w:tcPr>
          <w:p>
            <w:pPr>
              <w:ind w:left="220"/>
              <w:spacing w:after="0"/>
              <w:rPr>
                <w:sz w:val="20"/>
                <w:szCs w:val="20"/>
                <w:color w:val="auto"/>
              </w:rPr>
            </w:pPr>
            <w:r>
              <w:rPr>
                <w:rFonts w:ascii="Arial" w:cs="Arial" w:eastAsia="Arial" w:hAnsi="Arial"/>
                <w:sz w:val="11"/>
                <w:szCs w:val="11"/>
                <w:color w:val="auto"/>
              </w:rPr>
              <w:t>until 11:59 p.m. EDT on May 17, 2022. You will be able to confirm that the system has properly recorded your vote. If you vote</w:t>
            </w: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INTERNET</w:t>
            </w:r>
          </w:p>
        </w:tc>
        <w:tc>
          <w:tcPr>
            <w:tcW w:w="6600" w:type="dxa"/>
            <w:vAlign w:val="bottom"/>
          </w:tcPr>
          <w:p>
            <w:pPr>
              <w:ind w:left="220"/>
              <w:spacing w:after="0"/>
              <w:rPr>
                <w:sz w:val="20"/>
                <w:szCs w:val="20"/>
                <w:color w:val="auto"/>
              </w:rPr>
            </w:pPr>
            <w:r>
              <w:rPr>
                <w:rFonts w:ascii="Arial" w:cs="Arial" w:eastAsia="Arial" w:hAnsi="Arial"/>
                <w:sz w:val="11"/>
                <w:szCs w:val="11"/>
                <w:color w:val="auto"/>
              </w:rPr>
              <w:t>through the internet, you do NOT need to return a proxy card or VIF.</w:t>
            </w:r>
          </w:p>
        </w:tc>
        <w:tc>
          <w:tcPr>
            <w:tcW w:w="0" w:type="dxa"/>
            <w:vAlign w:val="bottom"/>
          </w:tcPr>
          <w:p>
            <w:pPr>
              <w:spacing w:after="0"/>
              <w:rPr>
                <w:sz w:val="1"/>
                <w:szCs w:val="1"/>
                <w:color w:val="auto"/>
              </w:rPr>
            </w:pPr>
          </w:p>
        </w:tc>
      </w:tr>
      <w:tr>
        <w:trPr>
          <w:trHeight w:val="51"/>
        </w:trPr>
        <w:tc>
          <w:tcPr>
            <w:tcW w:w="740" w:type="dxa"/>
            <w:vAlign w:val="bottom"/>
            <w:vMerge w:val="continue"/>
          </w:tcPr>
          <w:p>
            <w:pPr>
              <w:spacing w:after="0"/>
              <w:rPr>
                <w:sz w:val="4"/>
                <w:szCs w:val="4"/>
                <w:color w:val="auto"/>
              </w:rPr>
            </w:pPr>
          </w:p>
        </w:tc>
        <w:tc>
          <w:tcPr>
            <w:tcW w:w="6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740" w:type="dxa"/>
            <w:vAlign w:val="bottom"/>
            <w:tcBorders>
              <w:bottom w:val="single" w:sz="8" w:color="CCCCCC"/>
            </w:tcBorders>
          </w:tcPr>
          <w:p>
            <w:pPr>
              <w:spacing w:after="0"/>
              <w:rPr>
                <w:sz w:val="9"/>
                <w:szCs w:val="9"/>
                <w:color w:val="auto"/>
              </w:rPr>
            </w:pPr>
          </w:p>
        </w:tc>
        <w:tc>
          <w:tcPr>
            <w:tcW w:w="6600" w:type="dxa"/>
            <w:vAlign w:val="bottom"/>
            <w:tcBorders>
              <w:bottom w:val="single" w:sz="8" w:color="CCCCC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80010</wp:posOffset>
            </wp:positionV>
            <wp:extent cx="2000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0025" cy="171450"/>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178435</wp:posOffset>
            </wp:positionV>
            <wp:extent cx="1771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7165" cy="17145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APP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859"/>
        <w:spacing w:after="0" w:line="268" w:lineRule="auto"/>
        <w:rPr>
          <w:sz w:val="20"/>
          <w:szCs w:val="20"/>
          <w:color w:val="auto"/>
        </w:rPr>
      </w:pPr>
      <w:r>
        <w:rPr>
          <w:rFonts w:ascii="Arial" w:cs="Arial" w:eastAsia="Arial" w:hAnsi="Arial"/>
          <w:sz w:val="11"/>
          <w:szCs w:val="11"/>
          <w:color w:val="auto"/>
        </w:rPr>
        <w:t>If you received printed copies of the proxy materials by mail, you may vote by mail. Simply mark your proxy card or VIF, date and sign it, and return it in the postage-paid envelope that we included with your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128905</wp:posOffset>
            </wp:positionV>
            <wp:extent cx="46634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46" w:lineRule="exact"/>
        <w:rPr>
          <w:sz w:val="20"/>
          <w:szCs w:val="20"/>
          <w:color w:val="auto"/>
        </w:rPr>
      </w:pPr>
    </w:p>
    <w:p>
      <w:pPr>
        <w:ind w:right="899"/>
        <w:spacing w:after="0" w:line="248" w:lineRule="auto"/>
        <w:rPr>
          <w:sz w:val="20"/>
          <w:szCs w:val="20"/>
          <w:color w:val="auto"/>
        </w:rPr>
      </w:pPr>
      <w:r>
        <w:rPr>
          <w:rFonts w:ascii="Arial" w:cs="Arial" w:eastAsia="Arial" w:hAnsi="Arial"/>
          <w:sz w:val="11"/>
          <w:szCs w:val="11"/>
          <w:color w:val="auto"/>
        </w:rPr>
        <w:t>You may vote your shares by using the ProxyVote app. Download the app from the App Store or Google Play, scan or enter your control number, and vote. App voting is available 24 hours per day and will be accessible until 11:59 p.m. EDT on May 17, 2022. You will be able to confirm that the system has properly recorded your vote. If you vote using the app, you do NOT need to return a proxy card or VIF.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96520</wp:posOffset>
            </wp:positionV>
            <wp:extent cx="46634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700"/>
            <w:col w:w="7219"/>
          </w:cols>
          <w:pgMar w:left="1440" w:top="502" w:right="1440" w:bottom="1440" w:gutter="0" w:footer="0" w:header="0"/>
          <w:type w:val="continuous"/>
        </w:sectPr>
      </w:pPr>
    </w:p>
    <w:p>
      <w:pPr>
        <w:spacing w:after="0" w:line="87"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D60011"/>
        </w:rPr>
        <w:t>Important Notice Regarding the Availability of Proxy Materials for the Annual Meeting to be Held on May 18, 2022</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The Company’s Proxy Statement and Annual Report are available at </w:t>
      </w:r>
      <w:r>
        <w:rPr>
          <w:rFonts w:ascii="Arial" w:cs="Arial" w:eastAsia="Arial" w:hAnsi="Arial"/>
          <w:sz w:val="11"/>
          <w:szCs w:val="11"/>
          <w:b w:val="1"/>
          <w:bCs w:val="1"/>
          <w:color w:val="D60011"/>
        </w:rPr>
        <w:t>materials.proxyvote.com/344849</w:t>
      </w:r>
      <w:r>
        <w:rPr>
          <w:rFonts w:ascii="Arial" w:cs="Arial" w:eastAsia="Arial" w:hAnsi="Arial"/>
          <w:sz w:val="11"/>
          <w:szCs w:val="11"/>
          <w:color w:val="auto"/>
        </w:rPr>
        <w:t>.</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April 8, 2022</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D60011"/>
        </w:rPr>
        <w:t>SHEILAGH M. CLARKE</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Executive Vice President, General Counsel and Secretary</w:t>
      </w:r>
    </w:p>
    <w:p>
      <w:pPr>
        <w:spacing w:after="0" w:line="146" w:lineRule="exact"/>
        <w:rPr>
          <w:sz w:val="20"/>
          <w:szCs w:val="20"/>
          <w:color w:val="auto"/>
        </w:rPr>
      </w:pPr>
    </w:p>
    <w:p>
      <w:pPr>
        <w:ind w:left="1540" w:hanging="408"/>
        <w:spacing w:after="0"/>
        <w:tabs>
          <w:tab w:leader="none" w:pos="1540" w:val="left"/>
        </w:tabs>
        <w:numPr>
          <w:ilvl w:val="0"/>
          <w:numId w:val="7"/>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139700</wp:posOffset>
            </wp:positionV>
            <wp:extent cx="71780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340360</wp:posOffset>
            </wp:positionV>
            <wp:extent cx="4743450" cy="1045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74345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D60011"/>
        </w:rPr>
        <w:t>DEAR FELLOW SHAREHOLDERS:</w:t>
      </w:r>
    </w:p>
    <w:p>
      <w:pPr>
        <w:spacing w:after="0" w:line="56" w:lineRule="exact"/>
        <w:rPr>
          <w:sz w:val="20"/>
          <w:szCs w:val="20"/>
          <w:color w:val="auto"/>
        </w:rPr>
      </w:pPr>
    </w:p>
    <w:p>
      <w:pPr>
        <w:ind w:left="840" w:right="140"/>
        <w:spacing w:after="0" w:line="272" w:lineRule="auto"/>
        <w:rPr>
          <w:sz w:val="20"/>
          <w:szCs w:val="20"/>
          <w:color w:val="auto"/>
        </w:rPr>
      </w:pPr>
      <w:r>
        <w:rPr>
          <w:rFonts w:ascii="Arial" w:cs="Arial" w:eastAsia="Arial" w:hAnsi="Arial"/>
          <w:sz w:val="10"/>
          <w:szCs w:val="10"/>
          <w:color w:val="auto"/>
        </w:rPr>
        <w:t>Despite the many challenges we confronted and are continuing to experience—including impacts related to the COVID-19 pandemic, supply chain disruption, inflationary pressures, and an evolving geopolitical environment—we delivered record performance in 2021, which reflects the ongoing momentum we have built in our business. I believe the strategic decisions we have made throughout this period have put the Company in a position of strength to confront certain headwinds in the marketplace, including accelerated strategic shifts to DTC by our vendors, and succeed over the long term by creating shareholder value. Let me share with you a few recent highlights:</w:t>
      </w:r>
    </w:p>
    <w:p>
      <w:pPr>
        <w:spacing w:after="0" w:line="6" w:lineRule="exact"/>
        <w:rPr>
          <w:sz w:val="20"/>
          <w:szCs w:val="20"/>
          <w:color w:val="auto"/>
        </w:rPr>
      </w:pPr>
    </w:p>
    <w:p>
      <w:pPr>
        <w:ind w:left="1040" w:hanging="208"/>
        <w:spacing w:after="0" w:line="243" w:lineRule="auto"/>
        <w:tabs>
          <w:tab w:leader="none" w:pos="1040" w:val="left"/>
        </w:tabs>
        <w:numPr>
          <w:ilvl w:val="0"/>
          <w:numId w:val="8"/>
        </w:numPr>
        <w:rPr>
          <w:rFonts w:ascii="Times New Roman" w:cs="Times New Roman" w:eastAsia="Times New Roman" w:hAnsi="Times New Roman"/>
          <w:sz w:val="11"/>
          <w:szCs w:val="11"/>
          <w:b w:val="1"/>
          <w:bCs w:val="1"/>
          <w:color w:val="D60011"/>
        </w:rPr>
      </w:pPr>
      <w:r>
        <w:rPr>
          <w:rFonts w:ascii="Arial" w:cs="Arial" w:eastAsia="Arial" w:hAnsi="Arial"/>
          <w:sz w:val="11"/>
          <w:szCs w:val="11"/>
          <w:b w:val="1"/>
          <w:bCs w:val="1"/>
          <w:color w:val="D60011"/>
        </w:rPr>
        <w:t xml:space="preserve">Merchandise and Vendor Diversification. </w:t>
      </w:r>
      <w:r>
        <w:rPr>
          <w:rFonts w:ascii="Arial" w:cs="Arial" w:eastAsia="Arial" w:hAnsi="Arial"/>
          <w:sz w:val="11"/>
          <w:szCs w:val="11"/>
          <w:color w:val="000000"/>
        </w:rPr>
        <w:t>Our journey to diversify our mix of business and</w:t>
      </w:r>
      <w:r>
        <w:rPr>
          <w:rFonts w:ascii="Arial" w:cs="Arial" w:eastAsia="Arial" w:hAnsi="Arial"/>
          <w:sz w:val="11"/>
          <w:szCs w:val="11"/>
          <w:b w:val="1"/>
          <w:bCs w:val="1"/>
          <w:color w:val="D60011"/>
        </w:rPr>
        <w:t xml:space="preserve"> </w:t>
      </w:r>
      <w:r>
        <w:rPr>
          <w:rFonts w:ascii="Arial" w:cs="Arial" w:eastAsia="Arial" w:hAnsi="Arial"/>
          <w:sz w:val="11"/>
          <w:szCs w:val="11"/>
          <w:color w:val="000000"/>
        </w:rPr>
        <w:t>expand our reach as a house of brands is ongoing. We made significant progress diversifying our brands, categories, and channels in 2021. We also expanded our customer base across demographics and high-growth geographies with the acquisitions of WSS and atmos. We made investments in our omni-channel platform to advance our DTC offense and expanded our private label merchandise offerings. We will accelerate these initiatives and others in 2022 as a part of our long-term strategy to strengthen our position at the intersection of youth culture, sports and lifestyle, and the sneaker community.</w:t>
      </w:r>
    </w:p>
    <w:p>
      <w:pPr>
        <w:spacing w:after="0" w:line="18" w:lineRule="exact"/>
        <w:rPr>
          <w:rFonts w:ascii="Times New Roman" w:cs="Times New Roman" w:eastAsia="Times New Roman" w:hAnsi="Times New Roman"/>
          <w:sz w:val="11"/>
          <w:szCs w:val="11"/>
          <w:b w:val="1"/>
          <w:bCs w:val="1"/>
          <w:color w:val="D60011"/>
        </w:rPr>
      </w:pPr>
    </w:p>
    <w:p>
      <w:pPr>
        <w:ind w:left="1040" w:right="80" w:hanging="208"/>
        <w:spacing w:after="0" w:line="242" w:lineRule="auto"/>
        <w:tabs>
          <w:tab w:leader="none" w:pos="1040" w:val="left"/>
        </w:tabs>
        <w:numPr>
          <w:ilvl w:val="0"/>
          <w:numId w:val="8"/>
        </w:numPr>
        <w:rPr>
          <w:rFonts w:ascii="Times New Roman" w:cs="Times New Roman" w:eastAsia="Times New Roman" w:hAnsi="Times New Roman"/>
          <w:sz w:val="11"/>
          <w:szCs w:val="11"/>
          <w:b w:val="1"/>
          <w:bCs w:val="1"/>
          <w:color w:val="D60011"/>
        </w:rPr>
      </w:pPr>
      <w:r>
        <w:rPr>
          <w:rFonts w:ascii="Arial" w:cs="Arial" w:eastAsia="Arial" w:hAnsi="Arial"/>
          <w:sz w:val="11"/>
          <w:szCs w:val="11"/>
          <w:b w:val="1"/>
          <w:bCs w:val="1"/>
          <w:color w:val="D60011"/>
        </w:rPr>
        <w:t xml:space="preserve">Investments in Growth. </w:t>
      </w:r>
      <w:r>
        <w:rPr>
          <w:rFonts w:ascii="Arial" w:cs="Arial" w:eastAsia="Arial" w:hAnsi="Arial"/>
          <w:sz w:val="11"/>
          <w:szCs w:val="11"/>
          <w:color w:val="000000"/>
        </w:rPr>
        <w:t>We added two high-growth companies–WSS and atmos–to the Foot</w:t>
      </w:r>
      <w:r>
        <w:rPr>
          <w:rFonts w:ascii="Arial" w:cs="Arial" w:eastAsia="Arial" w:hAnsi="Arial"/>
          <w:sz w:val="11"/>
          <w:szCs w:val="11"/>
          <w:b w:val="1"/>
          <w:bCs w:val="1"/>
          <w:color w:val="D60011"/>
        </w:rPr>
        <w:t xml:space="preserve"> </w:t>
      </w:r>
      <w:r>
        <w:rPr>
          <w:rFonts w:ascii="Arial" w:cs="Arial" w:eastAsia="Arial" w:hAnsi="Arial"/>
          <w:sz w:val="11"/>
          <w:szCs w:val="11"/>
          <w:color w:val="000000"/>
        </w:rPr>
        <w:t>Locker, Inc. family in 2021, each with its own differentiated strengths. These strategic acquisitions expand our customer base and geographic reach, strengthen our store footprint, and further diversify our product mix across consumers and price points. WSS, which we expect to double to approximately $1 billion of sales by 2024, gives us a strong off-mall presence in fast-growing markets with a full family offering and a special connection to the Hispanic community. atmos, which we expect to grow by 30% to approximately $300 million of sales over the next three years, provides us with a foothold in Japan and a key launching point into the rest of Asia with a digitally-led business model that combines premium product and creative collaborations to create excitement around the banner.</w:t>
      </w:r>
    </w:p>
    <w:p>
      <w:pPr>
        <w:spacing w:after="0" w:line="20" w:lineRule="exact"/>
        <w:rPr>
          <w:rFonts w:ascii="Times New Roman" w:cs="Times New Roman" w:eastAsia="Times New Roman" w:hAnsi="Times New Roman"/>
          <w:sz w:val="11"/>
          <w:szCs w:val="11"/>
          <w:b w:val="1"/>
          <w:bCs w:val="1"/>
          <w:color w:val="D60011"/>
        </w:rPr>
      </w:pPr>
    </w:p>
    <w:p>
      <w:pPr>
        <w:ind w:left="1040" w:right="100" w:hanging="208"/>
        <w:spacing w:after="0" w:line="241" w:lineRule="auto"/>
        <w:tabs>
          <w:tab w:leader="none" w:pos="1040" w:val="left"/>
        </w:tabs>
        <w:numPr>
          <w:ilvl w:val="0"/>
          <w:numId w:val="8"/>
        </w:numPr>
        <w:rPr>
          <w:rFonts w:ascii="Times New Roman" w:cs="Times New Roman" w:eastAsia="Times New Roman" w:hAnsi="Times New Roman"/>
          <w:sz w:val="11"/>
          <w:szCs w:val="11"/>
          <w:b w:val="1"/>
          <w:bCs w:val="1"/>
          <w:color w:val="D60011"/>
        </w:rPr>
      </w:pPr>
      <w:r>
        <w:rPr>
          <w:rFonts w:ascii="Arial" w:cs="Arial" w:eastAsia="Arial" w:hAnsi="Arial"/>
          <w:sz w:val="11"/>
          <w:szCs w:val="11"/>
          <w:b w:val="1"/>
          <w:bCs w:val="1"/>
          <w:color w:val="D60011"/>
        </w:rPr>
        <w:t xml:space="preserve">Climate Stewardship. </w:t>
      </w:r>
      <w:r>
        <w:rPr>
          <w:rFonts w:ascii="Arial" w:cs="Arial" w:eastAsia="Arial" w:hAnsi="Arial"/>
          <w:sz w:val="11"/>
          <w:szCs w:val="11"/>
          <w:color w:val="000000"/>
        </w:rPr>
        <w:t>Management and the Board have established ESG as a priority for the</w:t>
      </w:r>
      <w:r>
        <w:rPr>
          <w:rFonts w:ascii="Arial" w:cs="Arial" w:eastAsia="Arial" w:hAnsi="Arial"/>
          <w:sz w:val="11"/>
          <w:szCs w:val="11"/>
          <w:b w:val="1"/>
          <w:bCs w:val="1"/>
          <w:color w:val="D60011"/>
        </w:rPr>
        <w:t xml:space="preserve"> </w:t>
      </w:r>
      <w:r>
        <w:rPr>
          <w:rFonts w:ascii="Arial" w:cs="Arial" w:eastAsia="Arial" w:hAnsi="Arial"/>
          <w:sz w:val="11"/>
          <w:szCs w:val="11"/>
          <w:color w:val="000000"/>
        </w:rPr>
        <w:t xml:space="preserve">Company. We are committed to helping our planet remain a sustainable home for current and future generations. Unabated climate change presents risks for our business, industry, and society, but through climate stewardship, we may unlock opportunities to innovate and strengthen our relationships with our customers and the communities we serve. We recently announced our ambition to achieve net zero GHG emissions by 2050 or sooner, in alignment with climate scientists’ recommendations to transition toward a net zero state and avoid the worst impacts of climate change. We have also committed to setting a science-based target in line with the criteria established by the Science Based Target initiative (SBTi) and report our progress against certain metrics regarding our GHG emissions annually in our Impact Report, which is available at </w:t>
      </w:r>
      <w:r>
        <w:rPr>
          <w:rFonts w:ascii="Arial" w:cs="Arial" w:eastAsia="Arial" w:hAnsi="Arial"/>
          <w:sz w:val="11"/>
          <w:szCs w:val="11"/>
          <w:b w:val="1"/>
          <w:bCs w:val="1"/>
          <w:color w:val="D60011"/>
        </w:rPr>
        <w:t>investors.footlocker-inc.com/impactreport</w:t>
      </w:r>
      <w:r>
        <w:rPr>
          <w:rFonts w:ascii="Arial" w:cs="Arial" w:eastAsia="Arial" w:hAnsi="Arial"/>
          <w:sz w:val="11"/>
          <w:szCs w:val="11"/>
          <w:color w:val="000000"/>
        </w:rPr>
        <w:t>, and is aligned with the reporting disclosure</w:t>
      </w:r>
      <w:r>
        <w:rPr>
          <w:rFonts w:ascii="Arial" w:cs="Arial" w:eastAsia="Arial" w:hAnsi="Arial"/>
          <w:sz w:val="11"/>
          <w:szCs w:val="11"/>
          <w:b w:val="1"/>
          <w:bCs w:val="1"/>
          <w:color w:val="D60011"/>
        </w:rPr>
        <w:t xml:space="preserve"> </w:t>
      </w:r>
      <w:r>
        <w:rPr>
          <w:rFonts w:ascii="Arial" w:cs="Arial" w:eastAsia="Arial" w:hAnsi="Arial"/>
          <w:sz w:val="11"/>
          <w:szCs w:val="11"/>
          <w:color w:val="000000"/>
        </w:rPr>
        <w:t xml:space="preserve">guidance of the SASB industry standards and the TCFD recommendations. This announcement marks an important milestone in our ESG journey. As the Company looks to fiscal 2022 and beyond, we are committed to building on this progress and strengthening our vision for a more sustainable world. To learn more about our efforts to power a more sustainable future, see </w:t>
      </w:r>
      <w:r>
        <w:rPr>
          <w:rFonts w:ascii="Arial" w:cs="Arial" w:eastAsia="Arial" w:hAnsi="Arial"/>
          <w:sz w:val="11"/>
          <w:szCs w:val="11"/>
          <w:b w:val="1"/>
          <w:bCs w:val="1"/>
          <w:color w:val="D60011"/>
        </w:rPr>
        <w:t>ESG</w:t>
      </w:r>
      <w:r>
        <w:rPr>
          <w:rFonts w:ascii="Arial" w:cs="Arial" w:eastAsia="Arial" w:hAnsi="Arial"/>
          <w:sz w:val="11"/>
          <w:szCs w:val="11"/>
          <w:color w:val="000000"/>
        </w:rPr>
        <w:t xml:space="preserve"> on page 96, and our Global Environmental and Climate Change Statement, which is available at </w:t>
      </w:r>
      <w:r>
        <w:rPr>
          <w:rFonts w:ascii="Arial" w:cs="Arial" w:eastAsia="Arial" w:hAnsi="Arial"/>
          <w:sz w:val="11"/>
          <w:szCs w:val="11"/>
          <w:b w:val="1"/>
          <w:bCs w:val="1"/>
          <w:color w:val="D60011"/>
        </w:rPr>
        <w:t>investors.footlocker-inc.com/climate</w:t>
      </w:r>
      <w:r>
        <w:rPr>
          <w:rFonts w:ascii="Arial" w:cs="Arial" w:eastAsia="Arial" w:hAnsi="Arial"/>
          <w:sz w:val="11"/>
          <w:szCs w:val="11"/>
          <w:color w:val="000000"/>
        </w:rPr>
        <w:t>.</w:t>
      </w:r>
    </w:p>
    <w:p>
      <w:pPr>
        <w:spacing w:after="0" w:line="18" w:lineRule="exact"/>
        <w:rPr>
          <w:rFonts w:ascii="Times New Roman" w:cs="Times New Roman" w:eastAsia="Times New Roman" w:hAnsi="Times New Roman"/>
          <w:sz w:val="11"/>
          <w:szCs w:val="11"/>
          <w:b w:val="1"/>
          <w:bCs w:val="1"/>
          <w:color w:val="D60011"/>
        </w:rPr>
      </w:pPr>
    </w:p>
    <w:p>
      <w:pPr>
        <w:ind w:left="1040" w:right="60" w:hanging="208"/>
        <w:spacing w:after="0" w:line="246" w:lineRule="auto"/>
        <w:tabs>
          <w:tab w:leader="none" w:pos="1040" w:val="left"/>
        </w:tabs>
        <w:numPr>
          <w:ilvl w:val="0"/>
          <w:numId w:val="8"/>
        </w:numPr>
        <w:rPr>
          <w:rFonts w:ascii="Times New Roman" w:cs="Times New Roman" w:eastAsia="Times New Roman" w:hAnsi="Times New Roman"/>
          <w:sz w:val="11"/>
          <w:szCs w:val="11"/>
          <w:b w:val="1"/>
          <w:bCs w:val="1"/>
          <w:color w:val="D60011"/>
        </w:rPr>
      </w:pPr>
      <w:r>
        <w:rPr>
          <w:rFonts w:ascii="Arial" w:cs="Arial" w:eastAsia="Arial" w:hAnsi="Arial"/>
          <w:sz w:val="11"/>
          <w:szCs w:val="11"/>
          <w:b w:val="1"/>
          <w:bCs w:val="1"/>
          <w:color w:val="D60011"/>
        </w:rPr>
        <w:t xml:space="preserve">Human Rights. </w:t>
      </w:r>
      <w:r>
        <w:rPr>
          <w:rFonts w:ascii="Arial" w:cs="Arial" w:eastAsia="Arial" w:hAnsi="Arial"/>
          <w:sz w:val="11"/>
          <w:szCs w:val="11"/>
          <w:color w:val="000000"/>
        </w:rPr>
        <w:t>Our human capital is our most important asset. Protecting our team members, our</w:t>
      </w:r>
      <w:r>
        <w:rPr>
          <w:rFonts w:ascii="Arial" w:cs="Arial" w:eastAsia="Arial" w:hAnsi="Arial"/>
          <w:sz w:val="11"/>
          <w:szCs w:val="11"/>
          <w:b w:val="1"/>
          <w:bCs w:val="1"/>
          <w:color w:val="D60011"/>
        </w:rPr>
        <w:t xml:space="preserve"> </w:t>
      </w:r>
      <w:r>
        <w:rPr>
          <w:rFonts w:ascii="Arial" w:cs="Arial" w:eastAsia="Arial" w:hAnsi="Arial"/>
          <w:sz w:val="11"/>
          <w:szCs w:val="11"/>
          <w:color w:val="000000"/>
        </w:rPr>
        <w:t>customers, and the communities we serve is one of the most pressing challenges we face. We are proud to create jobs and secure livelihoods for our team members, provide products and engagement for our customers, support community development, and provide tax revenue for governments around the world to invest in the well-being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1148080</wp:posOffset>
            </wp:positionV>
            <wp:extent cx="71780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-5715</wp:posOffset>
            </wp:positionV>
            <wp:extent cx="4743450" cy="1040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43450" cy="1040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999"/>
        <w:spacing w:after="0" w:line="205" w:lineRule="auto"/>
        <w:rPr>
          <w:sz w:val="20"/>
          <w:szCs w:val="20"/>
          <w:color w:val="auto"/>
        </w:rPr>
      </w:pPr>
      <w:r>
        <w:rPr>
          <w:rFonts w:ascii="Times New Roman" w:cs="Times New Roman" w:eastAsia="Times New Roman" w:hAnsi="Times New Roman"/>
          <w:sz w:val="72"/>
          <w:szCs w:val="72"/>
          <w:b w:val="1"/>
          <w:bCs w:val="1"/>
          <w:color w:val="D60010"/>
        </w:rPr>
        <w:t>“</w:t>
      </w:r>
      <w:r>
        <w:rPr>
          <w:rFonts w:ascii="Times New Roman" w:cs="Times New Roman" w:eastAsia="Times New Roman" w:hAnsi="Times New Roman"/>
          <w:sz w:val="21"/>
          <w:szCs w:val="21"/>
          <w:b w:val="1"/>
          <w:bCs w:val="1"/>
          <w:color w:val="000000"/>
        </w:rPr>
        <w:t>Weknow that our</w:t>
      </w:r>
      <w:r>
        <w:rPr>
          <w:rFonts w:ascii="Times New Roman" w:cs="Times New Roman" w:eastAsia="Times New Roman" w:hAnsi="Times New Roman"/>
          <w:sz w:val="72"/>
          <w:szCs w:val="72"/>
          <w:b w:val="1"/>
          <w:bCs w:val="1"/>
          <w:color w:val="D60010"/>
        </w:rPr>
        <w:t xml:space="preserve"> </w:t>
      </w:r>
      <w:r>
        <w:rPr>
          <w:rFonts w:ascii="Times New Roman" w:cs="Times New Roman" w:eastAsia="Times New Roman" w:hAnsi="Times New Roman"/>
          <w:sz w:val="21"/>
          <w:szCs w:val="21"/>
          <w:b w:val="1"/>
          <w:bCs w:val="1"/>
          <w:color w:val="000000"/>
        </w:rPr>
        <w:t>customer demands choice across a variety of brands and categories, so we continue to work to broaden our selection, including leaning into brands where we are under-penetrated, introducing new brand partners, and developing our own private labels.</w:t>
      </w:r>
      <w:r>
        <w:rPr>
          <w:rFonts w:ascii="Times New Roman" w:cs="Times New Roman" w:eastAsia="Times New Roman" w:hAnsi="Times New Roman"/>
          <w:sz w:val="21"/>
          <w:szCs w:val="21"/>
          <w:b w:val="1"/>
          <w:bCs w:val="1"/>
          <w:color w:val="D60011"/>
        </w:rPr>
        <w:t>”</w:t>
      </w:r>
    </w:p>
    <w:p>
      <w:pPr>
        <w:sectPr>
          <w:pgSz w:w="11900" w:h="16838" w:orient="portrait"/>
          <w:cols w:equalWidth="0" w:num="2">
            <w:col w:w="5800" w:space="160"/>
            <w:col w:w="3059"/>
          </w:cols>
          <w:pgMar w:left="1440" w:top="1440" w:right="1440" w:bottom="1440" w:gutter="0" w:footer="0" w:header="0"/>
        </w:sectPr>
      </w:pPr>
    </w:p>
    <w:bookmarkStart w:id="10" w:name="page11"/>
    <w:bookmarkEnd w:id="10"/>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237490</wp:posOffset>
            </wp:positionV>
            <wp:extent cx="4743450" cy="702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743450" cy="702945"/>
                    </a:xfrm>
                    <a:prstGeom prst="rect">
                      <a:avLst/>
                    </a:prstGeom>
                    <a:noFill/>
                  </pic:spPr>
                </pic:pic>
              </a:graphicData>
            </a:graphic>
          </wp:anchor>
        </w:drawing>
      </w:r>
    </w:p>
    <w:p>
      <w:pPr>
        <w:ind w:left="1040" w:right="4679"/>
        <w:spacing w:after="0" w:line="243" w:lineRule="auto"/>
        <w:rPr>
          <w:sz w:val="20"/>
          <w:szCs w:val="20"/>
          <w:color w:val="auto"/>
        </w:rPr>
      </w:pPr>
      <w:r>
        <w:rPr>
          <w:rFonts w:ascii="Arial" w:cs="Arial" w:eastAsia="Arial" w:hAnsi="Arial"/>
          <w:sz w:val="11"/>
          <w:szCs w:val="11"/>
          <w:color w:val="auto"/>
        </w:rPr>
        <w:t xml:space="preserve">people. Specifically, we have policies in place to ensure that we and our partners maintain work environments that respect and support human rights for everyone in our value chain around the world. This is a public good for all stakeholders. For additional information regarding our human rights efforts, see </w:t>
      </w:r>
      <w:r>
        <w:rPr>
          <w:rFonts w:ascii="Arial" w:cs="Arial" w:eastAsia="Arial" w:hAnsi="Arial"/>
          <w:sz w:val="11"/>
          <w:szCs w:val="11"/>
          <w:b w:val="1"/>
          <w:bCs w:val="1"/>
          <w:color w:val="D60011"/>
        </w:rPr>
        <w:t>ESG</w:t>
      </w:r>
      <w:r>
        <w:rPr>
          <w:rFonts w:ascii="Arial" w:cs="Arial" w:eastAsia="Arial" w:hAnsi="Arial"/>
          <w:sz w:val="11"/>
          <w:szCs w:val="11"/>
          <w:color w:val="auto"/>
        </w:rPr>
        <w:t xml:space="preserve"> on page 96, our Impact Report, which is available at </w:t>
      </w:r>
      <w:r>
        <w:rPr>
          <w:rFonts w:ascii="Arial" w:cs="Arial" w:eastAsia="Arial" w:hAnsi="Arial"/>
          <w:sz w:val="11"/>
          <w:szCs w:val="11"/>
          <w:b w:val="1"/>
          <w:bCs w:val="1"/>
          <w:color w:val="D60011"/>
        </w:rPr>
        <w:t>investors.footlocker-inc.com/impactreport</w:t>
      </w:r>
      <w:r>
        <w:rPr>
          <w:rFonts w:ascii="Arial" w:cs="Arial" w:eastAsia="Arial" w:hAnsi="Arial"/>
          <w:sz w:val="11"/>
          <w:szCs w:val="11"/>
          <w:color w:val="000000"/>
        </w:rPr>
        <w:t>, our Global Human Rights Statement, which</w:t>
      </w:r>
      <w:r>
        <w:rPr>
          <w:rFonts w:ascii="Arial" w:cs="Arial" w:eastAsia="Arial" w:hAnsi="Arial"/>
          <w:sz w:val="11"/>
          <w:szCs w:val="11"/>
          <w:b w:val="1"/>
          <w:bCs w:val="1"/>
          <w:color w:val="D60011"/>
        </w:rPr>
        <w:t xml:space="preserve"> </w:t>
      </w:r>
      <w:r>
        <w:rPr>
          <w:rFonts w:ascii="Arial" w:cs="Arial" w:eastAsia="Arial" w:hAnsi="Arial"/>
          <w:sz w:val="11"/>
          <w:szCs w:val="11"/>
          <w:color w:val="000000"/>
        </w:rPr>
        <w:t xml:space="preserve">is available at </w:t>
      </w:r>
      <w:r>
        <w:rPr>
          <w:rFonts w:ascii="Arial" w:cs="Arial" w:eastAsia="Arial" w:hAnsi="Arial"/>
          <w:sz w:val="11"/>
          <w:szCs w:val="11"/>
          <w:b w:val="1"/>
          <w:bCs w:val="1"/>
          <w:color w:val="D60011"/>
        </w:rPr>
        <w:t>investors.footlocker-inc.com/ humanrights</w:t>
      </w:r>
      <w:r>
        <w:rPr>
          <w:rFonts w:ascii="Arial" w:cs="Arial" w:eastAsia="Arial" w:hAnsi="Arial"/>
          <w:sz w:val="11"/>
          <w:szCs w:val="11"/>
          <w:color w:val="000000"/>
        </w:rPr>
        <w:t xml:space="preserve">, and our Global Sourcing Guidelines, which are available at </w:t>
      </w:r>
      <w:r>
        <w:rPr>
          <w:rFonts w:ascii="Arial" w:cs="Arial" w:eastAsia="Arial" w:hAnsi="Arial"/>
          <w:sz w:val="11"/>
          <w:szCs w:val="11"/>
          <w:b w:val="1"/>
          <w:bCs w:val="1"/>
          <w:color w:val="D60011"/>
        </w:rPr>
        <w:t>investors.footlocker-inc.com/gsg</w:t>
      </w:r>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-807085</wp:posOffset>
            </wp:positionV>
            <wp:extent cx="2171700" cy="42805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71700" cy="4280535"/>
                    </a:xfrm>
                    <a:prstGeom prst="rect">
                      <a:avLst/>
                    </a:prstGeom>
                    <a:noFill/>
                  </pic:spPr>
                </pic:pic>
              </a:graphicData>
            </a:graphic>
          </wp:anchor>
        </w:drawing>
      </w:r>
    </w:p>
    <w:p>
      <w:pPr>
        <w:ind w:left="1040" w:right="4679" w:hanging="208"/>
        <w:spacing w:after="0" w:line="266" w:lineRule="auto"/>
        <w:tabs>
          <w:tab w:leader="none" w:pos="1040" w:val="left"/>
        </w:tabs>
        <w:numPr>
          <w:ilvl w:val="0"/>
          <w:numId w:val="9"/>
        </w:numPr>
        <w:rPr>
          <w:rFonts w:ascii="Times New Roman" w:cs="Times New Roman" w:eastAsia="Times New Roman" w:hAnsi="Times New Roman"/>
          <w:sz w:val="10"/>
          <w:szCs w:val="10"/>
          <w:b w:val="1"/>
          <w:bCs w:val="1"/>
          <w:color w:val="D60011"/>
        </w:rPr>
      </w:pPr>
      <w:r>
        <w:rPr>
          <w:rFonts w:ascii="Arial" w:cs="Arial" w:eastAsia="Arial" w:hAnsi="Arial"/>
          <w:sz w:val="10"/>
          <w:szCs w:val="10"/>
          <w:b w:val="1"/>
          <w:bCs w:val="1"/>
          <w:color w:val="D60011"/>
        </w:rPr>
        <w:t xml:space="preserve">Organizational Enhancements. </w:t>
      </w:r>
      <w:r>
        <w:rPr>
          <w:rFonts w:ascii="Arial" w:cs="Arial" w:eastAsia="Arial" w:hAnsi="Arial"/>
          <w:sz w:val="10"/>
          <w:szCs w:val="10"/>
          <w:color w:val="000000"/>
        </w:rPr>
        <w:t>In November 2021, we made</w:t>
      </w:r>
      <w:r>
        <w:rPr>
          <w:rFonts w:ascii="Arial" w:cs="Arial" w:eastAsia="Arial" w:hAnsi="Arial"/>
          <w:sz w:val="10"/>
          <w:szCs w:val="10"/>
          <w:b w:val="1"/>
          <w:bCs w:val="1"/>
          <w:color w:val="D60011"/>
        </w:rPr>
        <w:t xml:space="preserve"> </w:t>
      </w:r>
      <w:r>
        <w:rPr>
          <w:rFonts w:ascii="Arial" w:cs="Arial" w:eastAsia="Arial" w:hAnsi="Arial"/>
          <w:sz w:val="10"/>
          <w:szCs w:val="10"/>
          <w:color w:val="000000"/>
        </w:rPr>
        <w:t>certain organizational enhancements, including elevating Frank Bracken to the new role of Executive Vice President and Chief Operating Officer. The addition of a Chief Operating Officer creates a more streamlined and agile organizational structure that builds on the success of our geo-focused growth strategy. We believe we will be in a stronger position to address new and emerging opportunities and to grow our connectivity with our consumers and the communities we serve. In March 2022, we recruited Samantha Lomow from outside the Company as our first President, Global Brands, reporting to Frank, to oversee our global brand portfolio and operating divisions across North America, EMEA, and APAC. Also, as part of a planned succession strategy, in April 2021, we recruited Andrew Page from outside the Company as Executive Vice President and Chief Financial Officer, succeeding Lauren Peters, who retired from the Company. Each of these organizational enhancements underscores our focus on aligning our team to drive productivity while we continue to pursue our global growth agenda.</w:t>
      </w:r>
    </w:p>
    <w:p>
      <w:pPr>
        <w:spacing w:after="0" w:line="136" w:lineRule="exact"/>
        <w:rPr>
          <w:rFonts w:ascii="Times New Roman" w:cs="Times New Roman" w:eastAsia="Times New Roman" w:hAnsi="Times New Roman"/>
          <w:sz w:val="10"/>
          <w:szCs w:val="10"/>
          <w:b w:val="1"/>
          <w:bCs w:val="1"/>
          <w:color w:val="D60011"/>
        </w:rPr>
      </w:pPr>
    </w:p>
    <w:p>
      <w:pPr>
        <w:ind w:left="1040" w:right="4679" w:hanging="208"/>
        <w:spacing w:after="0" w:line="242" w:lineRule="auto"/>
        <w:tabs>
          <w:tab w:leader="none" w:pos="1040" w:val="left"/>
        </w:tabs>
        <w:numPr>
          <w:ilvl w:val="0"/>
          <w:numId w:val="9"/>
        </w:numPr>
        <w:rPr>
          <w:rFonts w:ascii="Times New Roman" w:cs="Times New Roman" w:eastAsia="Times New Roman" w:hAnsi="Times New Roman"/>
          <w:sz w:val="11"/>
          <w:szCs w:val="11"/>
          <w:b w:val="1"/>
          <w:bCs w:val="1"/>
          <w:color w:val="D60011"/>
        </w:rPr>
      </w:pPr>
      <w:r>
        <w:rPr>
          <w:rFonts w:ascii="Arial" w:cs="Arial" w:eastAsia="Arial" w:hAnsi="Arial"/>
          <w:sz w:val="11"/>
          <w:szCs w:val="11"/>
          <w:b w:val="1"/>
          <w:bCs w:val="1"/>
          <w:color w:val="D60011"/>
        </w:rPr>
        <w:t xml:space="preserve">Board Refreshment. </w:t>
      </w:r>
      <w:r>
        <w:rPr>
          <w:rFonts w:ascii="Arial" w:cs="Arial" w:eastAsia="Arial" w:hAnsi="Arial"/>
          <w:sz w:val="11"/>
          <w:szCs w:val="11"/>
          <w:color w:val="000000"/>
        </w:rPr>
        <w:t>I want to thank Matt McKenna who will be</w:t>
      </w:r>
      <w:r>
        <w:rPr>
          <w:rFonts w:ascii="Arial" w:cs="Arial" w:eastAsia="Arial" w:hAnsi="Arial"/>
          <w:sz w:val="11"/>
          <w:szCs w:val="11"/>
          <w:b w:val="1"/>
          <w:bCs w:val="1"/>
          <w:color w:val="D60011"/>
        </w:rPr>
        <w:t xml:space="preserve"> </w:t>
      </w:r>
      <w:r>
        <w:rPr>
          <w:rFonts w:ascii="Arial" w:cs="Arial" w:eastAsia="Arial" w:hAnsi="Arial"/>
          <w:sz w:val="11"/>
          <w:szCs w:val="11"/>
          <w:color w:val="000000"/>
        </w:rPr>
        <w:t>retiring from the Board at the Annual Meeting after serving for 16 years. Matt’s extensive financial experience has been an invaluable source of insights, and I can say on behalf of the Board and myself that he will be truly missed. I also welcome Gina Drosos who joined our Board in February. Gina is a dynamic and transformative leader with an impressive background and track record. She embodies what we seek from our directors–an agile mindset, proven leadership, and innovative thinking.</w:t>
      </w:r>
    </w:p>
    <w:p>
      <w:pPr>
        <w:spacing w:after="0" w:line="94" w:lineRule="exact"/>
        <w:rPr>
          <w:sz w:val="20"/>
          <w:szCs w:val="20"/>
          <w:color w:val="auto"/>
        </w:rPr>
      </w:pPr>
    </w:p>
    <w:p>
      <w:pPr>
        <w:ind w:left="840" w:right="4699"/>
        <w:spacing w:after="0" w:line="279" w:lineRule="auto"/>
        <w:rPr>
          <w:sz w:val="20"/>
          <w:szCs w:val="20"/>
          <w:color w:val="auto"/>
        </w:rPr>
      </w:pPr>
      <w:r>
        <w:rPr>
          <w:rFonts w:ascii="Arial" w:cs="Arial" w:eastAsia="Arial" w:hAnsi="Arial"/>
          <w:sz w:val="11"/>
          <w:szCs w:val="11"/>
          <w:color w:val="auto"/>
        </w:rPr>
        <w:t xml:space="preserve">In addition to this Proxy Statement, I encourage you to review our Annual Report, which is available at </w:t>
      </w:r>
      <w:r>
        <w:rPr>
          <w:rFonts w:ascii="Arial" w:cs="Arial" w:eastAsia="Arial" w:hAnsi="Arial"/>
          <w:sz w:val="11"/>
          <w:szCs w:val="11"/>
          <w:b w:val="1"/>
          <w:bCs w:val="1"/>
          <w:color w:val="D60011"/>
        </w:rPr>
        <w:t>investors.footlocker-inc.com/ar</w:t>
      </w:r>
      <w:r>
        <w:rPr>
          <w:rFonts w:ascii="Arial" w:cs="Arial" w:eastAsia="Arial" w:hAnsi="Arial"/>
          <w:sz w:val="11"/>
          <w:szCs w:val="11"/>
          <w:color w:val="auto"/>
        </w:rPr>
        <w:t>.</w:t>
      </w:r>
    </w:p>
    <w:p>
      <w:pPr>
        <w:spacing w:after="0" w:line="66" w:lineRule="exact"/>
        <w:rPr>
          <w:sz w:val="20"/>
          <w:szCs w:val="20"/>
          <w:color w:val="auto"/>
        </w:rPr>
      </w:pPr>
    </w:p>
    <w:p>
      <w:pPr>
        <w:ind w:left="840" w:right="5019"/>
        <w:spacing w:after="0" w:line="253" w:lineRule="auto"/>
        <w:rPr>
          <w:sz w:val="20"/>
          <w:szCs w:val="20"/>
          <w:color w:val="auto"/>
        </w:rPr>
      </w:pPr>
      <w:r>
        <w:rPr>
          <w:rFonts w:ascii="Arial" w:cs="Arial" w:eastAsia="Arial" w:hAnsi="Arial"/>
          <w:sz w:val="11"/>
          <w:szCs w:val="11"/>
          <w:color w:val="auto"/>
        </w:rPr>
        <w:t>The Notice and this Proxy Statement each contains details of the business to be conducted at the Annual Meeting. Your vote is very important to us, so please vote your shares.</w:t>
      </w:r>
    </w:p>
    <w:p>
      <w:pPr>
        <w:spacing w:after="0" w:line="86" w:lineRule="exact"/>
        <w:rPr>
          <w:sz w:val="20"/>
          <w:szCs w:val="20"/>
          <w:color w:val="auto"/>
        </w:rPr>
      </w:pPr>
    </w:p>
    <w:p>
      <w:pPr>
        <w:ind w:left="840" w:right="4739"/>
        <w:spacing w:after="0" w:line="268" w:lineRule="auto"/>
        <w:rPr>
          <w:sz w:val="20"/>
          <w:szCs w:val="20"/>
          <w:color w:val="auto"/>
        </w:rPr>
      </w:pPr>
      <w:r>
        <w:rPr>
          <w:rFonts w:ascii="Arial" w:cs="Arial" w:eastAsia="Arial" w:hAnsi="Arial"/>
          <w:sz w:val="11"/>
          <w:szCs w:val="11"/>
          <w:color w:val="auto"/>
        </w:rPr>
        <w:t>I am incredibly grateful to our team members, Board, customers, vendor partners, and shareholders.</w:t>
      </w:r>
    </w:p>
    <w:p>
      <w:pPr>
        <w:spacing w:after="0" w:line="78" w:lineRule="exact"/>
        <w:rPr>
          <w:sz w:val="20"/>
          <w:szCs w:val="20"/>
          <w:color w:val="auto"/>
        </w:rPr>
      </w:pPr>
    </w:p>
    <w:p>
      <w:pPr>
        <w:ind w:left="840" w:right="4699"/>
        <w:spacing w:after="0" w:line="318" w:lineRule="auto"/>
        <w:rPr>
          <w:sz w:val="20"/>
          <w:szCs w:val="20"/>
          <w:color w:val="auto"/>
        </w:rPr>
      </w:pPr>
      <w:r>
        <w:rPr>
          <w:rFonts w:ascii="Arial" w:cs="Arial" w:eastAsia="Arial" w:hAnsi="Arial"/>
          <w:sz w:val="10"/>
          <w:szCs w:val="10"/>
          <w:color w:val="auto"/>
        </w:rPr>
        <w:t>Thank you for your support of our Company. I ask that you carefully consider the information in this Proxy Statement related to the proposals.</w:t>
      </w:r>
    </w:p>
    <w:p>
      <w:pPr>
        <w:spacing w:after="0" w:line="7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Sincerely,</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D60011"/>
        </w:rPr>
        <w:t>RICHARD A. JOHNSON</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Chairman and Chief Executive Officer</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8"/>
          <w:szCs w:val="8"/>
          <w:b w:val="1"/>
          <w:bCs w:val="1"/>
          <w:color w:val="auto"/>
        </w:rPr>
        <w:t>Learn more about the Board’s highlights from 2021 from our Lead Independent Director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117475</wp:posOffset>
            </wp:positionV>
            <wp:extent cx="7178040" cy="1034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0344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INSPIRE AND EMPOWER YOUTH CULTURE</w:t>
      </w:r>
    </w:p>
    <w:p>
      <w:pPr>
        <w:spacing w:after="0" w:line="154" w:lineRule="exact"/>
        <w:rPr>
          <w:sz w:val="20"/>
          <w:szCs w:val="20"/>
          <w:color w:val="auto"/>
        </w:rPr>
      </w:pPr>
    </w:p>
    <w:p>
      <w:pPr>
        <w:ind w:left="1980" w:right="2100"/>
        <w:spacing w:after="0" w:line="290" w:lineRule="auto"/>
        <w:rPr>
          <w:sz w:val="20"/>
          <w:szCs w:val="20"/>
          <w:color w:val="auto"/>
        </w:rPr>
      </w:pPr>
      <w:r>
        <w:rPr>
          <w:rFonts w:ascii="Arial" w:cs="Arial" w:eastAsia="Arial" w:hAnsi="Arial"/>
          <w:sz w:val="10"/>
          <w:szCs w:val="10"/>
          <w:color w:val="auto"/>
        </w:rPr>
        <w:t>Foot Locker, Inc. (NYSE: FL) leads the celebration of sneaker and youth culture around the globe through a portfolio of brands, including Foot Locker, Kids Foot Locker, Champs Sports, Eastbay, atmos, WSS, Footaction, and Sidestep, including 2,858 operated stores, as well as websites and mobile apps, in 28 countries across North America, Europe, Asia, Australia, and New Zealand, in addition to 142 franchised stores in the Middle East and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66675</wp:posOffset>
            </wp:positionV>
            <wp:extent cx="4572000" cy="8572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720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OUR STRATEGIC IMPERATIVES</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 have established strategic imperatives for sustained performance centered around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90805</wp:posOffset>
            </wp:positionV>
            <wp:extent cx="4663440" cy="1800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6344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20" w:type="dxa"/>
            <w:vAlign w:val="bottom"/>
          </w:tcPr>
          <w:p>
            <w:pPr>
              <w:jc w:val="right"/>
              <w:ind w:right="2246"/>
              <w:spacing w:after="0"/>
              <w:rPr>
                <w:sz w:val="20"/>
                <w:szCs w:val="20"/>
                <w:color w:val="auto"/>
              </w:rPr>
            </w:pPr>
            <w:r>
              <w:rPr>
                <w:rFonts w:ascii="Arial" w:cs="Arial" w:eastAsia="Arial" w:hAnsi="Arial"/>
                <w:sz w:val="11"/>
                <w:szCs w:val="11"/>
                <w:b w:val="1"/>
                <w:bCs w:val="1"/>
                <w:color w:val="FFFFFF"/>
              </w:rPr>
              <w:t>5</w:t>
            </w:r>
          </w:p>
        </w:tc>
      </w:tr>
      <w:tr>
        <w:trPr>
          <w:trHeight w:val="336"/>
        </w:trPr>
        <w:tc>
          <w:tcPr>
            <w:tcW w:w="87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12" w:name="page13"/>
    <w:bookmarkEnd w:id="12"/>
    <w:p>
      <w:pPr>
        <w:ind w:left="840"/>
        <w:spacing w:after="0"/>
        <w:rPr>
          <w:sz w:val="20"/>
          <w:szCs w:val="20"/>
          <w:color w:val="auto"/>
        </w:rPr>
      </w:pPr>
      <w:r>
        <w:rPr>
          <w:rFonts w:ascii="Arial" w:cs="Arial" w:eastAsia="Arial" w:hAnsi="Arial"/>
          <w:sz w:val="10"/>
          <w:szCs w:val="10"/>
          <w:b w:val="1"/>
          <w:bCs w:val="1"/>
          <w:color w:val="E31F26"/>
        </w:rPr>
        <w:t>ABOUT FOOT LOCKER, INC.</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OUR ESG PROGRAM</w:t>
      </w:r>
    </w:p>
    <w:p>
      <w:pPr>
        <w:spacing w:after="0" w:line="154" w:lineRule="exact"/>
        <w:rPr>
          <w:sz w:val="20"/>
          <w:szCs w:val="20"/>
          <w:color w:val="auto"/>
        </w:rPr>
      </w:pPr>
    </w:p>
    <w:p>
      <w:pPr>
        <w:jc w:val="both"/>
        <w:ind w:left="840" w:right="1079"/>
        <w:spacing w:after="0" w:line="253" w:lineRule="auto"/>
        <w:rPr>
          <w:sz w:val="20"/>
          <w:szCs w:val="20"/>
          <w:color w:val="auto"/>
        </w:rPr>
      </w:pPr>
      <w:r>
        <w:rPr>
          <w:rFonts w:ascii="Arial" w:cs="Arial" w:eastAsia="Arial" w:hAnsi="Arial"/>
          <w:sz w:val="11"/>
          <w:szCs w:val="11"/>
          <w:color w:val="auto"/>
        </w:rPr>
        <w:t xml:space="preserve">Management and the Board understand that </w:t>
      </w:r>
      <w:r>
        <w:rPr>
          <w:rFonts w:ascii="Arial" w:cs="Arial" w:eastAsia="Arial" w:hAnsi="Arial"/>
          <w:sz w:val="11"/>
          <w:szCs w:val="11"/>
          <w:i w:val="1"/>
          <w:iCs w:val="1"/>
          <w:color w:val="auto"/>
        </w:rPr>
        <w:t>how</w:t>
      </w:r>
      <w:r>
        <w:rPr>
          <w:rFonts w:ascii="Arial" w:cs="Arial" w:eastAsia="Arial" w:hAnsi="Arial"/>
          <w:sz w:val="11"/>
          <w:szCs w:val="11"/>
          <w:color w:val="auto"/>
        </w:rPr>
        <w:t xml:space="preserve"> we achieve our </w:t>
      </w:r>
      <w:r>
        <w:rPr>
          <w:rFonts w:ascii="Arial" w:cs="Arial" w:eastAsia="Arial" w:hAnsi="Arial"/>
          <w:sz w:val="11"/>
          <w:szCs w:val="11"/>
          <w:b w:val="1"/>
          <w:bCs w:val="1"/>
          <w:color w:val="E31F26"/>
        </w:rPr>
        <w:t>purpose</w:t>
      </w:r>
      <w:r>
        <w:rPr>
          <w:rFonts w:ascii="Arial" w:cs="Arial" w:eastAsia="Arial" w:hAnsi="Arial"/>
          <w:sz w:val="11"/>
          <w:szCs w:val="11"/>
          <w:color w:val="auto"/>
        </w:rPr>
        <w:t xml:space="preserve"> is just as important as </w:t>
      </w:r>
      <w:r>
        <w:rPr>
          <w:rFonts w:ascii="Arial" w:cs="Arial" w:eastAsia="Arial" w:hAnsi="Arial"/>
          <w:sz w:val="11"/>
          <w:szCs w:val="11"/>
          <w:i w:val="1"/>
          <w:iCs w:val="1"/>
          <w:color w:val="auto"/>
        </w:rPr>
        <w:t>what</w:t>
      </w:r>
      <w:r>
        <w:rPr>
          <w:rFonts w:ascii="Arial" w:cs="Arial" w:eastAsia="Arial" w:hAnsi="Arial"/>
          <w:sz w:val="11"/>
          <w:szCs w:val="11"/>
          <w:color w:val="auto"/>
        </w:rPr>
        <w:t xml:space="preserve"> results we achieve. We have long established ESG as a priority for the Company and are continuing to improve the environmental and social impacts of our business, measure the impacts we are making, and communicate with and drive accountability to our stakeholders. Our global ESG program is focused on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71755</wp:posOffset>
            </wp:positionV>
            <wp:extent cx="4572000" cy="1062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7200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40" w:right="1179"/>
        <w:spacing w:after="0" w:line="279" w:lineRule="auto"/>
        <w:rPr>
          <w:sz w:val="20"/>
          <w:szCs w:val="20"/>
          <w:color w:val="auto"/>
        </w:rPr>
      </w:pPr>
      <w:r>
        <w:rPr>
          <w:rFonts w:ascii="Arial" w:cs="Arial" w:eastAsia="Arial" w:hAnsi="Arial"/>
          <w:sz w:val="11"/>
          <w:szCs w:val="11"/>
          <w:color w:val="auto"/>
        </w:rPr>
        <w:t xml:space="preserve">To learn more about our global ESG program, see </w:t>
      </w:r>
      <w:r>
        <w:rPr>
          <w:rFonts w:ascii="Arial" w:cs="Arial" w:eastAsia="Arial" w:hAnsi="Arial"/>
          <w:sz w:val="11"/>
          <w:szCs w:val="11"/>
          <w:b w:val="1"/>
          <w:bCs w:val="1"/>
          <w:color w:val="E31F26"/>
        </w:rPr>
        <w:t>ESG</w:t>
      </w:r>
      <w:r>
        <w:rPr>
          <w:rFonts w:ascii="Arial" w:cs="Arial" w:eastAsia="Arial" w:hAnsi="Arial"/>
          <w:sz w:val="11"/>
          <w:szCs w:val="11"/>
          <w:color w:val="auto"/>
        </w:rPr>
        <w:t xml:space="preserve"> on page 96, and our Impact Report, which is presented consistent with the SASB reporting standards and TCFD reporting framework and is available at </w:t>
      </w:r>
      <w:r>
        <w:rPr>
          <w:rFonts w:ascii="Arial" w:cs="Arial" w:eastAsia="Arial" w:hAnsi="Arial"/>
          <w:sz w:val="11"/>
          <w:szCs w:val="11"/>
          <w:b w:val="1"/>
          <w:bCs w:val="1"/>
          <w:color w:val="E31F26"/>
        </w:rPr>
        <w:t>investors.footlocker-inc.com/impactreport</w:t>
      </w:r>
      <w:r>
        <w:rPr>
          <w:rFonts w:ascii="Arial" w:cs="Arial" w:eastAsia="Arial" w:hAnsi="Arial"/>
          <w:sz w:val="11"/>
          <w:szCs w:val="11"/>
          <w:color w:val="auto"/>
        </w:rPr>
        <w:t>.</w:t>
      </w:r>
    </w:p>
    <w:p>
      <w:pPr>
        <w:spacing w:after="0" w:line="68"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OUR CLIMATE STEWARDSHIP</w:t>
      </w:r>
    </w:p>
    <w:p>
      <w:pPr>
        <w:spacing w:after="0" w:line="145" w:lineRule="exact"/>
        <w:rPr>
          <w:sz w:val="20"/>
          <w:szCs w:val="20"/>
          <w:color w:val="auto"/>
        </w:rPr>
      </w:pPr>
    </w:p>
    <w:p>
      <w:pPr>
        <w:ind w:left="4660" w:right="919"/>
        <w:spacing w:after="0" w:line="268" w:lineRule="auto"/>
        <w:rPr>
          <w:sz w:val="20"/>
          <w:szCs w:val="20"/>
          <w:color w:val="auto"/>
        </w:rPr>
      </w:pPr>
      <w:r>
        <w:rPr>
          <w:rFonts w:ascii="Arial" w:cs="Arial" w:eastAsia="Arial" w:hAnsi="Arial"/>
          <w:sz w:val="11"/>
          <w:szCs w:val="11"/>
          <w:color w:val="auto"/>
        </w:rPr>
        <w:t>The Company recently announced its ambition to achieve net zero GHG emissions by 2050 or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-173355</wp:posOffset>
            </wp:positionV>
            <wp:extent cx="1920240" cy="1417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0240" cy="1417320"/>
                    </a:xfrm>
                    <a:prstGeom prst="rect">
                      <a:avLst/>
                    </a:prstGeom>
                    <a:noFill/>
                  </pic:spPr>
                </pic:pic>
              </a:graphicData>
            </a:graphic>
          </wp:anchor>
        </w:drawing>
      </w:r>
    </w:p>
    <w:p>
      <w:pPr>
        <w:spacing w:after="0" w:line="76" w:lineRule="exact"/>
        <w:rPr>
          <w:sz w:val="20"/>
          <w:szCs w:val="20"/>
          <w:color w:val="auto"/>
        </w:rPr>
      </w:pPr>
    </w:p>
    <w:p>
      <w:pPr>
        <w:ind w:left="4660" w:right="899"/>
        <w:spacing w:after="0" w:line="245" w:lineRule="auto"/>
        <w:rPr>
          <w:sz w:val="20"/>
          <w:szCs w:val="20"/>
          <w:color w:val="auto"/>
        </w:rPr>
      </w:pPr>
      <w:r>
        <w:rPr>
          <w:rFonts w:ascii="Arial" w:cs="Arial" w:eastAsia="Arial" w:hAnsi="Arial"/>
          <w:sz w:val="11"/>
          <w:szCs w:val="11"/>
          <w:color w:val="auto"/>
        </w:rPr>
        <w:t xml:space="preserve">For additional information regarding the Company’s efforts to power a more sustainable future, see </w:t>
      </w:r>
      <w:r>
        <w:rPr>
          <w:rFonts w:ascii="Arial" w:cs="Arial" w:eastAsia="Arial" w:hAnsi="Arial"/>
          <w:sz w:val="11"/>
          <w:szCs w:val="11"/>
          <w:b w:val="1"/>
          <w:bCs w:val="1"/>
          <w:color w:val="E31F26"/>
        </w:rPr>
        <w:t>ESG</w:t>
      </w:r>
      <w:r>
        <w:rPr>
          <w:rFonts w:ascii="Arial" w:cs="Arial" w:eastAsia="Arial" w:hAnsi="Arial"/>
          <w:sz w:val="11"/>
          <w:szCs w:val="11"/>
          <w:color w:val="auto"/>
        </w:rPr>
        <w:t xml:space="preserve"> on page 96, the Company’s Impact Report, which is aligned with the reporting disclosure guidance of the SASB industry standards and the TCFD recommendations and is available at </w:t>
      </w:r>
      <w:r>
        <w:rPr>
          <w:rFonts w:ascii="Arial" w:cs="Arial" w:eastAsia="Arial" w:hAnsi="Arial"/>
          <w:sz w:val="11"/>
          <w:szCs w:val="11"/>
          <w:b w:val="1"/>
          <w:bCs w:val="1"/>
          <w:color w:val="E31F26"/>
        </w:rPr>
        <w:t>investors.footlocker-inc.com/impactreport</w:t>
      </w:r>
      <w:r>
        <w:rPr>
          <w:rFonts w:ascii="Arial" w:cs="Arial" w:eastAsia="Arial" w:hAnsi="Arial"/>
          <w:sz w:val="11"/>
          <w:szCs w:val="11"/>
          <w:color w:val="auto"/>
        </w:rPr>
        <w:t xml:space="preserve">, and the Company’s Global Environmental and Climate Change Statement, which is available at </w:t>
      </w:r>
      <w:r>
        <w:rPr>
          <w:rFonts w:ascii="Arial" w:cs="Arial" w:eastAsia="Arial" w:hAnsi="Arial"/>
          <w:sz w:val="11"/>
          <w:szCs w:val="11"/>
          <w:b w:val="1"/>
          <w:bCs w:val="1"/>
          <w:color w:val="E31F26"/>
        </w:rPr>
        <w:t>investors.footlocker-inc.com/climate</w:t>
      </w: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40" w:hanging="408"/>
        <w:spacing w:after="0"/>
        <w:tabs>
          <w:tab w:leader="none" w:pos="1540" w:val="left"/>
        </w:tabs>
        <w:numPr>
          <w:ilvl w:val="0"/>
          <w:numId w:val="10"/>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242570</wp:posOffset>
            </wp:positionV>
            <wp:extent cx="71780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74" w:right="1440" w:bottom="1440" w:gutter="0" w:footer="0" w:header="0"/>
        </w:sectPr>
      </w:pPr>
    </w:p>
    <w:bookmarkStart w:id="13" w:name="page14"/>
    <w:bookmarkEnd w:id="13"/>
    <w:p>
      <w:pPr>
        <w:jc w:val="right"/>
        <w:ind w:right="1980"/>
        <w:spacing w:after="0"/>
        <w:rPr>
          <w:sz w:val="20"/>
          <w:szCs w:val="20"/>
          <w:color w:val="auto"/>
        </w:rPr>
      </w:pPr>
      <w:r>
        <w:rPr>
          <w:rFonts w:ascii="Arial" w:cs="Arial" w:eastAsia="Arial" w:hAnsi="Arial"/>
          <w:sz w:val="11"/>
          <w:szCs w:val="11"/>
          <w:b w:val="1"/>
          <w:bCs w:val="1"/>
          <w:color w:val="E31F26"/>
        </w:rPr>
        <w:t>ABOUT FOOT LOCKER, INC.</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OUR FISCAL 2021 HIGHLIGHTS</w:t>
      </w:r>
    </w:p>
    <w:p>
      <w:pPr>
        <w:spacing w:after="0" w:line="145" w:lineRule="exact"/>
        <w:rPr>
          <w:sz w:val="20"/>
          <w:szCs w:val="20"/>
          <w:color w:val="auto"/>
        </w:rPr>
      </w:pPr>
    </w:p>
    <w:p>
      <w:pPr>
        <w:jc w:val="both"/>
        <w:ind w:left="1980" w:right="2120"/>
        <w:spacing w:after="0" w:line="253" w:lineRule="auto"/>
        <w:rPr>
          <w:sz w:val="20"/>
          <w:szCs w:val="20"/>
          <w:color w:val="auto"/>
        </w:rPr>
      </w:pPr>
      <w:r>
        <w:rPr>
          <w:rFonts w:ascii="Arial" w:cs="Arial" w:eastAsia="Arial" w:hAnsi="Arial"/>
          <w:sz w:val="11"/>
          <w:szCs w:val="11"/>
          <w:color w:val="auto"/>
        </w:rPr>
        <w:t>Despite the many challenges we confronted and are continuing to experience—including the COVID-19 pandemic, supply chain disruption, inflationary pressures, and an evolving geopolitical environment—we delivered record performance in 2021, which reflects the ongoing momentum we have built in our business. Highlights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71755</wp:posOffset>
            </wp:positionV>
            <wp:extent cx="4000500" cy="2040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005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180" w:hanging="208"/>
        <w:spacing w:after="0"/>
        <w:tabs>
          <w:tab w:leader="none" w:pos="2180" w:val="left"/>
        </w:tabs>
        <w:numPr>
          <w:ilvl w:val="0"/>
          <w:numId w:val="11"/>
        </w:numPr>
        <w:rPr>
          <w:rFonts w:ascii="Arial" w:cs="Arial" w:eastAsia="Arial" w:hAnsi="Arial"/>
          <w:sz w:val="16"/>
          <w:szCs w:val="16"/>
          <w:color w:val="auto"/>
          <w:vertAlign w:val="superscript"/>
        </w:rPr>
      </w:pPr>
      <w:r>
        <w:rPr>
          <w:rFonts w:ascii="Arial" w:cs="Arial" w:eastAsia="Arial" w:hAnsi="Arial"/>
          <w:sz w:val="10"/>
          <w:szCs w:val="10"/>
          <w:color w:val="auto"/>
        </w:rPr>
        <w:t xml:space="preserve">A reconciliation to GAAP is provided beginning on page 21 of our Annual Report, which is available at </w:t>
      </w:r>
      <w:r>
        <w:rPr>
          <w:rFonts w:ascii="Arial" w:cs="Arial" w:eastAsia="Arial" w:hAnsi="Arial"/>
          <w:sz w:val="10"/>
          <w:szCs w:val="10"/>
          <w:b w:val="1"/>
          <w:bCs w:val="1"/>
          <w:color w:val="E31F26"/>
        </w:rPr>
        <w:t>investors.footlocker-inc.com/ar</w:t>
      </w:r>
      <w:r>
        <w:rPr>
          <w:rFonts w:ascii="Arial" w:cs="Arial" w:eastAsia="Arial" w:hAnsi="Arial"/>
          <w:sz w:val="10"/>
          <w:szCs w:val="10"/>
          <w:color w:val="auto"/>
        </w:rPr>
        <w:t>.</w:t>
      </w:r>
    </w:p>
    <w:p>
      <w:pPr>
        <w:spacing w:after="0" w:line="85"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EMERGING STRONGER FROM THE</w:t>
      </w:r>
    </w:p>
    <w:p>
      <w:pPr>
        <w:spacing w:after="0" w:line="27"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COVID-19 PANDEMIC</w:t>
      </w:r>
    </w:p>
    <w:p>
      <w:pPr>
        <w:spacing w:after="0" w:line="121" w:lineRule="exact"/>
        <w:rPr>
          <w:sz w:val="20"/>
          <w:szCs w:val="20"/>
          <w:color w:val="auto"/>
        </w:rPr>
      </w:pPr>
    </w:p>
    <w:p>
      <w:pPr>
        <w:ind w:left="1980" w:right="2100"/>
        <w:spacing w:after="0" w:line="279" w:lineRule="auto"/>
        <w:rPr>
          <w:sz w:val="20"/>
          <w:szCs w:val="20"/>
          <w:color w:val="auto"/>
        </w:rPr>
      </w:pPr>
      <w:r>
        <w:rPr>
          <w:rFonts w:ascii="Arial" w:cs="Arial" w:eastAsia="Arial" w:hAnsi="Arial"/>
          <w:sz w:val="11"/>
          <w:szCs w:val="11"/>
          <w:color w:val="auto"/>
        </w:rPr>
        <w:t xml:space="preserve">We recognize the human tragedy of the COVID-19 pandemic. Our foremost priority during the pandemic has been the health, safety, and security of our team members, our customers, and the communities we serve. Our approach is grounded in our Company’s </w:t>
      </w:r>
      <w:r>
        <w:rPr>
          <w:rFonts w:ascii="Arial" w:cs="Arial" w:eastAsia="Arial" w:hAnsi="Arial"/>
          <w:sz w:val="11"/>
          <w:szCs w:val="11"/>
          <w:b w:val="1"/>
          <w:bCs w:val="1"/>
          <w:color w:val="E31F26"/>
        </w:rPr>
        <w:t>purpose</w:t>
      </w:r>
      <w:r>
        <w:rPr>
          <w:rFonts w:ascii="Arial" w:cs="Arial" w:eastAsia="Arial" w:hAnsi="Arial"/>
          <w:sz w:val="11"/>
          <w:szCs w:val="11"/>
          <w:color w:val="auto"/>
        </w:rPr>
        <w:t>.</w:t>
      </w:r>
    </w:p>
    <w:p>
      <w:pPr>
        <w:spacing w:after="0" w:line="68"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LEARN MORE ABOUT OUR COMPANY</w:t>
      </w:r>
    </w:p>
    <w:p>
      <w:pPr>
        <w:spacing w:after="0" w:line="145" w:lineRule="exact"/>
        <w:rPr>
          <w:sz w:val="20"/>
          <w:szCs w:val="20"/>
          <w:color w:val="auto"/>
        </w:rPr>
      </w:pPr>
    </w:p>
    <w:p>
      <w:pPr>
        <w:ind w:left="1980" w:right="2380"/>
        <w:spacing w:after="0" w:line="279" w:lineRule="auto"/>
        <w:rPr>
          <w:sz w:val="20"/>
          <w:szCs w:val="20"/>
          <w:color w:val="auto"/>
        </w:rPr>
      </w:pPr>
      <w:r>
        <w:rPr>
          <w:rFonts w:ascii="Arial" w:cs="Arial" w:eastAsia="Arial" w:hAnsi="Arial"/>
          <w:sz w:val="11"/>
          <w:szCs w:val="11"/>
          <w:color w:val="auto"/>
        </w:rPr>
        <w:t xml:space="preserve">You can learn more about the Company by visiting </w:t>
      </w:r>
      <w:r>
        <w:rPr>
          <w:rFonts w:ascii="Arial" w:cs="Arial" w:eastAsia="Arial" w:hAnsi="Arial"/>
          <w:sz w:val="11"/>
          <w:szCs w:val="11"/>
          <w:b w:val="1"/>
          <w:bCs w:val="1"/>
          <w:color w:val="E31F26"/>
        </w:rPr>
        <w:t>footlocker.com/corp</w:t>
      </w:r>
      <w:r>
        <w:rPr>
          <w:rFonts w:ascii="Arial" w:cs="Arial" w:eastAsia="Arial" w:hAnsi="Arial"/>
          <w:sz w:val="11"/>
          <w:szCs w:val="11"/>
          <w:color w:val="auto"/>
        </w:rPr>
        <w:t xml:space="preserve">. We also encourage you to read our Annual Report, which is available at </w:t>
      </w:r>
      <w:r>
        <w:rPr>
          <w:rFonts w:ascii="Arial" w:cs="Arial" w:eastAsia="Arial" w:hAnsi="Arial"/>
          <w:sz w:val="11"/>
          <w:szCs w:val="11"/>
          <w:b w:val="1"/>
          <w:bCs w:val="1"/>
          <w:color w:val="E31F26"/>
        </w:rPr>
        <w:t>investors.footlocker-inc.com/ar</w:t>
      </w:r>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59055</wp:posOffset>
            </wp:positionV>
            <wp:extent cx="36576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20" w:type="dxa"/>
            <w:vAlign w:val="bottom"/>
          </w:tcPr>
          <w:p>
            <w:pPr>
              <w:jc w:val="right"/>
              <w:ind w:right="2246"/>
              <w:spacing w:after="0"/>
              <w:rPr>
                <w:sz w:val="20"/>
                <w:szCs w:val="20"/>
                <w:color w:val="auto"/>
              </w:rPr>
            </w:pPr>
            <w:r>
              <w:rPr>
                <w:rFonts w:ascii="Arial" w:cs="Arial" w:eastAsia="Arial" w:hAnsi="Arial"/>
                <w:sz w:val="11"/>
                <w:szCs w:val="11"/>
                <w:b w:val="1"/>
                <w:bCs w:val="1"/>
                <w:color w:val="FFFFFF"/>
              </w:rPr>
              <w:t>7</w:t>
            </w:r>
          </w:p>
        </w:tc>
      </w:tr>
      <w:tr>
        <w:trPr>
          <w:trHeight w:val="327"/>
        </w:trPr>
        <w:tc>
          <w:tcPr>
            <w:tcW w:w="87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7" w:right="2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1477010</wp:posOffset>
            </wp:positionH>
            <wp:positionV relativeFrom="page">
              <wp:posOffset>368935</wp:posOffset>
            </wp:positionV>
            <wp:extent cx="4572000" cy="2326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72000" cy="232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E31F26"/>
        </w:rPr>
        <w:t>DEMOGRAPHICS</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TENURE</w:t>
      </w:r>
    </w:p>
    <w:p>
      <w:pPr>
        <w:spacing w:after="0" w:line="137" w:lineRule="exact"/>
        <w:rPr>
          <w:sz w:val="20"/>
          <w:szCs w:val="20"/>
          <w:color w:val="auto"/>
        </w:rPr>
      </w:pPr>
    </w:p>
    <w:p>
      <w:pPr>
        <w:ind w:left="1040" w:hanging="208"/>
        <w:spacing w:after="0"/>
        <w:tabs>
          <w:tab w:leader="none" w:pos="1040" w:val="left"/>
        </w:tabs>
        <w:numPr>
          <w:ilvl w:val="0"/>
          <w:numId w:val="12"/>
        </w:numPr>
        <w:rPr>
          <w:rFonts w:ascii="Arial" w:cs="Arial" w:eastAsia="Arial" w:hAnsi="Arial"/>
          <w:sz w:val="11"/>
          <w:szCs w:val="11"/>
          <w:b w:val="1"/>
          <w:bCs w:val="1"/>
          <w:color w:val="E31F26"/>
        </w:rPr>
      </w:pPr>
      <w:r>
        <w:rPr>
          <w:rFonts w:ascii="Arial" w:cs="Arial" w:eastAsia="Arial" w:hAnsi="Arial"/>
          <w:sz w:val="11"/>
          <w:szCs w:val="11"/>
          <w:color w:val="auto"/>
        </w:rPr>
        <w:t>7 years (Median)</w:t>
      </w:r>
    </w:p>
    <w:p>
      <w:pPr>
        <w:spacing w:after="0" w:line="9" w:lineRule="exact"/>
        <w:rPr>
          <w:rFonts w:ascii="Arial" w:cs="Arial" w:eastAsia="Arial" w:hAnsi="Arial"/>
          <w:sz w:val="11"/>
          <w:szCs w:val="11"/>
          <w:b w:val="1"/>
          <w:bCs w:val="1"/>
          <w:color w:val="E31F26"/>
        </w:rPr>
      </w:pPr>
    </w:p>
    <w:p>
      <w:pPr>
        <w:ind w:left="1040" w:right="919" w:hanging="208"/>
        <w:spacing w:after="0" w:line="249" w:lineRule="auto"/>
        <w:tabs>
          <w:tab w:leader="none" w:pos="1040" w:val="left"/>
        </w:tabs>
        <w:numPr>
          <w:ilvl w:val="0"/>
          <w:numId w:val="12"/>
        </w:numPr>
        <w:rPr>
          <w:rFonts w:ascii="Arial" w:cs="Arial" w:eastAsia="Arial" w:hAnsi="Arial"/>
          <w:sz w:val="11"/>
          <w:szCs w:val="11"/>
          <w:color w:val="E31F26"/>
        </w:rPr>
      </w:pPr>
      <w:r>
        <w:rPr>
          <w:rFonts w:ascii="Arial" w:cs="Arial" w:eastAsia="Arial" w:hAnsi="Arial"/>
          <w:sz w:val="11"/>
          <w:szCs w:val="11"/>
          <w:color w:val="auto"/>
        </w:rPr>
        <w:t>Directors with varied tenure contribute to a range of perspectives and ensure we transition knowledge and experience from longer-serving members to those newer to our Board. We have a good mix of new and longer-tenured directors.</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AGE</w:t>
      </w:r>
    </w:p>
    <w:p>
      <w:pPr>
        <w:spacing w:after="0" w:line="137" w:lineRule="exact"/>
        <w:rPr>
          <w:sz w:val="20"/>
          <w:szCs w:val="20"/>
          <w:color w:val="auto"/>
        </w:rPr>
      </w:pPr>
    </w:p>
    <w:p>
      <w:pPr>
        <w:ind w:left="1040" w:hanging="208"/>
        <w:spacing w:after="0"/>
        <w:tabs>
          <w:tab w:leader="none" w:pos="1040" w:val="left"/>
        </w:tabs>
        <w:numPr>
          <w:ilvl w:val="0"/>
          <w:numId w:val="13"/>
        </w:numPr>
        <w:rPr>
          <w:rFonts w:ascii="Arial" w:cs="Arial" w:eastAsia="Arial" w:hAnsi="Arial"/>
          <w:sz w:val="11"/>
          <w:szCs w:val="11"/>
          <w:b w:val="1"/>
          <w:bCs w:val="1"/>
          <w:color w:val="E31F26"/>
        </w:rPr>
      </w:pPr>
      <w:r>
        <w:rPr>
          <w:rFonts w:ascii="Arial" w:cs="Arial" w:eastAsia="Arial" w:hAnsi="Arial"/>
          <w:sz w:val="11"/>
          <w:szCs w:val="11"/>
          <w:color w:val="auto"/>
        </w:rPr>
        <w:t>63 years (Median)</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DIVERSITY</w:t>
      </w:r>
    </w:p>
    <w:p>
      <w:pPr>
        <w:spacing w:after="0" w:line="137" w:lineRule="exact"/>
        <w:rPr>
          <w:sz w:val="20"/>
          <w:szCs w:val="20"/>
          <w:color w:val="auto"/>
        </w:rPr>
      </w:pPr>
    </w:p>
    <w:p>
      <w:pPr>
        <w:ind w:left="1040" w:right="839" w:hanging="208"/>
        <w:spacing w:after="0" w:line="245" w:lineRule="auto"/>
        <w:tabs>
          <w:tab w:leader="none" w:pos="1040" w:val="left"/>
        </w:tabs>
        <w:numPr>
          <w:ilvl w:val="0"/>
          <w:numId w:val="14"/>
        </w:numPr>
        <w:rPr>
          <w:rFonts w:ascii="Arial" w:cs="Arial" w:eastAsia="Arial" w:hAnsi="Arial"/>
          <w:sz w:val="11"/>
          <w:szCs w:val="11"/>
          <w:color w:val="E31F26"/>
        </w:rPr>
      </w:pPr>
      <w:r>
        <w:rPr>
          <w:rFonts w:ascii="Arial" w:cs="Arial" w:eastAsia="Arial" w:hAnsi="Arial"/>
          <w:sz w:val="11"/>
          <w:szCs w:val="11"/>
          <w:color w:val="auto"/>
        </w:rPr>
        <w:t xml:space="preserve">Our director nominees represent a diverse range of backgrounds—in terms of gender, age, ethnicity, skills, and business and board experience—with an equally diverse range of perspectives. What we share is a common desire to support and oversee management in achieving the Company’s purpose to </w:t>
      </w:r>
      <w:r>
        <w:rPr>
          <w:rFonts w:ascii="Arial" w:cs="Arial" w:eastAsia="Arial" w:hAnsi="Arial"/>
          <w:sz w:val="11"/>
          <w:szCs w:val="11"/>
          <w:b w:val="1"/>
          <w:bCs w:val="1"/>
          <w:color w:val="E31F26"/>
        </w:rPr>
        <w:t>inspire and empower youth culture</w:t>
      </w:r>
      <w:r>
        <w:rPr>
          <w:rFonts w:ascii="Arial" w:cs="Arial" w:eastAsia="Arial" w:hAnsi="Arial"/>
          <w:sz w:val="11"/>
          <w:szCs w:val="11"/>
          <w:color w:val="auto"/>
        </w:rPr>
        <w:t>.</w:t>
      </w:r>
    </w:p>
    <w:p>
      <w:pPr>
        <w:ind w:left="1040" w:hanging="208"/>
        <w:spacing w:after="0"/>
        <w:tabs>
          <w:tab w:leader="none" w:pos="1040" w:val="left"/>
        </w:tabs>
        <w:numPr>
          <w:ilvl w:val="0"/>
          <w:numId w:val="14"/>
        </w:numPr>
        <w:rPr>
          <w:rFonts w:ascii="Arial" w:cs="Arial" w:eastAsia="Arial" w:hAnsi="Arial"/>
          <w:sz w:val="11"/>
          <w:szCs w:val="11"/>
          <w:color w:val="E31F26"/>
        </w:rPr>
      </w:pPr>
      <w:r>
        <w:rPr>
          <w:rFonts w:ascii="Arial" w:cs="Arial" w:eastAsia="Arial" w:hAnsi="Arial"/>
          <w:sz w:val="11"/>
          <w:szCs w:val="11"/>
          <w:color w:val="auto"/>
        </w:rPr>
        <w:t>70% of the director nominees are women or persons of color.</w:t>
      </w:r>
    </w:p>
    <w:p>
      <w:pPr>
        <w:ind w:left="1040" w:hanging="208"/>
        <w:spacing w:after="0"/>
        <w:tabs>
          <w:tab w:leader="none" w:pos="1040" w:val="left"/>
        </w:tabs>
        <w:numPr>
          <w:ilvl w:val="0"/>
          <w:numId w:val="14"/>
        </w:numPr>
        <w:rPr>
          <w:rFonts w:ascii="Arial" w:cs="Arial" w:eastAsia="Arial" w:hAnsi="Arial"/>
          <w:sz w:val="11"/>
          <w:szCs w:val="11"/>
          <w:color w:val="E31F26"/>
        </w:rPr>
      </w:pPr>
      <w:r>
        <w:rPr>
          <w:rFonts w:ascii="Arial" w:cs="Arial" w:eastAsia="Arial" w:hAnsi="Arial"/>
          <w:sz w:val="11"/>
          <w:szCs w:val="11"/>
          <w:color w:val="auto"/>
        </w:rPr>
        <w:t>60% of our committees are chaired by women or persons of color.</w:t>
      </w:r>
    </w:p>
    <w:p>
      <w:pPr>
        <w:ind w:left="1040" w:right="879" w:hanging="208"/>
        <w:spacing w:after="0" w:line="249" w:lineRule="auto"/>
        <w:tabs>
          <w:tab w:leader="none" w:pos="1040" w:val="left"/>
        </w:tabs>
        <w:numPr>
          <w:ilvl w:val="0"/>
          <w:numId w:val="14"/>
        </w:numPr>
        <w:rPr>
          <w:rFonts w:ascii="Arial" w:cs="Arial" w:eastAsia="Arial" w:hAnsi="Arial"/>
          <w:sz w:val="11"/>
          <w:szCs w:val="11"/>
          <w:color w:val="E31F26"/>
        </w:rPr>
      </w:pPr>
      <w:r>
        <w:rPr>
          <w:rFonts w:ascii="Arial" w:cs="Arial" w:eastAsia="Arial" w:hAnsi="Arial"/>
          <w:sz w:val="11"/>
          <w:szCs w:val="11"/>
          <w:color w:val="auto"/>
        </w:rPr>
        <w:t>Our Responsibility Committee is focused on ensuring continued diversity on the Board during refreshment activities by requiring that candidate pools include diverse individuals meeting the relevant recruitment criteria.</w:t>
      </w:r>
    </w:p>
    <w:p>
      <w:pPr>
        <w:spacing w:after="0" w:line="9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E31F26"/>
        </w:rPr>
        <w:t>SKILLS AND EXPERIENCES</w:t>
      </w:r>
    </w:p>
    <w:p>
      <w:pPr>
        <w:spacing w:after="0" w:line="136" w:lineRule="exact"/>
        <w:rPr>
          <w:sz w:val="20"/>
          <w:szCs w:val="20"/>
          <w:color w:val="auto"/>
        </w:rPr>
      </w:pPr>
    </w:p>
    <w:p>
      <w:pPr>
        <w:ind w:left="840" w:right="1339"/>
        <w:spacing w:after="0" w:line="268" w:lineRule="auto"/>
        <w:rPr>
          <w:sz w:val="20"/>
          <w:szCs w:val="20"/>
          <w:color w:val="auto"/>
        </w:rPr>
      </w:pPr>
      <w:r>
        <w:rPr>
          <w:rFonts w:ascii="Arial" w:cs="Arial" w:eastAsia="Arial" w:hAnsi="Arial"/>
          <w:sz w:val="11"/>
          <w:szCs w:val="11"/>
          <w:color w:val="auto"/>
        </w:rPr>
        <w:t>We believe that our slate of director nominees possesses the appropriate mix of diversity in terms of skills, business and Board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66040</wp:posOffset>
            </wp:positionV>
            <wp:extent cx="4000500" cy="1543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0050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40" w:hanging="408"/>
        <w:spacing w:after="0"/>
        <w:tabs>
          <w:tab w:leader="none" w:pos="1540" w:val="left"/>
        </w:tabs>
        <w:numPr>
          <w:ilvl w:val="0"/>
          <w:numId w:val="15"/>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259715</wp:posOffset>
            </wp:positionV>
            <wp:extent cx="71780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jc w:val="right"/>
        <w:ind w:right="1980"/>
        <w:spacing w:after="0"/>
        <w:rPr>
          <w:sz w:val="20"/>
          <w:szCs w:val="20"/>
          <w:color w:val="auto"/>
        </w:rPr>
      </w:pPr>
      <w:r>
        <w:rPr>
          <w:rFonts w:ascii="Arial" w:cs="Arial" w:eastAsia="Arial" w:hAnsi="Arial"/>
          <w:sz w:val="12"/>
          <w:szCs w:val="12"/>
          <w:b w:val="1"/>
          <w:bCs w:val="1"/>
          <w:color w:val="E31F26"/>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92075</wp:posOffset>
            </wp:positionV>
            <wp:extent cx="4572000" cy="1634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72000" cy="163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PAY-FOR-PERFORMANCE</w:t>
      </w:r>
    </w:p>
    <w:p>
      <w:pPr>
        <w:spacing w:after="0" w:line="136" w:lineRule="exact"/>
        <w:rPr>
          <w:sz w:val="20"/>
          <w:szCs w:val="20"/>
          <w:color w:val="auto"/>
        </w:rPr>
      </w:pPr>
    </w:p>
    <w:p>
      <w:pPr>
        <w:ind w:left="1980" w:right="2100"/>
        <w:spacing w:after="0" w:line="253" w:lineRule="auto"/>
        <w:rPr>
          <w:sz w:val="20"/>
          <w:szCs w:val="20"/>
          <w:color w:val="auto"/>
        </w:rPr>
      </w:pPr>
      <w:r>
        <w:rPr>
          <w:rFonts w:ascii="Arial" w:cs="Arial" w:eastAsia="Arial" w:hAnsi="Arial"/>
          <w:sz w:val="11"/>
          <w:szCs w:val="11"/>
          <w:color w:val="auto"/>
        </w:rPr>
        <w:t>The centerpiece of our compensation program is our pay-for-performance philosophy that aligns compensation payouts with the achievements of our annual operating plan and long-term strategy, and consequently shareholder value. This is showcased at senior levels of the Company—particularly the CEO—for which most compensation is tied to the Company’s operating and stock performance, as described below.</w:t>
      </w:r>
    </w:p>
    <w:p>
      <w:pPr>
        <w:spacing w:after="0" w:line="151" w:lineRule="exact"/>
        <w:rPr>
          <w:sz w:val="20"/>
          <w:szCs w:val="20"/>
          <w:color w:val="auto"/>
        </w:rPr>
      </w:pPr>
    </w:p>
    <w:tbl>
      <w:tblPr>
        <w:tblLayout w:type="fixed"/>
        <w:tblInd w:w="1980" w:type="dxa"/>
        <w:tblCellMar>
          <w:top w:w="0" w:type="dxa"/>
          <w:left w:w="0" w:type="dxa"/>
          <w:bottom w:w="0" w:type="dxa"/>
          <w:right w:w="0" w:type="dxa"/>
        </w:tblCellMar>
      </w:tblPr>
      <w:tr>
        <w:trPr>
          <w:trHeight w:val="131"/>
        </w:trPr>
        <w:tc>
          <w:tcPr>
            <w:tcW w:w="1280" w:type="dxa"/>
            <w:vAlign w:val="bottom"/>
          </w:tcPr>
          <w:p>
            <w:pPr>
              <w:ind w:left="40"/>
              <w:spacing w:after="0"/>
              <w:rPr>
                <w:sz w:val="20"/>
                <w:szCs w:val="20"/>
                <w:color w:val="auto"/>
              </w:rPr>
            </w:pPr>
            <w:r>
              <w:rPr>
                <w:rFonts w:ascii="Arial" w:cs="Arial" w:eastAsia="Arial" w:hAnsi="Arial"/>
                <w:sz w:val="10"/>
                <w:szCs w:val="10"/>
                <w:b w:val="1"/>
                <w:bCs w:val="1"/>
                <w:color w:val="auto"/>
              </w:rPr>
              <w:t>Factor</w:t>
            </w:r>
          </w:p>
        </w:tc>
        <w:tc>
          <w:tcPr>
            <w:tcW w:w="6060" w:type="dxa"/>
            <w:vAlign w:val="bottom"/>
          </w:tcPr>
          <w:p>
            <w:pPr>
              <w:ind w:left="22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9"/>
        </w:trPr>
        <w:tc>
          <w:tcPr>
            <w:tcW w:w="1280" w:type="dxa"/>
            <w:vAlign w:val="bottom"/>
            <w:tcBorders>
              <w:bottom w:val="single" w:sz="8" w:color="FF0000"/>
            </w:tcBorders>
          </w:tcPr>
          <w:p>
            <w:pPr>
              <w:spacing w:after="0"/>
              <w:rPr>
                <w:sz w:val="2"/>
                <w:szCs w:val="2"/>
                <w:color w:val="auto"/>
              </w:rPr>
            </w:pPr>
          </w:p>
        </w:tc>
        <w:tc>
          <w:tcPr>
            <w:tcW w:w="6060" w:type="dxa"/>
            <w:vAlign w:val="bottom"/>
            <w:tcBorders>
              <w:bottom w:val="single" w:sz="8" w:color="FF0000"/>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40"/>
              <w:spacing w:after="0"/>
              <w:rPr>
                <w:sz w:val="20"/>
                <w:szCs w:val="20"/>
                <w:color w:val="auto"/>
              </w:rPr>
            </w:pPr>
            <w:r>
              <w:rPr>
                <w:rFonts w:ascii="Arial" w:cs="Arial" w:eastAsia="Arial" w:hAnsi="Arial"/>
                <w:sz w:val="11"/>
                <w:szCs w:val="11"/>
                <w:b w:val="1"/>
                <w:bCs w:val="1"/>
                <w:color w:val="E31F26"/>
              </w:rPr>
              <w:t>Performance-Based</w:t>
            </w:r>
          </w:p>
        </w:tc>
        <w:tc>
          <w:tcPr>
            <w:tcW w:w="6060" w:type="dxa"/>
            <w:vAlign w:val="bottom"/>
          </w:tcPr>
          <w:p>
            <w:pPr>
              <w:ind w:left="220"/>
              <w:spacing w:after="0"/>
              <w:rPr>
                <w:sz w:val="20"/>
                <w:szCs w:val="20"/>
                <w:color w:val="auto"/>
              </w:rPr>
            </w:pPr>
            <w:r>
              <w:rPr>
                <w:rFonts w:ascii="Arial" w:cs="Arial" w:eastAsia="Arial" w:hAnsi="Arial"/>
                <w:sz w:val="11"/>
                <w:szCs w:val="11"/>
                <w:color w:val="auto"/>
              </w:rPr>
              <w:t>A significant proportion of the CEO’s compensation is performance-based.</w:t>
            </w:r>
          </w:p>
        </w:tc>
        <w:tc>
          <w:tcPr>
            <w:tcW w:w="0" w:type="dxa"/>
            <w:vAlign w:val="bottom"/>
          </w:tcPr>
          <w:p>
            <w:pPr>
              <w:spacing w:after="0"/>
              <w:rPr>
                <w:sz w:val="1"/>
                <w:szCs w:val="1"/>
                <w:color w:val="auto"/>
              </w:rPr>
            </w:pPr>
          </w:p>
        </w:tc>
      </w:tr>
      <w:tr>
        <w:trPr>
          <w:trHeight w:val="32"/>
        </w:trPr>
        <w:tc>
          <w:tcPr>
            <w:tcW w:w="1280" w:type="dxa"/>
            <w:vAlign w:val="bottom"/>
            <w:tcBorders>
              <w:bottom w:val="single" w:sz="8" w:color="CCCCCC"/>
            </w:tcBorders>
          </w:tcPr>
          <w:p>
            <w:pPr>
              <w:spacing w:after="0"/>
              <w:rPr>
                <w:sz w:val="2"/>
                <w:szCs w:val="2"/>
                <w:color w:val="auto"/>
              </w:rPr>
            </w:pPr>
          </w:p>
        </w:tc>
        <w:tc>
          <w:tcPr>
            <w:tcW w:w="606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6060" w:type="dxa"/>
            <w:vAlign w:val="bottom"/>
          </w:tcPr>
          <w:p>
            <w:pPr>
              <w:ind w:left="220"/>
              <w:spacing w:after="0"/>
              <w:rPr>
                <w:sz w:val="20"/>
                <w:szCs w:val="20"/>
                <w:color w:val="auto"/>
              </w:rPr>
            </w:pPr>
            <w:r>
              <w:rPr>
                <w:rFonts w:ascii="Arial" w:cs="Arial" w:eastAsia="Arial" w:hAnsi="Arial"/>
                <w:sz w:val="11"/>
                <w:szCs w:val="11"/>
                <w:color w:val="auto"/>
              </w:rPr>
              <w:t>Recent Annual Incentive Plan and LTI payouts underscore our pay-for-performance culture. For example, only twice in</w:t>
            </w:r>
          </w:p>
        </w:tc>
        <w:tc>
          <w:tcPr>
            <w:tcW w:w="0" w:type="dxa"/>
            <w:vAlign w:val="bottom"/>
          </w:tcPr>
          <w:p>
            <w:pPr>
              <w:spacing w:after="0"/>
              <w:rPr>
                <w:sz w:val="1"/>
                <w:szCs w:val="1"/>
                <w:color w:val="auto"/>
              </w:rPr>
            </w:pPr>
          </w:p>
        </w:tc>
      </w:tr>
      <w:tr>
        <w:trPr>
          <w:trHeight w:val="126"/>
        </w:trPr>
        <w:tc>
          <w:tcPr>
            <w:tcW w:w="1280" w:type="dxa"/>
            <w:vAlign w:val="bottom"/>
          </w:tcPr>
          <w:p>
            <w:pPr>
              <w:ind w:left="40"/>
              <w:spacing w:after="0"/>
              <w:rPr>
                <w:sz w:val="20"/>
                <w:szCs w:val="20"/>
                <w:color w:val="auto"/>
              </w:rPr>
            </w:pPr>
            <w:r>
              <w:rPr>
                <w:rFonts w:ascii="Arial" w:cs="Arial" w:eastAsia="Arial" w:hAnsi="Arial"/>
                <w:sz w:val="11"/>
                <w:szCs w:val="11"/>
                <w:b w:val="1"/>
                <w:bCs w:val="1"/>
                <w:color w:val="E31F26"/>
              </w:rPr>
              <w:t>Challenging Goals</w:t>
            </w:r>
          </w:p>
        </w:tc>
        <w:tc>
          <w:tcPr>
            <w:tcW w:w="6060" w:type="dxa"/>
            <w:vAlign w:val="bottom"/>
          </w:tcPr>
          <w:p>
            <w:pPr>
              <w:ind w:left="220"/>
              <w:spacing w:after="0"/>
              <w:rPr>
                <w:sz w:val="20"/>
                <w:szCs w:val="20"/>
                <w:color w:val="auto"/>
              </w:rPr>
            </w:pPr>
            <w:r>
              <w:rPr>
                <w:rFonts w:ascii="Arial" w:cs="Arial" w:eastAsia="Arial" w:hAnsi="Arial"/>
                <w:sz w:val="11"/>
                <w:szCs w:val="11"/>
                <w:color w:val="auto"/>
              </w:rPr>
              <w:t>the past five years has the Annual Incentive Plan paid out greater than target and three of the past five PSU awards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60" w:type="dxa"/>
            <w:vAlign w:val="bottom"/>
          </w:tcPr>
          <w:p>
            <w:pPr>
              <w:ind w:left="220"/>
              <w:spacing w:after="0"/>
              <w:rPr>
                <w:sz w:val="20"/>
                <w:szCs w:val="20"/>
                <w:color w:val="auto"/>
              </w:rPr>
            </w:pPr>
            <w:r>
              <w:rPr>
                <w:rFonts w:ascii="Arial" w:cs="Arial" w:eastAsia="Arial" w:hAnsi="Arial"/>
                <w:sz w:val="11"/>
                <w:szCs w:val="11"/>
                <w:color w:val="auto"/>
              </w:rPr>
              <w:t>were not earned and paid out at 0%.</w:t>
            </w:r>
          </w:p>
        </w:tc>
        <w:tc>
          <w:tcPr>
            <w:tcW w:w="0" w:type="dxa"/>
            <w:vAlign w:val="bottom"/>
          </w:tcPr>
          <w:p>
            <w:pPr>
              <w:spacing w:after="0"/>
              <w:rPr>
                <w:sz w:val="1"/>
                <w:szCs w:val="1"/>
                <w:color w:val="auto"/>
              </w:rPr>
            </w:pPr>
          </w:p>
        </w:tc>
      </w:tr>
      <w:tr>
        <w:trPr>
          <w:trHeight w:val="38"/>
        </w:trPr>
        <w:tc>
          <w:tcPr>
            <w:tcW w:w="1280" w:type="dxa"/>
            <w:vAlign w:val="bottom"/>
            <w:tcBorders>
              <w:bottom w:val="single" w:sz="8" w:color="CCCCCC"/>
            </w:tcBorders>
          </w:tcPr>
          <w:p>
            <w:pPr>
              <w:spacing w:after="0"/>
              <w:rPr>
                <w:sz w:val="3"/>
                <w:szCs w:val="3"/>
                <w:color w:val="auto"/>
              </w:rPr>
            </w:pPr>
          </w:p>
        </w:tc>
        <w:tc>
          <w:tcPr>
            <w:tcW w:w="606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280" w:type="dxa"/>
            <w:vAlign w:val="bottom"/>
            <w:vMerge w:val="restart"/>
          </w:tcPr>
          <w:p>
            <w:pPr>
              <w:ind w:left="40"/>
              <w:spacing w:after="0"/>
              <w:rPr>
                <w:sz w:val="20"/>
                <w:szCs w:val="20"/>
                <w:color w:val="auto"/>
              </w:rPr>
            </w:pPr>
            <w:r>
              <w:rPr>
                <w:rFonts w:ascii="Arial" w:cs="Arial" w:eastAsia="Arial" w:hAnsi="Arial"/>
                <w:sz w:val="11"/>
                <w:szCs w:val="11"/>
                <w:b w:val="1"/>
                <w:bCs w:val="1"/>
                <w:color w:val="E31F26"/>
              </w:rPr>
              <w:t>Formulaic</w:t>
            </w:r>
          </w:p>
        </w:tc>
        <w:tc>
          <w:tcPr>
            <w:tcW w:w="6060" w:type="dxa"/>
            <w:vAlign w:val="bottom"/>
          </w:tcPr>
          <w:p>
            <w:pPr>
              <w:ind w:left="220"/>
              <w:spacing w:after="0"/>
              <w:rPr>
                <w:sz w:val="20"/>
                <w:szCs w:val="20"/>
                <w:color w:val="auto"/>
              </w:rPr>
            </w:pPr>
            <w:r>
              <w:rPr>
                <w:rFonts w:ascii="Arial" w:cs="Arial" w:eastAsia="Arial" w:hAnsi="Arial"/>
                <w:sz w:val="11"/>
                <w:szCs w:val="11"/>
                <w:color w:val="auto"/>
              </w:rPr>
              <w:t>Our Annual Incentive Plan and LTI payouts are formulaically determined based on performance against challenging</w:t>
            </w:r>
          </w:p>
        </w:tc>
        <w:tc>
          <w:tcPr>
            <w:tcW w:w="0" w:type="dxa"/>
            <w:vAlign w:val="bottom"/>
          </w:tcPr>
          <w:p>
            <w:pPr>
              <w:spacing w:after="0"/>
              <w:rPr>
                <w:sz w:val="1"/>
                <w:szCs w:val="1"/>
                <w:color w:val="auto"/>
              </w:rPr>
            </w:pPr>
          </w:p>
        </w:tc>
      </w:tr>
      <w:tr>
        <w:trPr>
          <w:trHeight w:val="85"/>
        </w:trPr>
        <w:tc>
          <w:tcPr>
            <w:tcW w:w="1280" w:type="dxa"/>
            <w:vAlign w:val="bottom"/>
            <w:vMerge w:val="continue"/>
          </w:tcPr>
          <w:p>
            <w:pPr>
              <w:spacing w:after="0"/>
              <w:rPr>
                <w:sz w:val="7"/>
                <w:szCs w:val="7"/>
                <w:color w:val="auto"/>
              </w:rPr>
            </w:pPr>
          </w:p>
        </w:tc>
        <w:tc>
          <w:tcPr>
            <w:tcW w:w="6060" w:type="dxa"/>
            <w:vAlign w:val="bottom"/>
            <w:vMerge w:val="restart"/>
          </w:tcPr>
          <w:p>
            <w:pPr>
              <w:ind w:left="220"/>
              <w:spacing w:after="0"/>
              <w:rPr>
                <w:sz w:val="20"/>
                <w:szCs w:val="20"/>
                <w:color w:val="auto"/>
              </w:rPr>
            </w:pPr>
            <w:r>
              <w:rPr>
                <w:rFonts w:ascii="Arial" w:cs="Arial" w:eastAsia="Arial" w:hAnsi="Arial"/>
                <w:sz w:val="11"/>
                <w:szCs w:val="11"/>
                <w:color w:val="auto"/>
              </w:rPr>
              <w:t>financial and operating goals.</w:t>
            </w:r>
          </w:p>
        </w:tc>
        <w:tc>
          <w:tcPr>
            <w:tcW w:w="0" w:type="dxa"/>
            <w:vAlign w:val="bottom"/>
          </w:tcPr>
          <w:p>
            <w:pPr>
              <w:spacing w:after="0"/>
              <w:rPr>
                <w:sz w:val="1"/>
                <w:szCs w:val="1"/>
                <w:color w:val="auto"/>
              </w:rPr>
            </w:pPr>
          </w:p>
        </w:tc>
      </w:tr>
      <w:tr>
        <w:trPr>
          <w:trHeight w:val="57"/>
        </w:trPr>
        <w:tc>
          <w:tcPr>
            <w:tcW w:w="1280" w:type="dxa"/>
            <w:vAlign w:val="bottom"/>
          </w:tcPr>
          <w:p>
            <w:pPr>
              <w:spacing w:after="0"/>
              <w:rPr>
                <w:sz w:val="4"/>
                <w:szCs w:val="4"/>
                <w:color w:val="auto"/>
              </w:rPr>
            </w:pPr>
          </w:p>
        </w:tc>
        <w:tc>
          <w:tcPr>
            <w:tcW w:w="6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1280" w:type="dxa"/>
            <w:vAlign w:val="bottom"/>
            <w:tcBorders>
              <w:bottom w:val="single" w:sz="8" w:color="CCCCCC"/>
            </w:tcBorders>
          </w:tcPr>
          <w:p>
            <w:pPr>
              <w:spacing w:after="0"/>
              <w:rPr>
                <w:sz w:val="3"/>
                <w:szCs w:val="3"/>
                <w:color w:val="auto"/>
              </w:rPr>
            </w:pPr>
          </w:p>
        </w:tc>
        <w:tc>
          <w:tcPr>
            <w:tcW w:w="606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40"/>
              <w:spacing w:after="0"/>
              <w:rPr>
                <w:sz w:val="20"/>
                <w:szCs w:val="20"/>
                <w:color w:val="auto"/>
              </w:rPr>
            </w:pPr>
            <w:r>
              <w:rPr>
                <w:rFonts w:ascii="Arial" w:cs="Arial" w:eastAsia="Arial" w:hAnsi="Arial"/>
                <w:sz w:val="11"/>
                <w:szCs w:val="11"/>
                <w:b w:val="1"/>
                <w:bCs w:val="1"/>
                <w:color w:val="E31F26"/>
              </w:rPr>
              <w:t>Lower Realized Pay</w:t>
            </w:r>
          </w:p>
        </w:tc>
        <w:tc>
          <w:tcPr>
            <w:tcW w:w="6060" w:type="dxa"/>
            <w:vAlign w:val="bottom"/>
          </w:tcPr>
          <w:p>
            <w:pPr>
              <w:ind w:left="220"/>
              <w:spacing w:after="0"/>
              <w:rPr>
                <w:sz w:val="20"/>
                <w:szCs w:val="20"/>
                <w:color w:val="auto"/>
              </w:rPr>
            </w:pPr>
            <w:r>
              <w:rPr>
                <w:rFonts w:ascii="Arial" w:cs="Arial" w:eastAsia="Arial" w:hAnsi="Arial"/>
                <w:sz w:val="11"/>
                <w:szCs w:val="11"/>
                <w:color w:val="auto"/>
              </w:rPr>
              <w:t>The CEO’s five-year realized pay is expected to be lower than his five-year target compensation.</w:t>
            </w:r>
          </w:p>
        </w:tc>
        <w:tc>
          <w:tcPr>
            <w:tcW w:w="0" w:type="dxa"/>
            <w:vAlign w:val="bottom"/>
          </w:tcPr>
          <w:p>
            <w:pPr>
              <w:spacing w:after="0"/>
              <w:rPr>
                <w:sz w:val="1"/>
                <w:szCs w:val="1"/>
                <w:color w:val="auto"/>
              </w:rPr>
            </w:pPr>
          </w:p>
        </w:tc>
      </w:tr>
      <w:tr>
        <w:trPr>
          <w:trHeight w:val="32"/>
        </w:trPr>
        <w:tc>
          <w:tcPr>
            <w:tcW w:w="1280" w:type="dxa"/>
            <w:vAlign w:val="bottom"/>
            <w:tcBorders>
              <w:bottom w:val="single" w:sz="8" w:color="CCCCCC"/>
            </w:tcBorders>
          </w:tcPr>
          <w:p>
            <w:pPr>
              <w:spacing w:after="0"/>
              <w:rPr>
                <w:sz w:val="2"/>
                <w:szCs w:val="2"/>
                <w:color w:val="auto"/>
              </w:rPr>
            </w:pPr>
          </w:p>
        </w:tc>
        <w:tc>
          <w:tcPr>
            <w:tcW w:w="606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40"/>
              <w:spacing w:after="0"/>
              <w:rPr>
                <w:sz w:val="20"/>
                <w:szCs w:val="20"/>
                <w:color w:val="auto"/>
              </w:rPr>
            </w:pPr>
            <w:r>
              <w:rPr>
                <w:rFonts w:ascii="Arial" w:cs="Arial" w:eastAsia="Arial" w:hAnsi="Arial"/>
                <w:sz w:val="11"/>
                <w:szCs w:val="11"/>
                <w:b w:val="1"/>
                <w:bCs w:val="1"/>
                <w:color w:val="E31F26"/>
              </w:rPr>
              <w:t>Peer Benchmarked</w:t>
            </w:r>
          </w:p>
        </w:tc>
        <w:tc>
          <w:tcPr>
            <w:tcW w:w="6060" w:type="dxa"/>
            <w:vAlign w:val="bottom"/>
          </w:tcPr>
          <w:p>
            <w:pPr>
              <w:ind w:left="220"/>
              <w:spacing w:after="0"/>
              <w:rPr>
                <w:sz w:val="20"/>
                <w:szCs w:val="20"/>
                <w:color w:val="auto"/>
              </w:rPr>
            </w:pPr>
            <w:r>
              <w:rPr>
                <w:rFonts w:ascii="Arial" w:cs="Arial" w:eastAsia="Arial" w:hAnsi="Arial"/>
                <w:sz w:val="11"/>
                <w:szCs w:val="11"/>
                <w:color w:val="auto"/>
              </w:rPr>
              <w:t>We utilize an objective set of criteria to determine peer companies and position CEO pay at the peer group median.</w:t>
            </w:r>
          </w:p>
        </w:tc>
        <w:tc>
          <w:tcPr>
            <w:tcW w:w="0" w:type="dxa"/>
            <w:vAlign w:val="bottom"/>
          </w:tcPr>
          <w:p>
            <w:pPr>
              <w:spacing w:after="0"/>
              <w:rPr>
                <w:sz w:val="1"/>
                <w:szCs w:val="1"/>
                <w:color w:val="auto"/>
              </w:rPr>
            </w:pPr>
          </w:p>
        </w:tc>
      </w:tr>
      <w:tr>
        <w:trPr>
          <w:trHeight w:val="32"/>
        </w:trPr>
        <w:tc>
          <w:tcPr>
            <w:tcW w:w="1280" w:type="dxa"/>
            <w:vAlign w:val="bottom"/>
            <w:tcBorders>
              <w:bottom w:val="single" w:sz="8" w:color="CCCCCC"/>
            </w:tcBorders>
          </w:tcPr>
          <w:p>
            <w:pPr>
              <w:spacing w:after="0"/>
              <w:rPr>
                <w:sz w:val="2"/>
                <w:szCs w:val="2"/>
                <w:color w:val="auto"/>
              </w:rPr>
            </w:pPr>
          </w:p>
        </w:tc>
        <w:tc>
          <w:tcPr>
            <w:tcW w:w="606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40"/>
              <w:spacing w:after="0"/>
              <w:rPr>
                <w:sz w:val="20"/>
                <w:szCs w:val="20"/>
                <w:color w:val="auto"/>
              </w:rPr>
            </w:pPr>
            <w:r>
              <w:rPr>
                <w:rFonts w:ascii="Arial" w:cs="Arial" w:eastAsia="Arial" w:hAnsi="Arial"/>
                <w:sz w:val="11"/>
                <w:szCs w:val="11"/>
                <w:b w:val="1"/>
                <w:bCs w:val="1"/>
                <w:color w:val="E31F26"/>
              </w:rPr>
              <w:t>Reasonable</w:t>
            </w:r>
          </w:p>
        </w:tc>
        <w:tc>
          <w:tcPr>
            <w:tcW w:w="6060" w:type="dxa"/>
            <w:vAlign w:val="bottom"/>
          </w:tcPr>
          <w:p>
            <w:pPr>
              <w:ind w:left="220"/>
              <w:spacing w:after="0"/>
              <w:rPr>
                <w:sz w:val="20"/>
                <w:szCs w:val="20"/>
                <w:color w:val="auto"/>
              </w:rPr>
            </w:pPr>
            <w:r>
              <w:rPr>
                <w:rFonts w:ascii="Arial" w:cs="Arial" w:eastAsia="Arial" w:hAnsi="Arial"/>
                <w:sz w:val="11"/>
                <w:szCs w:val="11"/>
                <w:color w:val="auto"/>
              </w:rPr>
              <w:t>2021 compensation for newly-appointed and outgoing executives was reasonable.</w:t>
            </w:r>
          </w:p>
        </w:tc>
        <w:tc>
          <w:tcPr>
            <w:tcW w:w="0" w:type="dxa"/>
            <w:vAlign w:val="bottom"/>
          </w:tcPr>
          <w:p>
            <w:pPr>
              <w:spacing w:after="0"/>
              <w:rPr>
                <w:sz w:val="1"/>
                <w:szCs w:val="1"/>
                <w:color w:val="auto"/>
              </w:rPr>
            </w:pPr>
          </w:p>
        </w:tc>
      </w:tr>
      <w:tr>
        <w:trPr>
          <w:trHeight w:val="32"/>
        </w:trPr>
        <w:tc>
          <w:tcPr>
            <w:tcW w:w="1280" w:type="dxa"/>
            <w:vAlign w:val="bottom"/>
            <w:tcBorders>
              <w:bottom w:val="single" w:sz="8" w:color="CCCCCC"/>
            </w:tcBorders>
          </w:tcPr>
          <w:p>
            <w:pPr>
              <w:spacing w:after="0"/>
              <w:rPr>
                <w:sz w:val="2"/>
                <w:szCs w:val="2"/>
                <w:color w:val="auto"/>
              </w:rPr>
            </w:pPr>
          </w:p>
        </w:tc>
        <w:tc>
          <w:tcPr>
            <w:tcW w:w="606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80" w:type="dxa"/>
            <w:vAlign w:val="bottom"/>
          </w:tcPr>
          <w:p>
            <w:pPr>
              <w:ind w:left="40"/>
              <w:spacing w:after="0"/>
              <w:rPr>
                <w:sz w:val="20"/>
                <w:szCs w:val="20"/>
                <w:color w:val="auto"/>
              </w:rPr>
            </w:pPr>
            <w:r>
              <w:rPr>
                <w:rFonts w:ascii="Arial" w:cs="Arial" w:eastAsia="Arial" w:hAnsi="Arial"/>
                <w:sz w:val="11"/>
                <w:szCs w:val="11"/>
                <w:b w:val="1"/>
                <w:bCs w:val="1"/>
                <w:color w:val="E31F26"/>
              </w:rPr>
              <w:t>Responsive to</w:t>
            </w:r>
          </w:p>
        </w:tc>
        <w:tc>
          <w:tcPr>
            <w:tcW w:w="6060" w:type="dxa"/>
            <w:vAlign w:val="bottom"/>
            <w:vMerge w:val="restart"/>
          </w:tcPr>
          <w:p>
            <w:pPr>
              <w:ind w:left="220"/>
              <w:spacing w:after="0"/>
              <w:rPr>
                <w:sz w:val="20"/>
                <w:szCs w:val="20"/>
                <w:color w:val="auto"/>
              </w:rPr>
            </w:pPr>
            <w:r>
              <w:rPr>
                <w:rFonts w:ascii="Arial" w:cs="Arial" w:eastAsia="Arial" w:hAnsi="Arial"/>
                <w:sz w:val="11"/>
                <w:szCs w:val="11"/>
                <w:color w:val="auto"/>
              </w:rPr>
              <w:t>Our Say-on-Pay support has been strong in recent years.</w:t>
            </w:r>
          </w:p>
        </w:tc>
        <w:tc>
          <w:tcPr>
            <w:tcW w:w="0" w:type="dxa"/>
            <w:vAlign w:val="bottom"/>
          </w:tcPr>
          <w:p>
            <w:pPr>
              <w:spacing w:after="0"/>
              <w:rPr>
                <w:sz w:val="1"/>
                <w:szCs w:val="1"/>
                <w:color w:val="auto"/>
              </w:rPr>
            </w:pPr>
          </w:p>
        </w:tc>
      </w:tr>
      <w:tr>
        <w:trPr>
          <w:trHeight w:val="79"/>
        </w:trPr>
        <w:tc>
          <w:tcPr>
            <w:tcW w:w="1280" w:type="dxa"/>
            <w:vAlign w:val="bottom"/>
            <w:vMerge w:val="restart"/>
          </w:tcPr>
          <w:p>
            <w:pPr>
              <w:ind w:left="40"/>
              <w:spacing w:after="0"/>
              <w:rPr>
                <w:sz w:val="20"/>
                <w:szCs w:val="20"/>
                <w:color w:val="auto"/>
              </w:rPr>
            </w:pPr>
            <w:r>
              <w:rPr>
                <w:rFonts w:ascii="Arial" w:cs="Arial" w:eastAsia="Arial" w:hAnsi="Arial"/>
                <w:sz w:val="11"/>
                <w:szCs w:val="11"/>
                <w:b w:val="1"/>
                <w:bCs w:val="1"/>
                <w:color w:val="E31F26"/>
              </w:rPr>
              <w:t>Say-on-Pay Vote</w:t>
            </w: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2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1280" w:type="dxa"/>
            <w:vAlign w:val="bottom"/>
            <w:tcBorders>
              <w:bottom w:val="single" w:sz="8" w:color="CCCCCC"/>
            </w:tcBorders>
          </w:tcPr>
          <w:p>
            <w:pPr>
              <w:spacing w:after="0"/>
              <w:rPr>
                <w:sz w:val="2"/>
                <w:szCs w:val="2"/>
                <w:color w:val="auto"/>
              </w:rPr>
            </w:pPr>
          </w:p>
        </w:tc>
        <w:tc>
          <w:tcPr>
            <w:tcW w:w="606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80" w:type="dxa"/>
            <w:vAlign w:val="bottom"/>
            <w:vMerge w:val="restart"/>
          </w:tcPr>
          <w:p>
            <w:pPr>
              <w:ind w:left="40"/>
              <w:spacing w:after="0"/>
              <w:rPr>
                <w:sz w:val="20"/>
                <w:szCs w:val="20"/>
                <w:color w:val="auto"/>
              </w:rPr>
            </w:pPr>
            <w:r>
              <w:rPr>
                <w:rFonts w:ascii="Arial" w:cs="Arial" w:eastAsia="Arial" w:hAnsi="Arial"/>
                <w:sz w:val="11"/>
                <w:szCs w:val="11"/>
                <w:b w:val="1"/>
                <w:bCs w:val="1"/>
                <w:color w:val="E31F26"/>
              </w:rPr>
              <w:t>Compensation Mix</w:t>
            </w:r>
          </w:p>
        </w:tc>
        <w:tc>
          <w:tcPr>
            <w:tcW w:w="6060" w:type="dxa"/>
            <w:vAlign w:val="bottom"/>
          </w:tcPr>
          <w:p>
            <w:pPr>
              <w:ind w:left="220"/>
              <w:spacing w:after="0"/>
              <w:rPr>
                <w:sz w:val="20"/>
                <w:szCs w:val="20"/>
                <w:color w:val="auto"/>
              </w:rPr>
            </w:pPr>
            <w:r>
              <w:rPr>
                <w:rFonts w:ascii="Arial" w:cs="Arial" w:eastAsia="Arial" w:hAnsi="Arial"/>
                <w:sz w:val="11"/>
                <w:szCs w:val="11"/>
                <w:color w:val="auto"/>
              </w:rPr>
              <w:t>Beginning with LTI awards granted in 2021, we adopted a consistent mix of PSU awards (60%), stock option awards</w:t>
            </w:r>
          </w:p>
        </w:tc>
        <w:tc>
          <w:tcPr>
            <w:tcW w:w="0" w:type="dxa"/>
            <w:vAlign w:val="bottom"/>
          </w:tcPr>
          <w:p>
            <w:pPr>
              <w:spacing w:after="0"/>
              <w:rPr>
                <w:sz w:val="1"/>
                <w:szCs w:val="1"/>
                <w:color w:val="auto"/>
              </w:rPr>
            </w:pPr>
          </w:p>
        </w:tc>
      </w:tr>
      <w:tr>
        <w:trPr>
          <w:trHeight w:val="85"/>
        </w:trPr>
        <w:tc>
          <w:tcPr>
            <w:tcW w:w="1280" w:type="dxa"/>
            <w:vAlign w:val="bottom"/>
            <w:vMerge w:val="continue"/>
          </w:tcPr>
          <w:p>
            <w:pPr>
              <w:spacing w:after="0"/>
              <w:rPr>
                <w:sz w:val="7"/>
                <w:szCs w:val="7"/>
                <w:color w:val="auto"/>
              </w:rPr>
            </w:pPr>
          </w:p>
        </w:tc>
        <w:tc>
          <w:tcPr>
            <w:tcW w:w="6060" w:type="dxa"/>
            <w:vAlign w:val="bottom"/>
            <w:vMerge w:val="restart"/>
          </w:tcPr>
          <w:p>
            <w:pPr>
              <w:ind w:left="220"/>
              <w:spacing w:after="0"/>
              <w:rPr>
                <w:sz w:val="20"/>
                <w:szCs w:val="20"/>
                <w:color w:val="auto"/>
              </w:rPr>
            </w:pPr>
            <w:r>
              <w:rPr>
                <w:rFonts w:ascii="Arial" w:cs="Arial" w:eastAsia="Arial" w:hAnsi="Arial"/>
                <w:sz w:val="11"/>
                <w:szCs w:val="11"/>
                <w:color w:val="auto"/>
              </w:rPr>
              <w:t>(20%), and RSU awards (20%).</w:t>
            </w:r>
          </w:p>
        </w:tc>
        <w:tc>
          <w:tcPr>
            <w:tcW w:w="0" w:type="dxa"/>
            <w:vAlign w:val="bottom"/>
          </w:tcPr>
          <w:p>
            <w:pPr>
              <w:spacing w:after="0"/>
              <w:rPr>
                <w:sz w:val="1"/>
                <w:szCs w:val="1"/>
                <w:color w:val="auto"/>
              </w:rPr>
            </w:pPr>
          </w:p>
        </w:tc>
      </w:tr>
      <w:tr>
        <w:trPr>
          <w:trHeight w:val="57"/>
        </w:trPr>
        <w:tc>
          <w:tcPr>
            <w:tcW w:w="1280" w:type="dxa"/>
            <w:vAlign w:val="bottom"/>
          </w:tcPr>
          <w:p>
            <w:pPr>
              <w:spacing w:after="0"/>
              <w:rPr>
                <w:sz w:val="4"/>
                <w:szCs w:val="4"/>
                <w:color w:val="auto"/>
              </w:rPr>
            </w:pPr>
          </w:p>
        </w:tc>
        <w:tc>
          <w:tcPr>
            <w:tcW w:w="6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1280" w:type="dxa"/>
            <w:vAlign w:val="bottom"/>
            <w:tcBorders>
              <w:bottom w:val="single" w:sz="8" w:color="FF0000"/>
            </w:tcBorders>
          </w:tcPr>
          <w:p>
            <w:pPr>
              <w:spacing w:after="0"/>
              <w:rPr>
                <w:sz w:val="3"/>
                <w:szCs w:val="3"/>
                <w:color w:val="auto"/>
              </w:rPr>
            </w:pPr>
          </w:p>
        </w:tc>
        <w:tc>
          <w:tcPr>
            <w:tcW w:w="6060" w:type="dxa"/>
            <w:vAlign w:val="bottom"/>
            <w:tcBorders>
              <w:bottom w:val="single" w:sz="8" w:color="FF000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Recent Annual Incentive Plan and LTI payouts underscore our pay-for-performance culture:</w:t>
      </w:r>
    </w:p>
    <w:p>
      <w:pPr>
        <w:spacing w:after="0" w:line="116" w:lineRule="exact"/>
        <w:rPr>
          <w:sz w:val="20"/>
          <w:szCs w:val="20"/>
          <w:color w:val="auto"/>
        </w:rPr>
      </w:pPr>
    </w:p>
    <w:p>
      <w:pPr>
        <w:ind w:left="1980"/>
        <w:spacing w:after="0"/>
        <w:tabs>
          <w:tab w:leader="none" w:pos="5620" w:val="left"/>
        </w:tabs>
        <w:rPr>
          <w:sz w:val="20"/>
          <w:szCs w:val="20"/>
          <w:color w:val="auto"/>
        </w:rPr>
      </w:pPr>
      <w:r>
        <w:rPr>
          <w:rFonts w:ascii="Arial" w:cs="Arial" w:eastAsia="Arial" w:hAnsi="Arial"/>
          <w:sz w:val="14"/>
          <w:szCs w:val="14"/>
          <w:b w:val="1"/>
          <w:bCs w:val="1"/>
          <w:color w:val="auto"/>
        </w:rPr>
        <w:t>ANNUAL INCENTIVE PLAN</w:t>
      </w:r>
      <w:r>
        <w:rPr>
          <w:sz w:val="20"/>
          <w:szCs w:val="20"/>
          <w:color w:val="auto"/>
        </w:rPr>
        <w:tab/>
      </w:r>
      <w:r>
        <w:rPr>
          <w:rFonts w:ascii="Arial" w:cs="Arial" w:eastAsia="Arial" w:hAnsi="Arial"/>
          <w:sz w:val="14"/>
          <w:szCs w:val="14"/>
          <w:b w:val="1"/>
          <w:bCs w:val="1"/>
          <w:color w:val="auto"/>
        </w:rPr>
        <w:t>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97790</wp:posOffset>
            </wp:positionV>
            <wp:extent cx="4663440" cy="1428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6344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20" w:type="dxa"/>
            <w:vAlign w:val="bottom"/>
          </w:tcPr>
          <w:p>
            <w:pPr>
              <w:jc w:val="right"/>
              <w:ind w:right="2246"/>
              <w:spacing w:after="0"/>
              <w:rPr>
                <w:sz w:val="20"/>
                <w:szCs w:val="20"/>
                <w:color w:val="auto"/>
              </w:rPr>
            </w:pPr>
            <w:r>
              <w:rPr>
                <w:rFonts w:ascii="Arial" w:cs="Arial" w:eastAsia="Arial" w:hAnsi="Arial"/>
                <w:sz w:val="11"/>
                <w:szCs w:val="11"/>
                <w:b w:val="1"/>
                <w:bCs w:val="1"/>
                <w:color w:val="FFFFFF"/>
              </w:rPr>
              <w:t>9</w:t>
            </w:r>
          </w:p>
        </w:tc>
      </w:tr>
      <w:tr>
        <w:trPr>
          <w:trHeight w:val="363"/>
        </w:trPr>
        <w:tc>
          <w:tcPr>
            <w:tcW w:w="87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3" w:right="299" w:bottom="1440" w:gutter="0" w:footer="0" w:header="0"/>
        </w:sectPr>
      </w:pPr>
    </w:p>
    <w:bookmarkStart w:id="16" w:name="page17"/>
    <w:bookmarkEnd w:id="16"/>
    <w:p>
      <w:pPr>
        <w:ind w:left="840"/>
        <w:spacing w:after="0"/>
        <w:rPr>
          <w:sz w:val="20"/>
          <w:szCs w:val="20"/>
          <w:color w:val="auto"/>
        </w:rPr>
      </w:pPr>
      <w:r>
        <w:rPr>
          <w:rFonts w:ascii="Arial" w:cs="Arial" w:eastAsia="Arial" w:hAnsi="Arial"/>
          <w:sz w:val="10"/>
          <w:szCs w:val="10"/>
          <w:b w:val="1"/>
          <w:bCs w:val="1"/>
          <w:color w:val="E31F26"/>
        </w:rPr>
        <w:t>VOTING ROADMAP</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TARGET COMPENSATION VS. REALIZED PAY</w:t>
      </w:r>
      <w:r>
        <w:rPr>
          <w:rFonts w:ascii="Arial" w:cs="Arial" w:eastAsia="Arial" w:hAnsi="Arial"/>
          <w:sz w:val="23"/>
          <w:szCs w:val="23"/>
          <w:color w:val="auto"/>
          <w:vertAlign w:val="superscript"/>
        </w:rPr>
        <w:t>(1)</w:t>
      </w:r>
    </w:p>
    <w:p>
      <w:pPr>
        <w:spacing w:after="0" w:line="63" w:lineRule="exact"/>
        <w:rPr>
          <w:sz w:val="20"/>
          <w:szCs w:val="20"/>
          <w:color w:val="auto"/>
        </w:rPr>
      </w:pPr>
    </w:p>
    <w:p>
      <w:pPr>
        <w:ind w:left="840" w:right="879"/>
        <w:spacing w:after="0" w:line="243" w:lineRule="auto"/>
        <w:rPr>
          <w:sz w:val="20"/>
          <w:szCs w:val="20"/>
          <w:color w:val="auto"/>
        </w:rPr>
      </w:pPr>
      <w:r>
        <w:rPr>
          <w:rFonts w:ascii="Arial" w:cs="Arial" w:eastAsia="Arial" w:hAnsi="Arial"/>
          <w:sz w:val="11"/>
          <w:szCs w:val="11"/>
          <w:color w:val="auto"/>
        </w:rPr>
        <w:t>Our executives’ realized pay over the past five years further reinforces our pay-for-performance philosophy. Failure to achieve the challenging threshold performance goals set for our Annual Incentive Plan awards and PSU awards results in no payout earned. Also, a decrease in the Company’s stock price results in a decrease in the value of previously-awarded stock option awards—potentially to $0—and no dilution to shareholders, as well as a decrease in the value of previously-awarded RSU awards. When our stock price increases and generates positive returns for our shareholders, the increase impacts an executive’s realized pay during the present fiscal year and for prior fiscal years during which the executive received equity awards that are held or still subject to vesting. Accordingly, a significant portion of our NEOs’ compensation is closely linked to the performance of our stock over time, motivating our executives to generate positive returns for shareholders.</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following chart demonstrates the relationship between the target and realized values of our CEO’s compensation for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85090</wp:posOffset>
            </wp:positionV>
            <wp:extent cx="3680460" cy="1205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80460"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40" w:right="979" w:hanging="208"/>
        <w:spacing w:after="0" w:line="197" w:lineRule="auto"/>
        <w:tabs>
          <w:tab w:leader="none" w:pos="1040" w:val="left"/>
        </w:tabs>
        <w:numPr>
          <w:ilvl w:val="0"/>
          <w:numId w:val="16"/>
        </w:numPr>
        <w:rPr>
          <w:rFonts w:ascii="Arial" w:cs="Arial" w:eastAsia="Arial" w:hAnsi="Arial"/>
          <w:sz w:val="16"/>
          <w:szCs w:val="16"/>
          <w:color w:val="auto"/>
          <w:vertAlign w:val="superscript"/>
        </w:rPr>
      </w:pPr>
      <w:r>
        <w:rPr>
          <w:rFonts w:ascii="Arial" w:cs="Arial" w:eastAsia="Arial" w:hAnsi="Arial"/>
          <w:sz w:val="10"/>
          <w:szCs w:val="10"/>
          <w:color w:val="auto"/>
        </w:rPr>
        <w:t>For each year, these amounts reflect the CEO’s base salary paid, Annual Incentive Plan payouts paid, values of PSU awards earned, stock option award tranches vesting during the year, and RSU awards vesting during the year. For 2020, the CEO’s realized pay includes the value of a one-time Accelerate Future Growth award earned.</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E31F26"/>
        </w:rPr>
        <w:t>COMPENSATION MIX</w:t>
      </w:r>
    </w:p>
    <w:p>
      <w:pPr>
        <w:spacing w:after="0" w:line="136" w:lineRule="exact"/>
        <w:rPr>
          <w:sz w:val="20"/>
          <w:szCs w:val="20"/>
          <w:color w:val="auto"/>
        </w:rPr>
      </w:pPr>
    </w:p>
    <w:p>
      <w:pPr>
        <w:ind w:left="840" w:right="939"/>
        <w:spacing w:after="0" w:line="248" w:lineRule="auto"/>
        <w:rPr>
          <w:sz w:val="20"/>
          <w:szCs w:val="20"/>
          <w:color w:val="auto"/>
        </w:rPr>
      </w:pPr>
      <w:r>
        <w:rPr>
          <w:rFonts w:ascii="Arial" w:cs="Arial" w:eastAsia="Arial" w:hAnsi="Arial"/>
          <w:sz w:val="11"/>
          <w:szCs w:val="11"/>
          <w:color w:val="auto"/>
        </w:rPr>
        <w:t>The Human Capital Committee seeks to align the compensation program with both our business strategy and our shareholders’ interests. In order to achieve these objectives, our executive compensation program includes both a mix of annual and long-term, as well as cash and equity, compensation. As shown in the charts below, for 2021, 90% of the CEO’s target compensation mix, and 72%, on average, of the remaining NEOs’ target compensation mix, was performance based.</w:t>
      </w:r>
    </w:p>
    <w:p>
      <w:pPr>
        <w:sectPr>
          <w:pgSz w:w="11900" w:h="16838" w:orient="portrait"/>
          <w:cols w:equalWidth="0" w:num="1">
            <w:col w:w="9019"/>
          </w:cols>
          <w:pgMar w:left="1440" w:top="439" w:right="1440" w:bottom="1440" w:gutter="0" w:footer="0" w:header="0"/>
        </w:sectPr>
      </w:pPr>
    </w:p>
    <w:p>
      <w:pPr>
        <w:spacing w:after="0" w:line="9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CEO’s 2021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114935</wp:posOffset>
            </wp:positionV>
            <wp:extent cx="2057400" cy="1051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57400" cy="1051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OF REMAINING NEOs’ 2021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2040255" cy="1051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40255" cy="1051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4519"/>
          </w:cols>
          <w:pgMar w:left="1440" w:top="4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ANNUAL INCENTIVE PLAN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88900</wp:posOffset>
            </wp:positionV>
            <wp:extent cx="1674495" cy="5600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74495" cy="560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LTI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1725930" cy="5600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25930" cy="560070"/>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3780" w:space="720"/>
            <w:col w:w="4519"/>
          </w:cols>
          <w:pgMar w:left="1440" w:top="4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540" w:hanging="408"/>
        <w:spacing w:after="0"/>
        <w:tabs>
          <w:tab w:leader="none" w:pos="1540" w:val="left"/>
        </w:tabs>
        <w:numPr>
          <w:ilvl w:val="0"/>
          <w:numId w:val="17"/>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242570</wp:posOffset>
            </wp:positionV>
            <wp:extent cx="71780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439" w:right="1440" w:bottom="1440" w:gutter="0" w:footer="0" w:header="0"/>
          <w:type w:val="continuous"/>
        </w:sectPr>
      </w:pPr>
    </w:p>
    <w:bookmarkStart w:id="17" w:name="page18"/>
    <w:bookmarkEnd w:id="17"/>
    <w:p>
      <w:pPr>
        <w:ind w:left="8200"/>
        <w:spacing w:after="0"/>
        <w:rPr>
          <w:sz w:val="20"/>
          <w:szCs w:val="20"/>
          <w:color w:val="auto"/>
        </w:rPr>
      </w:pPr>
      <w:r>
        <w:rPr>
          <w:rFonts w:ascii="Arial" w:cs="Arial" w:eastAsia="Arial" w:hAnsi="Arial"/>
          <w:sz w:val="12"/>
          <w:szCs w:val="12"/>
          <w:b w:val="1"/>
          <w:bCs w:val="1"/>
          <w:color w:val="E31F26"/>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92075</wp:posOffset>
            </wp:positionV>
            <wp:extent cx="4572000" cy="381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72000" cy="381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or about April 8, 2022, we started mailing a Notice to our shareholders.</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Proxies are being solicited by the Board to be voted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90805</wp:posOffset>
            </wp:positionV>
            <wp:extent cx="36576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11</w:t>
            </w:r>
          </w:p>
        </w:tc>
      </w:tr>
      <w:tr>
        <w:trPr>
          <w:trHeight w:val="336"/>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3" w:right="299"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368935</wp:posOffset>
            </wp:positionV>
            <wp:extent cx="7178040" cy="62064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6206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1477010</wp:posOffset>
            </wp:positionH>
            <wp:positionV relativeFrom="page">
              <wp:posOffset>368935</wp:posOffset>
            </wp:positionV>
            <wp:extent cx="4629150" cy="5880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29150" cy="588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13</w:t>
            </w:r>
          </w:p>
        </w:tc>
      </w:tr>
      <w:tr>
        <w:trPr>
          <w:trHeight w:val="336"/>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2116455</wp:posOffset>
            </wp:positionV>
            <wp:extent cx="71780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1459865</wp:posOffset>
            </wp:positionH>
            <wp:positionV relativeFrom="page">
              <wp:posOffset>368935</wp:posOffset>
            </wp:positionV>
            <wp:extent cx="4629150" cy="1811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4629150" cy="181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980" w:right="1980"/>
        <w:spacing w:after="0" w:line="253" w:lineRule="auto"/>
        <w:rPr>
          <w:sz w:val="20"/>
          <w:szCs w:val="20"/>
          <w:color w:val="auto"/>
        </w:rPr>
      </w:pPr>
      <w:r>
        <w:rPr>
          <w:rFonts w:ascii="Arial" w:cs="Arial" w:eastAsia="Arial" w:hAnsi="Arial"/>
          <w:sz w:val="11"/>
          <w:szCs w:val="11"/>
          <w:color w:val="auto"/>
        </w:rPr>
        <w:t>There are currently 11 directors on our Board. Mr. McKenna will be retiring when his term expires at the conclusion of the Annual Meeting, and the Board has fixed the number of directors at 10 effective at such time. All current directors other than Mr. McKenna are standing for election for a one-year term at this meeting.</w:t>
      </w:r>
    </w:p>
    <w:p>
      <w:pPr>
        <w:spacing w:after="0" w:line="104" w:lineRule="exact"/>
        <w:rPr>
          <w:sz w:val="20"/>
          <w:szCs w:val="20"/>
          <w:color w:val="auto"/>
        </w:rPr>
      </w:pPr>
    </w:p>
    <w:p>
      <w:pPr>
        <w:ind w:left="1980" w:right="2080"/>
        <w:spacing w:after="0" w:line="253" w:lineRule="auto"/>
        <w:rPr>
          <w:sz w:val="20"/>
          <w:szCs w:val="20"/>
          <w:color w:val="auto"/>
        </w:rPr>
      </w:pPr>
      <w:r>
        <w:rPr>
          <w:rFonts w:ascii="Arial" w:cs="Arial" w:eastAsia="Arial" w:hAnsi="Arial"/>
          <w:sz w:val="11"/>
          <w:szCs w:val="11"/>
          <w:color w:val="auto"/>
        </w:rPr>
        <w:t>We have refreshed our Board over the past five years, as five highly-qualified directors were added to the Board and, as of the Annual Meeting, five directors will have retired during that time period. We believe that the Board possesses the appropriate mix of diversity in terms of gender, age, ethnicity, skills, business and Board experience, and viewpoints.</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DIRECTOR NOMINEES</w:t>
      </w:r>
    </w:p>
    <w:p>
      <w:pPr>
        <w:spacing w:after="0" w:line="154" w:lineRule="exact"/>
        <w:rPr>
          <w:sz w:val="20"/>
          <w:szCs w:val="20"/>
          <w:color w:val="auto"/>
        </w:rPr>
      </w:pPr>
    </w:p>
    <w:p>
      <w:pPr>
        <w:ind w:left="1980" w:right="2080"/>
        <w:spacing w:after="0" w:line="243" w:lineRule="auto"/>
        <w:rPr>
          <w:sz w:val="20"/>
          <w:szCs w:val="20"/>
          <w:color w:val="auto"/>
        </w:rPr>
      </w:pPr>
      <w:r>
        <w:rPr>
          <w:rFonts w:ascii="Arial" w:cs="Arial" w:eastAsia="Arial" w:hAnsi="Arial"/>
          <w:sz w:val="11"/>
          <w:szCs w:val="11"/>
          <w:color w:val="auto"/>
        </w:rPr>
        <w:t>Our Responsibility Committee is charged with recommending director candidates to fill current and anticipated Board vacancies. The Responsibility Committee identifies and evaluates potential candidates from recommendations from the Company’s directors, management, shareholders, and other outside sources, including professional search firms. In evaluating proposed candidates, the Responsibility Committee may review their résumés, obtain references, and conduct personal interviews. The Responsibility Committee considers, among other factors, the Board’s current and future needs for specific skills and the candidate’s experience, leadership qualities, integrity, diversity, ability to exercise judgment, independence, and ability to make the appropriate time commitment to the Board. The Responsibility Committee strives to ensure the Board has a rich mix of relevant skills, diversity, and experiences to address the Company’s needs.</w:t>
      </w:r>
    </w:p>
    <w:p>
      <w:pPr>
        <w:spacing w:after="0" w:line="112" w:lineRule="exact"/>
        <w:rPr>
          <w:sz w:val="20"/>
          <w:szCs w:val="20"/>
          <w:color w:val="auto"/>
        </w:rPr>
      </w:pPr>
    </w:p>
    <w:p>
      <w:pPr>
        <w:ind w:left="1980" w:right="1980"/>
        <w:spacing w:after="0" w:line="243" w:lineRule="auto"/>
        <w:rPr>
          <w:sz w:val="20"/>
          <w:szCs w:val="20"/>
          <w:color w:val="auto"/>
        </w:rPr>
      </w:pPr>
      <w:r>
        <w:rPr>
          <w:rFonts w:ascii="Arial" w:cs="Arial" w:eastAsia="Arial" w:hAnsi="Arial"/>
          <w:sz w:val="11"/>
          <w:szCs w:val="11"/>
          <w:color w:val="auto"/>
        </w:rPr>
        <w:t>In 2021, the Responsibility Committee conducted a search to identify and recruit an independent director candidate based on specific criteria it previously established, including CEO experience in the specialty retail sector and expertise requirements under the NYSE rules to serve as an audit committee member. The Responsibility Committee reviewed its findings with the Board. In conducting its search, the Responsibility Committee collected names of potential candidates from the Company’s directors and engaged a third-party search firm to identify and recruit qualified candidates. After reviewing the qualifications of the potential pool of candidates and narrowing the field to a few candidates, the Lead Independent Director and Responsibility Committee Chair each interviewed the candidates, the Chairman reviewed the finalists, and the full Board met the finalist. Based on the Responsibility Committee’s review, the candidates’ résumés, and the other directors’ and Board’s interviews with the candidates, the Responsibility Committee recommended and the Board approved the election of Virginia C. Drosos, who was identified by the third-party search firm.</w:t>
      </w:r>
    </w:p>
    <w:p>
      <w:pPr>
        <w:spacing w:after="0" w:line="109" w:lineRule="exact"/>
        <w:rPr>
          <w:sz w:val="20"/>
          <w:szCs w:val="20"/>
          <w:color w:val="auto"/>
        </w:rPr>
      </w:pPr>
    </w:p>
    <w:p>
      <w:pPr>
        <w:ind w:left="1980" w:right="2040"/>
        <w:spacing w:after="0" w:line="246" w:lineRule="auto"/>
        <w:rPr>
          <w:sz w:val="20"/>
          <w:szCs w:val="20"/>
          <w:color w:val="auto"/>
        </w:rPr>
      </w:pPr>
      <w:r>
        <w:rPr>
          <w:rFonts w:ascii="Arial" w:cs="Arial" w:eastAsia="Arial" w:hAnsi="Arial"/>
          <w:sz w:val="11"/>
          <w:szCs w:val="11"/>
          <w:color w:val="auto"/>
        </w:rPr>
        <w:t>Virginia C. Drosos, Alan D. Feldman, Richard A. Johnson, Guillermo G. Marmol, Darlene Nicosia, Steven Oakland, Ulice Payne, Jr., Kimberly Underhill, Tristan Walker, and Dona D. Young will be considered for election as directors to serve for one-year terms expiring at the 2023 Annual Meeting. Each nominee has been nominated by the Board for election and has consented to serve. If, prior to the Annual Meeting, any nominee is unable to serve, then the persons designated as proxies for this meeting (Andrew E. Page, Sheilagh M. Clarke, and John A. Maurer) will have full discretion to vote for another person to serve as a director in place of that nominee, or the Board may reduce its size.</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DIRECTOR QUALIFICATIONS</w:t>
      </w:r>
    </w:p>
    <w:p>
      <w:pPr>
        <w:spacing w:after="0" w:line="154" w:lineRule="exact"/>
        <w:rPr>
          <w:sz w:val="20"/>
          <w:szCs w:val="20"/>
          <w:color w:val="auto"/>
        </w:rPr>
      </w:pPr>
    </w:p>
    <w:p>
      <w:pPr>
        <w:ind w:left="1980" w:right="2320"/>
        <w:spacing w:after="0" w:line="279" w:lineRule="auto"/>
        <w:rPr>
          <w:sz w:val="20"/>
          <w:szCs w:val="20"/>
          <w:color w:val="auto"/>
        </w:rPr>
      </w:pPr>
      <w:r>
        <w:rPr>
          <w:rFonts w:ascii="Arial" w:cs="Arial" w:eastAsia="Arial" w:hAnsi="Arial"/>
          <w:sz w:val="11"/>
          <w:szCs w:val="11"/>
          <w:color w:val="auto"/>
        </w:rPr>
        <w:t xml:space="preserve">The Responsibility Committee reviewed and evaluated the skills, experience, and qualifications catalogued under the </w:t>
      </w:r>
      <w:r>
        <w:rPr>
          <w:rFonts w:ascii="Arial" w:cs="Arial" w:eastAsia="Arial" w:hAnsi="Arial"/>
          <w:sz w:val="11"/>
          <w:szCs w:val="11"/>
          <w:b w:val="1"/>
          <w:bCs w:val="1"/>
          <w:color w:val="D60011"/>
        </w:rPr>
        <w:t>Director Nominees’ Skillset</w:t>
      </w:r>
      <w:r>
        <w:rPr>
          <w:rFonts w:ascii="Arial" w:cs="Arial" w:eastAsia="Arial" w:hAnsi="Arial"/>
          <w:sz w:val="11"/>
          <w:szCs w:val="11"/>
          <w:color w:val="auto"/>
        </w:rPr>
        <w:t xml:space="preserve"> </w:t>
      </w:r>
      <w:r>
        <w:rPr>
          <w:rFonts w:ascii="Arial" w:cs="Arial" w:eastAsia="Arial" w:hAnsi="Arial"/>
          <w:sz w:val="11"/>
          <w:szCs w:val="11"/>
          <w:b w:val="1"/>
          <w:bCs w:val="1"/>
          <w:color w:val="D60011"/>
        </w:rPr>
        <w:t xml:space="preserve">Matrix </w:t>
      </w:r>
      <w:r>
        <w:rPr>
          <w:rFonts w:ascii="Arial" w:cs="Arial" w:eastAsia="Arial" w:hAnsi="Arial"/>
          <w:sz w:val="11"/>
          <w:szCs w:val="11"/>
          <w:color w:val="000000"/>
        </w:rPr>
        <w:t>on pages 23 through 24, and demonstrated by the director nominees, in light of the Company’s long-term strategic plan.</w:t>
      </w:r>
    </w:p>
    <w:p>
      <w:pPr>
        <w:spacing w:after="0" w:line="84" w:lineRule="exact"/>
        <w:rPr>
          <w:sz w:val="20"/>
          <w:szCs w:val="20"/>
          <w:color w:val="auto"/>
        </w:rPr>
      </w:pPr>
    </w:p>
    <w:p>
      <w:pPr>
        <w:ind w:left="1980" w:right="2000"/>
        <w:spacing w:after="0" w:line="274" w:lineRule="auto"/>
        <w:rPr>
          <w:sz w:val="20"/>
          <w:szCs w:val="20"/>
          <w:color w:val="auto"/>
        </w:rPr>
      </w:pPr>
      <w:r>
        <w:rPr>
          <w:rFonts w:ascii="Arial" w:cs="Arial" w:eastAsia="Arial" w:hAnsi="Arial"/>
          <w:sz w:val="10"/>
          <w:szCs w:val="10"/>
          <w:color w:val="auto"/>
        </w:rPr>
        <w:t>The Board, acting through the Responsibility Committee, considers its members, including those directors being nominated for reelection to the Board at the Annual Meeting, to be highly qualified for service on the Board due to a variety of factors reflected in each director’s education, areas of expertise, and experience serving on other organizations’ boards during the past five years. Generally, the Board seeks individuals with broad-based experience and the background, judgment, independence, and integrity to represent the shareholders in overseeing the Company’s management in their operation of the business. Within this framework, specific items relevant to the Board’s determination for each director are listed in each director’s biographical information beginning on page 18. The ages shown are as of April 8, 2022. There are no family relationships among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5412740</wp:posOffset>
            </wp:positionH>
            <wp:positionV relativeFrom="paragraph">
              <wp:posOffset>71120</wp:posOffset>
            </wp:positionV>
            <wp:extent cx="36576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80" w:type="dxa"/>
            <w:vAlign w:val="bottom"/>
          </w:tcPr>
          <w:p>
            <w:pPr>
              <w:ind w:left="714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820" w:type="dxa"/>
            <w:vAlign w:val="bottom"/>
          </w:tcPr>
          <w:p>
            <w:pPr>
              <w:jc w:val="right"/>
              <w:ind w:right="2466"/>
              <w:spacing w:after="0"/>
              <w:rPr>
                <w:sz w:val="20"/>
                <w:szCs w:val="20"/>
                <w:color w:val="auto"/>
              </w:rPr>
            </w:pPr>
            <w:r>
              <w:rPr>
                <w:rFonts w:ascii="Arial" w:cs="Arial" w:eastAsia="Arial" w:hAnsi="Arial"/>
                <w:sz w:val="11"/>
                <w:szCs w:val="11"/>
                <w:b w:val="1"/>
                <w:bCs w:val="1"/>
                <w:color w:val="FFFFFF"/>
              </w:rPr>
              <w:t>15</w:t>
            </w:r>
          </w:p>
        </w:tc>
      </w:tr>
      <w:tr>
        <w:trPr>
          <w:trHeight w:val="201"/>
        </w:trPr>
        <w:tc>
          <w:tcPr>
            <w:tcW w:w="84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r>
    </w:tbl>
    <w:p>
      <w:pPr>
        <w:sectPr>
          <w:pgSz w:w="11900" w:h="16838" w:orient="portrait"/>
          <w:cols w:equalWidth="0" w:num="1">
            <w:col w:w="11300"/>
          </w:cols>
          <w:pgMar w:left="300" w:top="1440" w:right="299" w:bottom="1440"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368935</wp:posOffset>
            </wp:positionV>
            <wp:extent cx="7218680" cy="6120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6120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ind w:left="840"/>
        <w:spacing w:after="0"/>
        <w:rPr>
          <w:sz w:val="20"/>
          <w:szCs w:val="20"/>
          <w:color w:val="auto"/>
        </w:rPr>
      </w:pPr>
      <w:r>
        <w:rPr>
          <w:rFonts w:ascii="Arial" w:cs="Arial" w:eastAsia="Arial" w:hAnsi="Arial"/>
          <w:sz w:val="10"/>
          <w:szCs w:val="10"/>
          <w:b w:val="1"/>
          <w:bCs w:val="1"/>
          <w:color w:val="D60011"/>
        </w:rPr>
        <w:t>PROPOSAL 1: ELECTION OF DIRECTORS</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RICHARD A. JOHNSON</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0"/>
          <w:szCs w:val="10"/>
          <w:b w:val="1"/>
          <w:bCs w:val="1"/>
          <w:color w:val="auto"/>
        </w:rPr>
        <w:t>Chairman and Chief Executive Officer</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64</w:t>
      </w:r>
    </w:p>
    <w:p>
      <w:pPr>
        <w:jc w:val="center"/>
        <w:ind w:left="500"/>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433705</wp:posOffset>
            </wp:positionV>
            <wp:extent cx="223456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Foot Locker, Inc.</w:t>
      </w:r>
    </w:p>
    <w:p>
      <w:pPr>
        <w:spacing w:after="0" w:line="33" w:lineRule="exact"/>
        <w:rPr>
          <w:sz w:val="20"/>
          <w:szCs w:val="20"/>
          <w:color w:val="auto"/>
        </w:rPr>
      </w:pPr>
    </w:p>
    <w:p>
      <w:pPr>
        <w:ind w:left="940" w:hanging="108"/>
        <w:spacing w:after="0"/>
        <w:tabs>
          <w:tab w:leader="none" w:pos="940" w:val="left"/>
        </w:tabs>
        <w:numPr>
          <w:ilvl w:val="0"/>
          <w:numId w:val="18"/>
        </w:numPr>
        <w:rPr>
          <w:rFonts w:ascii="Arial" w:cs="Arial" w:eastAsia="Arial" w:hAnsi="Arial"/>
          <w:sz w:val="16"/>
          <w:szCs w:val="16"/>
          <w:color w:val="D60011"/>
          <w:vertAlign w:val="superscript"/>
        </w:rPr>
      </w:pPr>
      <w:r>
        <w:rPr>
          <w:rFonts w:ascii="Arial" w:cs="Arial" w:eastAsia="Arial" w:hAnsi="Arial"/>
          <w:sz w:val="9"/>
          <w:szCs w:val="9"/>
          <w:color w:val="auto"/>
        </w:rPr>
        <w:t>Chairman, since May 2016</w:t>
      </w:r>
    </w:p>
    <w:p>
      <w:pPr>
        <w:ind w:left="940" w:hanging="108"/>
        <w:spacing w:after="0" w:line="187" w:lineRule="auto"/>
        <w:tabs>
          <w:tab w:leader="none" w:pos="940" w:val="left"/>
        </w:tabs>
        <w:numPr>
          <w:ilvl w:val="0"/>
          <w:numId w:val="18"/>
        </w:numPr>
        <w:rPr>
          <w:rFonts w:ascii="Arial" w:cs="Arial" w:eastAsia="Arial" w:hAnsi="Arial"/>
          <w:sz w:val="13"/>
          <w:szCs w:val="13"/>
          <w:color w:val="D60011"/>
          <w:vertAlign w:val="superscript"/>
        </w:rPr>
      </w:pPr>
      <w:r>
        <w:rPr>
          <w:rFonts w:ascii="Arial" w:cs="Arial" w:eastAsia="Arial" w:hAnsi="Arial"/>
          <w:sz w:val="8"/>
          <w:szCs w:val="8"/>
          <w:color w:val="auto"/>
        </w:rPr>
        <w:t>President and Chief Executive Officer, since December 2014</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OTHER BOARD SERVICE</w:t>
      </w:r>
    </w:p>
    <w:p>
      <w:pPr>
        <w:spacing w:after="0" w:line="138" w:lineRule="exact"/>
        <w:rPr>
          <w:sz w:val="20"/>
          <w:szCs w:val="20"/>
          <w:color w:val="auto"/>
        </w:rPr>
      </w:pPr>
    </w:p>
    <w:p>
      <w:pPr>
        <w:ind w:left="940" w:hanging="108"/>
        <w:spacing w:after="0" w:line="187" w:lineRule="auto"/>
        <w:tabs>
          <w:tab w:leader="none" w:pos="940" w:val="left"/>
        </w:tabs>
        <w:numPr>
          <w:ilvl w:val="0"/>
          <w:numId w:val="19"/>
        </w:numPr>
        <w:rPr>
          <w:rFonts w:ascii="Arial" w:cs="Arial" w:eastAsia="Arial" w:hAnsi="Arial"/>
          <w:sz w:val="16"/>
          <w:szCs w:val="16"/>
          <w:color w:val="D60011"/>
          <w:vertAlign w:val="superscript"/>
        </w:rPr>
      </w:pPr>
      <w:r>
        <w:rPr>
          <w:rFonts w:ascii="Arial" w:cs="Arial" w:eastAsia="Arial" w:hAnsi="Arial"/>
          <w:sz w:val="9"/>
          <w:szCs w:val="9"/>
          <w:color w:val="auto"/>
        </w:rPr>
        <w:t>Director and member of the Audit and Compensation committees, H&amp;R Block, Inc., since September 2015</w:t>
      </w:r>
    </w:p>
    <w:p>
      <w:pPr>
        <w:ind w:left="940" w:hanging="108"/>
        <w:spacing w:after="0" w:line="204" w:lineRule="auto"/>
        <w:tabs>
          <w:tab w:leader="none" w:pos="940" w:val="left"/>
        </w:tabs>
        <w:numPr>
          <w:ilvl w:val="0"/>
          <w:numId w:val="19"/>
        </w:numPr>
        <w:rPr>
          <w:rFonts w:ascii="Arial" w:cs="Arial" w:eastAsia="Arial" w:hAnsi="Arial"/>
          <w:sz w:val="11"/>
          <w:szCs w:val="11"/>
          <w:color w:val="D60011"/>
          <w:vertAlign w:val="superscript"/>
        </w:rPr>
      </w:pPr>
      <w:r>
        <w:rPr>
          <w:rFonts w:ascii="Arial" w:cs="Arial" w:eastAsia="Arial" w:hAnsi="Arial"/>
          <w:sz w:val="7"/>
          <w:szCs w:val="7"/>
          <w:color w:val="auto"/>
        </w:rPr>
        <w:t>Director, Maidenform Brands, Inc., January 2013 to October 2013</w:t>
      </w:r>
    </w:p>
    <w:p>
      <w:pPr>
        <w:ind w:left="940" w:hanging="108"/>
        <w:spacing w:after="0" w:line="204" w:lineRule="auto"/>
        <w:tabs>
          <w:tab w:leader="none" w:pos="940" w:val="left"/>
        </w:tabs>
        <w:numPr>
          <w:ilvl w:val="0"/>
          <w:numId w:val="19"/>
        </w:numPr>
        <w:rPr>
          <w:rFonts w:ascii="Arial" w:cs="Arial" w:eastAsia="Arial" w:hAnsi="Arial"/>
          <w:sz w:val="11"/>
          <w:szCs w:val="11"/>
          <w:color w:val="D60011"/>
          <w:vertAlign w:val="superscript"/>
        </w:rPr>
      </w:pPr>
      <w:r>
        <w:rPr>
          <w:rFonts w:ascii="Arial" w:cs="Arial" w:eastAsia="Arial" w:hAnsi="Arial"/>
          <w:sz w:val="7"/>
          <w:szCs w:val="7"/>
          <w:color w:val="auto"/>
        </w:rPr>
        <w:t>Chairman, RILA</w:t>
      </w:r>
    </w:p>
    <w:p>
      <w:pPr>
        <w:ind w:left="940" w:hanging="108"/>
        <w:spacing w:after="0" w:line="204" w:lineRule="auto"/>
        <w:tabs>
          <w:tab w:leader="none" w:pos="940" w:val="left"/>
        </w:tabs>
        <w:numPr>
          <w:ilvl w:val="0"/>
          <w:numId w:val="19"/>
        </w:numPr>
        <w:rPr>
          <w:rFonts w:ascii="Arial" w:cs="Arial" w:eastAsia="Arial" w:hAnsi="Arial"/>
          <w:sz w:val="11"/>
          <w:szCs w:val="11"/>
          <w:color w:val="D60011"/>
          <w:vertAlign w:val="superscript"/>
        </w:rPr>
      </w:pPr>
      <w:r>
        <w:rPr>
          <w:rFonts w:ascii="Arial" w:cs="Arial" w:eastAsia="Arial" w:hAnsi="Arial"/>
          <w:sz w:val="7"/>
          <w:szCs w:val="7"/>
          <w:color w:val="auto"/>
        </w:rPr>
        <w:t>Director, FDRA</w:t>
      </w:r>
    </w:p>
    <w:p>
      <w:pPr>
        <w:ind w:left="940" w:right="500" w:hanging="108"/>
        <w:spacing w:after="0" w:line="187" w:lineRule="auto"/>
        <w:tabs>
          <w:tab w:leader="none" w:pos="940" w:val="left"/>
        </w:tabs>
        <w:numPr>
          <w:ilvl w:val="0"/>
          <w:numId w:val="19"/>
        </w:numPr>
        <w:rPr>
          <w:rFonts w:ascii="Arial" w:cs="Arial" w:eastAsia="Arial" w:hAnsi="Arial"/>
          <w:sz w:val="16"/>
          <w:szCs w:val="16"/>
          <w:color w:val="D60011"/>
          <w:vertAlign w:val="superscript"/>
        </w:rPr>
      </w:pPr>
      <w:r>
        <w:rPr>
          <w:rFonts w:ascii="Arial" w:cs="Arial" w:eastAsia="Arial" w:hAnsi="Arial"/>
          <w:sz w:val="9"/>
          <w:szCs w:val="9"/>
          <w:color w:val="auto"/>
        </w:rPr>
        <w:t>Member, University of Wisconsin—Eau Claire National Leadership Council</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840" w:right="20"/>
        <w:spacing w:after="0" w:line="232" w:lineRule="auto"/>
        <w:rPr>
          <w:sz w:val="20"/>
          <w:szCs w:val="20"/>
          <w:color w:val="auto"/>
        </w:rPr>
      </w:pPr>
      <w:r>
        <w:rPr>
          <w:rFonts w:ascii="Arial" w:cs="Arial" w:eastAsia="Arial" w:hAnsi="Arial"/>
          <w:sz w:val="10"/>
          <w:szCs w:val="10"/>
          <w:color w:val="auto"/>
        </w:rPr>
        <w:t>Mr. Johnson has extensive experience as a retail company chief executive, including 25 years at the Company. He has led almost all of the Company’s major businesses in the United States, International, and Direct-to-Customer, has extensive knowledge of all facets of the Company’s business, and played an integral role in developing and executing the Company’s strategic plans.</w:t>
      </w:r>
    </w:p>
    <w:p>
      <w:pPr>
        <w:spacing w:after="0" w:line="111" w:lineRule="exact"/>
        <w:rPr>
          <w:sz w:val="20"/>
          <w:szCs w:val="20"/>
          <w:color w:val="auto"/>
        </w:rPr>
      </w:pPr>
    </w:p>
    <w:p>
      <w:pPr>
        <w:ind w:left="840"/>
        <w:spacing w:after="0"/>
        <w:tabs>
          <w:tab w:leader="none" w:pos="1700" w:val="left"/>
        </w:tabs>
        <w:rPr>
          <w:sz w:val="20"/>
          <w:szCs w:val="20"/>
          <w:color w:val="auto"/>
        </w:rPr>
      </w:pPr>
      <w:r>
        <w:rPr>
          <w:rFonts w:ascii="Arial" w:cs="Arial" w:eastAsia="Arial" w:hAnsi="Arial"/>
          <w:sz w:val="12"/>
          <w:szCs w:val="12"/>
          <w:b w:val="1"/>
          <w:bCs w:val="1"/>
          <w:color w:val="auto"/>
        </w:rPr>
        <w:t>COMMITTEE</w:t>
        <w:tab/>
        <w:t>RELEVANT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17780</wp:posOffset>
            </wp:positionV>
            <wp:extent cx="85725" cy="91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91440"/>
                    </a:xfrm>
                    <a:prstGeom prst="rect">
                      <a:avLst/>
                    </a:prstGeom>
                    <a:noFill/>
                  </pic:spPr>
                </pic:pic>
              </a:graphicData>
            </a:graphic>
          </wp:anchor>
        </w:drawing>
        <w:drawing>
          <wp:anchor simplePos="0" relativeHeight="251657728" behindDoc="1" locked="0" layoutInCell="0" allowOverlap="1">
            <wp:simplePos x="0" y="0"/>
            <wp:positionH relativeFrom="column">
              <wp:posOffset>1088390</wp:posOffset>
            </wp:positionH>
            <wp:positionV relativeFrom="paragraph">
              <wp:posOffset>17780</wp:posOffset>
            </wp:positionV>
            <wp:extent cx="971550" cy="2343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71550"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20" w:hanging="388"/>
        <w:spacing w:after="0"/>
        <w:tabs>
          <w:tab w:leader="none" w:pos="1520" w:val="left"/>
        </w:tabs>
        <w:numPr>
          <w:ilvl w:val="0"/>
          <w:numId w:val="20"/>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129"/>
        <w:spacing w:after="0"/>
        <w:rPr>
          <w:sz w:val="20"/>
          <w:szCs w:val="20"/>
          <w:color w:val="auto"/>
        </w:rPr>
      </w:pPr>
      <w:r>
        <w:rPr>
          <w:rFonts w:ascii="Arial" w:cs="Arial" w:eastAsia="Arial" w:hAnsi="Arial"/>
          <w:sz w:val="18"/>
          <w:szCs w:val="18"/>
          <w:b w:val="1"/>
          <w:bCs w:val="1"/>
          <w:color w:val="D60011"/>
        </w:rPr>
        <w:t>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80085" cy="811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085" cy="811530"/>
                    </a:xfrm>
                    <a:prstGeom prst="rect">
                      <a:avLst/>
                    </a:prstGeom>
                    <a:noFill/>
                  </pic:spPr>
                </pic:pic>
              </a:graphicData>
            </a:graphic>
          </wp:anchor>
        </w:drawing>
      </w:r>
    </w:p>
    <w:p>
      <w:pPr>
        <w:spacing w:after="0" w:line="154" w:lineRule="exact"/>
        <w:rPr>
          <w:sz w:val="20"/>
          <w:szCs w:val="20"/>
          <w:color w:val="auto"/>
        </w:rPr>
      </w:pPr>
    </w:p>
    <w:p>
      <w:pPr>
        <w:ind w:left="1129"/>
        <w:spacing w:after="0"/>
        <w:rPr>
          <w:sz w:val="20"/>
          <w:szCs w:val="20"/>
          <w:color w:val="auto"/>
        </w:rPr>
      </w:pPr>
      <w:r>
        <w:rPr>
          <w:rFonts w:ascii="Arial" w:cs="Arial" w:eastAsia="Arial" w:hAnsi="Arial"/>
          <w:sz w:val="10"/>
          <w:szCs w:val="10"/>
          <w:b w:val="1"/>
          <w:bCs w:val="1"/>
          <w:color w:val="auto"/>
        </w:rPr>
        <w:t>Lead Independent Director</w:t>
      </w:r>
    </w:p>
    <w:p>
      <w:pPr>
        <w:spacing w:after="0" w:line="12"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68</w:t>
      </w:r>
    </w:p>
    <w:p>
      <w:pPr>
        <w:spacing w:after="0" w:line="2"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439420</wp:posOffset>
            </wp:positionV>
            <wp:extent cx="223456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D60011"/>
        </w:rPr>
        <w:t>PROFESSIONAL EXPERIENCE</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0"/>
          <w:szCs w:val="10"/>
          <w:color w:val="auto"/>
        </w:rPr>
        <w:t>Independent executive and board consultant</w:t>
      </w:r>
    </w:p>
    <w:p>
      <w:pPr>
        <w:spacing w:after="0" w:line="101" w:lineRule="exact"/>
        <w:rPr>
          <w:sz w:val="20"/>
          <w:szCs w:val="20"/>
          <w:color w:val="auto"/>
        </w:rPr>
      </w:pPr>
    </w:p>
    <w:p>
      <w:pPr>
        <w:ind w:left="9"/>
        <w:spacing w:after="0"/>
        <w:rPr>
          <w:sz w:val="20"/>
          <w:szCs w:val="20"/>
          <w:color w:val="auto"/>
        </w:rPr>
      </w:pPr>
      <w:r>
        <w:rPr>
          <w:rFonts w:ascii="Arial" w:cs="Arial" w:eastAsia="Arial" w:hAnsi="Arial"/>
          <w:sz w:val="10"/>
          <w:szCs w:val="10"/>
          <w:color w:val="auto"/>
        </w:rPr>
        <w:t>The Phoenix Companies, Inc. (insurance and asset management company)</w:t>
      </w:r>
    </w:p>
    <w:p>
      <w:pPr>
        <w:spacing w:after="0" w:line="42" w:lineRule="exact"/>
        <w:rPr>
          <w:sz w:val="20"/>
          <w:szCs w:val="20"/>
          <w:color w:val="auto"/>
        </w:rPr>
      </w:pPr>
    </w:p>
    <w:p>
      <w:pPr>
        <w:ind w:left="109" w:hanging="109"/>
        <w:spacing w:after="0"/>
        <w:tabs>
          <w:tab w:leader="none" w:pos="109" w:val="left"/>
        </w:tabs>
        <w:numPr>
          <w:ilvl w:val="0"/>
          <w:numId w:val="21"/>
        </w:numPr>
        <w:rPr>
          <w:rFonts w:ascii="Arial" w:cs="Arial" w:eastAsia="Arial" w:hAnsi="Arial"/>
          <w:sz w:val="16"/>
          <w:szCs w:val="16"/>
          <w:color w:val="D60011"/>
          <w:vertAlign w:val="superscript"/>
        </w:rPr>
      </w:pPr>
      <w:r>
        <w:rPr>
          <w:rFonts w:ascii="Arial" w:cs="Arial" w:eastAsia="Arial" w:hAnsi="Arial"/>
          <w:sz w:val="9"/>
          <w:szCs w:val="9"/>
          <w:color w:val="auto"/>
        </w:rPr>
        <w:t>Chairman, President and Chief Executive Officer, April 2003 to April 2009</w:t>
      </w:r>
    </w:p>
    <w:p>
      <w:pPr>
        <w:spacing w:after="0" w:line="114"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D60011"/>
        </w:rPr>
        <w:t>OTHER BOARD SERVICE</w:t>
      </w:r>
    </w:p>
    <w:p>
      <w:pPr>
        <w:spacing w:after="0" w:line="138" w:lineRule="exact"/>
        <w:rPr>
          <w:sz w:val="20"/>
          <w:szCs w:val="20"/>
          <w:color w:val="auto"/>
        </w:rPr>
      </w:pPr>
    </w:p>
    <w:p>
      <w:pPr>
        <w:jc w:val="both"/>
        <w:ind w:left="109" w:right="1199" w:hanging="109"/>
        <w:spacing w:after="0" w:line="203" w:lineRule="auto"/>
        <w:tabs>
          <w:tab w:leader="none" w:pos="109" w:val="left"/>
        </w:tabs>
        <w:numPr>
          <w:ilvl w:val="0"/>
          <w:numId w:val="22"/>
        </w:numPr>
        <w:rPr>
          <w:rFonts w:ascii="Arial" w:cs="Arial" w:eastAsia="Arial" w:hAnsi="Arial"/>
          <w:sz w:val="16"/>
          <w:szCs w:val="16"/>
          <w:color w:val="D60011"/>
          <w:vertAlign w:val="superscript"/>
        </w:rPr>
      </w:pPr>
      <w:r>
        <w:rPr>
          <w:rFonts w:ascii="Arial" w:cs="Arial" w:eastAsia="Arial" w:hAnsi="Arial"/>
          <w:sz w:val="9"/>
          <w:szCs w:val="9"/>
          <w:color w:val="auto"/>
        </w:rPr>
        <w:t>Chairman of the Supervisory Board Risk Committee and member of the Supervisory Board Nomination and Governance Committee, Aegon N.V. (insurance, pension, and asset management company)</w:t>
      </w:r>
    </w:p>
    <w:p>
      <w:pPr>
        <w:spacing w:after="0" w:line="1" w:lineRule="exact"/>
        <w:rPr>
          <w:rFonts w:ascii="Arial" w:cs="Arial" w:eastAsia="Arial" w:hAnsi="Arial"/>
          <w:sz w:val="16"/>
          <w:szCs w:val="16"/>
          <w:color w:val="D60011"/>
          <w:vertAlign w:val="superscript"/>
        </w:rPr>
      </w:pPr>
    </w:p>
    <w:p>
      <w:pPr>
        <w:jc w:val="both"/>
        <w:ind w:left="109" w:right="899" w:hanging="109"/>
        <w:spacing w:after="0" w:line="198" w:lineRule="auto"/>
        <w:tabs>
          <w:tab w:leader="none" w:pos="109" w:val="left"/>
        </w:tabs>
        <w:numPr>
          <w:ilvl w:val="0"/>
          <w:numId w:val="22"/>
        </w:numPr>
        <w:rPr>
          <w:rFonts w:ascii="Arial" w:cs="Arial" w:eastAsia="Arial" w:hAnsi="Arial"/>
          <w:sz w:val="16"/>
          <w:szCs w:val="16"/>
          <w:color w:val="D60011"/>
          <w:vertAlign w:val="superscript"/>
        </w:rPr>
      </w:pPr>
      <w:r>
        <w:rPr>
          <w:rFonts w:ascii="Arial" w:cs="Arial" w:eastAsia="Arial" w:hAnsi="Arial"/>
          <w:sz w:val="9"/>
          <w:szCs w:val="9"/>
          <w:color w:val="auto"/>
        </w:rPr>
        <w:t>Vice Chair of Audit Committee and member of the Nominating and Governance, and Compensation and Workforce committees, USAA (United Services Automobile Association)</w:t>
      </w:r>
    </w:p>
    <w:p>
      <w:pPr>
        <w:spacing w:after="0" w:line="1" w:lineRule="exact"/>
        <w:rPr>
          <w:rFonts w:ascii="Arial" w:cs="Arial" w:eastAsia="Arial" w:hAnsi="Arial"/>
          <w:sz w:val="16"/>
          <w:szCs w:val="16"/>
          <w:color w:val="D60011"/>
          <w:vertAlign w:val="superscript"/>
        </w:rPr>
      </w:pPr>
    </w:p>
    <w:p>
      <w:pPr>
        <w:ind w:left="109" w:right="879" w:hanging="109"/>
        <w:spacing w:after="0" w:line="180" w:lineRule="auto"/>
        <w:tabs>
          <w:tab w:leader="none" w:pos="109" w:val="left"/>
        </w:tabs>
        <w:numPr>
          <w:ilvl w:val="0"/>
          <w:numId w:val="22"/>
        </w:numPr>
        <w:rPr>
          <w:rFonts w:ascii="Arial" w:cs="Arial" w:eastAsia="Arial" w:hAnsi="Arial"/>
          <w:sz w:val="16"/>
          <w:szCs w:val="16"/>
          <w:color w:val="D60011"/>
          <w:vertAlign w:val="superscript"/>
        </w:rPr>
      </w:pPr>
      <w:r>
        <w:rPr>
          <w:rFonts w:ascii="Arial" w:cs="Arial" w:eastAsia="Arial" w:hAnsi="Arial"/>
          <w:sz w:val="9"/>
          <w:szCs w:val="9"/>
          <w:color w:val="auto"/>
        </w:rPr>
        <w:t>Director, member of the Compensation Committee, and Chair of the Nominating and Governance Committee, NACD</w:t>
      </w:r>
    </w:p>
    <w:p>
      <w:pPr>
        <w:ind w:left="109" w:hanging="109"/>
        <w:spacing w:after="0" w:line="204" w:lineRule="auto"/>
        <w:tabs>
          <w:tab w:leader="none" w:pos="109" w:val="left"/>
        </w:tabs>
        <w:numPr>
          <w:ilvl w:val="0"/>
          <w:numId w:val="22"/>
        </w:numPr>
        <w:rPr>
          <w:rFonts w:ascii="Arial" w:cs="Arial" w:eastAsia="Arial" w:hAnsi="Arial"/>
          <w:sz w:val="11"/>
          <w:szCs w:val="11"/>
          <w:color w:val="D60011"/>
          <w:vertAlign w:val="superscript"/>
        </w:rPr>
      </w:pPr>
      <w:r>
        <w:rPr>
          <w:rFonts w:ascii="Arial" w:cs="Arial" w:eastAsia="Arial" w:hAnsi="Arial"/>
          <w:sz w:val="7"/>
          <w:szCs w:val="7"/>
          <w:color w:val="auto"/>
        </w:rPr>
        <w:t>Board Member, Spahn &amp; Rose Lumber Co.</w:t>
      </w:r>
    </w:p>
    <w:p>
      <w:pPr>
        <w:ind w:left="109" w:right="1159" w:hanging="109"/>
        <w:spacing w:after="0" w:line="198" w:lineRule="auto"/>
        <w:tabs>
          <w:tab w:leader="none" w:pos="109" w:val="left"/>
        </w:tabs>
        <w:numPr>
          <w:ilvl w:val="0"/>
          <w:numId w:val="22"/>
        </w:numPr>
        <w:rPr>
          <w:rFonts w:ascii="Arial" w:cs="Arial" w:eastAsia="Arial" w:hAnsi="Arial"/>
          <w:sz w:val="16"/>
          <w:szCs w:val="16"/>
          <w:color w:val="D60011"/>
          <w:vertAlign w:val="superscript"/>
        </w:rPr>
      </w:pPr>
      <w:r>
        <w:rPr>
          <w:rFonts w:ascii="Arial" w:cs="Arial" w:eastAsia="Arial" w:hAnsi="Arial"/>
          <w:sz w:val="9"/>
          <w:szCs w:val="9"/>
          <w:color w:val="auto"/>
        </w:rPr>
        <w:t>Director and member of the Audit and Governance committees, Save the Children Association and Save the Children International (non-profit organizations)</w:t>
      </w:r>
    </w:p>
    <w:p>
      <w:pPr>
        <w:spacing w:after="0" w:line="1" w:lineRule="exact"/>
        <w:rPr>
          <w:rFonts w:ascii="Arial" w:cs="Arial" w:eastAsia="Arial" w:hAnsi="Arial"/>
          <w:sz w:val="16"/>
          <w:szCs w:val="16"/>
          <w:color w:val="D60011"/>
          <w:vertAlign w:val="superscript"/>
        </w:rPr>
      </w:pPr>
    </w:p>
    <w:p>
      <w:pPr>
        <w:ind w:left="109" w:hanging="109"/>
        <w:spacing w:after="0" w:line="204" w:lineRule="auto"/>
        <w:tabs>
          <w:tab w:leader="none" w:pos="109" w:val="left"/>
        </w:tabs>
        <w:numPr>
          <w:ilvl w:val="0"/>
          <w:numId w:val="22"/>
        </w:numPr>
        <w:rPr>
          <w:rFonts w:ascii="Arial" w:cs="Arial" w:eastAsia="Arial" w:hAnsi="Arial"/>
          <w:sz w:val="11"/>
          <w:szCs w:val="11"/>
          <w:color w:val="D60011"/>
          <w:vertAlign w:val="superscript"/>
        </w:rPr>
      </w:pPr>
      <w:r>
        <w:rPr>
          <w:rFonts w:ascii="Arial" w:cs="Arial" w:eastAsia="Arial" w:hAnsi="Arial"/>
          <w:sz w:val="7"/>
          <w:szCs w:val="7"/>
          <w:color w:val="auto"/>
        </w:rPr>
        <w:t>Director and member of the Audit Committee, Save the Children U.S.</w:t>
      </w:r>
    </w:p>
    <w:p>
      <w:pPr>
        <w:ind w:left="109" w:hanging="109"/>
        <w:spacing w:after="0" w:line="187" w:lineRule="auto"/>
        <w:tabs>
          <w:tab w:leader="none" w:pos="109" w:val="left"/>
        </w:tabs>
        <w:numPr>
          <w:ilvl w:val="0"/>
          <w:numId w:val="22"/>
        </w:numPr>
        <w:rPr>
          <w:rFonts w:ascii="Arial" w:cs="Arial" w:eastAsia="Arial" w:hAnsi="Arial"/>
          <w:sz w:val="13"/>
          <w:szCs w:val="13"/>
          <w:color w:val="D60011"/>
          <w:vertAlign w:val="superscript"/>
        </w:rPr>
      </w:pPr>
      <w:r>
        <w:rPr>
          <w:rFonts w:ascii="Arial" w:cs="Arial" w:eastAsia="Arial" w:hAnsi="Arial"/>
          <w:sz w:val="8"/>
          <w:szCs w:val="8"/>
          <w:color w:val="auto"/>
        </w:rPr>
        <w:t>Trustee, Saint James School in Saint James, Maryland</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D60011"/>
        </w:rPr>
        <w:t>REASONS FOR NOMINATION</w:t>
      </w:r>
    </w:p>
    <w:p>
      <w:pPr>
        <w:spacing w:after="0" w:line="138" w:lineRule="exact"/>
        <w:rPr>
          <w:sz w:val="20"/>
          <w:szCs w:val="20"/>
          <w:color w:val="auto"/>
        </w:rPr>
      </w:pPr>
    </w:p>
    <w:p>
      <w:pPr>
        <w:ind w:left="9" w:right="859"/>
        <w:spacing w:after="0" w:line="290" w:lineRule="auto"/>
        <w:rPr>
          <w:sz w:val="20"/>
          <w:szCs w:val="20"/>
          <w:color w:val="auto"/>
        </w:rPr>
      </w:pPr>
      <w:r>
        <w:rPr>
          <w:rFonts w:ascii="Arial" w:cs="Arial" w:eastAsia="Arial" w:hAnsi="Arial"/>
          <w:sz w:val="8"/>
          <w:szCs w:val="8"/>
          <w:color w:val="auto"/>
        </w:rPr>
        <w:t>Ms. Young has significant governance, legal, mergers and acquisitions, risk management, and financial experience given her prior service as a public company General Counsel, and later CEO, which are relevant in her role as Lead Independent Director. The education and experience Ms. Young acquired through her board service at Save the Children are useful in her oversight of the Company’s human rights efforts. In addition, she was named by the Financial Times’ Outstanding Directors Exchange as a member of its Outstanding Directors class of 2021, the NACD Directorship 100 for 2015, and a NACD Board Leadership Fellow since 2013. She is NACD Directorship Certified™, completed the NACD Cyber-Risk Oversight Program, earned a CERT Certificate in Cybersecurity Oversight conferred by Carnegie Mellon University, and was a 2012 Advanced Leadership Fellow at Harvard University.</w:t>
      </w:r>
    </w:p>
    <w:p>
      <w:pPr>
        <w:spacing w:after="0" w:line="312"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D60011"/>
        </w:rPr>
        <w:t>COMMITTEES RELEVANT SKILLS</w:t>
      </w:r>
    </w:p>
    <w:p>
      <w:pPr>
        <w:spacing w:after="0" w:line="9"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A 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1616075</wp:posOffset>
            </wp:positionV>
            <wp:extent cx="71780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-86360</wp:posOffset>
            </wp:positionV>
            <wp:extent cx="4629150" cy="1183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29150" cy="1183005"/>
                    </a:xfrm>
                    <a:prstGeom prst="rect">
                      <a:avLst/>
                    </a:prstGeom>
                    <a:noFill/>
                  </pic:spPr>
                </pic:pic>
              </a:graphicData>
            </a:graphic>
          </wp:anchor>
        </w:drawing>
      </w:r>
    </w:p>
    <w:p>
      <w:pPr>
        <w:sectPr>
          <w:pgSz w:w="11900" w:h="16838" w:orient="portrait"/>
          <w:cols w:equalWidth="0" w:num="2">
            <w:col w:w="4300" w:space="351"/>
            <w:col w:w="4368"/>
          </w:cols>
          <w:pgMar w:left="1440" w:top="574" w:right="1440" w:bottom="1440" w:gutter="0" w:footer="0" w:header="0"/>
        </w:sectPr>
      </w:pPr>
    </w:p>
    <w:bookmarkStart w:id="24" w:name="page25"/>
    <w:bookmarkEnd w:id="24"/>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VIRGINIA C. DROSOS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-118745</wp:posOffset>
            </wp:positionV>
            <wp:extent cx="680085" cy="794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085" cy="794385"/>
                    </a:xfrm>
                    <a:prstGeom prst="rect">
                      <a:avLst/>
                    </a:prstGeom>
                    <a:noFill/>
                  </pic:spPr>
                </pic:pic>
              </a:graphicData>
            </a:graphic>
          </wp:anchor>
        </w:drawing>
      </w:r>
    </w:p>
    <w:p>
      <w:pPr>
        <w:spacing w:after="0" w:line="145" w:lineRule="exact"/>
        <w:rPr>
          <w:sz w:val="20"/>
          <w:szCs w:val="20"/>
          <w:color w:val="auto"/>
        </w:rPr>
      </w:pPr>
    </w:p>
    <w:p>
      <w:pPr>
        <w:ind w:left="1960"/>
        <w:spacing w:after="0"/>
        <w:rPr>
          <w:sz w:val="20"/>
          <w:szCs w:val="20"/>
          <w:color w:val="auto"/>
        </w:rPr>
      </w:pPr>
      <w:r>
        <w:rPr>
          <w:rFonts w:ascii="Arial" w:cs="Arial" w:eastAsia="Arial" w:hAnsi="Arial"/>
          <w:sz w:val="10"/>
          <w:szCs w:val="10"/>
          <w:b w:val="1"/>
          <w:bCs w:val="1"/>
          <w:color w:val="auto"/>
        </w:rPr>
        <w:t>Independent Director</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59</w:t>
      </w:r>
    </w:p>
    <w:p>
      <w:pPr>
        <w:ind w:left="1960"/>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433705</wp:posOffset>
            </wp:positionV>
            <wp:extent cx="223456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Signet Jewelers Limited (specialty jewelry retailer)</w:t>
      </w:r>
    </w:p>
    <w:p>
      <w:pPr>
        <w:spacing w:after="0" w:line="101" w:lineRule="exact"/>
        <w:rPr>
          <w:sz w:val="20"/>
          <w:szCs w:val="20"/>
          <w:color w:val="auto"/>
        </w:rPr>
      </w:pPr>
    </w:p>
    <w:p>
      <w:pPr>
        <w:ind w:left="840" w:right="1160" w:hanging="8"/>
        <w:spacing w:after="0" w:line="354" w:lineRule="auto"/>
        <w:tabs>
          <w:tab w:leader="none" w:pos="957" w:val="left"/>
        </w:tabs>
        <w:numPr>
          <w:ilvl w:val="0"/>
          <w:numId w:val="23"/>
        </w:numPr>
        <w:rPr>
          <w:rFonts w:ascii="Arial" w:cs="Arial" w:eastAsia="Arial" w:hAnsi="Arial"/>
          <w:sz w:val="16"/>
          <w:szCs w:val="16"/>
          <w:color w:val="D60011"/>
          <w:vertAlign w:val="superscript"/>
        </w:rPr>
      </w:pPr>
      <w:r>
        <w:rPr>
          <w:rFonts w:ascii="Arial" w:cs="Arial" w:eastAsia="Arial" w:hAnsi="Arial"/>
          <w:sz w:val="9"/>
          <w:szCs w:val="9"/>
          <w:color w:val="auto"/>
        </w:rPr>
        <w:t>Chief Executive Officer, since August 2017 Assurex Health, Inc. (personalized medicine company)</w:t>
      </w:r>
    </w:p>
    <w:p>
      <w:pPr>
        <w:ind w:left="940" w:hanging="108"/>
        <w:spacing w:after="0"/>
        <w:tabs>
          <w:tab w:leader="none" w:pos="940" w:val="left"/>
        </w:tabs>
        <w:numPr>
          <w:ilvl w:val="0"/>
          <w:numId w:val="23"/>
        </w:numPr>
        <w:rPr>
          <w:rFonts w:ascii="Arial" w:cs="Arial" w:eastAsia="Arial" w:hAnsi="Arial"/>
          <w:sz w:val="16"/>
          <w:szCs w:val="16"/>
          <w:color w:val="D60011"/>
          <w:vertAlign w:val="superscript"/>
        </w:rPr>
      </w:pPr>
      <w:r>
        <w:rPr>
          <w:rFonts w:ascii="Arial" w:cs="Arial" w:eastAsia="Arial" w:hAnsi="Arial"/>
          <w:sz w:val="9"/>
          <w:szCs w:val="9"/>
          <w:color w:val="auto"/>
        </w:rPr>
        <w:t>President and Chief Executive Officer, August 2013 to July 2017</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OTHER BOARD SERVICE</w:t>
      </w:r>
    </w:p>
    <w:p>
      <w:pPr>
        <w:spacing w:after="0" w:line="70" w:lineRule="exact"/>
        <w:rPr>
          <w:sz w:val="20"/>
          <w:szCs w:val="20"/>
          <w:color w:val="auto"/>
        </w:rPr>
      </w:pPr>
    </w:p>
    <w:p>
      <w:pPr>
        <w:ind w:left="940" w:hanging="108"/>
        <w:spacing w:after="0"/>
        <w:tabs>
          <w:tab w:leader="none" w:pos="940" w:val="left"/>
        </w:tabs>
        <w:numPr>
          <w:ilvl w:val="0"/>
          <w:numId w:val="24"/>
        </w:numPr>
        <w:rPr>
          <w:rFonts w:ascii="Arial" w:cs="Arial" w:eastAsia="Arial" w:hAnsi="Arial"/>
          <w:sz w:val="16"/>
          <w:szCs w:val="16"/>
          <w:color w:val="D60011"/>
          <w:vertAlign w:val="superscript"/>
        </w:rPr>
      </w:pPr>
      <w:r>
        <w:rPr>
          <w:rFonts w:ascii="Arial" w:cs="Arial" w:eastAsia="Arial" w:hAnsi="Arial"/>
          <w:sz w:val="9"/>
          <w:szCs w:val="9"/>
          <w:color w:val="auto"/>
        </w:rPr>
        <w:t>Director, Signet Jewelers Limited, since 2012</w:t>
      </w:r>
    </w:p>
    <w:p>
      <w:pPr>
        <w:ind w:left="940" w:hanging="108"/>
        <w:spacing w:after="0" w:line="204" w:lineRule="auto"/>
        <w:tabs>
          <w:tab w:leader="none" w:pos="940" w:val="left"/>
        </w:tabs>
        <w:numPr>
          <w:ilvl w:val="0"/>
          <w:numId w:val="24"/>
        </w:numPr>
        <w:rPr>
          <w:rFonts w:ascii="Arial" w:cs="Arial" w:eastAsia="Arial" w:hAnsi="Arial"/>
          <w:sz w:val="11"/>
          <w:szCs w:val="11"/>
          <w:color w:val="D60011"/>
          <w:vertAlign w:val="superscript"/>
        </w:rPr>
      </w:pPr>
      <w:r>
        <w:rPr>
          <w:rFonts w:ascii="Arial" w:cs="Arial" w:eastAsia="Arial" w:hAnsi="Arial"/>
          <w:sz w:val="7"/>
          <w:szCs w:val="7"/>
          <w:color w:val="auto"/>
        </w:rPr>
        <w:t>Director, Akron Children’s Hospital, since April 2019</w:t>
      </w:r>
    </w:p>
    <w:p>
      <w:pPr>
        <w:ind w:left="940" w:hanging="108"/>
        <w:spacing w:after="0" w:line="204" w:lineRule="auto"/>
        <w:tabs>
          <w:tab w:leader="none" w:pos="940" w:val="left"/>
        </w:tabs>
        <w:numPr>
          <w:ilvl w:val="0"/>
          <w:numId w:val="24"/>
        </w:numPr>
        <w:rPr>
          <w:rFonts w:ascii="Arial" w:cs="Arial" w:eastAsia="Arial" w:hAnsi="Arial"/>
          <w:sz w:val="11"/>
          <w:szCs w:val="11"/>
          <w:color w:val="D60011"/>
          <w:vertAlign w:val="superscript"/>
        </w:rPr>
      </w:pPr>
      <w:r>
        <w:rPr>
          <w:rFonts w:ascii="Arial" w:cs="Arial" w:eastAsia="Arial" w:hAnsi="Arial"/>
          <w:sz w:val="7"/>
          <w:szCs w:val="7"/>
          <w:color w:val="auto"/>
        </w:rPr>
        <w:t>Director, American Financial Group, Inc., 2013 to December 2021</w:t>
      </w:r>
    </w:p>
    <w:p>
      <w:pPr>
        <w:ind w:left="940" w:hanging="108"/>
        <w:spacing w:after="0" w:line="187" w:lineRule="auto"/>
        <w:tabs>
          <w:tab w:leader="none" w:pos="940" w:val="left"/>
        </w:tabs>
        <w:numPr>
          <w:ilvl w:val="0"/>
          <w:numId w:val="24"/>
        </w:numPr>
        <w:rPr>
          <w:rFonts w:ascii="Arial" w:cs="Arial" w:eastAsia="Arial" w:hAnsi="Arial"/>
          <w:sz w:val="13"/>
          <w:szCs w:val="13"/>
          <w:color w:val="D60011"/>
          <w:vertAlign w:val="superscript"/>
        </w:rPr>
      </w:pPr>
      <w:r>
        <w:rPr>
          <w:rFonts w:ascii="Arial" w:cs="Arial" w:eastAsia="Arial" w:hAnsi="Arial"/>
          <w:sz w:val="8"/>
          <w:szCs w:val="8"/>
          <w:color w:val="auto"/>
        </w:rPr>
        <w:t>Director, Assurex Health, Inc., August 2013 to July 2017</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840"/>
        <w:spacing w:after="0" w:line="228" w:lineRule="auto"/>
        <w:rPr>
          <w:sz w:val="20"/>
          <w:szCs w:val="20"/>
          <w:color w:val="auto"/>
        </w:rPr>
      </w:pPr>
      <w:r>
        <w:rPr>
          <w:rFonts w:ascii="Arial" w:cs="Arial" w:eastAsia="Arial" w:hAnsi="Arial"/>
          <w:sz w:val="10"/>
          <w:szCs w:val="10"/>
          <w:color w:val="auto"/>
        </w:rPr>
        <w:t>Ms. Drosos brings valuable skills and insights to the Board, including proven expertise in strategy, branding, marketing, digital commerce, and global operations. She has proven retail expertise in mergers and acquisitions and business expansions into new product lines, retail channels, and geographies. Ms. Drosos is the sitting CEO of a specialty retailer, she is a visionary and transformational leader with an entrepreneurial mindset, and she has a proven track record of growing and scaling global businesses through deep consumer understanding, product and experience innovation, and heightened employee engagement. Further, Ms. Drosos is actively involved in financial planning issues as the CEO of a public company, providing her with relevant expertise as a member of the Audit Committee and Finance Committee.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COMMITTEES RELEVANT SKILLS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290195</wp:posOffset>
            </wp:positionV>
            <wp:extent cx="4629150" cy="7315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29150" cy="731520"/>
                    </a:xfrm>
                    <a:prstGeom prst="rect">
                      <a:avLst/>
                    </a:prstGeom>
                    <a:noFill/>
                  </pic:spPr>
                </pic:pic>
              </a:graphicData>
            </a:graphic>
          </wp:anchor>
        </w:drawing>
        <w:drawing>
          <wp:anchor simplePos="0" relativeHeight="251657728" behindDoc="1" locked="0" layoutInCell="0" allowOverlap="1">
            <wp:simplePos x="0" y="0"/>
            <wp:positionH relativeFrom="column">
              <wp:posOffset>1088390</wp:posOffset>
            </wp:positionH>
            <wp:positionV relativeFrom="paragraph">
              <wp:posOffset>-86360</wp:posOffset>
            </wp:positionV>
            <wp:extent cx="85725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09"/>
        <w:spacing w:after="0"/>
        <w:rPr>
          <w:sz w:val="20"/>
          <w:szCs w:val="20"/>
          <w:color w:val="auto"/>
        </w:rPr>
      </w:pPr>
      <w:r>
        <w:rPr>
          <w:rFonts w:ascii="Arial" w:cs="Arial" w:eastAsia="Arial" w:hAnsi="Arial"/>
          <w:sz w:val="8"/>
          <w:szCs w:val="8"/>
          <w:b w:val="1"/>
          <w:bCs w:val="1"/>
          <w:color w:val="D60011"/>
        </w:rPr>
        <w:t>PROPOSAL 1: ELECTION OF DIRECTORS</w:t>
      </w:r>
    </w:p>
    <w:p>
      <w:pPr>
        <w:spacing w:after="0" w:line="139" w:lineRule="exact"/>
        <w:rPr>
          <w:sz w:val="20"/>
          <w:szCs w:val="20"/>
          <w:color w:val="auto"/>
        </w:rPr>
      </w:pPr>
    </w:p>
    <w:p>
      <w:pPr>
        <w:ind w:left="1129"/>
        <w:spacing w:after="0"/>
        <w:rPr>
          <w:sz w:val="20"/>
          <w:szCs w:val="20"/>
          <w:color w:val="auto"/>
        </w:rPr>
      </w:pPr>
      <w:r>
        <w:rPr>
          <w:rFonts w:ascii="Arial" w:cs="Arial" w:eastAsia="Arial" w:hAnsi="Arial"/>
          <w:sz w:val="18"/>
          <w:szCs w:val="18"/>
          <w:b w:val="1"/>
          <w:bCs w:val="1"/>
          <w:color w:val="auto"/>
        </w:rPr>
        <w:t>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80085" cy="794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085" cy="794385"/>
                    </a:xfrm>
                    <a:prstGeom prst="rect">
                      <a:avLst/>
                    </a:prstGeom>
                    <a:noFill/>
                  </pic:spPr>
                </pic:pic>
              </a:graphicData>
            </a:graphic>
          </wp:anchor>
        </w:drawing>
      </w:r>
    </w:p>
    <w:p>
      <w:pPr>
        <w:spacing w:after="0" w:line="145" w:lineRule="exact"/>
        <w:rPr>
          <w:sz w:val="20"/>
          <w:szCs w:val="20"/>
          <w:color w:val="auto"/>
        </w:rPr>
      </w:pPr>
    </w:p>
    <w:p>
      <w:pPr>
        <w:ind w:left="1129"/>
        <w:spacing w:after="0"/>
        <w:rPr>
          <w:sz w:val="20"/>
          <w:szCs w:val="20"/>
          <w:color w:val="auto"/>
        </w:rPr>
      </w:pPr>
      <w:r>
        <w:rPr>
          <w:rFonts w:ascii="Arial" w:cs="Arial" w:eastAsia="Arial" w:hAnsi="Arial"/>
          <w:sz w:val="10"/>
          <w:szCs w:val="10"/>
          <w:b w:val="1"/>
          <w:bCs w:val="1"/>
          <w:color w:val="auto"/>
        </w:rPr>
        <w:t>Independent Director</w:t>
      </w:r>
    </w:p>
    <w:p>
      <w:pPr>
        <w:spacing w:after="0" w:line="5"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70</w:t>
      </w:r>
    </w:p>
    <w:p>
      <w:pPr>
        <w:ind w:left="1129"/>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433705</wp:posOffset>
            </wp:positionV>
            <wp:extent cx="223456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0"/>
          <w:szCs w:val="10"/>
          <w:color w:val="auto"/>
        </w:rPr>
        <w:t>Midas, Inc. (automotive repair and maintenance service provider)</w:t>
      </w:r>
    </w:p>
    <w:p>
      <w:pPr>
        <w:spacing w:after="0" w:line="33" w:lineRule="exact"/>
        <w:rPr>
          <w:sz w:val="20"/>
          <w:szCs w:val="20"/>
          <w:color w:val="auto"/>
        </w:rPr>
      </w:pPr>
    </w:p>
    <w:p>
      <w:pPr>
        <w:ind w:left="109" w:hanging="109"/>
        <w:spacing w:after="0"/>
        <w:tabs>
          <w:tab w:leader="none" w:pos="109" w:val="left"/>
        </w:tabs>
        <w:numPr>
          <w:ilvl w:val="0"/>
          <w:numId w:val="25"/>
        </w:numPr>
        <w:rPr>
          <w:rFonts w:ascii="Arial" w:cs="Arial" w:eastAsia="Arial" w:hAnsi="Arial"/>
          <w:sz w:val="16"/>
          <w:szCs w:val="16"/>
          <w:color w:val="D60011"/>
          <w:vertAlign w:val="superscript"/>
        </w:rPr>
      </w:pPr>
      <w:r>
        <w:rPr>
          <w:rFonts w:ascii="Arial" w:cs="Arial" w:eastAsia="Arial" w:hAnsi="Arial"/>
          <w:sz w:val="9"/>
          <w:szCs w:val="9"/>
          <w:color w:val="auto"/>
        </w:rPr>
        <w:t>Chairman, President and Chief Executive Officer, May 2006 to April 2012</w:t>
      </w:r>
    </w:p>
    <w:p>
      <w:pPr>
        <w:ind w:left="109" w:hanging="109"/>
        <w:spacing w:after="0" w:line="187" w:lineRule="auto"/>
        <w:tabs>
          <w:tab w:leader="none" w:pos="109" w:val="left"/>
        </w:tabs>
        <w:numPr>
          <w:ilvl w:val="0"/>
          <w:numId w:val="25"/>
        </w:numPr>
        <w:rPr>
          <w:rFonts w:ascii="Arial" w:cs="Arial" w:eastAsia="Arial" w:hAnsi="Arial"/>
          <w:sz w:val="13"/>
          <w:szCs w:val="13"/>
          <w:color w:val="D60011"/>
          <w:vertAlign w:val="superscript"/>
        </w:rPr>
      </w:pPr>
      <w:r>
        <w:rPr>
          <w:rFonts w:ascii="Arial" w:cs="Arial" w:eastAsia="Arial" w:hAnsi="Arial"/>
          <w:sz w:val="8"/>
          <w:szCs w:val="8"/>
          <w:color w:val="auto"/>
        </w:rPr>
        <w:t>President and Chief Executive Officer, January 2003 to April 2006</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OTHER BOARD SERVICE</w:t>
      </w:r>
    </w:p>
    <w:p>
      <w:pPr>
        <w:spacing w:after="0" w:line="70" w:lineRule="exact"/>
        <w:rPr>
          <w:sz w:val="20"/>
          <w:szCs w:val="20"/>
          <w:color w:val="auto"/>
        </w:rPr>
      </w:pPr>
    </w:p>
    <w:p>
      <w:pPr>
        <w:ind w:left="109" w:hanging="109"/>
        <w:spacing w:after="0"/>
        <w:tabs>
          <w:tab w:leader="none" w:pos="109" w:val="left"/>
        </w:tabs>
        <w:numPr>
          <w:ilvl w:val="0"/>
          <w:numId w:val="26"/>
        </w:numPr>
        <w:rPr>
          <w:rFonts w:ascii="Arial" w:cs="Arial" w:eastAsia="Arial" w:hAnsi="Arial"/>
          <w:sz w:val="16"/>
          <w:szCs w:val="16"/>
          <w:color w:val="D60011"/>
          <w:vertAlign w:val="superscript"/>
        </w:rPr>
      </w:pPr>
      <w:r>
        <w:rPr>
          <w:rFonts w:ascii="Arial" w:cs="Arial" w:eastAsia="Arial" w:hAnsi="Arial"/>
          <w:sz w:val="9"/>
          <w:szCs w:val="9"/>
          <w:color w:val="auto"/>
        </w:rPr>
        <w:t>Director, John Bean Technologies Corporation, since July 2008</w:t>
      </w:r>
    </w:p>
    <w:p>
      <w:pPr>
        <w:ind w:left="109" w:hanging="109"/>
        <w:spacing w:after="0" w:line="204" w:lineRule="auto"/>
        <w:tabs>
          <w:tab w:leader="none" w:pos="109" w:val="left"/>
        </w:tabs>
        <w:numPr>
          <w:ilvl w:val="0"/>
          <w:numId w:val="26"/>
        </w:numPr>
        <w:rPr>
          <w:rFonts w:ascii="Arial" w:cs="Arial" w:eastAsia="Arial" w:hAnsi="Arial"/>
          <w:sz w:val="11"/>
          <w:szCs w:val="11"/>
          <w:color w:val="D60011"/>
          <w:vertAlign w:val="superscript"/>
        </w:rPr>
      </w:pPr>
      <w:r>
        <w:rPr>
          <w:rFonts w:ascii="Arial" w:cs="Arial" w:eastAsia="Arial" w:hAnsi="Arial"/>
          <w:sz w:val="7"/>
          <w:szCs w:val="7"/>
          <w:color w:val="auto"/>
        </w:rPr>
        <w:t>Director, GNC Holdings, Inc., June 2013 to June 2020</w:t>
      </w:r>
    </w:p>
    <w:p>
      <w:pPr>
        <w:ind w:left="109" w:right="919" w:hanging="109"/>
        <w:spacing w:after="0"/>
        <w:tabs>
          <w:tab w:leader="none" w:pos="109" w:val="left"/>
        </w:tabs>
        <w:numPr>
          <w:ilvl w:val="0"/>
          <w:numId w:val="26"/>
        </w:numPr>
        <w:rPr>
          <w:rFonts w:ascii="Arial" w:cs="Arial" w:eastAsia="Arial" w:hAnsi="Arial"/>
          <w:sz w:val="16"/>
          <w:szCs w:val="16"/>
          <w:color w:val="D60011"/>
          <w:vertAlign w:val="superscript"/>
        </w:rPr>
      </w:pPr>
      <w:r>
        <w:rPr>
          <w:rFonts w:ascii="Arial" w:cs="Arial" w:eastAsia="Arial" w:hAnsi="Arial"/>
          <w:sz w:val="9"/>
          <w:szCs w:val="9"/>
          <w:color w:val="auto"/>
        </w:rPr>
        <w:t>Director, Foundation Board, University of Illinois Foundation, since September 2012</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9" w:right="839"/>
        <w:spacing w:after="0" w:line="234" w:lineRule="auto"/>
        <w:rPr>
          <w:sz w:val="20"/>
          <w:szCs w:val="20"/>
          <w:color w:val="auto"/>
        </w:rPr>
      </w:pPr>
      <w:r>
        <w:rPr>
          <w:rFonts w:ascii="Arial" w:cs="Arial" w:eastAsia="Arial" w:hAnsi="Arial"/>
          <w:sz w:val="10"/>
          <w:szCs w:val="10"/>
          <w:color w:val="auto"/>
        </w:rPr>
        <w:t>Mr. Feldman has extensive chief executive, financial, and franchised retail experience as the former CEO of a public company specializing in retail franchises, providing him with relevant expertise as a member of the Human Capital Committee and Finance Committee.</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COMMITTEES RELEVANT SKILLS</w:t>
      </w:r>
    </w:p>
    <w:p>
      <w:pPr>
        <w:spacing w:after="0" w:line="9"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F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1793240</wp:posOffset>
            </wp:positionV>
            <wp:extent cx="365760"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5760" cy="22288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-86360</wp:posOffset>
            </wp:positionV>
            <wp:extent cx="857250" cy="434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569" w:type="dxa"/>
        <w:tblCellMar>
          <w:top w:w="0" w:type="dxa"/>
          <w:left w:w="0" w:type="dxa"/>
          <w:bottom w:w="0" w:type="dxa"/>
          <w:right w:w="0" w:type="dxa"/>
        </w:tblCellMar>
      </w:tblPr>
      <w:tr>
        <w:trPr>
          <w:trHeight w:val="164"/>
        </w:trPr>
        <w:tc>
          <w:tcPr>
            <w:tcW w:w="1340" w:type="dxa"/>
            <w:vAlign w:val="bottom"/>
          </w:tcPr>
          <w:p>
            <w:pPr>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FFFFFF"/>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208915</wp:posOffset>
            </wp:positionV>
            <wp:extent cx="71780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2">
            <w:col w:w="4320" w:space="331"/>
            <w:col w:w="4368"/>
          </w:cols>
          <w:pgMar w:left="1440" w:top="574" w:right="1440" w:bottom="1440" w:gutter="0" w:footer="0" w:header="0"/>
        </w:sectPr>
      </w:pPr>
    </w:p>
    <w:bookmarkStart w:id="25" w:name="page26"/>
    <w:bookmarkEnd w:id="25"/>
    <w:p>
      <w:pPr>
        <w:ind w:left="840"/>
        <w:spacing w:after="0"/>
        <w:rPr>
          <w:sz w:val="20"/>
          <w:szCs w:val="20"/>
          <w:color w:val="auto"/>
        </w:rPr>
      </w:pPr>
      <w:r>
        <w:rPr>
          <w:rFonts w:ascii="Arial" w:cs="Arial" w:eastAsia="Arial" w:hAnsi="Arial"/>
          <w:sz w:val="10"/>
          <w:szCs w:val="10"/>
          <w:b w:val="1"/>
          <w:bCs w:val="1"/>
          <w:color w:val="D60011"/>
        </w:rPr>
        <w:t>PROPOSAL 1: ELECTION OF DIRECTORS</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-118745</wp:posOffset>
            </wp:positionV>
            <wp:extent cx="680085" cy="817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085" cy="817245"/>
                    </a:xfrm>
                    <a:prstGeom prst="rect">
                      <a:avLst/>
                    </a:prstGeom>
                    <a:noFill/>
                  </pic:spPr>
                </pic:pic>
              </a:graphicData>
            </a:graphic>
          </wp:anchor>
        </w:drawing>
      </w:r>
    </w:p>
    <w:p>
      <w:pPr>
        <w:spacing w:after="0" w:line="154" w:lineRule="exact"/>
        <w:rPr>
          <w:sz w:val="20"/>
          <w:szCs w:val="20"/>
          <w:color w:val="auto"/>
        </w:rPr>
      </w:pPr>
    </w:p>
    <w:p>
      <w:pPr>
        <w:ind w:left="1960"/>
        <w:spacing w:after="0"/>
        <w:rPr>
          <w:sz w:val="20"/>
          <w:szCs w:val="20"/>
          <w:color w:val="auto"/>
        </w:rPr>
      </w:pPr>
      <w:r>
        <w:rPr>
          <w:rFonts w:ascii="Arial" w:cs="Arial" w:eastAsia="Arial" w:hAnsi="Arial"/>
          <w:sz w:val="10"/>
          <w:szCs w:val="10"/>
          <w:b w:val="1"/>
          <w:bCs w:val="1"/>
          <w:color w:val="auto"/>
        </w:rPr>
        <w:t>Independent Director</w:t>
      </w:r>
    </w:p>
    <w:p>
      <w:pPr>
        <w:spacing w:after="0" w:line="12"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69</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427990</wp:posOffset>
            </wp:positionV>
            <wp:extent cx="223456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840" w:right="400"/>
        <w:spacing w:after="0" w:line="245" w:lineRule="auto"/>
        <w:rPr>
          <w:sz w:val="20"/>
          <w:szCs w:val="20"/>
          <w:color w:val="auto"/>
        </w:rPr>
      </w:pPr>
      <w:r>
        <w:rPr>
          <w:rFonts w:ascii="Arial" w:cs="Arial" w:eastAsia="Arial" w:hAnsi="Arial"/>
          <w:sz w:val="10"/>
          <w:szCs w:val="10"/>
          <w:color w:val="auto"/>
        </w:rPr>
        <w:t>Marmol &amp; Associates (consulting firm that provides advisory services and investment capital to early-stage technology companies)</w:t>
      </w:r>
    </w:p>
    <w:p>
      <w:pPr>
        <w:spacing w:after="0" w:line="30" w:lineRule="exact"/>
        <w:rPr>
          <w:sz w:val="20"/>
          <w:szCs w:val="20"/>
          <w:color w:val="auto"/>
        </w:rPr>
      </w:pPr>
    </w:p>
    <w:p>
      <w:pPr>
        <w:ind w:left="940" w:hanging="108"/>
        <w:spacing w:after="0"/>
        <w:tabs>
          <w:tab w:leader="none" w:pos="940" w:val="left"/>
        </w:tabs>
        <w:numPr>
          <w:ilvl w:val="0"/>
          <w:numId w:val="27"/>
        </w:numPr>
        <w:rPr>
          <w:rFonts w:ascii="Arial" w:cs="Arial" w:eastAsia="Arial" w:hAnsi="Arial"/>
          <w:sz w:val="16"/>
          <w:szCs w:val="16"/>
          <w:b w:val="1"/>
          <w:bCs w:val="1"/>
          <w:color w:val="D60011"/>
          <w:vertAlign w:val="superscript"/>
        </w:rPr>
      </w:pPr>
      <w:r>
        <w:rPr>
          <w:rFonts w:ascii="Arial" w:cs="Arial" w:eastAsia="Arial" w:hAnsi="Arial"/>
          <w:sz w:val="9"/>
          <w:szCs w:val="9"/>
          <w:color w:val="auto"/>
        </w:rPr>
        <w:t>President, since March 2007 and October 2000 to May 2003</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OTHER BOARD SERVICE</w:t>
      </w:r>
    </w:p>
    <w:p>
      <w:pPr>
        <w:spacing w:after="0" w:line="138" w:lineRule="exact"/>
        <w:rPr>
          <w:sz w:val="20"/>
          <w:szCs w:val="20"/>
          <w:color w:val="auto"/>
        </w:rPr>
      </w:pPr>
    </w:p>
    <w:p>
      <w:pPr>
        <w:ind w:left="940" w:right="320" w:hanging="108"/>
        <w:spacing w:after="0" w:line="187" w:lineRule="auto"/>
        <w:tabs>
          <w:tab w:leader="none" w:pos="940" w:val="left"/>
        </w:tabs>
        <w:numPr>
          <w:ilvl w:val="0"/>
          <w:numId w:val="28"/>
        </w:numPr>
        <w:rPr>
          <w:rFonts w:ascii="Arial" w:cs="Arial" w:eastAsia="Arial" w:hAnsi="Arial"/>
          <w:sz w:val="16"/>
          <w:szCs w:val="16"/>
          <w:color w:val="D60011"/>
          <w:vertAlign w:val="superscript"/>
        </w:rPr>
      </w:pPr>
      <w:r>
        <w:rPr>
          <w:rFonts w:ascii="Arial" w:cs="Arial" w:eastAsia="Arial" w:hAnsi="Arial"/>
          <w:sz w:val="9"/>
          <w:szCs w:val="9"/>
          <w:color w:val="auto"/>
        </w:rPr>
        <w:t>Non-executive Chief Executive Officer, Viron Therapeutics Holdings Inc., since 2021</w:t>
      </w:r>
    </w:p>
    <w:p>
      <w:pPr>
        <w:ind w:left="940" w:right="380" w:hanging="108"/>
        <w:spacing w:after="0" w:line="180" w:lineRule="auto"/>
        <w:tabs>
          <w:tab w:leader="none" w:pos="940" w:val="left"/>
        </w:tabs>
        <w:numPr>
          <w:ilvl w:val="0"/>
          <w:numId w:val="28"/>
        </w:numPr>
        <w:rPr>
          <w:rFonts w:ascii="Arial" w:cs="Arial" w:eastAsia="Arial" w:hAnsi="Arial"/>
          <w:sz w:val="16"/>
          <w:szCs w:val="16"/>
          <w:color w:val="D60011"/>
          <w:vertAlign w:val="superscript"/>
        </w:rPr>
      </w:pPr>
      <w:r>
        <w:rPr>
          <w:rFonts w:ascii="Arial" w:cs="Arial" w:eastAsia="Arial" w:hAnsi="Arial"/>
          <w:sz w:val="9"/>
          <w:szCs w:val="9"/>
          <w:color w:val="auto"/>
        </w:rPr>
        <w:t>Director and Audit Committee member, Morae Global Corporation, until August 2021</w:t>
      </w:r>
    </w:p>
    <w:p>
      <w:pPr>
        <w:ind w:left="940" w:hanging="108"/>
        <w:spacing w:after="0" w:line="204" w:lineRule="auto"/>
        <w:tabs>
          <w:tab w:leader="none" w:pos="940" w:val="left"/>
        </w:tabs>
        <w:numPr>
          <w:ilvl w:val="0"/>
          <w:numId w:val="28"/>
        </w:numPr>
        <w:rPr>
          <w:rFonts w:ascii="Arial" w:cs="Arial" w:eastAsia="Arial" w:hAnsi="Arial"/>
          <w:sz w:val="11"/>
          <w:szCs w:val="11"/>
          <w:color w:val="D60011"/>
          <w:vertAlign w:val="superscript"/>
        </w:rPr>
      </w:pPr>
      <w:r>
        <w:rPr>
          <w:rFonts w:ascii="Arial" w:cs="Arial" w:eastAsia="Arial" w:hAnsi="Arial"/>
          <w:sz w:val="7"/>
          <w:szCs w:val="7"/>
          <w:color w:val="auto"/>
        </w:rPr>
        <w:t>Director, Vitamin Shoppe, Inc., February 2016 to December 2019</w:t>
      </w:r>
    </w:p>
    <w:p>
      <w:pPr>
        <w:ind w:left="940" w:hanging="108"/>
        <w:spacing w:after="0" w:line="187" w:lineRule="auto"/>
        <w:tabs>
          <w:tab w:leader="none" w:pos="940" w:val="left"/>
        </w:tabs>
        <w:numPr>
          <w:ilvl w:val="0"/>
          <w:numId w:val="28"/>
        </w:numPr>
        <w:rPr>
          <w:rFonts w:ascii="Arial" w:cs="Arial" w:eastAsia="Arial" w:hAnsi="Arial"/>
          <w:sz w:val="13"/>
          <w:szCs w:val="13"/>
          <w:color w:val="D60011"/>
          <w:vertAlign w:val="superscript"/>
        </w:rPr>
      </w:pPr>
      <w:r>
        <w:rPr>
          <w:rFonts w:ascii="Arial" w:cs="Arial" w:eastAsia="Arial" w:hAnsi="Arial"/>
          <w:sz w:val="8"/>
          <w:szCs w:val="8"/>
          <w:color w:val="auto"/>
        </w:rPr>
        <w:t>Chair of the Board of Trustees, Center for a Free Cuba</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840"/>
        <w:spacing w:after="0" w:line="293" w:lineRule="auto"/>
        <w:rPr>
          <w:sz w:val="20"/>
          <w:szCs w:val="20"/>
          <w:color w:val="auto"/>
        </w:rPr>
      </w:pPr>
      <w:r>
        <w:rPr>
          <w:rFonts w:ascii="Arial" w:cs="Arial" w:eastAsia="Arial" w:hAnsi="Arial"/>
          <w:sz w:val="8"/>
          <w:szCs w:val="8"/>
          <w:color w:val="auto"/>
        </w:rPr>
        <w:t>Mr. Marmol has a significant background in information technology and systems, which is highly important to the Company as we continue to invest in our technology and systems and build a more powerful digital business to connect with our customers. Mr. Marmol also has extensive executive, financial, strategic analysis, and business process experience as a management consultant at Marmol &amp; Associates and McKinsey &amp; Company and a former senior executive officer of Luminant Worldwide Corporation, Electronic Data Systems Corporation, and Perot Systems Corporation, providing him with relevant expertise as a member of the Human Capital Committee and Audit Committee Chair.</w:t>
      </w:r>
    </w:p>
    <w:p>
      <w:pPr>
        <w:spacing w:after="0" w:line="20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COMMITTEES RELEVANT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6350</wp:posOffset>
            </wp:positionV>
            <wp:extent cx="4629150" cy="1148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20" w:hanging="388"/>
        <w:spacing w:after="0"/>
        <w:tabs>
          <w:tab w:leader="none" w:pos="1520" w:val="left"/>
        </w:tabs>
        <w:numPr>
          <w:ilvl w:val="0"/>
          <w:numId w:val="29"/>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129"/>
        <w:spacing w:after="0"/>
        <w:rPr>
          <w:sz w:val="20"/>
          <w:szCs w:val="20"/>
          <w:color w:val="auto"/>
        </w:rPr>
      </w:pPr>
      <w:r>
        <w:rPr>
          <w:rFonts w:ascii="Arial" w:cs="Arial" w:eastAsia="Arial" w:hAnsi="Arial"/>
          <w:sz w:val="18"/>
          <w:szCs w:val="18"/>
          <w:b w:val="1"/>
          <w:bCs w:val="1"/>
          <w:color w:val="auto"/>
        </w:rPr>
        <w:t>DARLENE NICOSIA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80085" cy="794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085" cy="794385"/>
                    </a:xfrm>
                    <a:prstGeom prst="rect">
                      <a:avLst/>
                    </a:prstGeom>
                    <a:noFill/>
                  </pic:spPr>
                </pic:pic>
              </a:graphicData>
            </a:graphic>
          </wp:anchor>
        </w:drawing>
      </w:r>
    </w:p>
    <w:p>
      <w:pPr>
        <w:spacing w:after="0" w:line="145" w:lineRule="exact"/>
        <w:rPr>
          <w:sz w:val="20"/>
          <w:szCs w:val="20"/>
          <w:color w:val="auto"/>
        </w:rPr>
      </w:pPr>
    </w:p>
    <w:p>
      <w:pPr>
        <w:ind w:left="1129"/>
        <w:spacing w:after="0"/>
        <w:rPr>
          <w:sz w:val="20"/>
          <w:szCs w:val="20"/>
          <w:color w:val="auto"/>
        </w:rPr>
      </w:pPr>
      <w:r>
        <w:rPr>
          <w:rFonts w:ascii="Arial" w:cs="Arial" w:eastAsia="Arial" w:hAnsi="Arial"/>
          <w:sz w:val="10"/>
          <w:szCs w:val="10"/>
          <w:b w:val="1"/>
          <w:bCs w:val="1"/>
          <w:color w:val="auto"/>
        </w:rPr>
        <w:t>Independent Director</w:t>
      </w:r>
    </w:p>
    <w:p>
      <w:pPr>
        <w:spacing w:after="0" w:line="5"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54</w:t>
      </w:r>
    </w:p>
    <w:p>
      <w:pPr>
        <w:ind w:left="1129"/>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433705</wp:posOffset>
            </wp:positionV>
            <wp:extent cx="223456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0"/>
          <w:szCs w:val="10"/>
          <w:color w:val="auto"/>
        </w:rPr>
        <w:t>The Coca-Cola Company (beverage company)</w:t>
      </w:r>
    </w:p>
    <w:p>
      <w:pPr>
        <w:spacing w:after="0" w:line="101" w:lineRule="exact"/>
        <w:rPr>
          <w:sz w:val="20"/>
          <w:szCs w:val="20"/>
          <w:color w:val="auto"/>
        </w:rPr>
      </w:pPr>
    </w:p>
    <w:p>
      <w:pPr>
        <w:ind w:left="109" w:right="1019" w:hanging="109"/>
        <w:spacing w:after="0" w:line="187" w:lineRule="auto"/>
        <w:tabs>
          <w:tab w:leader="none" w:pos="109" w:val="left"/>
        </w:tabs>
        <w:numPr>
          <w:ilvl w:val="0"/>
          <w:numId w:val="30"/>
        </w:numPr>
        <w:rPr>
          <w:rFonts w:ascii="Arial" w:cs="Arial" w:eastAsia="Arial" w:hAnsi="Arial"/>
          <w:sz w:val="16"/>
          <w:szCs w:val="16"/>
          <w:color w:val="D60011"/>
          <w:vertAlign w:val="superscript"/>
        </w:rPr>
      </w:pPr>
      <w:r>
        <w:rPr>
          <w:rFonts w:ascii="Arial" w:cs="Arial" w:eastAsia="Arial" w:hAnsi="Arial"/>
          <w:sz w:val="9"/>
          <w:szCs w:val="9"/>
          <w:color w:val="auto"/>
        </w:rPr>
        <w:t>President, Canada and Northeast U.S., North America Operating Unit, since January 2021</w:t>
      </w:r>
    </w:p>
    <w:p>
      <w:pPr>
        <w:ind w:left="109" w:hanging="109"/>
        <w:spacing w:after="0" w:line="204" w:lineRule="auto"/>
        <w:tabs>
          <w:tab w:leader="none" w:pos="109" w:val="left"/>
        </w:tabs>
        <w:numPr>
          <w:ilvl w:val="0"/>
          <w:numId w:val="30"/>
        </w:numPr>
        <w:rPr>
          <w:rFonts w:ascii="Arial" w:cs="Arial" w:eastAsia="Arial" w:hAnsi="Arial"/>
          <w:sz w:val="11"/>
          <w:szCs w:val="11"/>
          <w:color w:val="D60011"/>
          <w:vertAlign w:val="superscript"/>
        </w:rPr>
      </w:pPr>
      <w:r>
        <w:rPr>
          <w:rFonts w:ascii="Arial" w:cs="Arial" w:eastAsia="Arial" w:hAnsi="Arial"/>
          <w:sz w:val="7"/>
          <w:szCs w:val="7"/>
          <w:color w:val="auto"/>
        </w:rPr>
        <w:t>President of the Canada Business Unit, January 2019 to January 2021</w:t>
      </w:r>
    </w:p>
    <w:p>
      <w:pPr>
        <w:ind w:left="109" w:hanging="109"/>
        <w:spacing w:after="0" w:line="187" w:lineRule="auto"/>
        <w:tabs>
          <w:tab w:leader="none" w:pos="109" w:val="left"/>
        </w:tabs>
        <w:numPr>
          <w:ilvl w:val="0"/>
          <w:numId w:val="30"/>
        </w:numPr>
        <w:rPr>
          <w:rFonts w:ascii="Arial" w:cs="Arial" w:eastAsia="Arial" w:hAnsi="Arial"/>
          <w:sz w:val="13"/>
          <w:szCs w:val="13"/>
          <w:color w:val="D60011"/>
          <w:vertAlign w:val="superscript"/>
        </w:rPr>
      </w:pPr>
      <w:r>
        <w:rPr>
          <w:rFonts w:ascii="Arial" w:cs="Arial" w:eastAsia="Arial" w:hAnsi="Arial"/>
          <w:sz w:val="8"/>
          <w:szCs w:val="8"/>
          <w:color w:val="auto"/>
        </w:rPr>
        <w:t>Vice President, Commercial Product Supply, May 2016 to January 2019</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OTHER BOARD SERVICE</w:t>
      </w:r>
    </w:p>
    <w:p>
      <w:pPr>
        <w:spacing w:after="0" w:line="138" w:lineRule="exact"/>
        <w:rPr>
          <w:sz w:val="20"/>
          <w:szCs w:val="20"/>
          <w:color w:val="auto"/>
        </w:rPr>
      </w:pPr>
    </w:p>
    <w:p>
      <w:pPr>
        <w:ind w:left="109" w:right="999" w:hanging="109"/>
        <w:spacing w:after="0" w:line="187" w:lineRule="auto"/>
        <w:tabs>
          <w:tab w:leader="none" w:pos="109" w:val="left"/>
        </w:tabs>
        <w:numPr>
          <w:ilvl w:val="0"/>
          <w:numId w:val="31"/>
        </w:numPr>
        <w:rPr>
          <w:rFonts w:ascii="Arial" w:cs="Arial" w:eastAsia="Arial" w:hAnsi="Arial"/>
          <w:sz w:val="16"/>
          <w:szCs w:val="16"/>
          <w:color w:val="D60011"/>
          <w:vertAlign w:val="superscript"/>
        </w:rPr>
      </w:pPr>
      <w:r>
        <w:rPr>
          <w:rFonts w:ascii="Arial" w:cs="Arial" w:eastAsia="Arial" w:hAnsi="Arial"/>
          <w:sz w:val="9"/>
          <w:szCs w:val="9"/>
          <w:color w:val="auto"/>
        </w:rPr>
        <w:t>Advisory Board Member, Georgia Institute of Technology, Scheller College of Business</w:t>
      </w:r>
    </w:p>
    <w:p>
      <w:pPr>
        <w:ind w:left="109" w:hanging="109"/>
        <w:spacing w:after="0" w:line="204" w:lineRule="auto"/>
        <w:tabs>
          <w:tab w:leader="none" w:pos="109" w:val="left"/>
        </w:tabs>
        <w:numPr>
          <w:ilvl w:val="0"/>
          <w:numId w:val="31"/>
        </w:numPr>
        <w:rPr>
          <w:rFonts w:ascii="Arial" w:cs="Arial" w:eastAsia="Arial" w:hAnsi="Arial"/>
          <w:sz w:val="11"/>
          <w:szCs w:val="11"/>
          <w:color w:val="D60011"/>
          <w:vertAlign w:val="superscript"/>
        </w:rPr>
      </w:pPr>
      <w:r>
        <w:rPr>
          <w:rFonts w:ascii="Arial" w:cs="Arial" w:eastAsia="Arial" w:hAnsi="Arial"/>
          <w:sz w:val="7"/>
          <w:szCs w:val="7"/>
          <w:color w:val="auto"/>
        </w:rPr>
        <w:t>Chair of the Board, Canadian Beverage Association</w:t>
      </w:r>
    </w:p>
    <w:p>
      <w:pPr>
        <w:ind w:left="109" w:hanging="109"/>
        <w:spacing w:after="0" w:line="187" w:lineRule="auto"/>
        <w:tabs>
          <w:tab w:leader="none" w:pos="109" w:val="left"/>
        </w:tabs>
        <w:numPr>
          <w:ilvl w:val="0"/>
          <w:numId w:val="31"/>
        </w:numPr>
        <w:rPr>
          <w:rFonts w:ascii="Arial" w:cs="Arial" w:eastAsia="Arial" w:hAnsi="Arial"/>
          <w:sz w:val="13"/>
          <w:szCs w:val="13"/>
          <w:color w:val="D60011"/>
          <w:vertAlign w:val="superscript"/>
        </w:rPr>
      </w:pPr>
      <w:r>
        <w:rPr>
          <w:rFonts w:ascii="Arial" w:cs="Arial" w:eastAsia="Arial" w:hAnsi="Arial"/>
          <w:sz w:val="8"/>
          <w:szCs w:val="8"/>
          <w:color w:val="auto"/>
        </w:rPr>
        <w:t>Member, Food, Health, and Consumer Products of Canada Association</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9" w:right="919"/>
        <w:spacing w:after="0" w:line="229" w:lineRule="auto"/>
        <w:rPr>
          <w:sz w:val="20"/>
          <w:szCs w:val="20"/>
          <w:color w:val="auto"/>
        </w:rPr>
      </w:pPr>
      <w:r>
        <w:rPr>
          <w:rFonts w:ascii="Arial" w:cs="Arial" w:eastAsia="Arial" w:hAnsi="Arial"/>
          <w:sz w:val="10"/>
          <w:szCs w:val="10"/>
          <w:color w:val="auto"/>
        </w:rPr>
        <w:t>Ms. Nicosia brings to our Board a broad-based global business background, particularly brand-building and global supply chain management, gained through her experience in the consumer products industry. Throughout her career, Ms. Nicosia has led sustainability initiatives and navigated complex regulatory environments and shifting consumer preferences. Her extensive understanding of supply chain, marketing operations, third-party risk management, and business transformation is an asset to our Board, particularly our Audit Committee and Human Capital Committee.</w:t>
      </w:r>
    </w:p>
    <w:p>
      <w:pPr>
        <w:spacing w:after="0" w:line="113"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COMMITTEES RELEVANT SKILLS</w:t>
      </w:r>
    </w:p>
    <w:p>
      <w:pPr>
        <w:spacing w:after="0" w:line="9"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A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1633220</wp:posOffset>
            </wp:positionV>
            <wp:extent cx="71780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-86360</wp:posOffset>
            </wp:positionV>
            <wp:extent cx="85725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000000"/>
                        </a:clrFrom>
                        <a:clrTo>
                          <a:srgbClr val="000000">
                            <a:alpha val="0"/>
                          </a:srgbClr>
                        </a:clrTo>
                      </a:clrChange>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-86360</wp:posOffset>
            </wp:positionV>
            <wp:extent cx="857250"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857250" cy="342900"/>
                    </a:xfrm>
                    <a:prstGeom prst="rect">
                      <a:avLst/>
                    </a:prstGeom>
                    <a:noFill/>
                  </pic:spPr>
                </pic:pic>
              </a:graphicData>
            </a:graphic>
          </wp:anchor>
        </w:drawing>
      </w:r>
    </w:p>
    <w:p>
      <w:pPr>
        <w:sectPr>
          <w:pgSz w:w="11900" w:h="16838" w:orient="portrait"/>
          <w:cols w:equalWidth="0" w:num="2">
            <w:col w:w="4340" w:space="311"/>
            <w:col w:w="4368"/>
          </w:cols>
          <w:pgMar w:left="1440" w:top="574" w:right="1440" w:bottom="1440" w:gutter="0" w:footer="0" w:header="0"/>
        </w:sectPr>
      </w:pPr>
    </w:p>
    <w:bookmarkStart w:id="26" w:name="page27"/>
    <w:bookmarkEnd w:id="26"/>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-118745</wp:posOffset>
            </wp:positionV>
            <wp:extent cx="680085" cy="794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085" cy="794385"/>
                    </a:xfrm>
                    <a:prstGeom prst="rect">
                      <a:avLst/>
                    </a:prstGeom>
                    <a:noFill/>
                  </pic:spPr>
                </pic:pic>
              </a:graphicData>
            </a:graphic>
          </wp:anchor>
        </w:drawing>
      </w:r>
    </w:p>
    <w:p>
      <w:pPr>
        <w:spacing w:after="0" w:line="145" w:lineRule="exact"/>
        <w:rPr>
          <w:sz w:val="20"/>
          <w:szCs w:val="20"/>
          <w:color w:val="auto"/>
        </w:rPr>
      </w:pPr>
    </w:p>
    <w:p>
      <w:pPr>
        <w:ind w:left="1960"/>
        <w:spacing w:after="0"/>
        <w:rPr>
          <w:sz w:val="20"/>
          <w:szCs w:val="20"/>
          <w:color w:val="auto"/>
        </w:rPr>
      </w:pPr>
      <w:r>
        <w:rPr>
          <w:rFonts w:ascii="Arial" w:cs="Arial" w:eastAsia="Arial" w:hAnsi="Arial"/>
          <w:sz w:val="10"/>
          <w:szCs w:val="10"/>
          <w:b w:val="1"/>
          <w:bCs w:val="1"/>
          <w:color w:val="auto"/>
        </w:rPr>
        <w:t>Independent Director</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61</w:t>
      </w:r>
    </w:p>
    <w:p>
      <w:pPr>
        <w:ind w:left="1960"/>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433705</wp:posOffset>
            </wp:positionV>
            <wp:extent cx="223456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TreeHouse Foods, Inc. (manufacturer of packaged foods and beverages)</w:t>
      </w:r>
    </w:p>
    <w:p>
      <w:pPr>
        <w:spacing w:after="0" w:line="42" w:lineRule="exact"/>
        <w:rPr>
          <w:sz w:val="20"/>
          <w:szCs w:val="20"/>
          <w:color w:val="auto"/>
        </w:rPr>
      </w:pPr>
    </w:p>
    <w:p>
      <w:pPr>
        <w:ind w:left="940" w:hanging="108"/>
        <w:spacing w:after="0"/>
        <w:tabs>
          <w:tab w:leader="none" w:pos="940" w:val="left"/>
        </w:tabs>
        <w:numPr>
          <w:ilvl w:val="0"/>
          <w:numId w:val="32"/>
        </w:numPr>
        <w:rPr>
          <w:rFonts w:ascii="Arial" w:cs="Arial" w:eastAsia="Arial" w:hAnsi="Arial"/>
          <w:sz w:val="16"/>
          <w:szCs w:val="16"/>
          <w:b w:val="1"/>
          <w:bCs w:val="1"/>
          <w:color w:val="D60011"/>
          <w:vertAlign w:val="superscript"/>
        </w:rPr>
      </w:pPr>
      <w:r>
        <w:rPr>
          <w:rFonts w:ascii="Arial" w:cs="Arial" w:eastAsia="Arial" w:hAnsi="Arial"/>
          <w:sz w:val="9"/>
          <w:szCs w:val="9"/>
          <w:color w:val="auto"/>
        </w:rPr>
        <w:t>Chief Executive Officer and President, since March 2018</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0"/>
          <w:szCs w:val="10"/>
          <w:color w:val="auto"/>
        </w:rPr>
        <w:t>The J.M. Smucker Company (manufacturer of packaged foods and beverages)</w:t>
      </w:r>
    </w:p>
    <w:p>
      <w:pPr>
        <w:spacing w:after="0" w:line="28" w:lineRule="exact"/>
        <w:rPr>
          <w:sz w:val="20"/>
          <w:szCs w:val="20"/>
          <w:color w:val="auto"/>
        </w:rPr>
      </w:pPr>
    </w:p>
    <w:p>
      <w:pPr>
        <w:ind w:left="940" w:hanging="108"/>
        <w:spacing w:after="0"/>
        <w:tabs>
          <w:tab w:leader="none" w:pos="940" w:val="left"/>
        </w:tabs>
        <w:numPr>
          <w:ilvl w:val="0"/>
          <w:numId w:val="33"/>
        </w:numPr>
        <w:rPr>
          <w:rFonts w:ascii="Arial" w:cs="Arial" w:eastAsia="Arial" w:hAnsi="Arial"/>
          <w:sz w:val="16"/>
          <w:szCs w:val="16"/>
          <w:color w:val="D60011"/>
          <w:vertAlign w:val="superscript"/>
        </w:rPr>
      </w:pPr>
      <w:r>
        <w:rPr>
          <w:rFonts w:ascii="Arial" w:cs="Arial" w:eastAsia="Arial" w:hAnsi="Arial"/>
          <w:sz w:val="9"/>
          <w:szCs w:val="9"/>
          <w:color w:val="auto"/>
        </w:rPr>
        <w:t>Vice Chair and President, U.S. Food and Beverage, May 2016 to March 2018</w:t>
      </w:r>
    </w:p>
    <w:p>
      <w:pPr>
        <w:ind w:left="940" w:hanging="108"/>
        <w:spacing w:after="0" w:line="187" w:lineRule="auto"/>
        <w:tabs>
          <w:tab w:leader="none" w:pos="940" w:val="left"/>
        </w:tabs>
        <w:numPr>
          <w:ilvl w:val="0"/>
          <w:numId w:val="33"/>
        </w:numPr>
        <w:rPr>
          <w:rFonts w:ascii="Arial" w:cs="Arial" w:eastAsia="Arial" w:hAnsi="Arial"/>
          <w:sz w:val="13"/>
          <w:szCs w:val="13"/>
          <w:color w:val="D60011"/>
          <w:vertAlign w:val="superscript"/>
        </w:rPr>
      </w:pPr>
      <w:r>
        <w:rPr>
          <w:rFonts w:ascii="Arial" w:cs="Arial" w:eastAsia="Arial" w:hAnsi="Arial"/>
          <w:sz w:val="8"/>
          <w:szCs w:val="8"/>
          <w:color w:val="auto"/>
        </w:rPr>
        <w:t>President, Coffee and Foodservice, April 2015 to April 2016</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OTHER BOARD SERVICE</w:t>
      </w:r>
    </w:p>
    <w:p>
      <w:pPr>
        <w:spacing w:after="0" w:line="70" w:lineRule="exact"/>
        <w:rPr>
          <w:sz w:val="20"/>
          <w:szCs w:val="20"/>
          <w:color w:val="auto"/>
        </w:rPr>
      </w:pPr>
    </w:p>
    <w:p>
      <w:pPr>
        <w:ind w:left="940" w:hanging="108"/>
        <w:spacing w:after="0"/>
        <w:tabs>
          <w:tab w:leader="none" w:pos="940" w:val="left"/>
        </w:tabs>
        <w:numPr>
          <w:ilvl w:val="0"/>
          <w:numId w:val="34"/>
        </w:numPr>
        <w:rPr>
          <w:rFonts w:ascii="Arial" w:cs="Arial" w:eastAsia="Arial" w:hAnsi="Arial"/>
          <w:sz w:val="16"/>
          <w:szCs w:val="16"/>
          <w:color w:val="D60011"/>
          <w:vertAlign w:val="superscript"/>
        </w:rPr>
      </w:pPr>
      <w:r>
        <w:rPr>
          <w:rFonts w:ascii="Arial" w:cs="Arial" w:eastAsia="Arial" w:hAnsi="Arial"/>
          <w:sz w:val="9"/>
          <w:szCs w:val="9"/>
          <w:color w:val="auto"/>
        </w:rPr>
        <w:t>Director, TreeHouse Foods, Inc.</w:t>
      </w:r>
    </w:p>
    <w:p>
      <w:pPr>
        <w:ind w:left="940" w:hanging="108"/>
        <w:spacing w:after="0" w:line="204" w:lineRule="auto"/>
        <w:tabs>
          <w:tab w:leader="none" w:pos="940" w:val="left"/>
        </w:tabs>
        <w:numPr>
          <w:ilvl w:val="0"/>
          <w:numId w:val="34"/>
        </w:numPr>
        <w:rPr>
          <w:rFonts w:ascii="Arial" w:cs="Arial" w:eastAsia="Arial" w:hAnsi="Arial"/>
          <w:sz w:val="11"/>
          <w:szCs w:val="11"/>
          <w:color w:val="D60011"/>
          <w:vertAlign w:val="superscript"/>
        </w:rPr>
      </w:pPr>
      <w:r>
        <w:rPr>
          <w:rFonts w:ascii="Arial" w:cs="Arial" w:eastAsia="Arial" w:hAnsi="Arial"/>
          <w:sz w:val="7"/>
          <w:szCs w:val="7"/>
          <w:color w:val="auto"/>
        </w:rPr>
        <w:t>Director and member of Compensation committee, Foster Farms</w:t>
      </w:r>
    </w:p>
    <w:p>
      <w:pPr>
        <w:ind w:left="940" w:hanging="108"/>
        <w:spacing w:after="0" w:line="204" w:lineRule="auto"/>
        <w:tabs>
          <w:tab w:leader="none" w:pos="940" w:val="left"/>
        </w:tabs>
        <w:numPr>
          <w:ilvl w:val="0"/>
          <w:numId w:val="34"/>
        </w:numPr>
        <w:rPr>
          <w:rFonts w:ascii="Arial" w:cs="Arial" w:eastAsia="Arial" w:hAnsi="Arial"/>
          <w:sz w:val="11"/>
          <w:szCs w:val="11"/>
          <w:color w:val="D60011"/>
          <w:vertAlign w:val="superscript"/>
        </w:rPr>
      </w:pPr>
      <w:r>
        <w:rPr>
          <w:rFonts w:ascii="Arial" w:cs="Arial" w:eastAsia="Arial" w:hAnsi="Arial"/>
          <w:sz w:val="7"/>
          <w:szCs w:val="7"/>
          <w:color w:val="auto"/>
        </w:rPr>
        <w:t>Director, Food Industry Association</w:t>
      </w:r>
    </w:p>
    <w:p>
      <w:pPr>
        <w:ind w:left="940" w:hanging="108"/>
        <w:spacing w:after="0" w:line="187" w:lineRule="auto"/>
        <w:tabs>
          <w:tab w:leader="none" w:pos="940" w:val="left"/>
        </w:tabs>
        <w:numPr>
          <w:ilvl w:val="0"/>
          <w:numId w:val="34"/>
        </w:numPr>
        <w:rPr>
          <w:rFonts w:ascii="Arial" w:cs="Arial" w:eastAsia="Arial" w:hAnsi="Arial"/>
          <w:sz w:val="13"/>
          <w:szCs w:val="13"/>
          <w:color w:val="D60011"/>
          <w:vertAlign w:val="superscript"/>
        </w:rPr>
      </w:pPr>
      <w:r>
        <w:rPr>
          <w:rFonts w:ascii="Arial" w:cs="Arial" w:eastAsia="Arial" w:hAnsi="Arial"/>
          <w:sz w:val="8"/>
          <w:szCs w:val="8"/>
          <w:color w:val="auto"/>
        </w:rPr>
        <w:t>Director, MTD Products, Inc., until December 2021</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840"/>
        <w:spacing w:after="0" w:line="297" w:lineRule="auto"/>
        <w:rPr>
          <w:sz w:val="20"/>
          <w:szCs w:val="20"/>
          <w:color w:val="auto"/>
        </w:rPr>
      </w:pPr>
      <w:r>
        <w:rPr>
          <w:rFonts w:ascii="Arial" w:cs="Arial" w:eastAsia="Arial" w:hAnsi="Arial"/>
          <w:sz w:val="8"/>
          <w:szCs w:val="8"/>
          <w:color w:val="auto"/>
        </w:rPr>
        <w:t>Mr. Oakland brings to our Board a broad-based business background and extensive experience in domestic and international consumer products operations, with particular strengths around business development, mergers and acquisitions, risk management, strategic planning, customer engagement, marketing, and brand building. Mr. Oakland is actively involved in governance and financial matters as the sitting CEO of a public company, providing him with relevant expertise as a member of the Responsibility Committee and Finance Committee Chair.</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COMMITTEES RELEVANT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806450</wp:posOffset>
            </wp:positionV>
            <wp:extent cx="4629150" cy="7315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29150" cy="73152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6350</wp:posOffset>
            </wp:positionV>
            <wp:extent cx="1417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17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09"/>
        <w:spacing w:after="0"/>
        <w:rPr>
          <w:sz w:val="20"/>
          <w:szCs w:val="20"/>
          <w:color w:val="auto"/>
        </w:rPr>
      </w:pPr>
      <w:r>
        <w:rPr>
          <w:rFonts w:ascii="Arial" w:cs="Arial" w:eastAsia="Arial" w:hAnsi="Arial"/>
          <w:sz w:val="8"/>
          <w:szCs w:val="8"/>
          <w:b w:val="1"/>
          <w:bCs w:val="1"/>
          <w:color w:val="D60011"/>
        </w:rPr>
        <w:t>PROPOSAL 1: ELECTION OF DIRECTORS</w:t>
      </w:r>
    </w:p>
    <w:p>
      <w:pPr>
        <w:spacing w:after="0" w:line="139" w:lineRule="exact"/>
        <w:rPr>
          <w:sz w:val="20"/>
          <w:szCs w:val="20"/>
          <w:color w:val="auto"/>
        </w:rPr>
      </w:pPr>
    </w:p>
    <w:p>
      <w:pPr>
        <w:ind w:left="1129"/>
        <w:spacing w:after="0"/>
        <w:rPr>
          <w:sz w:val="20"/>
          <w:szCs w:val="20"/>
          <w:color w:val="auto"/>
        </w:rPr>
      </w:pPr>
      <w:r>
        <w:rPr>
          <w:rFonts w:ascii="Arial" w:cs="Arial" w:eastAsia="Arial" w:hAnsi="Arial"/>
          <w:sz w:val="18"/>
          <w:szCs w:val="18"/>
          <w:b w:val="1"/>
          <w:bCs w:val="1"/>
          <w:color w:val="auto"/>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80085" cy="8058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085" cy="805815"/>
                    </a:xfrm>
                    <a:prstGeom prst="rect">
                      <a:avLst/>
                    </a:prstGeom>
                    <a:noFill/>
                  </pic:spPr>
                </pic:pic>
              </a:graphicData>
            </a:graphic>
          </wp:anchor>
        </w:drawing>
      </w:r>
    </w:p>
    <w:p>
      <w:pPr>
        <w:spacing w:after="0" w:line="145" w:lineRule="exact"/>
        <w:rPr>
          <w:sz w:val="20"/>
          <w:szCs w:val="20"/>
          <w:color w:val="auto"/>
        </w:rPr>
      </w:pPr>
    </w:p>
    <w:p>
      <w:pPr>
        <w:ind w:left="1129"/>
        <w:spacing w:after="0"/>
        <w:rPr>
          <w:sz w:val="20"/>
          <w:szCs w:val="20"/>
          <w:color w:val="auto"/>
        </w:rPr>
      </w:pPr>
      <w:r>
        <w:rPr>
          <w:rFonts w:ascii="Arial" w:cs="Arial" w:eastAsia="Arial" w:hAnsi="Arial"/>
          <w:sz w:val="10"/>
          <w:szCs w:val="10"/>
          <w:b w:val="1"/>
          <w:bCs w:val="1"/>
          <w:color w:val="auto"/>
        </w:rPr>
        <w:t>Independent Director</w:t>
      </w:r>
    </w:p>
    <w:p>
      <w:pPr>
        <w:spacing w:after="0" w:line="12"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66</w:t>
      </w:r>
    </w:p>
    <w:p>
      <w:pPr>
        <w:spacing w:after="0" w:line="2"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422275</wp:posOffset>
            </wp:positionV>
            <wp:extent cx="223456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0"/>
          <w:szCs w:val="10"/>
          <w:color w:val="auto"/>
        </w:rPr>
        <w:t>Cyber-Athletix, LLC (esports healthcare company)</w:t>
      </w:r>
    </w:p>
    <w:p>
      <w:pPr>
        <w:spacing w:after="0" w:line="42" w:lineRule="exact"/>
        <w:rPr>
          <w:sz w:val="20"/>
          <w:szCs w:val="20"/>
          <w:color w:val="auto"/>
        </w:rPr>
      </w:pPr>
    </w:p>
    <w:p>
      <w:pPr>
        <w:ind w:left="109" w:hanging="109"/>
        <w:spacing w:after="0"/>
        <w:tabs>
          <w:tab w:leader="none" w:pos="109" w:val="left"/>
        </w:tabs>
        <w:numPr>
          <w:ilvl w:val="0"/>
          <w:numId w:val="35"/>
        </w:numPr>
        <w:rPr>
          <w:rFonts w:ascii="Arial" w:cs="Arial" w:eastAsia="Arial" w:hAnsi="Arial"/>
          <w:sz w:val="16"/>
          <w:szCs w:val="16"/>
          <w:b w:val="1"/>
          <w:bCs w:val="1"/>
          <w:color w:val="D60011"/>
          <w:vertAlign w:val="superscript"/>
        </w:rPr>
      </w:pPr>
      <w:r>
        <w:rPr>
          <w:rFonts w:ascii="Arial" w:cs="Arial" w:eastAsia="Arial" w:hAnsi="Arial"/>
          <w:sz w:val="9"/>
          <w:szCs w:val="9"/>
          <w:color w:val="auto"/>
        </w:rPr>
        <w:t>President, since March 2021</w:t>
      </w:r>
    </w:p>
    <w:p>
      <w:pPr>
        <w:spacing w:after="0" w:line="96" w:lineRule="exact"/>
        <w:rPr>
          <w:sz w:val="20"/>
          <w:szCs w:val="20"/>
          <w:color w:val="auto"/>
        </w:rPr>
      </w:pPr>
    </w:p>
    <w:p>
      <w:pPr>
        <w:ind w:left="9"/>
        <w:spacing w:after="0"/>
        <w:rPr>
          <w:sz w:val="20"/>
          <w:szCs w:val="20"/>
          <w:color w:val="auto"/>
        </w:rPr>
      </w:pPr>
      <w:r>
        <w:rPr>
          <w:rFonts w:ascii="Arial" w:cs="Arial" w:eastAsia="Arial" w:hAnsi="Arial"/>
          <w:sz w:val="10"/>
          <w:szCs w:val="10"/>
          <w:color w:val="auto"/>
        </w:rPr>
        <w:t>Addison-Clifton, LLC (global trade compliance advisory services provider)</w:t>
      </w:r>
    </w:p>
    <w:p>
      <w:pPr>
        <w:spacing w:after="0" w:line="37" w:lineRule="exact"/>
        <w:rPr>
          <w:sz w:val="20"/>
          <w:szCs w:val="20"/>
          <w:color w:val="auto"/>
        </w:rPr>
      </w:pPr>
    </w:p>
    <w:p>
      <w:pPr>
        <w:ind w:left="109" w:hanging="109"/>
        <w:spacing w:after="0"/>
        <w:tabs>
          <w:tab w:leader="none" w:pos="109" w:val="left"/>
        </w:tabs>
        <w:numPr>
          <w:ilvl w:val="0"/>
          <w:numId w:val="36"/>
        </w:numPr>
        <w:rPr>
          <w:rFonts w:ascii="Arial" w:cs="Arial" w:eastAsia="Arial" w:hAnsi="Arial"/>
          <w:sz w:val="16"/>
          <w:szCs w:val="16"/>
          <w:b w:val="1"/>
          <w:bCs w:val="1"/>
          <w:color w:val="D60011"/>
          <w:vertAlign w:val="superscript"/>
        </w:rPr>
      </w:pPr>
      <w:r>
        <w:rPr>
          <w:rFonts w:ascii="Arial" w:cs="Arial" w:eastAsia="Arial" w:hAnsi="Arial"/>
          <w:sz w:val="9"/>
          <w:szCs w:val="9"/>
          <w:color w:val="auto"/>
        </w:rPr>
        <w:t>President and Managing Member, since May 2004</w:t>
      </w:r>
    </w:p>
    <w:p>
      <w:pPr>
        <w:spacing w:after="0" w:line="114"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OTHER BOARD SERVICE</w:t>
      </w:r>
    </w:p>
    <w:p>
      <w:pPr>
        <w:spacing w:after="0" w:line="138" w:lineRule="exact"/>
        <w:rPr>
          <w:sz w:val="20"/>
          <w:szCs w:val="20"/>
          <w:color w:val="auto"/>
        </w:rPr>
      </w:pPr>
    </w:p>
    <w:p>
      <w:pPr>
        <w:ind w:left="109" w:right="1319" w:hanging="109"/>
        <w:spacing w:after="0" w:line="187" w:lineRule="auto"/>
        <w:tabs>
          <w:tab w:leader="none" w:pos="109" w:val="left"/>
        </w:tabs>
        <w:numPr>
          <w:ilvl w:val="0"/>
          <w:numId w:val="37"/>
        </w:numPr>
        <w:rPr>
          <w:rFonts w:ascii="Arial" w:cs="Arial" w:eastAsia="Arial" w:hAnsi="Arial"/>
          <w:sz w:val="16"/>
          <w:szCs w:val="16"/>
          <w:color w:val="D60011"/>
          <w:vertAlign w:val="superscript"/>
        </w:rPr>
      </w:pPr>
      <w:r>
        <w:rPr>
          <w:rFonts w:ascii="Arial" w:cs="Arial" w:eastAsia="Arial" w:hAnsi="Arial"/>
          <w:sz w:val="9"/>
          <w:szCs w:val="9"/>
          <w:color w:val="auto"/>
        </w:rPr>
        <w:t>Director and member of the Audit and Governance and Sustainability committees, ManpowerGroup, Inc.</w:t>
      </w:r>
    </w:p>
    <w:p>
      <w:pPr>
        <w:ind w:left="109" w:right="1399" w:hanging="109"/>
        <w:spacing w:after="0" w:line="180" w:lineRule="auto"/>
        <w:tabs>
          <w:tab w:leader="none" w:pos="109" w:val="left"/>
        </w:tabs>
        <w:numPr>
          <w:ilvl w:val="0"/>
          <w:numId w:val="37"/>
        </w:numPr>
        <w:rPr>
          <w:rFonts w:ascii="Arial" w:cs="Arial" w:eastAsia="Arial" w:hAnsi="Arial"/>
          <w:sz w:val="16"/>
          <w:szCs w:val="16"/>
          <w:color w:val="D60011"/>
          <w:vertAlign w:val="superscript"/>
        </w:rPr>
      </w:pPr>
      <w:r>
        <w:rPr>
          <w:rFonts w:ascii="Arial" w:cs="Arial" w:eastAsia="Arial" w:hAnsi="Arial"/>
          <w:sz w:val="9"/>
          <w:szCs w:val="9"/>
          <w:color w:val="auto"/>
        </w:rPr>
        <w:t>Director and member of the Finance Committee and Compensation Committee Chair, WEC Energy Group, Inc.</w:t>
      </w:r>
    </w:p>
    <w:p>
      <w:pPr>
        <w:ind w:left="109" w:hanging="109"/>
        <w:spacing w:after="0" w:line="204" w:lineRule="auto"/>
        <w:tabs>
          <w:tab w:leader="none" w:pos="109" w:val="left"/>
        </w:tabs>
        <w:numPr>
          <w:ilvl w:val="0"/>
          <w:numId w:val="37"/>
        </w:numPr>
        <w:rPr>
          <w:rFonts w:ascii="Arial" w:cs="Arial" w:eastAsia="Arial" w:hAnsi="Arial"/>
          <w:sz w:val="11"/>
          <w:szCs w:val="11"/>
          <w:color w:val="D60011"/>
          <w:vertAlign w:val="superscript"/>
        </w:rPr>
      </w:pPr>
      <w:r>
        <w:rPr>
          <w:rFonts w:ascii="Arial" w:cs="Arial" w:eastAsia="Arial" w:hAnsi="Arial"/>
          <w:sz w:val="7"/>
          <w:szCs w:val="7"/>
          <w:color w:val="auto"/>
        </w:rPr>
        <w:t>Director, Wisconsin Conservatory of Music</w:t>
      </w:r>
    </w:p>
    <w:p>
      <w:pPr>
        <w:ind w:left="109" w:right="1099" w:hanging="109"/>
        <w:spacing w:after="0" w:line="187" w:lineRule="auto"/>
        <w:tabs>
          <w:tab w:leader="none" w:pos="109" w:val="left"/>
        </w:tabs>
        <w:numPr>
          <w:ilvl w:val="0"/>
          <w:numId w:val="37"/>
        </w:numPr>
        <w:rPr>
          <w:rFonts w:ascii="Arial" w:cs="Arial" w:eastAsia="Arial" w:hAnsi="Arial"/>
          <w:sz w:val="16"/>
          <w:szCs w:val="16"/>
          <w:color w:val="D60011"/>
          <w:vertAlign w:val="superscript"/>
        </w:rPr>
      </w:pPr>
      <w:r>
        <w:rPr>
          <w:rFonts w:ascii="Arial" w:cs="Arial" w:eastAsia="Arial" w:hAnsi="Arial"/>
          <w:sz w:val="9"/>
          <w:szCs w:val="9"/>
          <w:color w:val="auto"/>
        </w:rPr>
        <w:t>Director, The Northwestern Mutual Life Insurance Company, January 2005 to May 2018</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9" w:right="879"/>
        <w:spacing w:after="0" w:line="292" w:lineRule="auto"/>
        <w:rPr>
          <w:sz w:val="20"/>
          <w:szCs w:val="20"/>
          <w:color w:val="auto"/>
        </w:rPr>
      </w:pPr>
      <w:r>
        <w:rPr>
          <w:rFonts w:ascii="Arial" w:cs="Arial" w:eastAsia="Arial" w:hAnsi="Arial"/>
          <w:sz w:val="8"/>
          <w:szCs w:val="8"/>
          <w:color w:val="auto"/>
        </w:rPr>
        <w:t>Mr. Payne brings to our Board significant governance, operational, financial, public service, trade compliance, and international experience as a result of the many senior positions he has held, including as President and Managing Member of Addison-Clifton, LLC since May 2004, President and Chief Executive Officer of the Milwaukee Brewers Baseball Club from September 2002 to December 2003, Managing Partner of Foley &amp; Lardner, LLP from 2001 to 2002, Partner of Foley &amp; Lardner, LLP from February 1998 to September 2002, and the Wisconsin Commissioner of Securities from February 1985 to December 1987. Mr. Payne’s extensive experience provides him with relevant expertise as a member of the Audit Committee and Responsibility Committee Chair.</w:t>
      </w:r>
    </w:p>
    <w:p>
      <w:pPr>
        <w:spacing w:after="0" w:line="312"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COMMITTEES RELEVANT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1286510</wp:posOffset>
            </wp:positionV>
            <wp:extent cx="365760" cy="222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5760" cy="2228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6350</wp:posOffset>
            </wp:positionV>
            <wp:extent cx="1303020" cy="360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030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569" w:type="dxa"/>
        <w:tblCellMar>
          <w:top w:w="0" w:type="dxa"/>
          <w:left w:w="0" w:type="dxa"/>
          <w:bottom w:w="0" w:type="dxa"/>
          <w:right w:w="0" w:type="dxa"/>
        </w:tblCellMar>
      </w:tblPr>
      <w:tr>
        <w:trPr>
          <w:trHeight w:val="164"/>
        </w:trPr>
        <w:tc>
          <w:tcPr>
            <w:tcW w:w="1340" w:type="dxa"/>
            <w:vAlign w:val="bottom"/>
          </w:tcPr>
          <w:p>
            <w:pPr>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300" w:type="dxa"/>
            <w:vAlign w:val="bottom"/>
          </w:tcPr>
          <w:p>
            <w:pPr>
              <w:jc w:val="right"/>
              <w:spacing w:after="0"/>
              <w:rPr>
                <w:sz w:val="20"/>
                <w:szCs w:val="20"/>
                <w:color w:val="auto"/>
              </w:rPr>
            </w:pPr>
            <w:r>
              <w:rPr>
                <w:rFonts w:ascii="Arial" w:cs="Arial" w:eastAsia="Arial" w:hAnsi="Arial"/>
                <w:sz w:val="11"/>
                <w:szCs w:val="11"/>
                <w:b w:val="1"/>
                <w:bCs w:val="1"/>
                <w:color w:val="FFFFFF"/>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208915</wp:posOffset>
            </wp:positionV>
            <wp:extent cx="71780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2">
            <w:col w:w="4340" w:space="311"/>
            <w:col w:w="4368"/>
          </w:cols>
          <w:pgMar w:left="1440" w:top="601" w:right="1440" w:bottom="1440" w:gutter="0" w:footer="0" w:header="0"/>
        </w:sectPr>
      </w:pPr>
    </w:p>
    <w:bookmarkStart w:id="27" w:name="page28"/>
    <w:bookmarkEnd w:id="27"/>
    <w:p>
      <w:pPr>
        <w:ind w:left="840"/>
        <w:spacing w:after="0"/>
        <w:rPr>
          <w:sz w:val="20"/>
          <w:szCs w:val="20"/>
          <w:color w:val="auto"/>
        </w:rPr>
      </w:pPr>
      <w:r>
        <w:rPr>
          <w:rFonts w:ascii="Arial" w:cs="Arial" w:eastAsia="Arial" w:hAnsi="Arial"/>
          <w:sz w:val="10"/>
          <w:szCs w:val="10"/>
          <w:b w:val="1"/>
          <w:bCs w:val="1"/>
          <w:color w:val="D60011"/>
        </w:rPr>
        <w:t>PROPOSAL 1: ELECTION OF DIRECTORS</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KIMBERLY UNDERHILL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-118745</wp:posOffset>
            </wp:positionV>
            <wp:extent cx="680085" cy="817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085" cy="817245"/>
                    </a:xfrm>
                    <a:prstGeom prst="rect">
                      <a:avLst/>
                    </a:prstGeom>
                    <a:noFill/>
                  </pic:spPr>
                </pic:pic>
              </a:graphicData>
            </a:graphic>
          </wp:anchor>
        </w:drawing>
      </w:r>
    </w:p>
    <w:p>
      <w:pPr>
        <w:spacing w:after="0" w:line="154" w:lineRule="exact"/>
        <w:rPr>
          <w:sz w:val="20"/>
          <w:szCs w:val="20"/>
          <w:color w:val="auto"/>
        </w:rPr>
      </w:pPr>
    </w:p>
    <w:p>
      <w:pPr>
        <w:ind w:left="1960"/>
        <w:spacing w:after="0"/>
        <w:rPr>
          <w:sz w:val="20"/>
          <w:szCs w:val="20"/>
          <w:color w:val="auto"/>
        </w:rPr>
      </w:pPr>
      <w:r>
        <w:rPr>
          <w:rFonts w:ascii="Arial" w:cs="Arial" w:eastAsia="Arial" w:hAnsi="Arial"/>
          <w:sz w:val="10"/>
          <w:szCs w:val="10"/>
          <w:b w:val="1"/>
          <w:bCs w:val="1"/>
          <w:color w:val="auto"/>
        </w:rPr>
        <w:t>Independent Director</w:t>
      </w:r>
    </w:p>
    <w:p>
      <w:pPr>
        <w:spacing w:after="0" w:line="12"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57</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445135</wp:posOffset>
            </wp:positionV>
            <wp:extent cx="223456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Boston Consulting Group (management consulting firm)</w:t>
      </w:r>
    </w:p>
    <w:p>
      <w:pPr>
        <w:spacing w:after="0" w:line="42" w:lineRule="exact"/>
        <w:rPr>
          <w:sz w:val="20"/>
          <w:szCs w:val="20"/>
          <w:color w:val="auto"/>
        </w:rPr>
      </w:pPr>
    </w:p>
    <w:p>
      <w:pPr>
        <w:ind w:left="940" w:hanging="108"/>
        <w:spacing w:after="0"/>
        <w:tabs>
          <w:tab w:leader="none" w:pos="940" w:val="left"/>
        </w:tabs>
        <w:numPr>
          <w:ilvl w:val="0"/>
          <w:numId w:val="38"/>
        </w:numPr>
        <w:rPr>
          <w:rFonts w:ascii="Arial" w:cs="Arial" w:eastAsia="Arial" w:hAnsi="Arial"/>
          <w:sz w:val="16"/>
          <w:szCs w:val="16"/>
          <w:b w:val="1"/>
          <w:bCs w:val="1"/>
          <w:color w:val="D60011"/>
          <w:vertAlign w:val="superscript"/>
        </w:rPr>
      </w:pPr>
      <w:r>
        <w:rPr>
          <w:rFonts w:ascii="Arial" w:cs="Arial" w:eastAsia="Arial" w:hAnsi="Arial"/>
          <w:sz w:val="9"/>
          <w:szCs w:val="9"/>
          <w:color w:val="auto"/>
        </w:rPr>
        <w:t>Senior Advisor, since November 2021</w:t>
      </w:r>
    </w:p>
    <w:p>
      <w:pPr>
        <w:spacing w:after="0" w:line="96" w:lineRule="exact"/>
        <w:rPr>
          <w:sz w:val="20"/>
          <w:szCs w:val="20"/>
          <w:color w:val="auto"/>
        </w:rPr>
      </w:pPr>
    </w:p>
    <w:p>
      <w:pPr>
        <w:ind w:left="840" w:right="140"/>
        <w:spacing w:after="0" w:line="237" w:lineRule="auto"/>
        <w:rPr>
          <w:sz w:val="20"/>
          <w:szCs w:val="20"/>
          <w:color w:val="auto"/>
        </w:rPr>
      </w:pPr>
      <w:r>
        <w:rPr>
          <w:rFonts w:ascii="Arial" w:cs="Arial" w:eastAsia="Arial" w:hAnsi="Arial"/>
          <w:sz w:val="10"/>
          <w:szCs w:val="10"/>
          <w:color w:val="auto"/>
        </w:rPr>
        <w:t>Kimberly-Clark Corporation (manufacturer of branded personal care, consumer tissue, and professional healthcare products)</w:t>
      </w:r>
    </w:p>
    <w:p>
      <w:pPr>
        <w:spacing w:after="0" w:line="24" w:lineRule="exact"/>
        <w:rPr>
          <w:sz w:val="20"/>
          <w:szCs w:val="20"/>
          <w:color w:val="auto"/>
        </w:rPr>
      </w:pPr>
    </w:p>
    <w:p>
      <w:pPr>
        <w:ind w:left="940" w:hanging="108"/>
        <w:spacing w:after="0"/>
        <w:tabs>
          <w:tab w:leader="none" w:pos="940" w:val="left"/>
        </w:tabs>
        <w:numPr>
          <w:ilvl w:val="0"/>
          <w:numId w:val="39"/>
        </w:numPr>
        <w:rPr>
          <w:rFonts w:ascii="Arial" w:cs="Arial" w:eastAsia="Arial" w:hAnsi="Arial"/>
          <w:sz w:val="16"/>
          <w:szCs w:val="16"/>
          <w:color w:val="D60011"/>
          <w:vertAlign w:val="superscript"/>
        </w:rPr>
      </w:pPr>
      <w:r>
        <w:rPr>
          <w:rFonts w:ascii="Arial" w:cs="Arial" w:eastAsia="Arial" w:hAnsi="Arial"/>
          <w:sz w:val="9"/>
          <w:szCs w:val="9"/>
          <w:color w:val="auto"/>
        </w:rPr>
        <w:t>President, North America Consumer, May 2018 to September 2021</w:t>
      </w:r>
    </w:p>
    <w:p>
      <w:pPr>
        <w:ind w:left="940" w:hanging="108"/>
        <w:spacing w:after="0" w:line="187" w:lineRule="auto"/>
        <w:tabs>
          <w:tab w:leader="none" w:pos="940" w:val="left"/>
        </w:tabs>
        <w:numPr>
          <w:ilvl w:val="0"/>
          <w:numId w:val="39"/>
        </w:numPr>
        <w:rPr>
          <w:rFonts w:ascii="Arial" w:cs="Arial" w:eastAsia="Arial" w:hAnsi="Arial"/>
          <w:sz w:val="13"/>
          <w:szCs w:val="13"/>
          <w:color w:val="D60011"/>
          <w:vertAlign w:val="superscript"/>
        </w:rPr>
      </w:pPr>
      <w:r>
        <w:rPr>
          <w:rFonts w:ascii="Arial" w:cs="Arial" w:eastAsia="Arial" w:hAnsi="Arial"/>
          <w:sz w:val="8"/>
          <w:szCs w:val="8"/>
          <w:color w:val="auto"/>
        </w:rPr>
        <w:t>Global President of Kimberly-Clark Professional, April 2014 to May 2018</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OTHER BOARD SERVICE</w:t>
      </w:r>
    </w:p>
    <w:p>
      <w:pPr>
        <w:spacing w:after="0" w:line="70" w:lineRule="exact"/>
        <w:rPr>
          <w:sz w:val="20"/>
          <w:szCs w:val="20"/>
          <w:color w:val="auto"/>
        </w:rPr>
      </w:pPr>
    </w:p>
    <w:p>
      <w:pPr>
        <w:ind w:left="940" w:hanging="108"/>
        <w:spacing w:after="0"/>
        <w:tabs>
          <w:tab w:leader="none" w:pos="940" w:val="left"/>
        </w:tabs>
        <w:numPr>
          <w:ilvl w:val="0"/>
          <w:numId w:val="40"/>
        </w:numPr>
        <w:rPr>
          <w:rFonts w:ascii="Arial" w:cs="Arial" w:eastAsia="Arial" w:hAnsi="Arial"/>
          <w:sz w:val="16"/>
          <w:szCs w:val="16"/>
          <w:color w:val="D60011"/>
          <w:vertAlign w:val="superscript"/>
        </w:rPr>
      </w:pPr>
      <w:r>
        <w:rPr>
          <w:rFonts w:ascii="Arial" w:cs="Arial" w:eastAsia="Arial" w:hAnsi="Arial"/>
          <w:sz w:val="9"/>
          <w:szCs w:val="9"/>
          <w:color w:val="auto"/>
        </w:rPr>
        <w:t>Advisory board member, Rawhide Youth Services</w:t>
      </w:r>
    </w:p>
    <w:p>
      <w:pPr>
        <w:ind w:left="940" w:hanging="108"/>
        <w:spacing w:after="0" w:line="204" w:lineRule="auto"/>
        <w:tabs>
          <w:tab w:leader="none" w:pos="940" w:val="left"/>
        </w:tabs>
        <w:numPr>
          <w:ilvl w:val="0"/>
          <w:numId w:val="40"/>
        </w:numPr>
        <w:rPr>
          <w:rFonts w:ascii="Arial" w:cs="Arial" w:eastAsia="Arial" w:hAnsi="Arial"/>
          <w:sz w:val="11"/>
          <w:szCs w:val="11"/>
          <w:color w:val="D60011"/>
          <w:vertAlign w:val="superscript"/>
        </w:rPr>
      </w:pPr>
      <w:r>
        <w:rPr>
          <w:rFonts w:ascii="Arial" w:cs="Arial" w:eastAsia="Arial" w:hAnsi="Arial"/>
          <w:sz w:val="7"/>
          <w:szCs w:val="7"/>
          <w:color w:val="auto"/>
        </w:rPr>
        <w:t>Director, Board of Trustees, ThedaCare</w:t>
      </w:r>
    </w:p>
    <w:p>
      <w:pPr>
        <w:ind w:left="940" w:hanging="108"/>
        <w:spacing w:after="0" w:line="204" w:lineRule="auto"/>
        <w:tabs>
          <w:tab w:leader="none" w:pos="940" w:val="left"/>
        </w:tabs>
        <w:numPr>
          <w:ilvl w:val="0"/>
          <w:numId w:val="40"/>
        </w:numPr>
        <w:rPr>
          <w:rFonts w:ascii="Arial" w:cs="Arial" w:eastAsia="Arial" w:hAnsi="Arial"/>
          <w:sz w:val="11"/>
          <w:szCs w:val="11"/>
          <w:color w:val="D60011"/>
          <w:vertAlign w:val="superscript"/>
        </w:rPr>
      </w:pPr>
      <w:r>
        <w:rPr>
          <w:rFonts w:ascii="Arial" w:cs="Arial" w:eastAsia="Arial" w:hAnsi="Arial"/>
          <w:sz w:val="7"/>
          <w:szCs w:val="7"/>
          <w:color w:val="auto"/>
        </w:rPr>
        <w:t>Co-Chair and Leadership Giving Chair, United Way Fox Cities Campaign</w:t>
      </w:r>
    </w:p>
    <w:p>
      <w:pPr>
        <w:ind w:left="940" w:right="120" w:hanging="108"/>
        <w:spacing w:after="0" w:line="180" w:lineRule="auto"/>
        <w:tabs>
          <w:tab w:leader="none" w:pos="940" w:val="left"/>
        </w:tabs>
        <w:numPr>
          <w:ilvl w:val="0"/>
          <w:numId w:val="40"/>
        </w:numPr>
        <w:rPr>
          <w:rFonts w:ascii="Arial" w:cs="Arial" w:eastAsia="Arial" w:hAnsi="Arial"/>
          <w:sz w:val="16"/>
          <w:szCs w:val="16"/>
          <w:color w:val="D60011"/>
          <w:vertAlign w:val="superscript"/>
        </w:rPr>
      </w:pPr>
      <w:r>
        <w:rPr>
          <w:rFonts w:ascii="Arial" w:cs="Arial" w:eastAsia="Arial" w:hAnsi="Arial"/>
          <w:sz w:val="9"/>
          <w:szCs w:val="9"/>
          <w:color w:val="auto"/>
        </w:rPr>
        <w:t>Director and Compensation Committee Chair, Network of Executive Women, until 2021</w:t>
      </w:r>
    </w:p>
    <w:p>
      <w:pPr>
        <w:ind w:left="940" w:hanging="108"/>
        <w:spacing w:after="0" w:line="204" w:lineRule="auto"/>
        <w:tabs>
          <w:tab w:leader="none" w:pos="940" w:val="left"/>
        </w:tabs>
        <w:numPr>
          <w:ilvl w:val="0"/>
          <w:numId w:val="40"/>
        </w:numPr>
        <w:rPr>
          <w:rFonts w:ascii="Arial" w:cs="Arial" w:eastAsia="Arial" w:hAnsi="Arial"/>
          <w:sz w:val="11"/>
          <w:szCs w:val="11"/>
          <w:color w:val="D60011"/>
          <w:vertAlign w:val="superscript"/>
        </w:rPr>
      </w:pPr>
      <w:r>
        <w:rPr>
          <w:rFonts w:ascii="Arial" w:cs="Arial" w:eastAsia="Arial" w:hAnsi="Arial"/>
          <w:sz w:val="7"/>
          <w:szCs w:val="7"/>
          <w:color w:val="auto"/>
        </w:rPr>
        <w:t>Director, Kimberly-Clark de Mexico, S.A.B. de C.V., until September 2021</w:t>
      </w:r>
    </w:p>
    <w:p>
      <w:pPr>
        <w:ind w:left="940" w:hanging="108"/>
        <w:spacing w:after="0" w:line="187" w:lineRule="auto"/>
        <w:tabs>
          <w:tab w:leader="none" w:pos="940" w:val="left"/>
        </w:tabs>
        <w:numPr>
          <w:ilvl w:val="0"/>
          <w:numId w:val="40"/>
        </w:numPr>
        <w:rPr>
          <w:rFonts w:ascii="Arial" w:cs="Arial" w:eastAsia="Arial" w:hAnsi="Arial"/>
          <w:sz w:val="13"/>
          <w:szCs w:val="13"/>
          <w:color w:val="D60011"/>
          <w:vertAlign w:val="superscript"/>
        </w:rPr>
      </w:pPr>
      <w:r>
        <w:rPr>
          <w:rFonts w:ascii="Arial" w:cs="Arial" w:eastAsia="Arial" w:hAnsi="Arial"/>
          <w:sz w:val="8"/>
          <w:szCs w:val="8"/>
          <w:color w:val="auto"/>
        </w:rPr>
        <w:t>Director, Food Industry Association, until 2021</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840"/>
        <w:spacing w:after="0" w:line="284" w:lineRule="auto"/>
        <w:rPr>
          <w:sz w:val="20"/>
          <w:szCs w:val="20"/>
          <w:color w:val="auto"/>
        </w:rPr>
      </w:pPr>
      <w:r>
        <w:rPr>
          <w:rFonts w:ascii="Arial" w:cs="Arial" w:eastAsia="Arial" w:hAnsi="Arial"/>
          <w:sz w:val="8"/>
          <w:szCs w:val="8"/>
          <w:color w:val="auto"/>
        </w:rPr>
        <w:t>Ms. Underhill brings to our Board a broad-based business background and extensive experience in domestic and international consumer products operations, with particular strengths in marketing, brand building, strategic planning, international business, and business development. She is NACD Directorship</w:t>
      </w:r>
    </w:p>
    <w:p>
      <w:pPr>
        <w:spacing w:after="0" w:line="1" w:lineRule="exact"/>
        <w:rPr>
          <w:sz w:val="20"/>
          <w:szCs w:val="20"/>
          <w:color w:val="auto"/>
        </w:rPr>
      </w:pPr>
    </w:p>
    <w:p>
      <w:pPr>
        <w:ind w:left="840" w:right="40"/>
        <w:spacing w:after="0" w:line="214" w:lineRule="auto"/>
        <w:rPr>
          <w:sz w:val="20"/>
          <w:szCs w:val="20"/>
          <w:color w:val="auto"/>
        </w:rPr>
      </w:pPr>
      <w:r>
        <w:rPr>
          <w:rFonts w:ascii="Arial" w:cs="Arial" w:eastAsia="Arial" w:hAnsi="Arial"/>
          <w:sz w:val="10"/>
          <w:szCs w:val="10"/>
          <w:color w:val="auto"/>
        </w:rPr>
        <w:t>Certified</w:t>
      </w:r>
      <w:r>
        <w:rPr>
          <w:rFonts w:ascii="Arial" w:cs="Arial" w:eastAsia="Arial" w:hAnsi="Arial"/>
          <w:sz w:val="15"/>
          <w:szCs w:val="15"/>
          <w:color w:val="auto"/>
          <w:vertAlign w:val="superscript"/>
        </w:rPr>
        <w:t>TM</w:t>
      </w:r>
      <w:r>
        <w:rPr>
          <w:rFonts w:ascii="Arial" w:cs="Arial" w:eastAsia="Arial" w:hAnsi="Arial"/>
          <w:sz w:val="10"/>
          <w:szCs w:val="10"/>
          <w:color w:val="auto"/>
        </w:rPr>
        <w:t>. Ms. Underhill’s management resources experience from her prior service as a senior executive of a public company is relevant to both our Human Capital Committee, of which she is Chair, and Responsibility Committee, of which she is a member.</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COMMITTEES RELEVANT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6350</wp:posOffset>
            </wp:positionV>
            <wp:extent cx="4629150" cy="1194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629150" cy="1194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129"/>
        <w:spacing w:after="0"/>
        <w:rPr>
          <w:sz w:val="20"/>
          <w:szCs w:val="20"/>
          <w:color w:val="auto"/>
        </w:rPr>
      </w:pPr>
      <w:r>
        <w:rPr>
          <w:rFonts w:ascii="Arial" w:cs="Arial" w:eastAsia="Arial" w:hAnsi="Arial"/>
          <w:sz w:val="18"/>
          <w:szCs w:val="18"/>
          <w:b w:val="1"/>
          <w:bCs w:val="1"/>
          <w:color w:val="auto"/>
        </w:rPr>
        <w:t>TRISTAN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80085" cy="800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085" cy="800100"/>
                    </a:xfrm>
                    <a:prstGeom prst="rect">
                      <a:avLst/>
                    </a:prstGeom>
                    <a:noFill/>
                  </pic:spPr>
                </pic:pic>
              </a:graphicData>
            </a:graphic>
          </wp:anchor>
        </w:drawing>
      </w:r>
    </w:p>
    <w:p>
      <w:pPr>
        <w:spacing w:after="0" w:line="145" w:lineRule="exact"/>
        <w:rPr>
          <w:sz w:val="20"/>
          <w:szCs w:val="20"/>
          <w:color w:val="auto"/>
        </w:rPr>
      </w:pPr>
    </w:p>
    <w:p>
      <w:pPr>
        <w:ind w:left="1129"/>
        <w:spacing w:after="0"/>
        <w:rPr>
          <w:sz w:val="20"/>
          <w:szCs w:val="20"/>
          <w:color w:val="auto"/>
        </w:rPr>
      </w:pPr>
      <w:r>
        <w:rPr>
          <w:rFonts w:ascii="Arial" w:cs="Arial" w:eastAsia="Arial" w:hAnsi="Arial"/>
          <w:sz w:val="10"/>
          <w:szCs w:val="10"/>
          <w:b w:val="1"/>
          <w:bCs w:val="1"/>
          <w:color w:val="auto"/>
        </w:rPr>
        <w:t>Independent Director</w:t>
      </w:r>
    </w:p>
    <w:p>
      <w:pPr>
        <w:spacing w:after="0" w:line="12"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Age: </w:t>
      </w:r>
      <w:r>
        <w:rPr>
          <w:rFonts w:ascii="Arial" w:cs="Arial" w:eastAsia="Arial" w:hAnsi="Arial"/>
          <w:sz w:val="10"/>
          <w:szCs w:val="10"/>
          <w:b w:val="1"/>
          <w:bCs w:val="1"/>
          <w:color w:val="auto"/>
        </w:rPr>
        <w:t>37</w:t>
      </w:r>
    </w:p>
    <w:p>
      <w:pPr>
        <w:spacing w:after="0" w:line="2" w:lineRule="exact"/>
        <w:rPr>
          <w:sz w:val="20"/>
          <w:szCs w:val="20"/>
          <w:color w:val="auto"/>
        </w:rPr>
      </w:pPr>
    </w:p>
    <w:p>
      <w:pPr>
        <w:ind w:left="1129"/>
        <w:spacing w:after="0"/>
        <w:rPr>
          <w:sz w:val="20"/>
          <w:szCs w:val="20"/>
          <w:color w:val="auto"/>
        </w:rPr>
      </w:pPr>
      <w:r>
        <w:rPr>
          <w:rFonts w:ascii="Arial" w:cs="Arial" w:eastAsia="Arial" w:hAnsi="Arial"/>
          <w:sz w:val="10"/>
          <w:szCs w:val="10"/>
          <w:color w:val="auto"/>
        </w:rPr>
        <w:t xml:space="preserve">Director since: </w:t>
      </w:r>
      <w:r>
        <w:rPr>
          <w:rFonts w:ascii="Arial" w:cs="Arial" w:eastAsia="Arial" w:hAnsi="Arial"/>
          <w:sz w:val="10"/>
          <w:szCs w:val="1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433705</wp:posOffset>
            </wp:positionV>
            <wp:extent cx="223456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PROFESSIONAL EXPERIENCE</w:t>
      </w:r>
    </w:p>
    <w:p>
      <w:pPr>
        <w:spacing w:after="0" w:line="138" w:lineRule="exact"/>
        <w:rPr>
          <w:sz w:val="20"/>
          <w:szCs w:val="20"/>
          <w:color w:val="auto"/>
        </w:rPr>
      </w:pPr>
    </w:p>
    <w:p>
      <w:pPr>
        <w:ind w:left="9" w:right="979"/>
        <w:spacing w:after="0" w:line="367" w:lineRule="auto"/>
        <w:rPr>
          <w:sz w:val="20"/>
          <w:szCs w:val="20"/>
          <w:color w:val="auto"/>
        </w:rPr>
      </w:pPr>
      <w:r>
        <w:rPr>
          <w:rFonts w:ascii="Arial" w:cs="Arial" w:eastAsia="Arial" w:hAnsi="Arial"/>
          <w:sz w:val="8"/>
          <w:szCs w:val="8"/>
          <w:color w:val="auto"/>
        </w:rPr>
        <w:t>Walker &amp; Company Brands Inc. (manufacturer of health and beauty products for persons of color), a subsidiary of the Procter &amp; Gamble Company</w:t>
      </w:r>
    </w:p>
    <w:p>
      <w:pPr>
        <w:spacing w:after="0" w:line="43" w:lineRule="exact"/>
        <w:rPr>
          <w:sz w:val="20"/>
          <w:szCs w:val="20"/>
          <w:color w:val="auto"/>
        </w:rPr>
      </w:pPr>
    </w:p>
    <w:p>
      <w:pPr>
        <w:ind w:left="9" w:right="1559" w:hanging="9"/>
        <w:spacing w:after="0" w:line="354" w:lineRule="auto"/>
        <w:tabs>
          <w:tab w:leader="none" w:pos="126" w:val="left"/>
        </w:tabs>
        <w:numPr>
          <w:ilvl w:val="0"/>
          <w:numId w:val="41"/>
        </w:numPr>
        <w:rPr>
          <w:rFonts w:ascii="Arial" w:cs="Arial" w:eastAsia="Arial" w:hAnsi="Arial"/>
          <w:sz w:val="16"/>
          <w:szCs w:val="16"/>
          <w:b w:val="1"/>
          <w:bCs w:val="1"/>
          <w:color w:val="D60011"/>
          <w:vertAlign w:val="superscript"/>
        </w:rPr>
      </w:pPr>
      <w:r>
        <w:rPr>
          <w:rFonts w:ascii="Arial" w:cs="Arial" w:eastAsia="Arial" w:hAnsi="Arial"/>
          <w:sz w:val="9"/>
          <w:szCs w:val="9"/>
          <w:color w:val="auto"/>
        </w:rPr>
        <w:t>Founder and Chief Executive Officer, since April 2013 Heirloom Management Company, LLC (micro venture capital fund)</w:t>
      </w:r>
    </w:p>
    <w:p>
      <w:pPr>
        <w:ind w:left="109" w:hanging="109"/>
        <w:spacing w:after="0"/>
        <w:tabs>
          <w:tab w:leader="none" w:pos="109" w:val="left"/>
        </w:tabs>
        <w:numPr>
          <w:ilvl w:val="0"/>
          <w:numId w:val="41"/>
        </w:numPr>
        <w:rPr>
          <w:rFonts w:ascii="Arial" w:cs="Arial" w:eastAsia="Arial" w:hAnsi="Arial"/>
          <w:sz w:val="16"/>
          <w:szCs w:val="16"/>
          <w:color w:val="D60011"/>
          <w:vertAlign w:val="superscript"/>
        </w:rPr>
      </w:pPr>
      <w:r>
        <w:rPr>
          <w:rFonts w:ascii="Arial" w:cs="Arial" w:eastAsia="Arial" w:hAnsi="Arial"/>
          <w:sz w:val="9"/>
          <w:szCs w:val="9"/>
          <w:color w:val="auto"/>
        </w:rPr>
        <w:t>Managing Member, since March 2022</w:t>
      </w:r>
    </w:p>
    <w:p>
      <w:pPr>
        <w:spacing w:after="0" w:line="114"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OTHER BOARD SERVICE</w:t>
      </w:r>
    </w:p>
    <w:p>
      <w:pPr>
        <w:spacing w:after="0" w:line="70" w:lineRule="exact"/>
        <w:rPr>
          <w:sz w:val="20"/>
          <w:szCs w:val="20"/>
          <w:color w:val="auto"/>
        </w:rPr>
      </w:pPr>
    </w:p>
    <w:p>
      <w:pPr>
        <w:ind w:left="109" w:hanging="109"/>
        <w:spacing w:after="0"/>
        <w:tabs>
          <w:tab w:leader="none" w:pos="109" w:val="left"/>
        </w:tabs>
        <w:numPr>
          <w:ilvl w:val="0"/>
          <w:numId w:val="42"/>
        </w:numPr>
        <w:rPr>
          <w:rFonts w:ascii="Arial" w:cs="Arial" w:eastAsia="Arial" w:hAnsi="Arial"/>
          <w:sz w:val="16"/>
          <w:szCs w:val="16"/>
          <w:color w:val="D60011"/>
          <w:vertAlign w:val="superscript"/>
        </w:rPr>
      </w:pPr>
      <w:r>
        <w:rPr>
          <w:rFonts w:ascii="Arial" w:cs="Arial" w:eastAsia="Arial" w:hAnsi="Arial"/>
          <w:sz w:val="9"/>
          <w:szCs w:val="9"/>
          <w:color w:val="auto"/>
        </w:rPr>
        <w:t>Director, Shake Shack, Inc.</w:t>
      </w:r>
    </w:p>
    <w:p>
      <w:pPr>
        <w:ind w:left="109" w:hanging="109"/>
        <w:spacing w:after="0" w:line="204" w:lineRule="auto"/>
        <w:tabs>
          <w:tab w:leader="none" w:pos="109" w:val="left"/>
        </w:tabs>
        <w:numPr>
          <w:ilvl w:val="0"/>
          <w:numId w:val="42"/>
        </w:numPr>
        <w:rPr>
          <w:rFonts w:ascii="Arial" w:cs="Arial" w:eastAsia="Arial" w:hAnsi="Arial"/>
          <w:sz w:val="11"/>
          <w:szCs w:val="11"/>
          <w:color w:val="D60011"/>
          <w:vertAlign w:val="superscript"/>
        </w:rPr>
      </w:pPr>
      <w:r>
        <w:rPr>
          <w:rFonts w:ascii="Arial" w:cs="Arial" w:eastAsia="Arial" w:hAnsi="Arial"/>
          <w:sz w:val="7"/>
          <w:szCs w:val="7"/>
          <w:color w:val="auto"/>
        </w:rPr>
        <w:t>Trustee, Children’s Healthcare of Atlanta</w:t>
      </w:r>
    </w:p>
    <w:p>
      <w:pPr>
        <w:ind w:left="109" w:right="899" w:hanging="109"/>
        <w:spacing w:after="0" w:line="204" w:lineRule="auto"/>
        <w:tabs>
          <w:tab w:leader="none" w:pos="109" w:val="left"/>
        </w:tabs>
        <w:numPr>
          <w:ilvl w:val="0"/>
          <w:numId w:val="42"/>
        </w:numPr>
        <w:rPr>
          <w:rFonts w:ascii="Arial" w:cs="Arial" w:eastAsia="Arial" w:hAnsi="Arial"/>
          <w:sz w:val="16"/>
          <w:szCs w:val="16"/>
          <w:color w:val="D60011"/>
          <w:vertAlign w:val="superscript"/>
        </w:rPr>
      </w:pPr>
      <w:r>
        <w:rPr>
          <w:rFonts w:ascii="Arial" w:cs="Arial" w:eastAsia="Arial" w:hAnsi="Arial"/>
          <w:sz w:val="9"/>
          <w:szCs w:val="9"/>
          <w:color w:val="auto"/>
        </w:rPr>
        <w:t>Chairman, CODE2040 (non-profit organization that matches high-performing Black and Latino software engineering students and graduates with technology firms and start-ups), until January 2020</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REASONS FOR NOMINATION</w:t>
      </w:r>
    </w:p>
    <w:p>
      <w:pPr>
        <w:spacing w:after="0" w:line="138" w:lineRule="exact"/>
        <w:rPr>
          <w:sz w:val="20"/>
          <w:szCs w:val="20"/>
          <w:color w:val="auto"/>
        </w:rPr>
      </w:pPr>
    </w:p>
    <w:p>
      <w:pPr>
        <w:ind w:left="9" w:right="899"/>
        <w:spacing w:after="0" w:line="297" w:lineRule="auto"/>
        <w:rPr>
          <w:sz w:val="20"/>
          <w:szCs w:val="20"/>
          <w:color w:val="auto"/>
        </w:rPr>
      </w:pPr>
      <w:r>
        <w:rPr>
          <w:rFonts w:ascii="Arial" w:cs="Arial" w:eastAsia="Arial" w:hAnsi="Arial"/>
          <w:sz w:val="8"/>
          <w:szCs w:val="8"/>
          <w:color w:val="auto"/>
        </w:rPr>
        <w:t>Mr. Walker’s brand marketing and technology experience are deeply connected to the mission of designing solutions for consumers while bridging the gap between technology product innovation and youth culture. Mr. Walker understands how to utilize innovation and technology to drive change and deliver growth. His work at the intersection of technology and the consumer experience benefits our Board, and his financial and ESG experience as a CEO provides him with relevant expertise as a member of the Finance Committee and Responsibility Committee.</w:t>
      </w:r>
    </w:p>
    <w:p>
      <w:pPr>
        <w:spacing w:after="0" w:line="200"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COMMITTEES RELEVANT SKILLS</w:t>
      </w:r>
    </w:p>
    <w:p>
      <w:pPr>
        <w:spacing w:after="0" w:line="9"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F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-86360</wp:posOffset>
            </wp:positionV>
            <wp:extent cx="80010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000000"/>
                        </a:clrFrom>
                        <a:clrTo>
                          <a:srgbClr val="000000">
                            <a:alpha val="0"/>
                          </a:srgbClr>
                        </a:clrTo>
                      </a:clrChange>
                      <a:extLst>
                        <a:ext uri="{28A0092B-C50C-407E-A947-70E740481C1C}"/>
                      </a:extLst>
                    </a:blip>
                    <a:srcRect/>
                    <a:stretch>
                      <a:fillRect/>
                    </a:stretch>
                  </pic:blipFill>
                  <pic:spPr bwMode="auto">
                    <a:xfrm>
                      <a:off x="0" y="0"/>
                      <a:ext cx="800100" cy="308610"/>
                    </a:xfrm>
                    <a:prstGeom prst="rect">
                      <a:avLst/>
                    </a:prstGeom>
                    <a:noFill/>
                  </pic:spPr>
                </pic:pic>
              </a:graphicData>
            </a:graphic>
          </wp:anchor>
        </w:drawing>
        <w:drawing>
          <wp:anchor simplePos="0" relativeHeight="251657728" behindDoc="1" locked="0" layoutInCell="0" allowOverlap="1">
            <wp:simplePos x="0" y="0"/>
            <wp:positionH relativeFrom="column">
              <wp:posOffset>558165</wp:posOffset>
            </wp:positionH>
            <wp:positionV relativeFrom="paragraph">
              <wp:posOffset>-86360</wp:posOffset>
            </wp:positionV>
            <wp:extent cx="800100"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800100" cy="308610"/>
                    </a:xfrm>
                    <a:prstGeom prst="rect">
                      <a:avLst/>
                    </a:prstGeom>
                    <a:noFill/>
                  </pic:spPr>
                </pic:pic>
              </a:graphicData>
            </a:graphic>
          </wp:anchor>
        </w:drawing>
      </w:r>
    </w:p>
    <w:p>
      <w:pPr>
        <w:spacing w:after="0" w:line="530" w:lineRule="exact"/>
        <w:rPr>
          <w:sz w:val="20"/>
          <w:szCs w:val="20"/>
          <w:color w:val="auto"/>
        </w:rPr>
      </w:pPr>
    </w:p>
    <w:p>
      <w:pPr>
        <w:sectPr>
          <w:pgSz w:w="11900" w:h="16838" w:orient="portrait"/>
          <w:cols w:equalWidth="0" w:num="2">
            <w:col w:w="4320" w:space="331"/>
            <w:col w:w="4368"/>
          </w:cols>
          <w:pgMar w:left="1440" w:top="5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20" w:hanging="388"/>
        <w:spacing w:after="0"/>
        <w:tabs>
          <w:tab w:leader="none" w:pos="1520" w:val="left"/>
        </w:tabs>
        <w:numPr>
          <w:ilvl w:val="0"/>
          <w:numId w:val="43"/>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259715</wp:posOffset>
            </wp:positionV>
            <wp:extent cx="717804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74" w:right="1440" w:bottom="1440" w:gutter="0" w:footer="0" w:header="0"/>
          <w:type w:val="continuous"/>
        </w:sectPr>
      </w:pPr>
    </w:p>
    <w:bookmarkStart w:id="28" w:name="page29"/>
    <w:bookmarkEnd w:id="28"/>
    <w:p>
      <w:pPr>
        <w:jc w:val="right"/>
        <w:ind w:right="1980"/>
        <w:spacing w:after="0"/>
        <w:rPr>
          <w:sz w:val="20"/>
          <w:szCs w:val="20"/>
          <w:color w:val="auto"/>
        </w:rPr>
      </w:pPr>
      <w:r>
        <w:rPr>
          <w:rFonts w:ascii="Arial" w:cs="Arial" w:eastAsia="Arial" w:hAnsi="Arial"/>
          <w:sz w:val="10"/>
          <w:szCs w:val="10"/>
          <w:b w:val="1"/>
          <w:bCs w:val="1"/>
          <w:color w:val="D60010"/>
        </w:rPr>
        <w:t>PROPOSAL 1: ELECTION OF DIRECTORS</w:t>
      </w:r>
    </w:p>
    <w:p>
      <w:pPr>
        <w:spacing w:after="0" w:line="110"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DIRECTOR NOMINEES’ SKILLSET MATRIX</w:t>
      </w:r>
    </w:p>
    <w:p>
      <w:pPr>
        <w:spacing w:after="0" w:line="145" w:lineRule="exact"/>
        <w:rPr>
          <w:sz w:val="20"/>
          <w:szCs w:val="20"/>
          <w:color w:val="auto"/>
        </w:rPr>
      </w:pPr>
    </w:p>
    <w:p>
      <w:pPr>
        <w:jc w:val="both"/>
        <w:ind w:left="1980" w:right="2120"/>
        <w:spacing w:after="0" w:line="253" w:lineRule="auto"/>
        <w:rPr>
          <w:sz w:val="20"/>
          <w:szCs w:val="20"/>
          <w:color w:val="auto"/>
        </w:rPr>
      </w:pPr>
      <w:r>
        <w:rPr>
          <w:rFonts w:ascii="Arial" w:cs="Arial" w:eastAsia="Arial" w:hAnsi="Arial"/>
          <w:sz w:val="11"/>
          <w:szCs w:val="11"/>
          <w:color w:val="auto"/>
        </w:rPr>
        <w:t>We believe that the director nominees possess the appropriate mix of diversity in terms of gender, age, ethnicity, skills, business and Board experience, and viewpoints. We have refreshed our Board over the past five years, as five highly-qualified directors were added to the Board and, as of the Annual Meeting, five directors will have retired during that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71755</wp:posOffset>
            </wp:positionV>
            <wp:extent cx="4646295" cy="5612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46295" cy="561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23</w:t>
            </w:r>
          </w:p>
        </w:tc>
      </w:tr>
      <w:tr>
        <w:trPr>
          <w:trHeight w:val="327"/>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9" w:right="299" w:bottom="1440" w:gutter="0" w:footer="0" w:header="0"/>
        </w:sectPr>
      </w:pPr>
    </w:p>
    <w:bookmarkStart w:id="29" w:name="page30"/>
    <w:bookmarkEnd w:id="29"/>
    <w:p>
      <w:pPr>
        <w:ind w:left="840"/>
        <w:spacing w:after="0"/>
        <w:rPr>
          <w:sz w:val="20"/>
          <w:szCs w:val="20"/>
          <w:color w:val="auto"/>
        </w:rPr>
      </w:pPr>
      <w:r>
        <w:rPr>
          <w:rFonts w:ascii="Arial" w:cs="Arial" w:eastAsia="Arial" w:hAnsi="Arial"/>
          <w:sz w:val="10"/>
          <w:szCs w:val="10"/>
          <w:b w:val="1"/>
          <w:bCs w:val="1"/>
          <w:color w:val="D60010"/>
        </w:rPr>
        <w:t>PROPOSAL 1: ELECTION OF DIRECTORS</w:t>
      </w:r>
    </w:p>
    <w:p>
      <w:pPr>
        <w:spacing w:after="0" w:line="117" w:lineRule="exact"/>
        <w:rPr>
          <w:sz w:val="20"/>
          <w:szCs w:val="20"/>
          <w:color w:val="auto"/>
        </w:rPr>
      </w:pPr>
    </w:p>
    <w:p>
      <w:pPr>
        <w:ind w:left="840" w:right="919"/>
        <w:spacing w:after="0" w:line="253" w:lineRule="auto"/>
        <w:rPr>
          <w:sz w:val="20"/>
          <w:szCs w:val="20"/>
          <w:color w:val="auto"/>
        </w:rPr>
      </w:pPr>
      <w:r>
        <w:rPr>
          <w:rFonts w:ascii="Arial" w:cs="Arial" w:eastAsia="Arial" w:hAnsi="Arial"/>
          <w:sz w:val="11"/>
          <w:szCs w:val="11"/>
          <w:color w:val="auto"/>
        </w:rPr>
        <w:t>Each director is individually qualified to make unique and substantial contributions. Collectively, our directors’ diverse viewpoints and independent-mindedness enhance the quality and effectiveness of Board deliberations and decision making. This blend of qualifications, attributes, and tenure results in highly-effective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71755</wp:posOffset>
            </wp:positionV>
            <wp:extent cx="4572000" cy="37661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72000" cy="376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540" w:hanging="408"/>
        <w:spacing w:after="0"/>
        <w:tabs>
          <w:tab w:leader="none" w:pos="1540" w:val="left"/>
        </w:tabs>
        <w:numPr>
          <w:ilvl w:val="0"/>
          <w:numId w:val="44"/>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30" w:name="page31"/>
    <w:bookmarkEnd w:id="30"/>
    <w:p>
      <w:pPr>
        <w:spacing w:after="0" w:line="2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1459865</wp:posOffset>
            </wp:positionH>
            <wp:positionV relativeFrom="page">
              <wp:posOffset>363220</wp:posOffset>
            </wp:positionV>
            <wp:extent cx="4572000" cy="640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4572000" cy="64008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24"/>
          <w:szCs w:val="24"/>
          <w:b w:val="1"/>
          <w:bCs w:val="1"/>
          <w:color w:val="auto"/>
        </w:rPr>
        <w:t>OUR BOARD OF DIRECTORS</w:t>
      </w:r>
    </w:p>
    <w:p>
      <w:pPr>
        <w:spacing w:after="0" w:line="145" w:lineRule="exact"/>
        <w:rPr>
          <w:sz w:val="20"/>
          <w:szCs w:val="20"/>
          <w:color w:val="auto"/>
        </w:rPr>
      </w:pPr>
    </w:p>
    <w:p>
      <w:pPr>
        <w:ind w:left="1980" w:right="2020"/>
        <w:spacing w:after="0" w:line="253" w:lineRule="auto"/>
        <w:rPr>
          <w:sz w:val="20"/>
          <w:szCs w:val="20"/>
          <w:color w:val="auto"/>
        </w:rPr>
      </w:pPr>
      <w:r>
        <w:rPr>
          <w:rFonts w:ascii="Arial" w:cs="Arial" w:eastAsia="Arial" w:hAnsi="Arial"/>
          <w:sz w:val="11"/>
          <w:szCs w:val="11"/>
          <w:color w:val="auto"/>
        </w:rPr>
        <w:t>Our By-Laws provide for a Board consisting of between 7 and 13 directors. The exact number of directors is determined from time to time by the entire Board. There are currently 11 directors on our Board. Mr. McKenna will be retiring when his term expires at the conclusion of the Annual Meeting, and the Board has fixed the number of directors at 10 effective at such time.</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DIRECTORS’ INDEPENDENCE</w:t>
      </w:r>
    </w:p>
    <w:p>
      <w:pPr>
        <w:spacing w:after="0" w:line="136" w:lineRule="exact"/>
        <w:rPr>
          <w:sz w:val="20"/>
          <w:szCs w:val="20"/>
          <w:color w:val="auto"/>
        </w:rPr>
      </w:pPr>
    </w:p>
    <w:p>
      <w:pPr>
        <w:ind w:left="1980" w:right="2000"/>
        <w:spacing w:after="0" w:line="252" w:lineRule="auto"/>
        <w:rPr>
          <w:sz w:val="20"/>
          <w:szCs w:val="20"/>
          <w:color w:val="auto"/>
        </w:rPr>
      </w:pPr>
      <w:r>
        <w:rPr>
          <w:rFonts w:ascii="Arial" w:cs="Arial" w:eastAsia="Arial" w:hAnsi="Arial"/>
          <w:sz w:val="11"/>
          <w:szCs w:val="11"/>
          <w:color w:val="auto"/>
        </w:rPr>
        <w:t xml:space="preserve">A director is not considered independent under NYSE rules if they have a material relationship with the Company that would impair their independence. In addition to the independence criteria established by the NYSE, the Board has adopted categorical standards to assist it in making its independence determinations regarding individual directors. These categorical standards are contained in the Corporate Governance Guidelines, which are available at </w:t>
      </w:r>
      <w:r>
        <w:rPr>
          <w:rFonts w:ascii="Arial" w:cs="Arial" w:eastAsia="Arial" w:hAnsi="Arial"/>
          <w:sz w:val="11"/>
          <w:szCs w:val="11"/>
          <w:b w:val="1"/>
          <w:bCs w:val="1"/>
          <w:color w:val="E31F26"/>
        </w:rPr>
        <w:t>investors.footlocker-inc.com/cgg</w:t>
      </w:r>
      <w:r>
        <w:rPr>
          <w:rFonts w:ascii="Arial" w:cs="Arial" w:eastAsia="Arial" w:hAnsi="Arial"/>
          <w:sz w:val="11"/>
          <w:szCs w:val="11"/>
          <w:color w:val="000000"/>
        </w:rPr>
        <w:t>.</w:t>
      </w:r>
    </w:p>
    <w:p>
      <w:pPr>
        <w:spacing w:after="0" w:line="99" w:lineRule="exact"/>
        <w:rPr>
          <w:sz w:val="20"/>
          <w:szCs w:val="20"/>
          <w:color w:val="auto"/>
        </w:rPr>
      </w:pPr>
    </w:p>
    <w:p>
      <w:pPr>
        <w:ind w:left="1980" w:right="2240"/>
        <w:spacing w:after="0" w:line="268" w:lineRule="auto"/>
        <w:rPr>
          <w:sz w:val="20"/>
          <w:szCs w:val="20"/>
          <w:color w:val="auto"/>
        </w:rPr>
      </w:pPr>
      <w:r>
        <w:rPr>
          <w:rFonts w:ascii="Arial" w:cs="Arial" w:eastAsia="Arial" w:hAnsi="Arial"/>
          <w:sz w:val="11"/>
          <w:szCs w:val="11"/>
          <w:color w:val="auto"/>
        </w:rPr>
        <w:t>The Board has determined that the following categories of relationships are immaterial for purposes of determining whether a director is independent under the NYSE listing standards:</w:t>
      </w:r>
    </w:p>
    <w:p>
      <w:pPr>
        <w:spacing w:after="0" w:line="169" w:lineRule="exact"/>
        <w:rPr>
          <w:sz w:val="20"/>
          <w:szCs w:val="20"/>
          <w:color w:val="auto"/>
        </w:rPr>
      </w:pPr>
    </w:p>
    <w:tbl>
      <w:tblPr>
        <w:tblLayout w:type="fixed"/>
        <w:tblInd w:w="1980" w:type="dxa"/>
        <w:tblCellMar>
          <w:top w:w="0" w:type="dxa"/>
          <w:left w:w="0" w:type="dxa"/>
          <w:bottom w:w="0" w:type="dxa"/>
          <w:right w:w="0" w:type="dxa"/>
        </w:tblCellMar>
      </w:tblPr>
      <w:tr>
        <w:trPr>
          <w:trHeight w:val="131"/>
        </w:trPr>
        <w:tc>
          <w:tcPr>
            <w:tcW w:w="3020" w:type="dxa"/>
            <w:vAlign w:val="bottom"/>
          </w:tcPr>
          <w:p>
            <w:pPr>
              <w:ind w:left="60"/>
              <w:spacing w:after="0"/>
              <w:rPr>
                <w:sz w:val="20"/>
                <w:szCs w:val="20"/>
                <w:color w:val="auto"/>
              </w:rPr>
            </w:pPr>
            <w:r>
              <w:rPr>
                <w:rFonts w:ascii="Arial" w:cs="Arial" w:eastAsia="Arial" w:hAnsi="Arial"/>
                <w:sz w:val="10"/>
                <w:szCs w:val="10"/>
                <w:b w:val="1"/>
                <w:bCs w:val="1"/>
                <w:color w:val="auto"/>
              </w:rPr>
              <w:t>Categorical Relationship</w:t>
            </w:r>
          </w:p>
        </w:tc>
        <w:tc>
          <w:tcPr>
            <w:tcW w:w="4320" w:type="dxa"/>
            <w:vAlign w:val="bottom"/>
          </w:tcPr>
          <w:p>
            <w:pPr>
              <w:ind w:left="700"/>
              <w:spacing w:after="0"/>
              <w:rPr>
                <w:sz w:val="20"/>
                <w:szCs w:val="20"/>
                <w:color w:val="auto"/>
              </w:rPr>
            </w:pPr>
            <w:r>
              <w:rPr>
                <w:rFonts w:ascii="Arial" w:cs="Arial" w:eastAsia="Arial" w:hAnsi="Arial"/>
                <w:sz w:val="10"/>
                <w:szCs w:val="10"/>
                <w:b w:val="1"/>
                <w:bCs w:val="1"/>
                <w:color w:val="auto"/>
              </w:rPr>
              <w:t>Description</w:t>
            </w:r>
          </w:p>
        </w:tc>
      </w:tr>
      <w:tr>
        <w:trPr>
          <w:trHeight w:val="56"/>
        </w:trPr>
        <w:tc>
          <w:tcPr>
            <w:tcW w:w="3020" w:type="dxa"/>
            <w:vAlign w:val="bottom"/>
            <w:tcBorders>
              <w:bottom w:val="single" w:sz="8" w:color="FF0000"/>
            </w:tcBorders>
          </w:tcPr>
          <w:p>
            <w:pPr>
              <w:spacing w:after="0"/>
              <w:rPr>
                <w:sz w:val="4"/>
                <w:szCs w:val="4"/>
                <w:color w:val="auto"/>
              </w:rPr>
            </w:pPr>
          </w:p>
        </w:tc>
        <w:tc>
          <w:tcPr>
            <w:tcW w:w="4320" w:type="dxa"/>
            <w:vAlign w:val="bottom"/>
            <w:tcBorders>
              <w:bottom w:val="single" w:sz="8" w:color="FF0000"/>
            </w:tcBorders>
          </w:tcPr>
          <w:p>
            <w:pPr>
              <w:spacing w:after="0"/>
              <w:rPr>
                <w:sz w:val="4"/>
                <w:szCs w:val="4"/>
                <w:color w:val="auto"/>
              </w:rPr>
            </w:pPr>
          </w:p>
        </w:tc>
      </w:tr>
      <w:tr>
        <w:trPr>
          <w:trHeight w:val="178"/>
        </w:trPr>
        <w:tc>
          <w:tcPr>
            <w:tcW w:w="3020" w:type="dxa"/>
            <w:vAlign w:val="bottom"/>
          </w:tcPr>
          <w:p>
            <w:pPr>
              <w:ind w:left="60"/>
              <w:spacing w:after="0"/>
              <w:rPr>
                <w:sz w:val="20"/>
                <w:szCs w:val="20"/>
                <w:color w:val="auto"/>
              </w:rPr>
            </w:pPr>
            <w:r>
              <w:rPr>
                <w:rFonts w:ascii="Arial" w:cs="Arial" w:eastAsia="Arial" w:hAnsi="Arial"/>
                <w:sz w:val="11"/>
                <w:szCs w:val="11"/>
                <w:b w:val="1"/>
                <w:bCs w:val="1"/>
                <w:color w:val="E31F26"/>
              </w:rPr>
              <w:t>Investment Relationships with the Company</w:t>
            </w:r>
          </w:p>
        </w:tc>
        <w:tc>
          <w:tcPr>
            <w:tcW w:w="4320" w:type="dxa"/>
            <w:vAlign w:val="bottom"/>
          </w:tcPr>
          <w:p>
            <w:pPr>
              <w:ind w:left="700"/>
              <w:spacing w:after="0"/>
              <w:rPr>
                <w:sz w:val="20"/>
                <w:szCs w:val="20"/>
                <w:color w:val="auto"/>
              </w:rPr>
            </w:pPr>
            <w:r>
              <w:rPr>
                <w:rFonts w:ascii="Arial" w:cs="Arial" w:eastAsia="Arial" w:hAnsi="Arial"/>
                <w:sz w:val="11"/>
                <w:szCs w:val="11"/>
                <w:color w:val="auto"/>
              </w:rPr>
              <w:t>A director and any family member may own equities or other securities of</w:t>
            </w:r>
          </w:p>
        </w:tc>
      </w:tr>
      <w:tr>
        <w:trPr>
          <w:trHeight w:val="142"/>
        </w:trPr>
        <w:tc>
          <w:tcPr>
            <w:tcW w:w="3020" w:type="dxa"/>
            <w:vAlign w:val="bottom"/>
          </w:tcPr>
          <w:p>
            <w:pPr>
              <w:spacing w:after="0"/>
              <w:rPr>
                <w:sz w:val="12"/>
                <w:szCs w:val="12"/>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the Company.</w:t>
            </w:r>
          </w:p>
        </w:tc>
      </w:tr>
      <w:tr>
        <w:trPr>
          <w:trHeight w:val="65"/>
        </w:trPr>
        <w:tc>
          <w:tcPr>
            <w:tcW w:w="3020" w:type="dxa"/>
            <w:vAlign w:val="bottom"/>
            <w:tcBorders>
              <w:bottom w:val="single" w:sz="8" w:color="CCCCCC"/>
            </w:tcBorders>
          </w:tcPr>
          <w:p>
            <w:pPr>
              <w:spacing w:after="0"/>
              <w:rPr>
                <w:sz w:val="5"/>
                <w:szCs w:val="5"/>
                <w:color w:val="auto"/>
              </w:rPr>
            </w:pPr>
          </w:p>
        </w:tc>
        <w:tc>
          <w:tcPr>
            <w:tcW w:w="4320" w:type="dxa"/>
            <w:vAlign w:val="bottom"/>
            <w:tcBorders>
              <w:bottom w:val="single" w:sz="8" w:color="CCCCCC"/>
            </w:tcBorders>
          </w:tcPr>
          <w:p>
            <w:pPr>
              <w:spacing w:after="0"/>
              <w:rPr>
                <w:sz w:val="5"/>
                <w:szCs w:val="5"/>
                <w:color w:val="auto"/>
              </w:rPr>
            </w:pPr>
          </w:p>
        </w:tc>
      </w:tr>
      <w:tr>
        <w:trPr>
          <w:trHeight w:val="178"/>
        </w:trPr>
        <w:tc>
          <w:tcPr>
            <w:tcW w:w="3020" w:type="dxa"/>
            <w:vAlign w:val="bottom"/>
          </w:tcPr>
          <w:p>
            <w:pPr>
              <w:ind w:left="60"/>
              <w:spacing w:after="0"/>
              <w:rPr>
                <w:sz w:val="20"/>
                <w:szCs w:val="20"/>
                <w:color w:val="auto"/>
              </w:rPr>
            </w:pPr>
            <w:r>
              <w:rPr>
                <w:rFonts w:ascii="Arial" w:cs="Arial" w:eastAsia="Arial" w:hAnsi="Arial"/>
                <w:sz w:val="11"/>
                <w:szCs w:val="11"/>
                <w:b w:val="1"/>
                <w:bCs w:val="1"/>
                <w:color w:val="E31F26"/>
              </w:rPr>
              <w:t>Relationships with Other Business Entities</w:t>
            </w:r>
          </w:p>
        </w:tc>
        <w:tc>
          <w:tcPr>
            <w:tcW w:w="4320" w:type="dxa"/>
            <w:vAlign w:val="bottom"/>
          </w:tcPr>
          <w:p>
            <w:pPr>
              <w:ind w:left="700"/>
              <w:spacing w:after="0"/>
              <w:rPr>
                <w:sz w:val="20"/>
                <w:szCs w:val="20"/>
                <w:color w:val="auto"/>
              </w:rPr>
            </w:pPr>
            <w:r>
              <w:rPr>
                <w:rFonts w:ascii="Arial" w:cs="Arial" w:eastAsia="Arial" w:hAnsi="Arial"/>
                <w:sz w:val="11"/>
                <w:szCs w:val="11"/>
                <w:color w:val="auto"/>
              </w:rPr>
              <w:t>A director and any family member may be a director, employee (other</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than an executive officer), or beneficial owner of less than 10% of the</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shares of a business entity with which the Company does business,</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provided that the aggregate amount involved in a fiscal year does not</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exceed the greater of $1 million or 2% of either that entity’s or the</w:t>
            </w:r>
          </w:p>
        </w:tc>
      </w:tr>
      <w:tr>
        <w:trPr>
          <w:trHeight w:val="142"/>
        </w:trPr>
        <w:tc>
          <w:tcPr>
            <w:tcW w:w="3020" w:type="dxa"/>
            <w:vAlign w:val="bottom"/>
          </w:tcPr>
          <w:p>
            <w:pPr>
              <w:spacing w:after="0"/>
              <w:rPr>
                <w:sz w:val="12"/>
                <w:szCs w:val="12"/>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Company’s annual consolidated gross revenue.</w:t>
            </w:r>
          </w:p>
        </w:tc>
      </w:tr>
      <w:tr>
        <w:trPr>
          <w:trHeight w:val="65"/>
        </w:trPr>
        <w:tc>
          <w:tcPr>
            <w:tcW w:w="3020" w:type="dxa"/>
            <w:vAlign w:val="bottom"/>
            <w:tcBorders>
              <w:bottom w:val="single" w:sz="8" w:color="CCCCCC"/>
            </w:tcBorders>
          </w:tcPr>
          <w:p>
            <w:pPr>
              <w:spacing w:after="0"/>
              <w:rPr>
                <w:sz w:val="5"/>
                <w:szCs w:val="5"/>
                <w:color w:val="auto"/>
              </w:rPr>
            </w:pPr>
          </w:p>
        </w:tc>
        <w:tc>
          <w:tcPr>
            <w:tcW w:w="4320" w:type="dxa"/>
            <w:vAlign w:val="bottom"/>
            <w:tcBorders>
              <w:bottom w:val="single" w:sz="8" w:color="CCCCCC"/>
            </w:tcBorders>
          </w:tcPr>
          <w:p>
            <w:pPr>
              <w:spacing w:after="0"/>
              <w:rPr>
                <w:sz w:val="5"/>
                <w:szCs w:val="5"/>
                <w:color w:val="auto"/>
              </w:rPr>
            </w:pPr>
          </w:p>
        </w:tc>
      </w:tr>
      <w:tr>
        <w:trPr>
          <w:trHeight w:val="178"/>
        </w:trPr>
        <w:tc>
          <w:tcPr>
            <w:tcW w:w="3020" w:type="dxa"/>
            <w:vAlign w:val="bottom"/>
          </w:tcPr>
          <w:p>
            <w:pPr>
              <w:ind w:left="60"/>
              <w:spacing w:after="0"/>
              <w:rPr>
                <w:sz w:val="20"/>
                <w:szCs w:val="20"/>
                <w:color w:val="auto"/>
              </w:rPr>
            </w:pPr>
            <w:r>
              <w:rPr>
                <w:rFonts w:ascii="Arial" w:cs="Arial" w:eastAsia="Arial" w:hAnsi="Arial"/>
                <w:sz w:val="11"/>
                <w:szCs w:val="11"/>
                <w:b w:val="1"/>
                <w:bCs w:val="1"/>
                <w:color w:val="E31F26"/>
              </w:rPr>
              <w:t>Relationships with Not-for-Profit Entities</w:t>
            </w:r>
          </w:p>
        </w:tc>
        <w:tc>
          <w:tcPr>
            <w:tcW w:w="4320" w:type="dxa"/>
            <w:vAlign w:val="bottom"/>
          </w:tcPr>
          <w:p>
            <w:pPr>
              <w:ind w:left="700"/>
              <w:spacing w:after="0"/>
              <w:rPr>
                <w:sz w:val="20"/>
                <w:szCs w:val="20"/>
                <w:color w:val="auto"/>
              </w:rPr>
            </w:pPr>
            <w:r>
              <w:rPr>
                <w:rFonts w:ascii="Arial" w:cs="Arial" w:eastAsia="Arial" w:hAnsi="Arial"/>
                <w:sz w:val="11"/>
                <w:szCs w:val="11"/>
                <w:color w:val="auto"/>
              </w:rPr>
              <w:t>A director and any family member may be a director or employee (other</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than an executive officer or the equivalent) of a not-for-profit organization</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to which the Company (including the Foot Locker Foundation) makes</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contributions, provided that the aggregate amount of the Company’s</w:t>
            </w:r>
          </w:p>
        </w:tc>
      </w:tr>
      <w:tr>
        <w:trPr>
          <w:trHeight w:val="126"/>
        </w:trPr>
        <w:tc>
          <w:tcPr>
            <w:tcW w:w="3020" w:type="dxa"/>
            <w:vAlign w:val="bottom"/>
          </w:tcPr>
          <w:p>
            <w:pPr>
              <w:spacing w:after="0"/>
              <w:rPr>
                <w:sz w:val="10"/>
                <w:szCs w:val="10"/>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contributions in any fiscal year do not exceed the greater of $1 million or</w:t>
            </w:r>
          </w:p>
        </w:tc>
      </w:tr>
      <w:tr>
        <w:trPr>
          <w:trHeight w:val="142"/>
        </w:trPr>
        <w:tc>
          <w:tcPr>
            <w:tcW w:w="3020" w:type="dxa"/>
            <w:vAlign w:val="bottom"/>
          </w:tcPr>
          <w:p>
            <w:pPr>
              <w:spacing w:after="0"/>
              <w:rPr>
                <w:sz w:val="12"/>
                <w:szCs w:val="12"/>
                <w:color w:val="auto"/>
              </w:rPr>
            </w:pPr>
          </w:p>
        </w:tc>
        <w:tc>
          <w:tcPr>
            <w:tcW w:w="4320" w:type="dxa"/>
            <w:vAlign w:val="bottom"/>
          </w:tcPr>
          <w:p>
            <w:pPr>
              <w:ind w:left="700"/>
              <w:spacing w:after="0"/>
              <w:rPr>
                <w:sz w:val="20"/>
                <w:szCs w:val="20"/>
                <w:color w:val="auto"/>
              </w:rPr>
            </w:pPr>
            <w:r>
              <w:rPr>
                <w:rFonts w:ascii="Arial" w:cs="Arial" w:eastAsia="Arial" w:hAnsi="Arial"/>
                <w:sz w:val="11"/>
                <w:szCs w:val="11"/>
                <w:color w:val="auto"/>
              </w:rPr>
              <w:t>2% of the not-for-profit entity’s total annual receipts.</w:t>
            </w:r>
          </w:p>
        </w:tc>
      </w:tr>
      <w:tr>
        <w:trPr>
          <w:trHeight w:val="65"/>
        </w:trPr>
        <w:tc>
          <w:tcPr>
            <w:tcW w:w="3020" w:type="dxa"/>
            <w:vAlign w:val="bottom"/>
            <w:tcBorders>
              <w:bottom w:val="single" w:sz="8" w:color="FF0000"/>
            </w:tcBorders>
          </w:tcPr>
          <w:p>
            <w:pPr>
              <w:spacing w:after="0"/>
              <w:rPr>
                <w:sz w:val="5"/>
                <w:szCs w:val="5"/>
                <w:color w:val="auto"/>
              </w:rPr>
            </w:pPr>
          </w:p>
        </w:tc>
        <w:tc>
          <w:tcPr>
            <w:tcW w:w="4320" w:type="dxa"/>
            <w:vAlign w:val="bottom"/>
            <w:tcBorders>
              <w:bottom w:val="single" w:sz="8" w:color="FF0000"/>
            </w:tcBorders>
          </w:tcPr>
          <w:p>
            <w:pPr>
              <w:spacing w:after="0"/>
              <w:rPr>
                <w:sz w:val="5"/>
                <w:szCs w:val="5"/>
                <w:color w:val="auto"/>
              </w:rPr>
            </w:pPr>
          </w:p>
        </w:tc>
      </w:tr>
    </w:tbl>
    <w:p>
      <w:pPr>
        <w:spacing w:after="0" w:line="117" w:lineRule="exact"/>
        <w:rPr>
          <w:sz w:val="20"/>
          <w:szCs w:val="20"/>
          <w:color w:val="auto"/>
        </w:rPr>
      </w:pPr>
    </w:p>
    <w:p>
      <w:pPr>
        <w:ind w:left="1980" w:right="2040"/>
        <w:spacing w:after="0" w:line="242" w:lineRule="auto"/>
        <w:rPr>
          <w:sz w:val="20"/>
          <w:szCs w:val="20"/>
          <w:color w:val="auto"/>
        </w:rPr>
      </w:pPr>
      <w:r>
        <w:rPr>
          <w:rFonts w:ascii="Arial" w:cs="Arial" w:eastAsia="Arial" w:hAnsi="Arial"/>
          <w:sz w:val="11"/>
          <w:szCs w:val="11"/>
          <w:color w:val="auto"/>
        </w:rPr>
        <w:t>We individually inquire of each of our directors and executive officers about any transactions in which the Company and any of these related persons or their immediate family members are participants. We also make inquiries within the Company’s records for information on any of these kinds of transactions. Once we gather the information, we then review all relationships and transactions of which we are aware in which the Company and any of our directors, executive officers, their immediate family members, or 5% shareholders are participants to determine, based on the facts and circumstances, whether the related persons have a direct or indirect material interest. Our General Counsel’s office coordinates the related person transaction review process. The Responsibility Committee reviews any reported transactions involving directors and their immediate family members in making its recommendation to the Board on the independence of the directors. In approving, ratifying, or rejecting a related person transaction, the Responsibility Committee considers such information as it deems important to determine whether the transaction is on reasonable and competitive terms and is fair to the Company. The Company’s written policies and procedures for related person transactions are included within both the Corporate Governance Guidelines and the Code of Business Conduct. There were no related person transactions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75565</wp:posOffset>
            </wp:positionV>
            <wp:extent cx="36576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25</w:t>
            </w:r>
          </w:p>
        </w:tc>
      </w:tr>
      <w:tr>
        <w:trPr>
          <w:trHeight w:val="327"/>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31" w:name="page32"/>
    <w:bookmarkEnd w:id="31"/>
    <w:p>
      <w:pPr>
        <w:ind w:left="840"/>
        <w:spacing w:after="0"/>
        <w:rPr>
          <w:sz w:val="20"/>
          <w:szCs w:val="20"/>
          <w:color w:val="auto"/>
        </w:rPr>
      </w:pPr>
      <w:r>
        <w:rPr>
          <w:rFonts w:ascii="Arial" w:cs="Arial" w:eastAsia="Arial" w:hAnsi="Arial"/>
          <w:sz w:val="10"/>
          <w:szCs w:val="10"/>
          <w:b w:val="1"/>
          <w:bCs w:val="1"/>
          <w:color w:val="E31F26"/>
        </w:rPr>
        <w:t>GOVERNANCE</w:t>
      </w:r>
    </w:p>
    <w:p>
      <w:pPr>
        <w:spacing w:after="0" w:line="117" w:lineRule="exact"/>
        <w:rPr>
          <w:sz w:val="20"/>
          <w:szCs w:val="20"/>
          <w:color w:val="auto"/>
        </w:rPr>
      </w:pPr>
    </w:p>
    <w:p>
      <w:pPr>
        <w:ind w:left="840" w:right="839"/>
        <w:spacing w:after="0" w:line="268" w:lineRule="auto"/>
        <w:rPr>
          <w:sz w:val="20"/>
          <w:szCs w:val="20"/>
          <w:color w:val="auto"/>
        </w:rPr>
      </w:pPr>
      <w:r>
        <w:rPr>
          <w:rFonts w:ascii="Arial" w:cs="Arial" w:eastAsia="Arial" w:hAnsi="Arial"/>
          <w:sz w:val="11"/>
          <w:szCs w:val="11"/>
          <w:color w:val="auto"/>
        </w:rPr>
        <w:t>The Board, upon the recommendation of the Responsibility Committee, has determined that the following directors are independent under the NYSE rules because they have no material relationship with the Company that would impair their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66040</wp:posOffset>
            </wp:positionV>
            <wp:extent cx="4377690" cy="8458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77690" cy="84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1220" w:type="dxa"/>
            <w:vAlign w:val="bottom"/>
          </w:tcPr>
          <w:p>
            <w:pPr>
              <w:spacing w:after="0"/>
              <w:rPr>
                <w:sz w:val="20"/>
                <w:szCs w:val="20"/>
                <w:color w:val="auto"/>
              </w:rPr>
            </w:pPr>
            <w:r>
              <w:rPr>
                <w:rFonts w:ascii="Arial" w:cs="Arial" w:eastAsia="Arial" w:hAnsi="Arial"/>
                <w:sz w:val="11"/>
                <w:szCs w:val="11"/>
                <w:b w:val="1"/>
                <w:bCs w:val="1"/>
                <w:color w:val="E31F26"/>
              </w:rPr>
              <w:t>DONA D.</w:t>
            </w:r>
          </w:p>
        </w:tc>
        <w:tc>
          <w:tcPr>
            <w:tcW w:w="1460" w:type="dxa"/>
            <w:vAlign w:val="bottom"/>
          </w:tcPr>
          <w:p>
            <w:pPr>
              <w:ind w:left="240"/>
              <w:spacing w:after="0"/>
              <w:rPr>
                <w:sz w:val="20"/>
                <w:szCs w:val="20"/>
                <w:color w:val="auto"/>
              </w:rPr>
            </w:pPr>
            <w:r>
              <w:rPr>
                <w:rFonts w:ascii="Arial" w:cs="Arial" w:eastAsia="Arial" w:hAnsi="Arial"/>
                <w:sz w:val="11"/>
                <w:szCs w:val="11"/>
                <w:b w:val="1"/>
                <w:bCs w:val="1"/>
                <w:color w:val="auto"/>
              </w:rPr>
              <w:t>VIRGINIA C.</w:t>
            </w:r>
          </w:p>
        </w:tc>
        <w:tc>
          <w:tcPr>
            <w:tcW w:w="1460" w:type="dxa"/>
            <w:vAlign w:val="bottom"/>
          </w:tcPr>
          <w:p>
            <w:pPr>
              <w:ind w:left="260"/>
              <w:spacing w:after="0"/>
              <w:rPr>
                <w:sz w:val="20"/>
                <w:szCs w:val="20"/>
                <w:color w:val="auto"/>
              </w:rPr>
            </w:pPr>
            <w:r>
              <w:rPr>
                <w:rFonts w:ascii="Arial" w:cs="Arial" w:eastAsia="Arial" w:hAnsi="Arial"/>
                <w:sz w:val="11"/>
                <w:szCs w:val="11"/>
                <w:b w:val="1"/>
                <w:bCs w:val="1"/>
                <w:color w:val="auto"/>
              </w:rPr>
              <w:t>ALAN D.</w:t>
            </w:r>
          </w:p>
        </w:tc>
        <w:tc>
          <w:tcPr>
            <w:tcW w:w="1480" w:type="dxa"/>
            <w:vAlign w:val="bottom"/>
          </w:tcPr>
          <w:p>
            <w:pPr>
              <w:ind w:left="260"/>
              <w:spacing w:after="0"/>
              <w:rPr>
                <w:sz w:val="20"/>
                <w:szCs w:val="20"/>
                <w:color w:val="auto"/>
              </w:rPr>
            </w:pPr>
            <w:r>
              <w:rPr>
                <w:rFonts w:ascii="Arial" w:cs="Arial" w:eastAsia="Arial" w:hAnsi="Arial"/>
                <w:sz w:val="11"/>
                <w:szCs w:val="11"/>
                <w:b w:val="1"/>
                <w:bCs w:val="1"/>
                <w:color w:val="auto"/>
              </w:rPr>
              <w:t>GUILLERMO G.</w:t>
            </w:r>
          </w:p>
        </w:tc>
        <w:tc>
          <w:tcPr>
            <w:tcW w:w="1200" w:type="dxa"/>
            <w:vAlign w:val="bottom"/>
          </w:tcPr>
          <w:p>
            <w:pPr>
              <w:ind w:left="240"/>
              <w:spacing w:after="0"/>
              <w:rPr>
                <w:sz w:val="20"/>
                <w:szCs w:val="20"/>
                <w:color w:val="auto"/>
              </w:rPr>
            </w:pPr>
            <w:r>
              <w:rPr>
                <w:rFonts w:ascii="Arial" w:cs="Arial" w:eastAsia="Arial" w:hAnsi="Arial"/>
                <w:sz w:val="11"/>
                <w:szCs w:val="11"/>
                <w:b w:val="1"/>
                <w:bCs w:val="1"/>
                <w:color w:val="auto"/>
              </w:rPr>
              <w:t>MATTHEW M.</w:t>
            </w:r>
          </w:p>
        </w:tc>
      </w:tr>
      <w:tr>
        <w:trPr>
          <w:trHeight w:val="148"/>
        </w:trPr>
        <w:tc>
          <w:tcPr>
            <w:tcW w:w="1220" w:type="dxa"/>
            <w:vAlign w:val="bottom"/>
          </w:tcPr>
          <w:p>
            <w:pPr>
              <w:spacing w:after="0"/>
              <w:rPr>
                <w:sz w:val="20"/>
                <w:szCs w:val="20"/>
                <w:color w:val="auto"/>
              </w:rPr>
            </w:pPr>
            <w:r>
              <w:rPr>
                <w:rFonts w:ascii="Arial" w:cs="Arial" w:eastAsia="Arial" w:hAnsi="Arial"/>
                <w:sz w:val="11"/>
                <w:szCs w:val="11"/>
                <w:b w:val="1"/>
                <w:bCs w:val="1"/>
                <w:color w:val="E31F26"/>
              </w:rPr>
              <w:t>YOUNG</w:t>
            </w:r>
          </w:p>
        </w:tc>
        <w:tc>
          <w:tcPr>
            <w:tcW w:w="1460" w:type="dxa"/>
            <w:vAlign w:val="bottom"/>
          </w:tcPr>
          <w:p>
            <w:pPr>
              <w:ind w:left="240"/>
              <w:spacing w:after="0"/>
              <w:rPr>
                <w:sz w:val="20"/>
                <w:szCs w:val="20"/>
                <w:color w:val="auto"/>
              </w:rPr>
            </w:pPr>
            <w:r>
              <w:rPr>
                <w:rFonts w:ascii="Arial" w:cs="Arial" w:eastAsia="Arial" w:hAnsi="Arial"/>
                <w:sz w:val="11"/>
                <w:szCs w:val="11"/>
                <w:b w:val="1"/>
                <w:bCs w:val="1"/>
                <w:color w:val="auto"/>
              </w:rPr>
              <w:t>DROSOS</w:t>
            </w:r>
          </w:p>
        </w:tc>
        <w:tc>
          <w:tcPr>
            <w:tcW w:w="1460" w:type="dxa"/>
            <w:vAlign w:val="bottom"/>
          </w:tcPr>
          <w:p>
            <w:pPr>
              <w:ind w:left="260"/>
              <w:spacing w:after="0"/>
              <w:rPr>
                <w:sz w:val="20"/>
                <w:szCs w:val="20"/>
                <w:color w:val="auto"/>
              </w:rPr>
            </w:pPr>
            <w:r>
              <w:rPr>
                <w:rFonts w:ascii="Arial" w:cs="Arial" w:eastAsia="Arial" w:hAnsi="Arial"/>
                <w:sz w:val="11"/>
                <w:szCs w:val="11"/>
                <w:b w:val="1"/>
                <w:bCs w:val="1"/>
                <w:color w:val="auto"/>
              </w:rPr>
              <w:t>FELDMAN</w:t>
            </w:r>
          </w:p>
        </w:tc>
        <w:tc>
          <w:tcPr>
            <w:tcW w:w="1480" w:type="dxa"/>
            <w:vAlign w:val="bottom"/>
          </w:tcPr>
          <w:p>
            <w:pPr>
              <w:ind w:left="260"/>
              <w:spacing w:after="0"/>
              <w:rPr>
                <w:sz w:val="20"/>
                <w:szCs w:val="20"/>
                <w:color w:val="auto"/>
              </w:rPr>
            </w:pPr>
            <w:r>
              <w:rPr>
                <w:rFonts w:ascii="Arial" w:cs="Arial" w:eastAsia="Arial" w:hAnsi="Arial"/>
                <w:sz w:val="11"/>
                <w:szCs w:val="11"/>
                <w:b w:val="1"/>
                <w:bCs w:val="1"/>
                <w:color w:val="auto"/>
              </w:rPr>
              <w:t>MARMOL</w:t>
            </w:r>
          </w:p>
        </w:tc>
        <w:tc>
          <w:tcPr>
            <w:tcW w:w="1200" w:type="dxa"/>
            <w:vAlign w:val="bottom"/>
          </w:tcPr>
          <w:p>
            <w:pPr>
              <w:ind w:left="240"/>
              <w:spacing w:after="0"/>
              <w:rPr>
                <w:sz w:val="20"/>
                <w:szCs w:val="20"/>
                <w:color w:val="auto"/>
              </w:rPr>
            </w:pPr>
            <w:r>
              <w:rPr>
                <w:rFonts w:ascii="Arial" w:cs="Arial" w:eastAsia="Arial" w:hAnsi="Arial"/>
                <w:sz w:val="11"/>
                <w:szCs w:val="11"/>
                <w:b w:val="1"/>
                <w:bCs w:val="1"/>
                <w:color w:val="auto"/>
              </w:rPr>
              <w:t>MCKENNA</w:t>
            </w:r>
          </w:p>
        </w:tc>
      </w:tr>
      <w:tr>
        <w:trPr>
          <w:trHeight w:val="230"/>
        </w:trPr>
        <w:tc>
          <w:tcPr>
            <w:tcW w:w="1220" w:type="dxa"/>
            <w:vAlign w:val="bottom"/>
          </w:tcPr>
          <w:p>
            <w:pPr>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68</w:t>
            </w:r>
          </w:p>
        </w:tc>
        <w:tc>
          <w:tcPr>
            <w:tcW w:w="1460" w:type="dxa"/>
            <w:vAlign w:val="bottom"/>
          </w:tcPr>
          <w:p>
            <w:pPr>
              <w:ind w:left="24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59</w:t>
            </w:r>
          </w:p>
        </w:tc>
        <w:tc>
          <w:tcPr>
            <w:tcW w:w="1460" w:type="dxa"/>
            <w:vAlign w:val="bottom"/>
          </w:tcPr>
          <w:p>
            <w:pPr>
              <w:ind w:left="26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70</w:t>
            </w:r>
          </w:p>
        </w:tc>
        <w:tc>
          <w:tcPr>
            <w:tcW w:w="1480" w:type="dxa"/>
            <w:vAlign w:val="bottom"/>
          </w:tcPr>
          <w:p>
            <w:pPr>
              <w:ind w:left="26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69</w:t>
            </w:r>
          </w:p>
        </w:tc>
        <w:tc>
          <w:tcPr>
            <w:tcW w:w="1200" w:type="dxa"/>
            <w:vAlign w:val="bottom"/>
          </w:tcPr>
          <w:p>
            <w:pPr>
              <w:ind w:left="24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71</w:t>
            </w:r>
          </w:p>
        </w:tc>
      </w:tr>
      <w:tr>
        <w:trPr>
          <w:trHeight w:val="148"/>
        </w:trPr>
        <w:tc>
          <w:tcPr>
            <w:tcW w:w="1220" w:type="dxa"/>
            <w:vAlign w:val="bottom"/>
          </w:tcPr>
          <w:p>
            <w:pPr>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2001</w:t>
            </w:r>
          </w:p>
        </w:tc>
        <w:tc>
          <w:tcPr>
            <w:tcW w:w="1460" w:type="dxa"/>
            <w:vAlign w:val="bottom"/>
          </w:tcPr>
          <w:p>
            <w:pPr>
              <w:ind w:left="240"/>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2022</w:t>
            </w:r>
          </w:p>
        </w:tc>
        <w:tc>
          <w:tcPr>
            <w:tcW w:w="1460" w:type="dxa"/>
            <w:vAlign w:val="bottom"/>
          </w:tcPr>
          <w:p>
            <w:pPr>
              <w:ind w:left="260"/>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2005</w:t>
            </w:r>
          </w:p>
        </w:tc>
        <w:tc>
          <w:tcPr>
            <w:tcW w:w="1480" w:type="dxa"/>
            <w:vAlign w:val="bottom"/>
          </w:tcPr>
          <w:p>
            <w:pPr>
              <w:ind w:left="260"/>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2011</w:t>
            </w:r>
          </w:p>
        </w:tc>
        <w:tc>
          <w:tcPr>
            <w:tcW w:w="1200" w:type="dxa"/>
            <w:vAlign w:val="bottom"/>
          </w:tcPr>
          <w:p>
            <w:pPr>
              <w:ind w:left="240"/>
              <w:spacing w:after="0"/>
              <w:rPr>
                <w:sz w:val="20"/>
                <w:szCs w:val="20"/>
                <w:color w:val="auto"/>
              </w:rPr>
            </w:pPr>
            <w:r>
              <w:rPr>
                <w:rFonts w:ascii="Arial" w:cs="Arial" w:eastAsia="Arial" w:hAnsi="Arial"/>
                <w:sz w:val="11"/>
                <w:szCs w:val="11"/>
                <w:color w:val="auto"/>
                <w:w w:val="96"/>
              </w:rPr>
              <w:t xml:space="preserve">Director since: </w:t>
            </w:r>
            <w:r>
              <w:rPr>
                <w:rFonts w:ascii="Arial" w:cs="Arial" w:eastAsia="Arial" w:hAnsi="Arial"/>
                <w:sz w:val="11"/>
                <w:szCs w:val="11"/>
                <w:b w:val="1"/>
                <w:bCs w:val="1"/>
                <w:color w:val="auto"/>
                <w:w w:val="96"/>
              </w:rPr>
              <w:t>2006</w:t>
            </w:r>
          </w:p>
        </w:tc>
      </w:tr>
      <w:tr>
        <w:trPr>
          <w:trHeight w:val="230"/>
        </w:trPr>
        <w:tc>
          <w:tcPr>
            <w:tcW w:w="1220" w:type="dxa"/>
            <w:vAlign w:val="bottom"/>
          </w:tcPr>
          <w:p>
            <w:pPr>
              <w:spacing w:after="0"/>
              <w:rPr>
                <w:sz w:val="20"/>
                <w:szCs w:val="20"/>
                <w:color w:val="auto"/>
              </w:rPr>
            </w:pPr>
            <w:r>
              <w:rPr>
                <w:rFonts w:ascii="Arial" w:cs="Arial" w:eastAsia="Arial" w:hAnsi="Arial"/>
                <w:sz w:val="11"/>
                <w:szCs w:val="11"/>
                <w:b w:val="1"/>
                <w:bCs w:val="1"/>
                <w:color w:val="auto"/>
              </w:rPr>
              <w:t>Lead Independent</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48"/>
        </w:trPr>
        <w:tc>
          <w:tcPr>
            <w:tcW w:w="1220" w:type="dxa"/>
            <w:vAlign w:val="bottom"/>
          </w:tcPr>
          <w:p>
            <w:pPr>
              <w:spacing w:after="0"/>
              <w:rPr>
                <w:sz w:val="20"/>
                <w:szCs w:val="20"/>
                <w:color w:val="auto"/>
              </w:rPr>
            </w:pPr>
            <w:r>
              <w:rPr>
                <w:rFonts w:ascii="Arial" w:cs="Arial" w:eastAsia="Arial" w:hAnsi="Arial"/>
                <w:sz w:val="11"/>
                <w:szCs w:val="11"/>
                <w:b w:val="1"/>
                <w:bCs w:val="1"/>
                <w:color w:val="auto"/>
              </w:rPr>
              <w:t>Director</w:t>
            </w:r>
          </w:p>
        </w:tc>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71755</wp:posOffset>
            </wp:positionV>
            <wp:extent cx="4377690" cy="8058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7769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1220" w:type="dxa"/>
            <w:vAlign w:val="bottom"/>
          </w:tcPr>
          <w:p>
            <w:pPr>
              <w:spacing w:after="0"/>
              <w:rPr>
                <w:sz w:val="20"/>
                <w:szCs w:val="20"/>
                <w:color w:val="auto"/>
              </w:rPr>
            </w:pPr>
            <w:r>
              <w:rPr>
                <w:rFonts w:ascii="Arial" w:cs="Arial" w:eastAsia="Arial" w:hAnsi="Arial"/>
                <w:sz w:val="11"/>
                <w:szCs w:val="11"/>
                <w:b w:val="1"/>
                <w:bCs w:val="1"/>
                <w:color w:val="auto"/>
              </w:rPr>
              <w:t>DARLENE</w:t>
            </w:r>
          </w:p>
        </w:tc>
        <w:tc>
          <w:tcPr>
            <w:tcW w:w="1460" w:type="dxa"/>
            <w:vAlign w:val="bottom"/>
          </w:tcPr>
          <w:p>
            <w:pPr>
              <w:ind w:left="240"/>
              <w:spacing w:after="0"/>
              <w:rPr>
                <w:sz w:val="20"/>
                <w:szCs w:val="20"/>
                <w:color w:val="auto"/>
              </w:rPr>
            </w:pPr>
            <w:r>
              <w:rPr>
                <w:rFonts w:ascii="Arial" w:cs="Arial" w:eastAsia="Arial" w:hAnsi="Arial"/>
                <w:sz w:val="11"/>
                <w:szCs w:val="11"/>
                <w:b w:val="1"/>
                <w:bCs w:val="1"/>
                <w:color w:val="auto"/>
              </w:rPr>
              <w:t>STEVEN</w:t>
            </w:r>
          </w:p>
        </w:tc>
        <w:tc>
          <w:tcPr>
            <w:tcW w:w="1460" w:type="dxa"/>
            <w:vAlign w:val="bottom"/>
          </w:tcPr>
          <w:p>
            <w:pPr>
              <w:ind w:left="260"/>
              <w:spacing w:after="0"/>
              <w:rPr>
                <w:sz w:val="20"/>
                <w:szCs w:val="20"/>
                <w:color w:val="auto"/>
              </w:rPr>
            </w:pPr>
            <w:r>
              <w:rPr>
                <w:rFonts w:ascii="Arial" w:cs="Arial" w:eastAsia="Arial" w:hAnsi="Arial"/>
                <w:sz w:val="11"/>
                <w:szCs w:val="11"/>
                <w:b w:val="1"/>
                <w:bCs w:val="1"/>
                <w:color w:val="auto"/>
              </w:rPr>
              <w:t>ULICE</w:t>
            </w:r>
          </w:p>
        </w:tc>
        <w:tc>
          <w:tcPr>
            <w:tcW w:w="1480" w:type="dxa"/>
            <w:vAlign w:val="bottom"/>
          </w:tcPr>
          <w:p>
            <w:pPr>
              <w:ind w:left="260"/>
              <w:spacing w:after="0"/>
              <w:rPr>
                <w:sz w:val="20"/>
                <w:szCs w:val="20"/>
                <w:color w:val="auto"/>
              </w:rPr>
            </w:pPr>
            <w:r>
              <w:rPr>
                <w:rFonts w:ascii="Arial" w:cs="Arial" w:eastAsia="Arial" w:hAnsi="Arial"/>
                <w:sz w:val="11"/>
                <w:szCs w:val="11"/>
                <w:b w:val="1"/>
                <w:bCs w:val="1"/>
                <w:color w:val="auto"/>
              </w:rPr>
              <w:t>KIMBERLY</w:t>
            </w:r>
          </w:p>
        </w:tc>
        <w:tc>
          <w:tcPr>
            <w:tcW w:w="1200" w:type="dxa"/>
            <w:vAlign w:val="bottom"/>
          </w:tcPr>
          <w:p>
            <w:pPr>
              <w:ind w:left="240"/>
              <w:spacing w:after="0"/>
              <w:rPr>
                <w:sz w:val="20"/>
                <w:szCs w:val="20"/>
                <w:color w:val="auto"/>
              </w:rPr>
            </w:pPr>
            <w:r>
              <w:rPr>
                <w:rFonts w:ascii="Arial" w:cs="Arial" w:eastAsia="Arial" w:hAnsi="Arial"/>
                <w:sz w:val="11"/>
                <w:szCs w:val="11"/>
                <w:b w:val="1"/>
                <w:bCs w:val="1"/>
                <w:color w:val="auto"/>
              </w:rPr>
              <w:t>TRISTAN</w:t>
            </w:r>
          </w:p>
        </w:tc>
      </w:tr>
      <w:tr>
        <w:trPr>
          <w:trHeight w:val="148"/>
        </w:trPr>
        <w:tc>
          <w:tcPr>
            <w:tcW w:w="1220" w:type="dxa"/>
            <w:vAlign w:val="bottom"/>
          </w:tcPr>
          <w:p>
            <w:pPr>
              <w:spacing w:after="0"/>
              <w:rPr>
                <w:sz w:val="20"/>
                <w:szCs w:val="20"/>
                <w:color w:val="auto"/>
              </w:rPr>
            </w:pPr>
            <w:r>
              <w:rPr>
                <w:rFonts w:ascii="Arial" w:cs="Arial" w:eastAsia="Arial" w:hAnsi="Arial"/>
                <w:sz w:val="11"/>
                <w:szCs w:val="11"/>
                <w:b w:val="1"/>
                <w:bCs w:val="1"/>
                <w:color w:val="auto"/>
              </w:rPr>
              <w:t>NICOSIA</w:t>
            </w:r>
          </w:p>
        </w:tc>
        <w:tc>
          <w:tcPr>
            <w:tcW w:w="1460" w:type="dxa"/>
            <w:vAlign w:val="bottom"/>
          </w:tcPr>
          <w:p>
            <w:pPr>
              <w:ind w:left="240"/>
              <w:spacing w:after="0"/>
              <w:rPr>
                <w:sz w:val="20"/>
                <w:szCs w:val="20"/>
                <w:color w:val="auto"/>
              </w:rPr>
            </w:pPr>
            <w:r>
              <w:rPr>
                <w:rFonts w:ascii="Arial" w:cs="Arial" w:eastAsia="Arial" w:hAnsi="Arial"/>
                <w:sz w:val="11"/>
                <w:szCs w:val="11"/>
                <w:b w:val="1"/>
                <w:bCs w:val="1"/>
                <w:color w:val="auto"/>
              </w:rPr>
              <w:t>OAKLAND</w:t>
            </w:r>
          </w:p>
        </w:tc>
        <w:tc>
          <w:tcPr>
            <w:tcW w:w="1460" w:type="dxa"/>
            <w:vAlign w:val="bottom"/>
          </w:tcPr>
          <w:p>
            <w:pPr>
              <w:ind w:left="260"/>
              <w:spacing w:after="0"/>
              <w:rPr>
                <w:sz w:val="20"/>
                <w:szCs w:val="20"/>
                <w:color w:val="auto"/>
              </w:rPr>
            </w:pPr>
            <w:r>
              <w:rPr>
                <w:rFonts w:ascii="Arial" w:cs="Arial" w:eastAsia="Arial" w:hAnsi="Arial"/>
                <w:sz w:val="11"/>
                <w:szCs w:val="11"/>
                <w:b w:val="1"/>
                <w:bCs w:val="1"/>
                <w:color w:val="auto"/>
              </w:rPr>
              <w:t>PAYNE, JR.</w:t>
            </w:r>
          </w:p>
        </w:tc>
        <w:tc>
          <w:tcPr>
            <w:tcW w:w="1480" w:type="dxa"/>
            <w:vAlign w:val="bottom"/>
          </w:tcPr>
          <w:p>
            <w:pPr>
              <w:ind w:left="260"/>
              <w:spacing w:after="0"/>
              <w:rPr>
                <w:sz w:val="20"/>
                <w:szCs w:val="20"/>
                <w:color w:val="auto"/>
              </w:rPr>
            </w:pPr>
            <w:r>
              <w:rPr>
                <w:rFonts w:ascii="Arial" w:cs="Arial" w:eastAsia="Arial" w:hAnsi="Arial"/>
                <w:sz w:val="11"/>
                <w:szCs w:val="11"/>
                <w:b w:val="1"/>
                <w:bCs w:val="1"/>
                <w:color w:val="auto"/>
              </w:rPr>
              <w:t>UNDERHILL</w:t>
            </w:r>
          </w:p>
        </w:tc>
        <w:tc>
          <w:tcPr>
            <w:tcW w:w="1200" w:type="dxa"/>
            <w:vAlign w:val="bottom"/>
          </w:tcPr>
          <w:p>
            <w:pPr>
              <w:ind w:left="240"/>
              <w:spacing w:after="0"/>
              <w:rPr>
                <w:sz w:val="20"/>
                <w:szCs w:val="20"/>
                <w:color w:val="auto"/>
              </w:rPr>
            </w:pPr>
            <w:r>
              <w:rPr>
                <w:rFonts w:ascii="Arial" w:cs="Arial" w:eastAsia="Arial" w:hAnsi="Arial"/>
                <w:sz w:val="11"/>
                <w:szCs w:val="11"/>
                <w:b w:val="1"/>
                <w:bCs w:val="1"/>
                <w:color w:val="auto"/>
              </w:rPr>
              <w:t>WALKER</w:t>
            </w:r>
          </w:p>
        </w:tc>
      </w:tr>
      <w:tr>
        <w:trPr>
          <w:trHeight w:val="230"/>
        </w:trPr>
        <w:tc>
          <w:tcPr>
            <w:tcW w:w="1220" w:type="dxa"/>
            <w:vAlign w:val="bottom"/>
          </w:tcPr>
          <w:p>
            <w:pPr>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54</w:t>
            </w:r>
          </w:p>
        </w:tc>
        <w:tc>
          <w:tcPr>
            <w:tcW w:w="1460" w:type="dxa"/>
            <w:vAlign w:val="bottom"/>
          </w:tcPr>
          <w:p>
            <w:pPr>
              <w:ind w:left="24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61</w:t>
            </w:r>
          </w:p>
        </w:tc>
        <w:tc>
          <w:tcPr>
            <w:tcW w:w="1460" w:type="dxa"/>
            <w:vAlign w:val="bottom"/>
          </w:tcPr>
          <w:p>
            <w:pPr>
              <w:ind w:left="26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66</w:t>
            </w:r>
          </w:p>
        </w:tc>
        <w:tc>
          <w:tcPr>
            <w:tcW w:w="1480" w:type="dxa"/>
            <w:vAlign w:val="bottom"/>
          </w:tcPr>
          <w:p>
            <w:pPr>
              <w:ind w:left="26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57</w:t>
            </w:r>
          </w:p>
        </w:tc>
        <w:tc>
          <w:tcPr>
            <w:tcW w:w="1200" w:type="dxa"/>
            <w:vAlign w:val="bottom"/>
          </w:tcPr>
          <w:p>
            <w:pPr>
              <w:ind w:left="240"/>
              <w:spacing w:after="0"/>
              <w:rPr>
                <w:sz w:val="20"/>
                <w:szCs w:val="20"/>
                <w:color w:val="auto"/>
              </w:rPr>
            </w:pPr>
            <w:r>
              <w:rPr>
                <w:rFonts w:ascii="Arial" w:cs="Arial" w:eastAsia="Arial" w:hAnsi="Arial"/>
                <w:sz w:val="11"/>
                <w:szCs w:val="11"/>
                <w:color w:val="auto"/>
              </w:rPr>
              <w:t xml:space="preserve">Age: </w:t>
            </w:r>
            <w:r>
              <w:rPr>
                <w:rFonts w:ascii="Arial" w:cs="Arial" w:eastAsia="Arial" w:hAnsi="Arial"/>
                <w:sz w:val="11"/>
                <w:szCs w:val="11"/>
                <w:b w:val="1"/>
                <w:bCs w:val="1"/>
                <w:color w:val="auto"/>
              </w:rPr>
              <w:t>37</w:t>
            </w:r>
          </w:p>
        </w:tc>
      </w:tr>
      <w:tr>
        <w:trPr>
          <w:trHeight w:val="148"/>
        </w:trPr>
        <w:tc>
          <w:tcPr>
            <w:tcW w:w="1220" w:type="dxa"/>
            <w:vAlign w:val="bottom"/>
          </w:tcPr>
          <w:p>
            <w:pPr>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2020</w:t>
            </w:r>
          </w:p>
        </w:tc>
        <w:tc>
          <w:tcPr>
            <w:tcW w:w="1460" w:type="dxa"/>
            <w:vAlign w:val="bottom"/>
          </w:tcPr>
          <w:p>
            <w:pPr>
              <w:ind w:left="240"/>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2014</w:t>
            </w:r>
          </w:p>
        </w:tc>
        <w:tc>
          <w:tcPr>
            <w:tcW w:w="1460" w:type="dxa"/>
            <w:vAlign w:val="bottom"/>
          </w:tcPr>
          <w:p>
            <w:pPr>
              <w:ind w:left="260"/>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2016</w:t>
            </w:r>
          </w:p>
        </w:tc>
        <w:tc>
          <w:tcPr>
            <w:tcW w:w="1480" w:type="dxa"/>
            <w:vAlign w:val="bottom"/>
          </w:tcPr>
          <w:p>
            <w:pPr>
              <w:ind w:left="260"/>
              <w:spacing w:after="0"/>
              <w:rPr>
                <w:sz w:val="20"/>
                <w:szCs w:val="20"/>
                <w:color w:val="auto"/>
              </w:rPr>
            </w:pPr>
            <w:r>
              <w:rPr>
                <w:rFonts w:ascii="Arial" w:cs="Arial" w:eastAsia="Arial" w:hAnsi="Arial"/>
                <w:sz w:val="11"/>
                <w:szCs w:val="11"/>
                <w:color w:val="auto"/>
              </w:rPr>
              <w:t xml:space="preserve">Director since: </w:t>
            </w:r>
            <w:r>
              <w:rPr>
                <w:rFonts w:ascii="Arial" w:cs="Arial" w:eastAsia="Arial" w:hAnsi="Arial"/>
                <w:sz w:val="11"/>
                <w:szCs w:val="11"/>
                <w:b w:val="1"/>
                <w:bCs w:val="1"/>
                <w:color w:val="auto"/>
              </w:rPr>
              <w:t>2016</w:t>
            </w:r>
          </w:p>
        </w:tc>
        <w:tc>
          <w:tcPr>
            <w:tcW w:w="1200" w:type="dxa"/>
            <w:vAlign w:val="bottom"/>
          </w:tcPr>
          <w:p>
            <w:pPr>
              <w:ind w:left="240"/>
              <w:spacing w:after="0"/>
              <w:rPr>
                <w:sz w:val="20"/>
                <w:szCs w:val="20"/>
                <w:color w:val="auto"/>
              </w:rPr>
            </w:pPr>
            <w:r>
              <w:rPr>
                <w:rFonts w:ascii="Arial" w:cs="Arial" w:eastAsia="Arial" w:hAnsi="Arial"/>
                <w:sz w:val="11"/>
                <w:szCs w:val="11"/>
                <w:color w:val="auto"/>
                <w:w w:val="96"/>
              </w:rPr>
              <w:t xml:space="preserve">Director since: </w:t>
            </w:r>
            <w:r>
              <w:rPr>
                <w:rFonts w:ascii="Arial" w:cs="Arial" w:eastAsia="Arial" w:hAnsi="Arial"/>
                <w:sz w:val="11"/>
                <w:szCs w:val="11"/>
                <w:b w:val="1"/>
                <w:bCs w:val="1"/>
                <w:color w:val="auto"/>
                <w:w w:val="96"/>
              </w:rPr>
              <w:t>2020</w:t>
            </w:r>
          </w:p>
        </w:tc>
      </w:tr>
    </w:tbl>
    <w:p>
      <w:pPr>
        <w:spacing w:after="0" w:line="200" w:lineRule="exact"/>
        <w:rPr>
          <w:sz w:val="20"/>
          <w:szCs w:val="20"/>
          <w:color w:val="auto"/>
        </w:rPr>
      </w:pPr>
    </w:p>
    <w:p>
      <w:pPr>
        <w:sectPr>
          <w:pgSz w:w="11900" w:h="16838" w:orient="portrait"/>
          <w:cols w:equalWidth="0" w:num="1">
            <w:col w:w="9019"/>
          </w:cols>
          <w:pgMar w:left="1440" w:top="5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40"/>
        <w:spacing w:after="0" w:line="297" w:lineRule="auto"/>
        <w:rPr>
          <w:sz w:val="20"/>
          <w:szCs w:val="20"/>
          <w:color w:val="auto"/>
        </w:rPr>
      </w:pPr>
      <w:r>
        <w:rPr>
          <w:rFonts w:ascii="Arial" w:cs="Arial" w:eastAsia="Arial" w:hAnsi="Arial"/>
          <w:sz w:val="10"/>
          <w:szCs w:val="10"/>
          <w:b w:val="1"/>
          <w:bCs w:val="1"/>
          <w:color w:val="auto"/>
        </w:rPr>
        <w:t>directors are independent. All directors are independent, except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-784860</wp:posOffset>
            </wp:positionV>
            <wp:extent cx="1194435" cy="417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94435" cy="41719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540" w:hanging="408"/>
        <w:spacing w:after="0"/>
        <w:tabs>
          <w:tab w:leader="none" w:pos="1540" w:val="left"/>
        </w:tabs>
        <w:numPr>
          <w:ilvl w:val="0"/>
          <w:numId w:val="45"/>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959"/>
        <w:spacing w:after="0" w:line="248" w:lineRule="auto"/>
        <w:rPr>
          <w:sz w:val="20"/>
          <w:szCs w:val="20"/>
          <w:color w:val="auto"/>
        </w:rPr>
      </w:pPr>
      <w:r>
        <w:rPr>
          <w:rFonts w:ascii="Arial" w:cs="Arial" w:eastAsia="Arial" w:hAnsi="Arial"/>
          <w:sz w:val="11"/>
          <w:szCs w:val="11"/>
          <w:color w:val="auto"/>
        </w:rPr>
        <w:t>Maxine Clark served as a director of the Company during 2021 until her retirement from the Board in May 2021. The Board determined that Ms. Clark was independent under NYSE rules through the end of her term as a director because she had no material relationship with the Company that would impair her independence.</w:t>
      </w:r>
    </w:p>
    <w:p>
      <w:pPr>
        <w:spacing w:after="0" w:line="107" w:lineRule="exact"/>
        <w:rPr>
          <w:sz w:val="20"/>
          <w:szCs w:val="20"/>
          <w:color w:val="auto"/>
        </w:rPr>
      </w:pPr>
    </w:p>
    <w:p>
      <w:pPr>
        <w:ind w:right="919"/>
        <w:spacing w:after="0" w:line="281" w:lineRule="auto"/>
        <w:rPr>
          <w:sz w:val="20"/>
          <w:szCs w:val="20"/>
          <w:color w:val="auto"/>
        </w:rPr>
      </w:pPr>
      <w:r>
        <w:rPr>
          <w:rFonts w:ascii="Arial" w:cs="Arial" w:eastAsia="Arial" w:hAnsi="Arial"/>
          <w:sz w:val="10"/>
          <w:szCs w:val="10"/>
          <w:color w:val="auto"/>
        </w:rPr>
        <w:t>In making its independence determination, the Board reviewed recommendations of the Responsibility Committee and considered Mr. Payne and Ms. Young’s relationships as directors of companies with which we do business. The Board has determined that these relationships meet the categorical standard for Relationships with Other Business Entities and are immaterial with respect to determining independence.</w:t>
      </w:r>
    </w:p>
    <w:p>
      <w:pPr>
        <w:spacing w:after="0" w:line="91" w:lineRule="exact"/>
        <w:rPr>
          <w:sz w:val="20"/>
          <w:szCs w:val="20"/>
          <w:color w:val="auto"/>
        </w:rPr>
      </w:pPr>
    </w:p>
    <w:p>
      <w:pPr>
        <w:jc w:val="both"/>
        <w:ind w:right="979"/>
        <w:spacing w:after="0" w:line="253" w:lineRule="auto"/>
        <w:rPr>
          <w:sz w:val="20"/>
          <w:szCs w:val="20"/>
          <w:color w:val="auto"/>
        </w:rPr>
      </w:pPr>
      <w:r>
        <w:rPr>
          <w:rFonts w:ascii="Arial" w:cs="Arial" w:eastAsia="Arial" w:hAnsi="Arial"/>
          <w:sz w:val="11"/>
          <w:szCs w:val="11"/>
          <w:color w:val="auto"/>
        </w:rPr>
        <w:t>The Board has determined that all members of the Audit Committee, the Finance Committee, the Human Capital Committee, and the Responsibility Committee are independent as defined under the NYSE listing standards and the director independence standards adopted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460375</wp:posOffset>
            </wp:positionV>
            <wp:extent cx="717804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2">
            <w:col w:w="2360" w:space="680"/>
            <w:col w:w="5979"/>
          </w:cols>
          <w:pgMar w:left="1440" w:top="574" w:right="1440" w:bottom="1440" w:gutter="0" w:footer="0" w:header="0"/>
          <w:type w:val="continuous"/>
        </w:sectPr>
      </w:pPr>
    </w:p>
    <w:bookmarkStart w:id="32" w:name="page33"/>
    <w:bookmarkEnd w:id="32"/>
    <w:p>
      <w:pPr>
        <w:jc w:val="right"/>
        <w:ind w:right="1980"/>
        <w:spacing w:after="0"/>
        <w:rPr>
          <w:sz w:val="20"/>
          <w:szCs w:val="20"/>
          <w:color w:val="auto"/>
        </w:rPr>
      </w:pPr>
      <w:r>
        <w:rPr>
          <w:rFonts w:ascii="Arial" w:cs="Arial" w:eastAsia="Arial" w:hAnsi="Arial"/>
          <w:sz w:val="10"/>
          <w:szCs w:val="10"/>
          <w:b w:val="1"/>
          <w:bCs w:val="1"/>
          <w:color w:val="E31F26"/>
        </w:rPr>
        <w:t>GOVERNANCE</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BOARD TENURE AND TERM LIMITS</w:t>
      </w:r>
    </w:p>
    <w:p>
      <w:pPr>
        <w:spacing w:after="0" w:line="136" w:lineRule="exact"/>
        <w:rPr>
          <w:sz w:val="20"/>
          <w:szCs w:val="20"/>
          <w:color w:val="auto"/>
        </w:rPr>
      </w:pPr>
    </w:p>
    <w:p>
      <w:pPr>
        <w:ind w:left="1980" w:right="2000"/>
        <w:spacing w:after="0" w:line="269" w:lineRule="auto"/>
        <w:rPr>
          <w:sz w:val="20"/>
          <w:szCs w:val="20"/>
          <w:color w:val="auto"/>
        </w:rPr>
      </w:pPr>
      <w:r>
        <w:rPr>
          <w:rFonts w:ascii="Arial" w:cs="Arial" w:eastAsia="Arial" w:hAnsi="Arial"/>
          <w:sz w:val="10"/>
          <w:szCs w:val="10"/>
          <w:color w:val="auto"/>
        </w:rPr>
        <w:t>The Company is focused on having a well-constructed and high-performing Board. To that end, the Responsibility Committee selects director nominees who think and act independently and can clearly and effectively communicate their convictions. The Board does not believe long tenure alone presumptively renders a director to not be independent. Conversely, the Board recognizes the contributions experienced directors add to the Board. The Board has determined that its longer-tenured directors have important experience, bring diverse perspectives, and provide tangible value to the Board and the Company. The Board has also determined that their length of tenure has allowed these directors to accumulate valuable knowledge and experience based upon their history with the Company. This knowledge and experience improves the ability of the Board to provide constructive guidance and informed oversight to management. Furthermore, in the Board’s opinion, the length of tenure of its members has not in any way impaired the willingness of any director to question and confront any issue or exercise independent and impartial oversight of the Company in any area. The Board benefits from the contributions of its experienced directors who have developed insight into the Company over the course of their service on the Board.</w:t>
      </w:r>
    </w:p>
    <w:p>
      <w:pPr>
        <w:spacing w:after="0" w:line="100" w:lineRule="exact"/>
        <w:rPr>
          <w:sz w:val="20"/>
          <w:szCs w:val="20"/>
          <w:color w:val="auto"/>
        </w:rPr>
      </w:pPr>
    </w:p>
    <w:p>
      <w:pPr>
        <w:ind w:left="1980" w:right="2100"/>
        <w:spacing w:after="0" w:line="243" w:lineRule="auto"/>
        <w:rPr>
          <w:sz w:val="20"/>
          <w:szCs w:val="20"/>
          <w:color w:val="auto"/>
        </w:rPr>
      </w:pPr>
      <w:r>
        <w:rPr>
          <w:rFonts w:ascii="Arial" w:cs="Arial" w:eastAsia="Arial" w:hAnsi="Arial"/>
          <w:sz w:val="11"/>
          <w:szCs w:val="11"/>
          <w:color w:val="auto"/>
        </w:rPr>
        <w:t>The Responsibility Committee has specifically considered the feedback of some shareholders as well as the discussions of some commentators that suggest lengthy Board tenure should be balanced with new perspectives. Specific to the Company, the Responsibility Committee has structured the Board such that there are directors of varying tenures, with new directors and perspectives joining the Board over time while retaining the institutional memory of longer-tenured directors. Longer-tenured directors, balanced with newer directors, enhance the Board’s oversight capabilities. The Board believes it is important to balance refreshment with the need to retain directors who have developed, over time, significant insight into the Company and its operations and who continue to make valuable contributions to the Company that benefit our shareholders. The Board believes that it has an appropriate mix of longer-tenured directors and newer directors, which provides an appropriate and dynamic balance.</w:t>
      </w:r>
    </w:p>
    <w:p>
      <w:pPr>
        <w:spacing w:after="0" w:line="112" w:lineRule="exact"/>
        <w:rPr>
          <w:sz w:val="20"/>
          <w:szCs w:val="20"/>
          <w:color w:val="auto"/>
        </w:rPr>
      </w:pPr>
    </w:p>
    <w:p>
      <w:pPr>
        <w:ind w:left="1980" w:right="2100"/>
        <w:spacing w:after="0" w:line="246" w:lineRule="auto"/>
        <w:rPr>
          <w:sz w:val="20"/>
          <w:szCs w:val="20"/>
          <w:color w:val="auto"/>
        </w:rPr>
      </w:pPr>
      <w:r>
        <w:rPr>
          <w:rFonts w:ascii="Arial" w:cs="Arial" w:eastAsia="Arial" w:hAnsi="Arial"/>
          <w:sz w:val="11"/>
          <w:szCs w:val="11"/>
          <w:color w:val="auto"/>
        </w:rPr>
        <w:t>Furthermore, the Board has not adopted formal director term limits, in part, because the imposition of director term limits on a board implicitly discounts the value of experience and continuity among directors and runs the risk of excluding experienced and potentially valuable directors as a result of an arbitrary determination. In addition, imposing this restriction means the Board would lose the contributions of longer-tenured directors who have developed a deeper knowledge and understanding of the Company over time. The Board does not believe that long tenure impairs a director’s ability to act independently of management.</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BOARD LEADERSHIP STRUCTURE</w:t>
      </w:r>
    </w:p>
    <w:p>
      <w:pPr>
        <w:spacing w:after="0" w:line="136" w:lineRule="exact"/>
        <w:rPr>
          <w:sz w:val="20"/>
          <w:szCs w:val="20"/>
          <w:color w:val="auto"/>
        </w:rPr>
      </w:pPr>
    </w:p>
    <w:p>
      <w:pPr>
        <w:ind w:left="1980" w:right="2020"/>
        <w:spacing w:after="0" w:line="248" w:lineRule="auto"/>
        <w:rPr>
          <w:sz w:val="20"/>
          <w:szCs w:val="20"/>
          <w:color w:val="auto"/>
        </w:rPr>
      </w:pPr>
      <w:r>
        <w:rPr>
          <w:rFonts w:ascii="Arial" w:cs="Arial" w:eastAsia="Arial" w:hAnsi="Arial"/>
          <w:sz w:val="11"/>
          <w:szCs w:val="11"/>
          <w:color w:val="auto"/>
        </w:rPr>
        <w:t>Our Board evaluates, from time to time as appropriate, whether the same person should serve as Chairman and CEO, or whether the positions should be held by different persons, in light of all relevant facts and circumstances and what it considers to be in the best interests of the Company and our shareholders. Since May 2016, the positions of Chairman and CEO have been held by Mr. Johnson, with Ms. Young serving as Lead Independent Director. The Board has utilized various leadership structures since 2010,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73660</wp:posOffset>
            </wp:positionV>
            <wp:extent cx="4572000" cy="1160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72000" cy="116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Board believes that, based on the Company’s current facts and circumstances, its Board leadership structure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85090</wp:posOffset>
            </wp:positionV>
            <wp:extent cx="365760"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27</w:t>
            </w:r>
          </w:p>
        </w:tc>
      </w:tr>
      <w:tr>
        <w:trPr>
          <w:trHeight w:val="327"/>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9" w:right="299" w:bottom="1440" w:gutter="0" w:footer="0" w:header="0"/>
        </w:sectPr>
      </w:pPr>
    </w:p>
    <w:bookmarkStart w:id="33" w:name="page34"/>
    <w:bookmarkEnd w:id="33"/>
    <w:p>
      <w:pPr>
        <w:ind w:left="840"/>
        <w:spacing w:after="0"/>
        <w:rPr>
          <w:sz w:val="20"/>
          <w:szCs w:val="20"/>
          <w:color w:val="auto"/>
        </w:rPr>
      </w:pPr>
      <w:r>
        <w:rPr>
          <w:rFonts w:ascii="Arial" w:cs="Arial" w:eastAsia="Arial" w:hAnsi="Arial"/>
          <w:sz w:val="10"/>
          <w:szCs w:val="10"/>
          <w:b w:val="1"/>
          <w:bCs w:val="1"/>
          <w:color w:val="E31F26"/>
        </w:rPr>
        <w:t>GOVERNANCE</w:t>
      </w:r>
    </w:p>
    <w:p>
      <w:pPr>
        <w:spacing w:after="0" w:line="107" w:lineRule="exact"/>
        <w:rPr>
          <w:sz w:val="20"/>
          <w:szCs w:val="20"/>
          <w:color w:val="auto"/>
        </w:rPr>
      </w:pPr>
    </w:p>
    <w:p>
      <w:pPr>
        <w:ind w:left="840" w:right="220"/>
        <w:spacing w:after="0" w:line="317" w:lineRule="auto"/>
        <w:rPr>
          <w:sz w:val="20"/>
          <w:szCs w:val="20"/>
          <w:color w:val="auto"/>
        </w:rPr>
      </w:pPr>
      <w:r>
        <w:rPr>
          <w:rFonts w:ascii="Arial" w:cs="Arial" w:eastAsia="Arial" w:hAnsi="Arial"/>
          <w:sz w:val="17"/>
          <w:szCs w:val="17"/>
          <w:b w:val="1"/>
          <w:bCs w:val="1"/>
          <w:color w:val="E31F26"/>
        </w:rPr>
        <w:t>LEAD INDEPENDENT DIRECTOR</w:t>
      </w:r>
    </w:p>
    <w:p>
      <w:pPr>
        <w:spacing w:after="0" w:line="34" w:lineRule="exact"/>
        <w:rPr>
          <w:sz w:val="20"/>
          <w:szCs w:val="20"/>
          <w:color w:val="auto"/>
        </w:rPr>
      </w:pPr>
    </w:p>
    <w:p>
      <w:pPr>
        <w:ind w:left="840" w:right="100"/>
        <w:spacing w:after="0" w:line="248" w:lineRule="auto"/>
        <w:rPr>
          <w:sz w:val="20"/>
          <w:szCs w:val="20"/>
          <w:color w:val="auto"/>
        </w:rPr>
      </w:pPr>
      <w:r>
        <w:rPr>
          <w:rFonts w:ascii="Arial" w:cs="Arial" w:eastAsia="Arial" w:hAnsi="Arial"/>
          <w:sz w:val="11"/>
          <w:szCs w:val="11"/>
          <w:color w:val="auto"/>
        </w:rPr>
        <w:t>The Board believes that, because the positions of Chairman and CEO are combined, a lead independent director is appropriate.</w:t>
      </w:r>
    </w:p>
    <w:p>
      <w:pPr>
        <w:spacing w:after="0" w:line="107" w:lineRule="exact"/>
        <w:rPr>
          <w:sz w:val="20"/>
          <w:szCs w:val="20"/>
          <w:color w:val="auto"/>
        </w:rPr>
      </w:pPr>
    </w:p>
    <w:p>
      <w:pPr>
        <w:ind w:left="840" w:right="480"/>
        <w:spacing w:after="0" w:line="318" w:lineRule="auto"/>
        <w:rPr>
          <w:sz w:val="20"/>
          <w:szCs w:val="20"/>
          <w:color w:val="auto"/>
        </w:rPr>
      </w:pPr>
      <w:r>
        <w:rPr>
          <w:rFonts w:ascii="Arial" w:cs="Arial" w:eastAsia="Arial" w:hAnsi="Arial"/>
          <w:sz w:val="10"/>
          <w:szCs w:val="10"/>
          <w:color w:val="auto"/>
        </w:rPr>
        <w:t>The Lead Independent Director’s responsibilities include:</w:t>
      </w:r>
    </w:p>
    <w:p>
      <w:pPr>
        <w:spacing w:after="0" w:line="73" w:lineRule="exact"/>
        <w:rPr>
          <w:sz w:val="20"/>
          <w:szCs w:val="20"/>
          <w:color w:val="auto"/>
        </w:rPr>
      </w:pPr>
    </w:p>
    <w:p>
      <w:pPr>
        <w:ind w:left="1040" w:right="40" w:hanging="208"/>
        <w:spacing w:after="0" w:line="248" w:lineRule="auto"/>
        <w:tabs>
          <w:tab w:leader="none" w:pos="1040" w:val="left"/>
        </w:tabs>
        <w:numPr>
          <w:ilvl w:val="0"/>
          <w:numId w:val="46"/>
        </w:numPr>
        <w:rPr>
          <w:rFonts w:ascii="Arial" w:cs="Arial" w:eastAsia="Arial" w:hAnsi="Arial"/>
          <w:sz w:val="11"/>
          <w:szCs w:val="11"/>
          <w:color w:val="E31F26"/>
        </w:rPr>
      </w:pPr>
      <w:r>
        <w:rPr>
          <w:rFonts w:ascii="Arial" w:cs="Arial" w:eastAsia="Arial" w:hAnsi="Arial"/>
          <w:sz w:val="11"/>
          <w:szCs w:val="11"/>
          <w:color w:val="auto"/>
        </w:rPr>
        <w:t>presiding at executive sessions of the independent directors, and Board meetings at which the Chairman is absent;</w:t>
      </w:r>
    </w:p>
    <w:p>
      <w:pPr>
        <w:spacing w:after="0" w:line="17" w:lineRule="exact"/>
        <w:rPr>
          <w:rFonts w:ascii="Arial" w:cs="Arial" w:eastAsia="Arial" w:hAnsi="Arial"/>
          <w:sz w:val="11"/>
          <w:szCs w:val="11"/>
          <w:color w:val="E31F26"/>
        </w:rPr>
      </w:pPr>
    </w:p>
    <w:p>
      <w:pPr>
        <w:ind w:left="1040" w:hanging="208"/>
        <w:spacing w:after="0" w:line="268" w:lineRule="auto"/>
        <w:tabs>
          <w:tab w:leader="none" w:pos="1040" w:val="left"/>
        </w:tabs>
        <w:numPr>
          <w:ilvl w:val="0"/>
          <w:numId w:val="46"/>
        </w:numPr>
        <w:rPr>
          <w:rFonts w:ascii="Arial" w:cs="Arial" w:eastAsia="Arial" w:hAnsi="Arial"/>
          <w:sz w:val="11"/>
          <w:szCs w:val="11"/>
          <w:color w:val="E31F26"/>
        </w:rPr>
      </w:pPr>
      <w:r>
        <w:rPr>
          <w:rFonts w:ascii="Arial" w:cs="Arial" w:eastAsia="Arial" w:hAnsi="Arial"/>
          <w:sz w:val="11"/>
          <w:szCs w:val="11"/>
          <w:color w:val="auto"/>
        </w:rPr>
        <w:t>attending meetings of each of the Board committees;</w:t>
      </w:r>
    </w:p>
    <w:p>
      <w:pPr>
        <w:spacing w:after="0" w:line="5" w:lineRule="exact"/>
        <w:rPr>
          <w:rFonts w:ascii="Arial" w:cs="Arial" w:eastAsia="Arial" w:hAnsi="Arial"/>
          <w:sz w:val="11"/>
          <w:szCs w:val="11"/>
          <w:color w:val="E31F26"/>
        </w:rPr>
      </w:pPr>
    </w:p>
    <w:p>
      <w:pPr>
        <w:ind w:left="1040" w:right="120" w:hanging="208"/>
        <w:spacing w:after="0" w:line="288" w:lineRule="auto"/>
        <w:tabs>
          <w:tab w:leader="none" w:pos="1040" w:val="left"/>
        </w:tabs>
        <w:numPr>
          <w:ilvl w:val="0"/>
          <w:numId w:val="46"/>
        </w:numPr>
        <w:rPr>
          <w:rFonts w:ascii="Arial" w:cs="Arial" w:eastAsia="Arial" w:hAnsi="Arial"/>
          <w:sz w:val="10"/>
          <w:szCs w:val="10"/>
          <w:color w:val="E31F26"/>
        </w:rPr>
      </w:pPr>
      <w:r>
        <w:rPr>
          <w:rFonts w:ascii="Arial" w:cs="Arial" w:eastAsia="Arial" w:hAnsi="Arial"/>
          <w:sz w:val="10"/>
          <w:szCs w:val="10"/>
          <w:color w:val="auto"/>
        </w:rPr>
        <w:t>encouraging and facilitating active participation by, and communication among, all directors;</w:t>
      </w:r>
    </w:p>
    <w:p>
      <w:pPr>
        <w:jc w:val="both"/>
        <w:ind w:left="1040" w:hanging="208"/>
        <w:spacing w:after="0" w:line="253" w:lineRule="auto"/>
        <w:tabs>
          <w:tab w:leader="none" w:pos="1040" w:val="left"/>
        </w:tabs>
        <w:numPr>
          <w:ilvl w:val="0"/>
          <w:numId w:val="46"/>
        </w:numPr>
        <w:rPr>
          <w:rFonts w:ascii="Arial" w:cs="Arial" w:eastAsia="Arial" w:hAnsi="Arial"/>
          <w:sz w:val="11"/>
          <w:szCs w:val="11"/>
          <w:color w:val="E31F26"/>
        </w:rPr>
      </w:pPr>
      <w:r>
        <w:rPr>
          <w:rFonts w:ascii="Arial" w:cs="Arial" w:eastAsia="Arial" w:hAnsi="Arial"/>
          <w:sz w:val="11"/>
          <w:szCs w:val="11"/>
          <w:color w:val="auto"/>
        </w:rPr>
        <w:t>serving as the liaison between the independent directors and the Chairman;</w:t>
      </w:r>
    </w:p>
    <w:p>
      <w:pPr>
        <w:spacing w:after="0" w:line="13" w:lineRule="exact"/>
        <w:rPr>
          <w:rFonts w:ascii="Arial" w:cs="Arial" w:eastAsia="Arial" w:hAnsi="Arial"/>
          <w:sz w:val="11"/>
          <w:szCs w:val="11"/>
          <w:color w:val="E31F26"/>
        </w:rPr>
      </w:pPr>
    </w:p>
    <w:p>
      <w:pPr>
        <w:ind w:left="1040" w:right="20" w:hanging="208"/>
        <w:spacing w:after="0" w:line="276" w:lineRule="auto"/>
        <w:tabs>
          <w:tab w:leader="none" w:pos="1040" w:val="left"/>
        </w:tabs>
        <w:numPr>
          <w:ilvl w:val="0"/>
          <w:numId w:val="46"/>
        </w:numPr>
        <w:rPr>
          <w:rFonts w:ascii="Arial" w:cs="Arial" w:eastAsia="Arial" w:hAnsi="Arial"/>
          <w:sz w:val="10"/>
          <w:szCs w:val="10"/>
          <w:color w:val="E31F26"/>
        </w:rPr>
      </w:pPr>
      <w:r>
        <w:rPr>
          <w:rFonts w:ascii="Arial" w:cs="Arial" w:eastAsia="Arial" w:hAnsi="Arial"/>
          <w:sz w:val="10"/>
          <w:szCs w:val="10"/>
          <w:color w:val="auto"/>
        </w:rPr>
        <w:t>approving Board meeting agendas and schedules after conferring with the Chairman and other members of the Board, as appropriate, and adding agenda items in her discretion;</w:t>
      </w:r>
    </w:p>
    <w:p>
      <w:pPr>
        <w:spacing w:after="0" w:line="4" w:lineRule="exact"/>
        <w:rPr>
          <w:rFonts w:ascii="Arial" w:cs="Arial" w:eastAsia="Arial" w:hAnsi="Arial"/>
          <w:sz w:val="10"/>
          <w:szCs w:val="10"/>
          <w:color w:val="E31F26"/>
        </w:rPr>
      </w:pPr>
    </w:p>
    <w:p>
      <w:pPr>
        <w:ind w:left="1040" w:right="360" w:hanging="208"/>
        <w:spacing w:after="0" w:line="253" w:lineRule="auto"/>
        <w:tabs>
          <w:tab w:leader="none" w:pos="1040" w:val="left"/>
        </w:tabs>
        <w:numPr>
          <w:ilvl w:val="0"/>
          <w:numId w:val="46"/>
        </w:numPr>
        <w:rPr>
          <w:rFonts w:ascii="Arial" w:cs="Arial" w:eastAsia="Arial" w:hAnsi="Arial"/>
          <w:sz w:val="11"/>
          <w:szCs w:val="11"/>
          <w:color w:val="E31F26"/>
        </w:rPr>
      </w:pPr>
      <w:r>
        <w:rPr>
          <w:rFonts w:ascii="Arial" w:cs="Arial" w:eastAsia="Arial" w:hAnsi="Arial"/>
          <w:sz w:val="11"/>
          <w:szCs w:val="11"/>
          <w:color w:val="auto"/>
        </w:rPr>
        <w:t>possessing the authority to call meetings of the independent directors;</w:t>
      </w:r>
    </w:p>
    <w:p>
      <w:pPr>
        <w:spacing w:after="0" w:line="13" w:lineRule="exact"/>
        <w:rPr>
          <w:rFonts w:ascii="Arial" w:cs="Arial" w:eastAsia="Arial" w:hAnsi="Arial"/>
          <w:sz w:val="11"/>
          <w:szCs w:val="11"/>
          <w:color w:val="E31F26"/>
        </w:rPr>
      </w:pPr>
    </w:p>
    <w:p>
      <w:pPr>
        <w:ind w:left="1040" w:hanging="208"/>
        <w:spacing w:after="0" w:line="268" w:lineRule="auto"/>
        <w:tabs>
          <w:tab w:leader="none" w:pos="1040" w:val="left"/>
        </w:tabs>
        <w:numPr>
          <w:ilvl w:val="0"/>
          <w:numId w:val="46"/>
        </w:numPr>
        <w:rPr>
          <w:rFonts w:ascii="Arial" w:cs="Arial" w:eastAsia="Arial" w:hAnsi="Arial"/>
          <w:sz w:val="11"/>
          <w:szCs w:val="11"/>
          <w:color w:val="E31F26"/>
        </w:rPr>
      </w:pPr>
      <w:r>
        <w:rPr>
          <w:rFonts w:ascii="Arial" w:cs="Arial" w:eastAsia="Arial" w:hAnsi="Arial"/>
          <w:sz w:val="11"/>
          <w:szCs w:val="11"/>
          <w:color w:val="auto"/>
        </w:rPr>
        <w:t>leading the Board’s annual CEO performance evaluation;</w:t>
      </w:r>
    </w:p>
    <w:p>
      <w:pPr>
        <w:spacing w:after="0" w:line="5" w:lineRule="exact"/>
        <w:rPr>
          <w:rFonts w:ascii="Arial" w:cs="Arial" w:eastAsia="Arial" w:hAnsi="Arial"/>
          <w:sz w:val="11"/>
          <w:szCs w:val="11"/>
          <w:color w:val="E31F26"/>
        </w:rPr>
      </w:pPr>
    </w:p>
    <w:p>
      <w:pPr>
        <w:ind w:left="1040" w:right="60" w:hanging="208"/>
        <w:spacing w:after="0" w:line="248" w:lineRule="auto"/>
        <w:tabs>
          <w:tab w:leader="none" w:pos="1040" w:val="left"/>
        </w:tabs>
        <w:numPr>
          <w:ilvl w:val="0"/>
          <w:numId w:val="46"/>
        </w:numPr>
        <w:rPr>
          <w:rFonts w:ascii="Arial" w:cs="Arial" w:eastAsia="Arial" w:hAnsi="Arial"/>
          <w:sz w:val="11"/>
          <w:szCs w:val="11"/>
          <w:color w:val="E31F26"/>
        </w:rPr>
      </w:pPr>
      <w:r>
        <w:rPr>
          <w:rFonts w:ascii="Arial" w:cs="Arial" w:eastAsia="Arial" w:hAnsi="Arial"/>
          <w:sz w:val="11"/>
          <w:szCs w:val="11"/>
          <w:color w:val="auto"/>
        </w:rPr>
        <w:t>advising the Chairman and the committee chairs in fulfilling their designated roles and responsibilities; and</w:t>
      </w:r>
    </w:p>
    <w:p>
      <w:pPr>
        <w:spacing w:after="0" w:line="17" w:lineRule="exact"/>
        <w:rPr>
          <w:rFonts w:ascii="Arial" w:cs="Arial" w:eastAsia="Arial" w:hAnsi="Arial"/>
          <w:sz w:val="11"/>
          <w:szCs w:val="11"/>
          <w:color w:val="E31F26"/>
        </w:rPr>
      </w:pPr>
    </w:p>
    <w:p>
      <w:pPr>
        <w:jc w:val="both"/>
        <w:ind w:left="1040" w:hanging="208"/>
        <w:spacing w:after="0" w:line="253" w:lineRule="auto"/>
        <w:tabs>
          <w:tab w:leader="none" w:pos="1040" w:val="left"/>
        </w:tabs>
        <w:numPr>
          <w:ilvl w:val="0"/>
          <w:numId w:val="46"/>
        </w:numPr>
        <w:rPr>
          <w:rFonts w:ascii="Arial" w:cs="Arial" w:eastAsia="Arial" w:hAnsi="Arial"/>
          <w:sz w:val="11"/>
          <w:szCs w:val="11"/>
          <w:color w:val="E31F26"/>
        </w:rPr>
      </w:pPr>
      <w:r>
        <w:rPr>
          <w:rFonts w:ascii="Arial" w:cs="Arial" w:eastAsia="Arial" w:hAnsi="Arial"/>
          <w:sz w:val="11"/>
          <w:szCs w:val="11"/>
          <w:color w:val="auto"/>
        </w:rPr>
        <w:t>performing such other functions as the Board or other directors may request.</w:t>
      </w:r>
    </w:p>
    <w:p>
      <w:pPr>
        <w:spacing w:after="0" w:line="104" w:lineRule="exact"/>
        <w:rPr>
          <w:sz w:val="20"/>
          <w:szCs w:val="20"/>
          <w:color w:val="auto"/>
        </w:rPr>
      </w:pPr>
    </w:p>
    <w:p>
      <w:pPr>
        <w:ind w:left="840" w:right="40"/>
        <w:spacing w:after="0" w:line="246" w:lineRule="auto"/>
        <w:rPr>
          <w:sz w:val="20"/>
          <w:szCs w:val="20"/>
          <w:color w:val="auto"/>
        </w:rPr>
      </w:pPr>
      <w:r>
        <w:rPr>
          <w:rFonts w:ascii="Arial" w:cs="Arial" w:eastAsia="Arial" w:hAnsi="Arial"/>
          <w:sz w:val="11"/>
          <w:szCs w:val="11"/>
          <w:color w:val="auto"/>
        </w:rPr>
        <w:t>The Board periodically considers the rotation of the Lead Independent Director, taking into account experience, continuity of leadership, and the best interests of the Company.</w:t>
      </w:r>
    </w:p>
    <w:p>
      <w:pPr>
        <w:spacing w:after="0" w:line="108" w:lineRule="exact"/>
        <w:rPr>
          <w:sz w:val="20"/>
          <w:szCs w:val="20"/>
          <w:color w:val="auto"/>
        </w:rPr>
      </w:pPr>
    </w:p>
    <w:p>
      <w:pPr>
        <w:ind w:left="840" w:right="40"/>
        <w:spacing w:after="0" w:line="267" w:lineRule="auto"/>
        <w:rPr>
          <w:sz w:val="20"/>
          <w:szCs w:val="20"/>
          <w:color w:val="auto"/>
        </w:rPr>
      </w:pPr>
      <w:r>
        <w:rPr>
          <w:rFonts w:ascii="Arial" w:cs="Arial" w:eastAsia="Arial" w:hAnsi="Arial"/>
          <w:sz w:val="10"/>
          <w:szCs w:val="10"/>
          <w:color w:val="auto"/>
        </w:rPr>
        <w:t>Ms. Young currently serves as the Lead Independent Director. The Board believes that Ms. Young is well suited to serve as Lead Independent Director, given her governance, business, and financial background. The Board also recognizes that it benefits from Ms. Young’s tenure as an experienced director who has developed insight into the Company over the course of her service on the Board, which improves her ability to provide constructive, independent, and informed guidance and oversight to management.</w:t>
      </w:r>
    </w:p>
    <w:p>
      <w:pPr>
        <w:spacing w:after="0" w:line="132" w:lineRule="exact"/>
        <w:rPr>
          <w:sz w:val="20"/>
          <w:szCs w:val="20"/>
          <w:color w:val="auto"/>
        </w:rPr>
      </w:pPr>
    </w:p>
    <w:p>
      <w:pPr>
        <w:ind w:left="1540" w:hanging="408"/>
        <w:spacing w:after="0"/>
        <w:tabs>
          <w:tab w:leader="none" w:pos="1540" w:val="left"/>
        </w:tabs>
        <w:numPr>
          <w:ilvl w:val="0"/>
          <w:numId w:val="47"/>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10"/>
        <w:spacing w:after="0"/>
        <w:rPr>
          <w:sz w:val="20"/>
          <w:szCs w:val="20"/>
          <w:color w:val="auto"/>
        </w:rPr>
      </w:pPr>
      <w:r>
        <w:rPr>
          <w:rFonts w:ascii="Arial" w:cs="Arial" w:eastAsia="Arial" w:hAnsi="Arial"/>
          <w:sz w:val="11"/>
          <w:szCs w:val="11"/>
          <w:b w:val="1"/>
          <w:bCs w:val="1"/>
          <w:color w:val="E31F26"/>
        </w:rPr>
        <w:t>NOTE FROM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-120015</wp:posOffset>
            </wp:positionV>
            <wp:extent cx="3263265" cy="5040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63265" cy="5040630"/>
                    </a:xfrm>
                    <a:prstGeom prst="rect">
                      <a:avLst/>
                    </a:prstGeom>
                    <a:noFill/>
                  </pic:spPr>
                </pic:pic>
              </a:graphicData>
            </a:graphic>
          </wp:anchor>
        </w:drawing>
      </w:r>
    </w:p>
    <w:p>
      <w:pPr>
        <w:spacing w:after="0" w:line="106" w:lineRule="exact"/>
        <w:rPr>
          <w:sz w:val="20"/>
          <w:szCs w:val="20"/>
          <w:color w:val="auto"/>
        </w:rPr>
      </w:pPr>
    </w:p>
    <w:p>
      <w:pPr>
        <w:ind w:left="10" w:right="919"/>
        <w:spacing w:after="0" w:line="243" w:lineRule="auto"/>
        <w:rPr>
          <w:sz w:val="20"/>
          <w:szCs w:val="20"/>
          <w:color w:val="auto"/>
        </w:rPr>
      </w:pPr>
      <w:r>
        <w:rPr>
          <w:rFonts w:ascii="Arial" w:cs="Arial" w:eastAsia="Arial" w:hAnsi="Arial"/>
          <w:sz w:val="11"/>
          <w:szCs w:val="11"/>
          <w:color w:val="auto"/>
        </w:rPr>
        <w:t>Despite the many challenges we confronted and are continuing to experience—including impacts related to the COVID-19 pandemic, supply chain disruption, inflationary pressures, and an evolving geopolitical environment—we delivered record performance in 2021. While it is important to celebrate this achievement, the Board, like management, never rests because we recognize certain headwinds in the marketplace. Our Board is engaged in confronting these challenges and believes that our strategic plan puts the Company in a position of strength. On behalf of the Board, I am pleased to share with you some highlights of the governance work we have done to navigate these challenges and make strategic choices to create long-term, consistent shareholder value:</w:t>
      </w:r>
    </w:p>
    <w:p>
      <w:pPr>
        <w:spacing w:after="0" w:line="109" w:lineRule="exact"/>
        <w:rPr>
          <w:sz w:val="20"/>
          <w:szCs w:val="20"/>
          <w:color w:val="auto"/>
        </w:rPr>
      </w:pPr>
    </w:p>
    <w:p>
      <w:pPr>
        <w:ind w:left="210" w:right="939" w:hanging="210"/>
        <w:spacing w:after="0" w:line="242" w:lineRule="auto"/>
        <w:tabs>
          <w:tab w:leader="none" w:pos="210" w:val="left"/>
        </w:tabs>
        <w:numPr>
          <w:ilvl w:val="0"/>
          <w:numId w:val="48"/>
        </w:numPr>
        <w:rPr>
          <w:rFonts w:ascii="Arial" w:cs="Arial" w:eastAsia="Arial" w:hAnsi="Arial"/>
          <w:sz w:val="11"/>
          <w:szCs w:val="11"/>
          <w:color w:val="E31F26"/>
        </w:rPr>
      </w:pPr>
      <w:r>
        <w:rPr>
          <w:rFonts w:ascii="Arial" w:cs="Arial" w:eastAsia="Arial" w:hAnsi="Arial"/>
          <w:sz w:val="11"/>
          <w:szCs w:val="11"/>
          <w:b w:val="1"/>
          <w:bCs w:val="1"/>
          <w:color w:val="E31F26"/>
        </w:rPr>
        <w:t xml:space="preserve">Long-Term Strategy Oversight. </w:t>
      </w:r>
      <w:r>
        <w:rPr>
          <w:rFonts w:ascii="Arial" w:cs="Arial" w:eastAsia="Arial" w:hAnsi="Arial"/>
          <w:sz w:val="11"/>
          <w:szCs w:val="11"/>
          <w:color w:val="000000"/>
        </w:rPr>
        <w:t>The Board has overseen the long-term strategy initiatives</w:t>
      </w:r>
      <w:r>
        <w:rPr>
          <w:rFonts w:ascii="Arial" w:cs="Arial" w:eastAsia="Arial" w:hAnsi="Arial"/>
          <w:sz w:val="11"/>
          <w:szCs w:val="11"/>
          <w:b w:val="1"/>
          <w:bCs w:val="1"/>
          <w:color w:val="E31F26"/>
        </w:rPr>
        <w:t xml:space="preserve"> </w:t>
      </w:r>
      <w:r>
        <w:rPr>
          <w:rFonts w:ascii="Arial" w:cs="Arial" w:eastAsia="Arial" w:hAnsi="Arial"/>
          <w:sz w:val="11"/>
          <w:szCs w:val="11"/>
          <w:color w:val="000000"/>
        </w:rPr>
        <w:t>implemented in 2021 to diversify our brands, categories, and channels, as well as expand our demographic and geographic customer base with the acquisitions of WSS and atmos. As the business and industry continue to evolve, the Board remains engaged and committed to accelerating certain initiatives in 2022 as a part of our long-term strategy to address the accelerated strategic shift to DTC by our vendors while also returning capital to shareholders, including further diversification of our merchandise and vendor mix, accelerating our off-mall pivot and key growth banner rollout, enhancing omni-channel evolution efforts, and implementing a new cost savings program.</w:t>
      </w:r>
    </w:p>
    <w:p>
      <w:pPr>
        <w:spacing w:after="0" w:line="112" w:lineRule="exact"/>
        <w:rPr>
          <w:rFonts w:ascii="Arial" w:cs="Arial" w:eastAsia="Arial" w:hAnsi="Arial"/>
          <w:sz w:val="11"/>
          <w:szCs w:val="11"/>
          <w:color w:val="E31F26"/>
        </w:rPr>
      </w:pPr>
    </w:p>
    <w:p>
      <w:pPr>
        <w:ind w:left="210" w:right="1059" w:hanging="210"/>
        <w:spacing w:after="0" w:line="246" w:lineRule="auto"/>
        <w:tabs>
          <w:tab w:leader="none" w:pos="210" w:val="left"/>
        </w:tabs>
        <w:numPr>
          <w:ilvl w:val="0"/>
          <w:numId w:val="48"/>
        </w:numPr>
        <w:rPr>
          <w:rFonts w:ascii="Arial" w:cs="Arial" w:eastAsia="Arial" w:hAnsi="Arial"/>
          <w:sz w:val="11"/>
          <w:szCs w:val="11"/>
          <w:color w:val="E31F26"/>
        </w:rPr>
      </w:pPr>
      <w:r>
        <w:rPr>
          <w:rFonts w:ascii="Arial" w:cs="Arial" w:eastAsia="Arial" w:hAnsi="Arial"/>
          <w:sz w:val="11"/>
          <w:szCs w:val="11"/>
          <w:b w:val="1"/>
          <w:bCs w:val="1"/>
          <w:color w:val="E31F26"/>
        </w:rPr>
        <w:t xml:space="preserve">Board Refreshment. </w:t>
      </w:r>
      <w:r>
        <w:rPr>
          <w:rFonts w:ascii="Arial" w:cs="Arial" w:eastAsia="Arial" w:hAnsi="Arial"/>
          <w:sz w:val="11"/>
          <w:szCs w:val="11"/>
          <w:color w:val="000000"/>
        </w:rPr>
        <w:t>Ongoing Board refreshment is critical to ensure we have the right mix of</w:t>
      </w:r>
      <w:r>
        <w:rPr>
          <w:rFonts w:ascii="Arial" w:cs="Arial" w:eastAsia="Arial" w:hAnsi="Arial"/>
          <w:sz w:val="11"/>
          <w:szCs w:val="11"/>
          <w:b w:val="1"/>
          <w:bCs w:val="1"/>
          <w:color w:val="E31F26"/>
        </w:rPr>
        <w:t xml:space="preserve"> </w:t>
      </w:r>
      <w:r>
        <w:rPr>
          <w:rFonts w:ascii="Arial" w:cs="Arial" w:eastAsia="Arial" w:hAnsi="Arial"/>
          <w:sz w:val="11"/>
          <w:szCs w:val="11"/>
          <w:color w:val="000000"/>
        </w:rPr>
        <w:t>skills, diversity, and expertise to support the Company’s progress. We recently strengthened our Board with the election of Gina Drosos in February 2022 in anticipation of Matt McKenna’s retirement from the Board in May 2022. Gina brings significant financial, industry, and operational experience from her current role as a sitting CEO of a speciality retailer.</w:t>
      </w:r>
    </w:p>
    <w:p>
      <w:pPr>
        <w:spacing w:after="0" w:line="107" w:lineRule="exact"/>
        <w:rPr>
          <w:rFonts w:ascii="Arial" w:cs="Arial" w:eastAsia="Arial" w:hAnsi="Arial"/>
          <w:sz w:val="11"/>
          <w:szCs w:val="11"/>
          <w:color w:val="E31F26"/>
        </w:rPr>
      </w:pPr>
    </w:p>
    <w:p>
      <w:pPr>
        <w:ind w:left="210" w:right="1019" w:hanging="210"/>
        <w:spacing w:after="0" w:line="245" w:lineRule="auto"/>
        <w:tabs>
          <w:tab w:leader="none" w:pos="210" w:val="left"/>
        </w:tabs>
        <w:numPr>
          <w:ilvl w:val="0"/>
          <w:numId w:val="48"/>
        </w:numPr>
        <w:rPr>
          <w:rFonts w:ascii="Arial" w:cs="Arial" w:eastAsia="Arial" w:hAnsi="Arial"/>
          <w:sz w:val="11"/>
          <w:szCs w:val="11"/>
          <w:color w:val="E31F26"/>
        </w:rPr>
      </w:pPr>
      <w:r>
        <w:rPr>
          <w:rFonts w:ascii="Arial" w:cs="Arial" w:eastAsia="Arial" w:hAnsi="Arial"/>
          <w:sz w:val="11"/>
          <w:szCs w:val="11"/>
          <w:b w:val="1"/>
          <w:bCs w:val="1"/>
          <w:color w:val="E31F26"/>
        </w:rPr>
        <w:t xml:space="preserve">Succession Planning. </w:t>
      </w:r>
      <w:r>
        <w:rPr>
          <w:rFonts w:ascii="Arial" w:cs="Arial" w:eastAsia="Arial" w:hAnsi="Arial"/>
          <w:sz w:val="11"/>
          <w:szCs w:val="11"/>
          <w:color w:val="000000"/>
        </w:rPr>
        <w:t>The Board believes that a high-performing management team is critical to</w:t>
      </w:r>
      <w:r>
        <w:rPr>
          <w:rFonts w:ascii="Arial" w:cs="Arial" w:eastAsia="Arial" w:hAnsi="Arial"/>
          <w:sz w:val="11"/>
          <w:szCs w:val="11"/>
          <w:b w:val="1"/>
          <w:bCs w:val="1"/>
          <w:color w:val="E31F26"/>
        </w:rPr>
        <w:t xml:space="preserve"> </w:t>
      </w:r>
      <w:r>
        <w:rPr>
          <w:rFonts w:ascii="Arial" w:cs="Arial" w:eastAsia="Arial" w:hAnsi="Arial"/>
          <w:sz w:val="11"/>
          <w:szCs w:val="11"/>
          <w:color w:val="000000"/>
        </w:rPr>
        <w:t xml:space="preserve">our success as a global brand that leads with purpose. To ensure we have the appropriate succession plan in place, the full Board is engaged in a long-term process with management to maximize the pool of emerging diverse talent who possess the skills, experiences, and attributes required to be effective leaders in light of the Company’s global business strategies, opportunities, and challenges. For additional information, see </w:t>
      </w:r>
      <w:r>
        <w:rPr>
          <w:rFonts w:ascii="Arial" w:cs="Arial" w:eastAsia="Arial" w:hAnsi="Arial"/>
          <w:sz w:val="11"/>
          <w:szCs w:val="11"/>
          <w:b w:val="1"/>
          <w:bCs w:val="1"/>
          <w:color w:val="E31F26"/>
        </w:rPr>
        <w:t>Human Capital Management and Succession</w:t>
      </w:r>
      <w:r>
        <w:rPr>
          <w:rFonts w:ascii="Arial" w:cs="Arial" w:eastAsia="Arial" w:hAnsi="Arial"/>
          <w:sz w:val="11"/>
          <w:szCs w:val="11"/>
          <w:color w:val="000000"/>
        </w:rPr>
        <w:t xml:space="preserve"> </w:t>
      </w:r>
      <w:r>
        <w:rPr>
          <w:rFonts w:ascii="Arial" w:cs="Arial" w:eastAsia="Arial" w:hAnsi="Arial"/>
          <w:sz w:val="11"/>
          <w:szCs w:val="11"/>
          <w:b w:val="1"/>
          <w:bCs w:val="1"/>
          <w:color w:val="E31F26"/>
        </w:rPr>
        <w:t xml:space="preserve">Planning Oversight </w:t>
      </w:r>
      <w:r>
        <w:rPr>
          <w:rFonts w:ascii="Arial" w:cs="Arial" w:eastAsia="Arial" w:hAnsi="Arial"/>
          <w:sz w:val="11"/>
          <w:szCs w:val="11"/>
          <w:color w:val="000000"/>
        </w:rPr>
        <w:t>on page 34.</w:t>
      </w:r>
    </w:p>
    <w:p>
      <w:pPr>
        <w:spacing w:after="0" w:line="104" w:lineRule="exact"/>
        <w:rPr>
          <w:rFonts w:ascii="Arial" w:cs="Arial" w:eastAsia="Arial" w:hAnsi="Arial"/>
          <w:sz w:val="11"/>
          <w:szCs w:val="11"/>
          <w:color w:val="E31F26"/>
        </w:rPr>
      </w:pPr>
    </w:p>
    <w:p>
      <w:pPr>
        <w:ind w:left="210" w:right="979" w:hanging="210"/>
        <w:spacing w:after="0" w:line="276" w:lineRule="auto"/>
        <w:tabs>
          <w:tab w:leader="none" w:pos="210" w:val="left"/>
        </w:tabs>
        <w:numPr>
          <w:ilvl w:val="0"/>
          <w:numId w:val="48"/>
        </w:numPr>
        <w:rPr>
          <w:rFonts w:ascii="Arial" w:cs="Arial" w:eastAsia="Arial" w:hAnsi="Arial"/>
          <w:sz w:val="10"/>
          <w:szCs w:val="10"/>
          <w:color w:val="E31F26"/>
        </w:rPr>
      </w:pPr>
      <w:r>
        <w:rPr>
          <w:rFonts w:ascii="Arial" w:cs="Arial" w:eastAsia="Arial" w:hAnsi="Arial"/>
          <w:sz w:val="10"/>
          <w:szCs w:val="10"/>
          <w:b w:val="1"/>
          <w:bCs w:val="1"/>
          <w:color w:val="E31F26"/>
        </w:rPr>
        <w:t xml:space="preserve">Shareholder Engagement. </w:t>
      </w:r>
      <w:r>
        <w:rPr>
          <w:rFonts w:ascii="Arial" w:cs="Arial" w:eastAsia="Arial" w:hAnsi="Arial"/>
          <w:sz w:val="10"/>
          <w:szCs w:val="10"/>
          <w:color w:val="000000"/>
        </w:rPr>
        <w:t>Our Board serves at the pleasure of</w:t>
      </w:r>
      <w:r>
        <w:rPr>
          <w:rFonts w:ascii="Arial" w:cs="Arial" w:eastAsia="Arial" w:hAnsi="Arial"/>
          <w:sz w:val="10"/>
          <w:szCs w:val="10"/>
          <w:b w:val="1"/>
          <w:bCs w:val="1"/>
          <w:color w:val="E31F26"/>
        </w:rPr>
        <w:t xml:space="preserve"> </w:t>
      </w:r>
      <w:r>
        <w:rPr>
          <w:rFonts w:ascii="Arial" w:cs="Arial" w:eastAsia="Arial" w:hAnsi="Arial"/>
          <w:sz w:val="10"/>
          <w:szCs w:val="10"/>
          <w:i w:val="1"/>
          <w:iCs w:val="1"/>
          <w:color w:val="E31F26"/>
        </w:rPr>
        <w:t>you</w:t>
      </w:r>
      <w:r>
        <w:rPr>
          <w:rFonts w:ascii="Arial" w:cs="Arial" w:eastAsia="Arial" w:hAnsi="Arial"/>
          <w:sz w:val="10"/>
          <w:szCs w:val="10"/>
          <w:color w:val="000000"/>
        </w:rPr>
        <w:t>, our shareholders. Therefore,</w:t>
      </w:r>
      <w:r>
        <w:rPr>
          <w:rFonts w:ascii="Arial" w:cs="Arial" w:eastAsia="Arial" w:hAnsi="Arial"/>
          <w:sz w:val="10"/>
          <w:szCs w:val="10"/>
          <w:b w:val="1"/>
          <w:bCs w:val="1"/>
          <w:color w:val="E31F26"/>
        </w:rPr>
        <w:t xml:space="preserve"> </w:t>
      </w:r>
      <w:r>
        <w:rPr>
          <w:rFonts w:ascii="Arial" w:cs="Arial" w:eastAsia="Arial" w:hAnsi="Arial"/>
          <w:sz w:val="10"/>
          <w:szCs w:val="10"/>
          <w:color w:val="000000"/>
        </w:rPr>
        <w:t xml:space="preserve">as a Board, one of our highest priorities is hearing from </w:t>
      </w:r>
      <w:r>
        <w:rPr>
          <w:rFonts w:ascii="Arial" w:cs="Arial" w:eastAsia="Arial" w:hAnsi="Arial"/>
          <w:sz w:val="10"/>
          <w:szCs w:val="10"/>
          <w:i w:val="1"/>
          <w:iCs w:val="1"/>
          <w:color w:val="E31F26"/>
        </w:rPr>
        <w:t>you</w:t>
      </w:r>
      <w:r>
        <w:rPr>
          <w:rFonts w:ascii="Arial" w:cs="Arial" w:eastAsia="Arial" w:hAnsi="Arial"/>
          <w:sz w:val="10"/>
          <w:szCs w:val="10"/>
          <w:color w:val="000000"/>
        </w:rPr>
        <w:t xml:space="preserve">, our shareholders, who have entrusted us with this responsibility. For the past five years, I have led, on behalf of our Board, a structured and governance-focused shareholder engagement program designed to accomplish this by facilitating transparency and creating a platform to receive shareholder feedback to share with the Board. For additional information, see </w:t>
      </w:r>
      <w:r>
        <w:rPr>
          <w:rFonts w:ascii="Arial" w:cs="Arial" w:eastAsia="Arial" w:hAnsi="Arial"/>
          <w:sz w:val="10"/>
          <w:szCs w:val="10"/>
          <w:b w:val="1"/>
          <w:bCs w:val="1"/>
          <w:color w:val="E31F26"/>
        </w:rPr>
        <w:t>Shareholder Engagement</w:t>
      </w:r>
      <w:r>
        <w:rPr>
          <w:rFonts w:ascii="Arial" w:cs="Arial" w:eastAsia="Arial" w:hAnsi="Arial"/>
          <w:sz w:val="10"/>
          <w:szCs w:val="10"/>
          <w:color w:val="000000"/>
        </w:rPr>
        <w:t xml:space="preserve"> on page 38.</w:t>
      </w:r>
    </w:p>
    <w:p>
      <w:pPr>
        <w:spacing w:after="0" w:line="88" w:lineRule="exact"/>
        <w:rPr>
          <w:rFonts w:ascii="Arial" w:cs="Arial" w:eastAsia="Arial" w:hAnsi="Arial"/>
          <w:sz w:val="10"/>
          <w:szCs w:val="10"/>
          <w:color w:val="E31F26"/>
        </w:rPr>
      </w:pPr>
    </w:p>
    <w:p>
      <w:pPr>
        <w:ind w:left="210" w:right="939" w:hanging="210"/>
        <w:spacing w:after="0" w:line="244" w:lineRule="auto"/>
        <w:tabs>
          <w:tab w:leader="none" w:pos="210" w:val="left"/>
        </w:tabs>
        <w:numPr>
          <w:ilvl w:val="0"/>
          <w:numId w:val="48"/>
        </w:numPr>
        <w:rPr>
          <w:rFonts w:ascii="Arial" w:cs="Arial" w:eastAsia="Arial" w:hAnsi="Arial"/>
          <w:sz w:val="11"/>
          <w:szCs w:val="11"/>
          <w:color w:val="E31F26"/>
        </w:rPr>
      </w:pPr>
      <w:r>
        <w:rPr>
          <w:rFonts w:ascii="Arial" w:cs="Arial" w:eastAsia="Arial" w:hAnsi="Arial"/>
          <w:sz w:val="11"/>
          <w:szCs w:val="11"/>
          <w:b w:val="1"/>
          <w:bCs w:val="1"/>
          <w:color w:val="E31F26"/>
        </w:rPr>
        <w:t xml:space="preserve">ESG. </w:t>
      </w:r>
      <w:r>
        <w:rPr>
          <w:rFonts w:ascii="Arial" w:cs="Arial" w:eastAsia="Arial" w:hAnsi="Arial"/>
          <w:sz w:val="11"/>
          <w:szCs w:val="11"/>
          <w:color w:val="000000"/>
        </w:rPr>
        <w:t>ESG is embedded in our ability to achieve our strategic imperatives. The Board has worked</w:t>
      </w:r>
      <w:r>
        <w:rPr>
          <w:rFonts w:ascii="Arial" w:cs="Arial" w:eastAsia="Arial" w:hAnsi="Arial"/>
          <w:sz w:val="11"/>
          <w:szCs w:val="11"/>
          <w:b w:val="1"/>
          <w:bCs w:val="1"/>
          <w:color w:val="E31F26"/>
        </w:rPr>
        <w:t xml:space="preserve"> </w:t>
      </w:r>
      <w:r>
        <w:rPr>
          <w:rFonts w:ascii="Arial" w:cs="Arial" w:eastAsia="Arial" w:hAnsi="Arial"/>
          <w:sz w:val="11"/>
          <w:szCs w:val="11"/>
          <w:color w:val="000000"/>
        </w:rPr>
        <w:t xml:space="preserve">with management in its oversight capacity to support the integration of its ESG efforts into its over-arching growth strategy, as illustrated in our Impact Report. For example, we believe DIBs is a strategic business driver. Management and the Board have been tested in multiple ways throughout the pandemic and our diversity has proven to be an important asset, which has led us to make better strategic decisions. For additional information regarding our global ESG program and Board oversight, see </w:t>
      </w:r>
      <w:r>
        <w:rPr>
          <w:rFonts w:ascii="Arial" w:cs="Arial" w:eastAsia="Arial" w:hAnsi="Arial"/>
          <w:sz w:val="11"/>
          <w:szCs w:val="11"/>
          <w:b w:val="1"/>
          <w:bCs w:val="1"/>
          <w:color w:val="E31F26"/>
        </w:rPr>
        <w:t>ESG</w:t>
      </w:r>
      <w:r>
        <w:rPr>
          <w:rFonts w:ascii="Arial" w:cs="Arial" w:eastAsia="Arial" w:hAnsi="Arial"/>
          <w:sz w:val="11"/>
          <w:szCs w:val="11"/>
          <w:color w:val="000000"/>
        </w:rPr>
        <w:t xml:space="preserve"> on page 96, </w:t>
      </w:r>
      <w:r>
        <w:rPr>
          <w:rFonts w:ascii="Arial" w:cs="Arial" w:eastAsia="Arial" w:hAnsi="Arial"/>
          <w:sz w:val="11"/>
          <w:szCs w:val="11"/>
          <w:b w:val="1"/>
          <w:bCs w:val="1"/>
          <w:color w:val="E31F26"/>
        </w:rPr>
        <w:t>ESG Oversight</w:t>
      </w:r>
      <w:r>
        <w:rPr>
          <w:rFonts w:ascii="Arial" w:cs="Arial" w:eastAsia="Arial" w:hAnsi="Arial"/>
          <w:sz w:val="11"/>
          <w:szCs w:val="11"/>
          <w:color w:val="000000"/>
        </w:rPr>
        <w:t xml:space="preserve"> on page 35, and our Impact Report, which is available at </w:t>
      </w:r>
      <w:r>
        <w:rPr>
          <w:rFonts w:ascii="Arial" w:cs="Arial" w:eastAsia="Arial" w:hAnsi="Arial"/>
          <w:sz w:val="11"/>
          <w:szCs w:val="11"/>
          <w:b w:val="1"/>
          <w:bCs w:val="1"/>
          <w:color w:val="E31F26"/>
        </w:rPr>
        <w:t>investors.footlocker-inc.com/impactreport</w:t>
      </w:r>
      <w:r>
        <w:rPr>
          <w:rFonts w:ascii="Arial" w:cs="Arial" w:eastAsia="Arial" w:hAnsi="Arial"/>
          <w:sz w:val="11"/>
          <w:szCs w:val="11"/>
          <w:color w:val="000000"/>
        </w:rPr>
        <w:t>.</w:t>
      </w:r>
    </w:p>
    <w:p>
      <w:pPr>
        <w:spacing w:after="0" w:line="105" w:lineRule="exact"/>
        <w:rPr>
          <w:sz w:val="20"/>
          <w:szCs w:val="20"/>
          <w:color w:val="auto"/>
        </w:rPr>
      </w:pPr>
    </w:p>
    <w:p>
      <w:pPr>
        <w:ind w:left="10" w:right="979"/>
        <w:spacing w:after="0" w:line="268" w:lineRule="auto"/>
        <w:rPr>
          <w:sz w:val="20"/>
          <w:szCs w:val="20"/>
          <w:color w:val="auto"/>
        </w:rPr>
      </w:pPr>
      <w:r>
        <w:rPr>
          <w:rFonts w:ascii="Arial" w:cs="Arial" w:eastAsia="Arial" w:hAnsi="Arial"/>
          <w:sz w:val="11"/>
          <w:szCs w:val="11"/>
          <w:color w:val="auto"/>
        </w:rPr>
        <w:t>The Board is incredibly grateful to all our stakeholders for their continued commitment to supporting the Company.</w:t>
      </w:r>
    </w:p>
    <w:p>
      <w:pPr>
        <w:spacing w:after="0" w:line="96" w:lineRule="exact"/>
        <w:rPr>
          <w:sz w:val="20"/>
          <w:szCs w:val="20"/>
          <w:color w:val="auto"/>
        </w:rPr>
      </w:pPr>
    </w:p>
    <w:p>
      <w:pPr>
        <w:ind w:left="990" w:right="1019"/>
        <w:spacing w:after="0" w:line="249" w:lineRule="auto"/>
        <w:rPr>
          <w:sz w:val="20"/>
          <w:szCs w:val="20"/>
          <w:color w:val="auto"/>
        </w:rPr>
      </w:pPr>
      <w:r>
        <w:rPr>
          <w:rFonts w:ascii="Arial" w:cs="Arial" w:eastAsia="Arial" w:hAnsi="Arial"/>
          <w:sz w:val="11"/>
          <w:szCs w:val="11"/>
          <w:b w:val="1"/>
          <w:bCs w:val="1"/>
          <w:color w:val="auto"/>
        </w:rPr>
        <w:t xml:space="preserve">“While the Board knows that it is important to celebrate the Company’s record performance in 2021, the Board, like management, never rests because we recognize certain headwinds in the marketplace and our oversight responsibility to make the strategic decisions necessary to create long-term, consistent value for </w:t>
      </w:r>
      <w:r>
        <w:rPr>
          <w:rFonts w:ascii="Arial" w:cs="Arial" w:eastAsia="Arial" w:hAnsi="Arial"/>
          <w:sz w:val="11"/>
          <w:szCs w:val="11"/>
          <w:b w:val="1"/>
          <w:bCs w:val="1"/>
          <w:i w:val="1"/>
          <w:iCs w:val="1"/>
          <w:color w:val="E31F26"/>
        </w:rPr>
        <w:t>you</w:t>
      </w:r>
      <w:r>
        <w:rPr>
          <w:rFonts w:ascii="Arial" w:cs="Arial" w:eastAsia="Arial" w:hAnsi="Arial"/>
          <w:sz w:val="11"/>
          <w:szCs w:val="11"/>
          <w:b w:val="1"/>
          <w:bCs w:val="1"/>
          <w:color w:val="auto"/>
        </w:rPr>
        <w:t>, our shareholders.”</w:t>
      </w:r>
    </w:p>
    <w:p>
      <w:pPr>
        <w:spacing w:after="0" w:line="100" w:lineRule="exact"/>
        <w:rPr>
          <w:sz w:val="20"/>
          <w:szCs w:val="20"/>
          <w:color w:val="auto"/>
        </w:rPr>
      </w:pPr>
    </w:p>
    <w:p>
      <w:pPr>
        <w:ind w:left="990"/>
        <w:spacing w:after="0"/>
        <w:rPr>
          <w:sz w:val="20"/>
          <w:szCs w:val="20"/>
          <w:color w:val="auto"/>
        </w:rPr>
      </w:pPr>
      <w:r>
        <w:rPr>
          <w:rFonts w:ascii="Arial" w:cs="Arial" w:eastAsia="Arial" w:hAnsi="Arial"/>
          <w:sz w:val="11"/>
          <w:szCs w:val="11"/>
          <w:b w:val="1"/>
          <w:bCs w:val="1"/>
          <w:color w:val="E31F26"/>
        </w:rPr>
        <w:t>DONA D. YOUNG</w:t>
      </w:r>
    </w:p>
    <w:p>
      <w:pPr>
        <w:spacing w:after="0" w:line="11" w:lineRule="exact"/>
        <w:rPr>
          <w:sz w:val="20"/>
          <w:szCs w:val="20"/>
          <w:color w:val="auto"/>
        </w:rPr>
      </w:pPr>
    </w:p>
    <w:p>
      <w:pPr>
        <w:ind w:left="990"/>
        <w:spacing w:after="0"/>
        <w:rPr>
          <w:sz w:val="20"/>
          <w:szCs w:val="20"/>
          <w:color w:val="auto"/>
        </w:rPr>
      </w:pPr>
      <w:r>
        <w:rPr>
          <w:rFonts w:ascii="Arial" w:cs="Arial" w:eastAsia="Arial" w:hAnsi="Arial"/>
          <w:sz w:val="10"/>
          <w:szCs w:val="10"/>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565150</wp:posOffset>
            </wp:positionV>
            <wp:extent cx="717804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2">
            <w:col w:w="2880" w:space="230"/>
            <w:col w:w="5909"/>
          </w:cols>
          <w:pgMar w:left="1440" w:top="439" w:right="1440" w:bottom="1440" w:gutter="0" w:footer="0" w:header="0"/>
        </w:sectPr>
      </w:pPr>
    </w:p>
    <w:bookmarkStart w:id="34" w:name="page35"/>
    <w:bookmarkEnd w:id="34"/>
    <w:p>
      <w:pPr>
        <w:jc w:val="right"/>
        <w:ind w:right="1980"/>
        <w:spacing w:after="0"/>
        <w:rPr>
          <w:sz w:val="20"/>
          <w:szCs w:val="20"/>
          <w:color w:val="auto"/>
        </w:rPr>
      </w:pPr>
      <w:r>
        <w:rPr>
          <w:rFonts w:ascii="Arial" w:cs="Arial" w:eastAsia="Arial" w:hAnsi="Arial"/>
          <w:sz w:val="10"/>
          <w:szCs w:val="10"/>
          <w:b w:val="1"/>
          <w:bCs w:val="1"/>
          <w:color w:val="E31F26"/>
        </w:rPr>
        <w:t>GOVERNANCE</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DIRECTOR ON-BOARDING</w:t>
      </w:r>
    </w:p>
    <w:p>
      <w:pPr>
        <w:spacing w:after="0" w:line="13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 have a two-phase on-boarding program for new directors that is intended to educate a new director on the Company and the Board’s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85090</wp:posOffset>
            </wp:positionV>
            <wp:extent cx="4572000" cy="2194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720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DIRECTOR CONTINUING EDUCATION</w:t>
      </w:r>
    </w:p>
    <w:p>
      <w:pPr>
        <w:spacing w:after="0" w:line="136" w:lineRule="exact"/>
        <w:rPr>
          <w:sz w:val="20"/>
          <w:szCs w:val="20"/>
          <w:color w:val="auto"/>
        </w:rPr>
      </w:pPr>
    </w:p>
    <w:p>
      <w:pPr>
        <w:ind w:left="1980" w:right="2140"/>
        <w:spacing w:after="0" w:line="253" w:lineRule="auto"/>
        <w:rPr>
          <w:sz w:val="20"/>
          <w:szCs w:val="20"/>
          <w:color w:val="auto"/>
        </w:rPr>
      </w:pPr>
      <w:r>
        <w:rPr>
          <w:rFonts w:ascii="Arial" w:cs="Arial" w:eastAsia="Arial" w:hAnsi="Arial"/>
          <w:sz w:val="11"/>
          <w:szCs w:val="11"/>
          <w:color w:val="auto"/>
        </w:rPr>
        <w:t>Director education is an ongoing process, which begins when a director joins our Board. We host quarterly Board and committee presentations and separate education sessions to keep directors appropriately apprised of key developments concerning the following topics so they can effectively carry out their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71755</wp:posOffset>
            </wp:positionV>
            <wp:extent cx="4572000" cy="4972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720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980" w:right="2000"/>
        <w:spacing w:after="0" w:line="248" w:lineRule="auto"/>
        <w:rPr>
          <w:sz w:val="20"/>
          <w:szCs w:val="20"/>
          <w:color w:val="auto"/>
        </w:rPr>
      </w:pPr>
      <w:r>
        <w:rPr>
          <w:rFonts w:ascii="Arial" w:cs="Arial" w:eastAsia="Arial" w:hAnsi="Arial"/>
          <w:sz w:val="11"/>
          <w:szCs w:val="11"/>
          <w:color w:val="auto"/>
        </w:rPr>
        <w:t>We also encourage all directors to attend other continuing education programs to maintain their expertise and share takeaways with the other directors on these programs. We reimburse directors for reasonable expenses incurred in attending continuing education programs. Our directors have attended a variety of continuing education programs, conferences, and events hosted by universities, trade groups, law firms, accounting firms, and other advisory service firms on a variety of topics,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73660</wp:posOffset>
            </wp:positionV>
            <wp:extent cx="4663440" cy="18516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6344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29</w:t>
            </w:r>
          </w:p>
        </w:tc>
      </w:tr>
      <w:tr>
        <w:trPr>
          <w:trHeight w:val="327"/>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35" w:name="page36"/>
    <w:bookmarkEnd w:id="35"/>
    <w:p>
      <w:pPr>
        <w:ind w:left="840"/>
        <w:spacing w:after="0"/>
        <w:rPr>
          <w:sz w:val="20"/>
          <w:szCs w:val="20"/>
          <w:color w:val="auto"/>
        </w:rPr>
      </w:pPr>
      <w:r>
        <w:rPr>
          <w:rFonts w:ascii="Arial" w:cs="Arial" w:eastAsia="Arial" w:hAnsi="Arial"/>
          <w:sz w:val="10"/>
          <w:szCs w:val="10"/>
          <w:b w:val="1"/>
          <w:bCs w:val="1"/>
          <w:color w:val="E31F26"/>
        </w:rPr>
        <w:t>GOVERNANCE</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E31F26"/>
        </w:rPr>
        <w:t>MANDATORY RESIGNATION OR RETIREMENT</w:t>
      </w:r>
    </w:p>
    <w:p>
      <w:pPr>
        <w:spacing w:after="0" w:line="135" w:lineRule="exact"/>
        <w:rPr>
          <w:sz w:val="20"/>
          <w:szCs w:val="20"/>
          <w:color w:val="auto"/>
        </w:rPr>
      </w:pPr>
    </w:p>
    <w:p>
      <w:pPr>
        <w:ind w:left="840" w:right="879"/>
        <w:spacing w:after="0" w:line="253" w:lineRule="auto"/>
        <w:rPr>
          <w:sz w:val="20"/>
          <w:szCs w:val="20"/>
          <w:color w:val="auto"/>
        </w:rPr>
      </w:pPr>
      <w:r>
        <w:rPr>
          <w:rFonts w:ascii="Arial" w:cs="Arial" w:eastAsia="Arial" w:hAnsi="Arial"/>
          <w:sz w:val="11"/>
          <w:szCs w:val="11"/>
          <w:color w:val="auto"/>
        </w:rPr>
        <w:t>The Board has established a policy whereby a non-employee director is required to advise the Responsibility Committee Chair of any change to their principal employment. If requested by the Responsibility Committee Chair, after consultation with the other members of the Responsibility Committee, the director is required to submit a letter of resignation to the Responsibility Committee Chair, for the Responsibility Committee to consider.</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Corporate Governance Guidelines also require that directors retire from the Board at the annual meeting following the director’s 72nd birthday.</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E31F26"/>
        </w:rPr>
        <w:t>CORPORATE GOVERNANCE GUIDELINES</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Corporate Governance Guidelines assist the Board in the exercise of its governance responsibilities and serve as a framework within which the</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Board may conduct its business, including the following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78740</wp:posOffset>
            </wp:positionV>
            <wp:extent cx="46634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58" w:lineRule="exact"/>
        <w:rPr>
          <w:sz w:val="20"/>
          <w:szCs w:val="20"/>
          <w:color w:val="auto"/>
        </w:rPr>
      </w:pPr>
    </w:p>
    <w:tbl>
      <w:tblPr>
        <w:tblLayout w:type="fixed"/>
        <w:tblInd w:w="840" w:type="dxa"/>
        <w:tblCellMar>
          <w:top w:w="0" w:type="dxa"/>
          <w:left w:w="0" w:type="dxa"/>
          <w:bottom w:w="0" w:type="dxa"/>
          <w:right w:w="0" w:type="dxa"/>
        </w:tblCellMar>
      </w:tblPr>
      <w:tr>
        <w:trPr>
          <w:trHeight w:val="142"/>
        </w:trPr>
        <w:tc>
          <w:tcPr>
            <w:tcW w:w="2400" w:type="dxa"/>
            <w:vAlign w:val="bottom"/>
          </w:tcPr>
          <w:p>
            <w:pPr>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Responsibilities</w:t>
            </w:r>
          </w:p>
        </w:tc>
        <w:tc>
          <w:tcPr>
            <w:tcW w:w="3000" w:type="dxa"/>
            <w:vAlign w:val="bottom"/>
          </w:tcPr>
          <w:p>
            <w:pPr>
              <w:ind w:left="10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Independence</w:t>
            </w:r>
          </w:p>
        </w:tc>
        <w:tc>
          <w:tcPr>
            <w:tcW w:w="1680" w:type="dxa"/>
            <w:vAlign w:val="bottom"/>
          </w:tcPr>
          <w:p>
            <w:pPr>
              <w:ind w:left="2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Qualifications</w:t>
            </w:r>
          </w:p>
        </w:tc>
      </w:tr>
      <w:tr>
        <w:trPr>
          <w:trHeight w:val="144"/>
        </w:trPr>
        <w:tc>
          <w:tcPr>
            <w:tcW w:w="2400" w:type="dxa"/>
            <w:vAlign w:val="bottom"/>
          </w:tcPr>
          <w:p>
            <w:pPr>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Board Leadership</w:t>
            </w:r>
          </w:p>
        </w:tc>
        <w:tc>
          <w:tcPr>
            <w:tcW w:w="3000" w:type="dxa"/>
            <w:vAlign w:val="bottom"/>
          </w:tcPr>
          <w:p>
            <w:pPr>
              <w:ind w:left="10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Board Committees</w:t>
            </w:r>
          </w:p>
        </w:tc>
        <w:tc>
          <w:tcPr>
            <w:tcW w:w="1680" w:type="dxa"/>
            <w:vAlign w:val="bottom"/>
          </w:tcPr>
          <w:p>
            <w:pPr>
              <w:ind w:left="2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Retirement Policy</w:t>
            </w:r>
          </w:p>
        </w:tc>
      </w:tr>
      <w:tr>
        <w:trPr>
          <w:trHeight w:val="144"/>
        </w:trPr>
        <w:tc>
          <w:tcPr>
            <w:tcW w:w="2400" w:type="dxa"/>
            <w:vAlign w:val="bottom"/>
          </w:tcPr>
          <w:p>
            <w:pPr>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Change in Director’s Principal Employment</w:t>
            </w:r>
          </w:p>
        </w:tc>
        <w:tc>
          <w:tcPr>
            <w:tcW w:w="3000" w:type="dxa"/>
            <w:vAlign w:val="bottom"/>
          </w:tcPr>
          <w:p>
            <w:pPr>
              <w:ind w:left="10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Resignation Policy</w:t>
            </w:r>
          </w:p>
        </w:tc>
        <w:tc>
          <w:tcPr>
            <w:tcW w:w="1680" w:type="dxa"/>
            <w:vAlign w:val="bottom"/>
          </w:tcPr>
          <w:p>
            <w:pPr>
              <w:ind w:left="20"/>
              <w:spacing w:after="0"/>
              <w:rPr>
                <w:sz w:val="20"/>
                <w:szCs w:val="20"/>
                <w:color w:val="auto"/>
              </w:rPr>
            </w:pPr>
            <w:r>
              <w:rPr>
                <w:rFonts w:ascii="Arial" w:cs="Arial" w:eastAsia="Arial" w:hAnsi="Arial"/>
                <w:sz w:val="11"/>
                <w:szCs w:val="11"/>
                <w:color w:val="E31F25"/>
                <w:w w:val="96"/>
              </w:rPr>
              <w:t xml:space="preserve">► </w:t>
            </w:r>
            <w:r>
              <w:rPr>
                <w:rFonts w:ascii="Arial" w:cs="Arial" w:eastAsia="Arial" w:hAnsi="Arial"/>
                <w:sz w:val="11"/>
                <w:szCs w:val="11"/>
                <w:color w:val="000000"/>
                <w:w w:val="96"/>
              </w:rPr>
              <w:t>Setting Board Meeting Agendas</w:t>
            </w:r>
          </w:p>
        </w:tc>
      </w:tr>
      <w:tr>
        <w:trPr>
          <w:trHeight w:val="144"/>
        </w:trPr>
        <w:tc>
          <w:tcPr>
            <w:tcW w:w="2400" w:type="dxa"/>
            <w:vAlign w:val="bottom"/>
          </w:tcPr>
          <w:p>
            <w:pPr>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Media and Stakeholder Engagement</w:t>
            </w:r>
          </w:p>
        </w:tc>
        <w:tc>
          <w:tcPr>
            <w:tcW w:w="3000" w:type="dxa"/>
            <w:vAlign w:val="bottom"/>
          </w:tcPr>
          <w:p>
            <w:pPr>
              <w:ind w:left="100"/>
              <w:spacing w:after="0"/>
              <w:rPr>
                <w:sz w:val="20"/>
                <w:szCs w:val="20"/>
                <w:color w:val="auto"/>
              </w:rPr>
            </w:pPr>
            <w:r>
              <w:rPr>
                <w:rFonts w:ascii="Arial" w:cs="Arial" w:eastAsia="Arial" w:hAnsi="Arial"/>
                <w:sz w:val="11"/>
                <w:szCs w:val="11"/>
                <w:color w:val="E31F25"/>
                <w:w w:val="98"/>
              </w:rPr>
              <w:t xml:space="preserve">► </w:t>
            </w:r>
            <w:r>
              <w:rPr>
                <w:rFonts w:ascii="Arial" w:cs="Arial" w:eastAsia="Arial" w:hAnsi="Arial"/>
                <w:sz w:val="11"/>
                <w:szCs w:val="11"/>
                <w:color w:val="000000"/>
                <w:w w:val="98"/>
              </w:rPr>
              <w:t>Board Access to Management and Independent Advisors</w:t>
            </w:r>
          </w:p>
        </w:tc>
        <w:tc>
          <w:tcPr>
            <w:tcW w:w="1680" w:type="dxa"/>
            <w:vAlign w:val="bottom"/>
          </w:tcPr>
          <w:p>
            <w:pPr>
              <w:ind w:left="2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Compensation</w:t>
            </w:r>
          </w:p>
        </w:tc>
      </w:tr>
      <w:tr>
        <w:trPr>
          <w:trHeight w:val="144"/>
        </w:trPr>
        <w:tc>
          <w:tcPr>
            <w:tcW w:w="2400" w:type="dxa"/>
            <w:vAlign w:val="bottom"/>
          </w:tcPr>
          <w:p>
            <w:pPr>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Stock Ownership Guidelines</w:t>
            </w:r>
          </w:p>
        </w:tc>
        <w:tc>
          <w:tcPr>
            <w:tcW w:w="3000" w:type="dxa"/>
            <w:vAlign w:val="bottom"/>
          </w:tcPr>
          <w:p>
            <w:pPr>
              <w:ind w:left="10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On-Boarding</w:t>
            </w:r>
          </w:p>
        </w:tc>
        <w:tc>
          <w:tcPr>
            <w:tcW w:w="1680" w:type="dxa"/>
            <w:vAlign w:val="bottom"/>
          </w:tcPr>
          <w:p>
            <w:pPr>
              <w:ind w:left="2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Director Continuing Education</w:t>
            </w:r>
          </w:p>
        </w:tc>
      </w:tr>
      <w:tr>
        <w:trPr>
          <w:trHeight w:val="128"/>
        </w:trPr>
        <w:tc>
          <w:tcPr>
            <w:tcW w:w="2400" w:type="dxa"/>
            <w:vAlign w:val="bottom"/>
          </w:tcPr>
          <w:p>
            <w:pPr>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Human Capital Management and Succession</w:t>
            </w:r>
          </w:p>
        </w:tc>
        <w:tc>
          <w:tcPr>
            <w:tcW w:w="3000" w:type="dxa"/>
            <w:vAlign w:val="bottom"/>
          </w:tcPr>
          <w:p>
            <w:pPr>
              <w:ind w:left="100"/>
              <w:spacing w:after="0"/>
              <w:rPr>
                <w:sz w:val="20"/>
                <w:szCs w:val="20"/>
                <w:color w:val="auto"/>
              </w:rPr>
            </w:pPr>
            <w:r>
              <w:rPr>
                <w:rFonts w:ascii="Arial" w:cs="Arial" w:eastAsia="Arial" w:hAnsi="Arial"/>
                <w:sz w:val="11"/>
                <w:szCs w:val="11"/>
                <w:color w:val="E31F25"/>
              </w:rPr>
              <w:t xml:space="preserve">► </w:t>
            </w:r>
            <w:r>
              <w:rPr>
                <w:rFonts w:ascii="Arial" w:cs="Arial" w:eastAsia="Arial" w:hAnsi="Arial"/>
                <w:sz w:val="11"/>
                <w:szCs w:val="11"/>
                <w:color w:val="000000"/>
              </w:rPr>
              <w:t>CEO and Board Evaluations</w:t>
            </w:r>
          </w:p>
        </w:tc>
        <w:tc>
          <w:tcPr>
            <w:tcW w:w="1680" w:type="dxa"/>
            <w:vAlign w:val="bottom"/>
          </w:tcPr>
          <w:p>
            <w:pPr>
              <w:ind w:left="20"/>
              <w:spacing w:after="0"/>
              <w:rPr>
                <w:sz w:val="20"/>
                <w:szCs w:val="20"/>
                <w:color w:val="auto"/>
              </w:rPr>
            </w:pPr>
            <w:r>
              <w:rPr>
                <w:rFonts w:ascii="Arial" w:cs="Arial" w:eastAsia="Arial" w:hAnsi="Arial"/>
                <w:sz w:val="11"/>
                <w:szCs w:val="11"/>
                <w:color w:val="E31F25"/>
                <w:w w:val="98"/>
              </w:rPr>
              <w:t xml:space="preserve">► </w:t>
            </w:r>
            <w:r>
              <w:rPr>
                <w:rFonts w:ascii="Arial" w:cs="Arial" w:eastAsia="Arial" w:hAnsi="Arial"/>
                <w:sz w:val="11"/>
                <w:szCs w:val="11"/>
                <w:color w:val="000000"/>
                <w:w w:val="98"/>
              </w:rPr>
              <w:t>Policy on Outside Directorships</w:t>
            </w:r>
          </w:p>
        </w:tc>
      </w:tr>
      <w:tr>
        <w:trPr>
          <w:trHeight w:val="142"/>
        </w:trPr>
        <w:tc>
          <w:tcPr>
            <w:tcW w:w="2400" w:type="dxa"/>
            <w:vAlign w:val="bottom"/>
          </w:tcPr>
          <w:p>
            <w:pPr>
              <w:ind w:left="160"/>
              <w:spacing w:after="0"/>
              <w:rPr>
                <w:sz w:val="20"/>
                <w:szCs w:val="20"/>
                <w:color w:val="auto"/>
              </w:rPr>
            </w:pPr>
            <w:r>
              <w:rPr>
                <w:rFonts w:ascii="Arial" w:cs="Arial" w:eastAsia="Arial" w:hAnsi="Arial"/>
                <w:sz w:val="11"/>
                <w:szCs w:val="11"/>
                <w:color w:val="auto"/>
              </w:rPr>
              <w:t>Planning Oversight</w:t>
            </w:r>
          </w:p>
        </w:tc>
        <w:tc>
          <w:tcPr>
            <w:tcW w:w="300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81280</wp:posOffset>
            </wp:positionV>
            <wp:extent cx="46634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43" w:lineRule="exact"/>
        <w:rPr>
          <w:sz w:val="20"/>
          <w:szCs w:val="20"/>
          <w:color w:val="auto"/>
        </w:rPr>
      </w:pPr>
    </w:p>
    <w:p>
      <w:pPr>
        <w:ind w:left="840" w:right="1739"/>
        <w:spacing w:after="0" w:line="279" w:lineRule="auto"/>
        <w:rPr>
          <w:sz w:val="20"/>
          <w:szCs w:val="20"/>
          <w:color w:val="auto"/>
        </w:rPr>
      </w:pPr>
      <w:r>
        <w:rPr>
          <w:rFonts w:ascii="Arial" w:cs="Arial" w:eastAsia="Arial" w:hAnsi="Arial"/>
          <w:sz w:val="11"/>
          <w:szCs w:val="11"/>
          <w:color w:val="auto"/>
        </w:rPr>
        <w:t xml:space="preserve">The Board periodically reviews the guidelines and revises them, as appropriate. The Corporate Governance Guidelines are available at </w:t>
      </w:r>
      <w:r>
        <w:rPr>
          <w:rFonts w:ascii="Arial" w:cs="Arial" w:eastAsia="Arial" w:hAnsi="Arial"/>
          <w:sz w:val="11"/>
          <w:szCs w:val="11"/>
          <w:b w:val="1"/>
          <w:bCs w:val="1"/>
          <w:color w:val="E31F26"/>
        </w:rPr>
        <w:t>investors.footlocker-inc.com/cgg</w:t>
      </w:r>
      <w:r>
        <w:rPr>
          <w:rFonts w:ascii="Arial" w:cs="Arial" w:eastAsia="Arial" w:hAnsi="Arial"/>
          <w:sz w:val="11"/>
          <w:szCs w:val="11"/>
          <w:color w:val="000000"/>
        </w:rPr>
        <w:t>.</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E31F26"/>
        </w:rPr>
        <w:t>BOARD ATTENDANCE</w:t>
      </w:r>
    </w:p>
    <w:p>
      <w:pPr>
        <w:spacing w:after="0" w:line="136" w:lineRule="exact"/>
        <w:rPr>
          <w:sz w:val="20"/>
          <w:szCs w:val="20"/>
          <w:color w:val="auto"/>
        </w:rPr>
      </w:pPr>
    </w:p>
    <w:p>
      <w:pPr>
        <w:ind w:left="840" w:right="959"/>
        <w:spacing w:after="0" w:line="268" w:lineRule="auto"/>
        <w:rPr>
          <w:sz w:val="20"/>
          <w:szCs w:val="20"/>
          <w:color w:val="auto"/>
        </w:rPr>
      </w:pPr>
      <w:r>
        <w:rPr>
          <w:rFonts w:ascii="Arial" w:cs="Arial" w:eastAsia="Arial" w:hAnsi="Arial"/>
          <w:sz w:val="11"/>
          <w:szCs w:val="11"/>
          <w:color w:val="auto"/>
        </w:rPr>
        <w:t>The Board held 11 meetings during 2021. Each director attended at least 95% of the aggregate of all Board and committee meetings for the committees on which they served during 2021.</w:t>
      </w:r>
    </w:p>
    <w:p>
      <w:pPr>
        <w:spacing w:after="0" w:line="96" w:lineRule="exact"/>
        <w:rPr>
          <w:sz w:val="20"/>
          <w:szCs w:val="20"/>
          <w:color w:val="auto"/>
        </w:rPr>
      </w:pPr>
    </w:p>
    <w:p>
      <w:pPr>
        <w:ind w:left="840" w:right="1379"/>
        <w:spacing w:after="0" w:line="268" w:lineRule="auto"/>
        <w:rPr>
          <w:sz w:val="20"/>
          <w:szCs w:val="20"/>
          <w:color w:val="auto"/>
        </w:rPr>
      </w:pPr>
      <w:r>
        <w:rPr>
          <w:rFonts w:ascii="Arial" w:cs="Arial" w:eastAsia="Arial" w:hAnsi="Arial"/>
          <w:sz w:val="11"/>
          <w:szCs w:val="11"/>
          <w:color w:val="auto"/>
        </w:rPr>
        <w:t>The Board holds regularly-scheduled executive sessions of independent directors in conjunction with each Board meeting. Ms. Young, as Lead Independent Director, presides at these executive sessions.</w:t>
      </w:r>
    </w:p>
    <w:p>
      <w:pPr>
        <w:spacing w:after="0" w:line="96" w:lineRule="exact"/>
        <w:rPr>
          <w:sz w:val="20"/>
          <w:szCs w:val="20"/>
          <w:color w:val="auto"/>
        </w:rPr>
      </w:pPr>
    </w:p>
    <w:p>
      <w:pPr>
        <w:ind w:left="840" w:right="939"/>
        <w:spacing w:after="0" w:line="318" w:lineRule="auto"/>
        <w:rPr>
          <w:sz w:val="20"/>
          <w:szCs w:val="20"/>
          <w:color w:val="auto"/>
        </w:rPr>
      </w:pPr>
      <w:r>
        <w:rPr>
          <w:rFonts w:ascii="Arial" w:cs="Arial" w:eastAsia="Arial" w:hAnsi="Arial"/>
          <w:sz w:val="10"/>
          <w:szCs w:val="10"/>
          <w:color w:val="auto"/>
        </w:rPr>
        <w:t>Directors are expected to attend annual meetings. The annual meeting is typically scheduled on the same day as a quarterly Board meeting. In 2021, all of the directors attended the annual meeting, which was held virtually given the health and safety concerns surrounding the COVID-19 pandemic.</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E31F26"/>
        </w:rPr>
        <w:t>RETENTION OF OUTSIDE ADVISORS</w:t>
      </w:r>
    </w:p>
    <w:p>
      <w:pPr>
        <w:spacing w:after="0" w:line="136" w:lineRule="exact"/>
        <w:rPr>
          <w:sz w:val="20"/>
          <w:szCs w:val="20"/>
          <w:color w:val="auto"/>
        </w:rPr>
      </w:pPr>
    </w:p>
    <w:p>
      <w:pPr>
        <w:ind w:left="840" w:right="959"/>
        <w:spacing w:after="0" w:line="246" w:lineRule="auto"/>
        <w:rPr>
          <w:sz w:val="20"/>
          <w:szCs w:val="20"/>
          <w:color w:val="auto"/>
        </w:rPr>
      </w:pPr>
      <w:r>
        <w:rPr>
          <w:rFonts w:ascii="Arial" w:cs="Arial" w:eastAsia="Arial" w:hAnsi="Arial"/>
          <w:sz w:val="11"/>
          <w:szCs w:val="11"/>
          <w:color w:val="auto"/>
        </w:rPr>
        <w:t>The Board and all of its committees have authority to retain outside advisors and consultants that they consider necessary or appropriate in carrying out their respective responsibilities. The independent accountants are retained by, and report directly to, the Audit Committee. In addition, the Audit Committee is responsible for overseeing the qualifications, performance, and compensation of the internal auditors, which the Company has partially outsourced to an independent public accounting firm. Similarly, the consultant retained by the Human Capital Committee to assist in evaluating senior executive compensation reports directly to that committee.</w:t>
      </w:r>
    </w:p>
    <w:p>
      <w:pPr>
        <w:spacing w:after="0" w:line="103" w:lineRule="exact"/>
        <w:rPr>
          <w:sz w:val="20"/>
          <w:szCs w:val="20"/>
          <w:color w:val="auto"/>
        </w:rPr>
      </w:pPr>
    </w:p>
    <w:p>
      <w:pPr>
        <w:ind w:left="1540" w:hanging="408"/>
        <w:spacing w:after="0"/>
        <w:tabs>
          <w:tab w:leader="none" w:pos="1540" w:val="left"/>
        </w:tabs>
        <w:numPr>
          <w:ilvl w:val="0"/>
          <w:numId w:val="49"/>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439" w:right="1440" w:bottom="1440" w:gutter="0" w:footer="0" w:header="0"/>
        </w:sectPr>
      </w:pPr>
    </w:p>
    <w:bookmarkStart w:id="36" w:name="page37"/>
    <w:bookmarkEnd w:id="36"/>
    <w:p>
      <w:pPr>
        <w:jc w:val="right"/>
        <w:ind w:right="1980"/>
        <w:spacing w:after="0"/>
        <w:rPr>
          <w:sz w:val="20"/>
          <w:szCs w:val="20"/>
          <w:color w:val="auto"/>
        </w:rPr>
      </w:pPr>
      <w:r>
        <w:rPr>
          <w:rFonts w:ascii="Arial" w:cs="Arial" w:eastAsia="Arial" w:hAnsi="Arial"/>
          <w:sz w:val="10"/>
          <w:szCs w:val="10"/>
          <w:b w:val="1"/>
          <w:bCs w:val="1"/>
          <w:color w:val="E31F26"/>
        </w:rPr>
        <w:t>GOVERNANCE</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BOARD EVALUATIONS</w:t>
      </w:r>
    </w:p>
    <w:p>
      <w:pPr>
        <w:spacing w:after="0" w:line="136" w:lineRule="exact"/>
        <w:rPr>
          <w:sz w:val="20"/>
          <w:szCs w:val="20"/>
          <w:color w:val="auto"/>
        </w:rPr>
      </w:pPr>
    </w:p>
    <w:p>
      <w:pPr>
        <w:ind w:left="1980" w:right="2080"/>
        <w:spacing w:after="0" w:line="290" w:lineRule="auto"/>
        <w:rPr>
          <w:sz w:val="20"/>
          <w:szCs w:val="20"/>
          <w:color w:val="auto"/>
        </w:rPr>
      </w:pPr>
      <w:r>
        <w:rPr>
          <w:rFonts w:ascii="Arial" w:cs="Arial" w:eastAsia="Arial" w:hAnsi="Arial"/>
          <w:sz w:val="10"/>
          <w:szCs w:val="10"/>
          <w:color w:val="auto"/>
        </w:rPr>
        <w:t>The Board and its committees engage in a robust Board and committee assessment process every year, and a 360-degree peer and self-assessment facilitated by an independent third party approximately every three years, both designed to elicit candid feedback regarding the areas in which the Board and its committees could improve, as described in the table below. The Board last conducted a 360-degree peer and self-assessment in 2021.</w:t>
      </w:r>
    </w:p>
    <w:p>
      <w:pPr>
        <w:spacing w:after="0" w:line="125" w:lineRule="exact"/>
        <w:rPr>
          <w:sz w:val="20"/>
          <w:szCs w:val="20"/>
          <w:color w:val="auto"/>
        </w:rPr>
      </w:pPr>
    </w:p>
    <w:tbl>
      <w:tblPr>
        <w:tblLayout w:type="fixed"/>
        <w:tblInd w:w="1980" w:type="dxa"/>
        <w:tblCellMar>
          <w:top w:w="0" w:type="dxa"/>
          <w:left w:w="0" w:type="dxa"/>
          <w:bottom w:w="0" w:type="dxa"/>
          <w:right w:w="0" w:type="dxa"/>
        </w:tblCellMar>
      </w:tblPr>
      <w:tr>
        <w:trPr>
          <w:trHeight w:val="140"/>
        </w:trPr>
        <w:tc>
          <w:tcPr>
            <w:tcW w:w="800" w:type="dxa"/>
            <w:vAlign w:val="bottom"/>
            <w:tcBorders>
              <w:bottom w:val="single" w:sz="8" w:color="FF0000"/>
            </w:tcBorders>
          </w:tcPr>
          <w:p>
            <w:pPr>
              <w:ind w:left="20"/>
              <w:spacing w:after="0"/>
              <w:rPr>
                <w:sz w:val="20"/>
                <w:szCs w:val="20"/>
                <w:color w:val="auto"/>
              </w:rPr>
            </w:pPr>
            <w:r>
              <w:rPr>
                <w:rFonts w:ascii="Arial" w:cs="Arial" w:eastAsia="Arial" w:hAnsi="Arial"/>
                <w:sz w:val="10"/>
                <w:szCs w:val="10"/>
                <w:b w:val="1"/>
                <w:bCs w:val="1"/>
                <w:color w:val="auto"/>
              </w:rPr>
              <w:t>Action Item</w:t>
            </w:r>
          </w:p>
        </w:tc>
        <w:tc>
          <w:tcPr>
            <w:tcW w:w="3320" w:type="dxa"/>
            <w:vAlign w:val="bottom"/>
            <w:tcBorders>
              <w:bottom w:val="single" w:sz="8" w:color="FF0000"/>
            </w:tcBorders>
          </w:tcPr>
          <w:p>
            <w:pPr>
              <w:ind w:left="180"/>
              <w:spacing w:after="0"/>
              <w:rPr>
                <w:sz w:val="20"/>
                <w:szCs w:val="20"/>
                <w:color w:val="auto"/>
              </w:rPr>
            </w:pPr>
            <w:r>
              <w:rPr>
                <w:rFonts w:ascii="Arial" w:cs="Arial" w:eastAsia="Arial" w:hAnsi="Arial"/>
                <w:sz w:val="10"/>
                <w:szCs w:val="10"/>
                <w:b w:val="1"/>
                <w:bCs w:val="1"/>
                <w:color w:val="auto"/>
              </w:rPr>
              <w:t>Board and Committee Assessment</w:t>
            </w:r>
          </w:p>
        </w:tc>
        <w:tc>
          <w:tcPr>
            <w:tcW w:w="3220" w:type="dxa"/>
            <w:vAlign w:val="bottom"/>
            <w:tcBorders>
              <w:bottom w:val="single" w:sz="8" w:color="FF0000"/>
            </w:tcBorders>
          </w:tcPr>
          <w:p>
            <w:pPr>
              <w:ind w:left="80"/>
              <w:spacing w:after="0"/>
              <w:rPr>
                <w:sz w:val="20"/>
                <w:szCs w:val="20"/>
                <w:color w:val="auto"/>
              </w:rPr>
            </w:pPr>
            <w:r>
              <w:rPr>
                <w:rFonts w:ascii="Arial" w:cs="Arial" w:eastAsia="Arial" w:hAnsi="Arial"/>
                <w:sz w:val="10"/>
                <w:szCs w:val="10"/>
                <w:b w:val="1"/>
                <w:bCs w:val="1"/>
                <w:color w:val="auto"/>
              </w:rPr>
              <w:t>360-Degree Peer and Self-Assessment</w:t>
            </w:r>
          </w:p>
        </w:tc>
        <w:tc>
          <w:tcPr>
            <w:tcW w:w="0" w:type="dxa"/>
            <w:vAlign w:val="bottom"/>
          </w:tcPr>
          <w:p>
            <w:pPr>
              <w:spacing w:after="0"/>
              <w:rPr>
                <w:sz w:val="1"/>
                <w:szCs w:val="1"/>
                <w:color w:val="auto"/>
              </w:rPr>
            </w:pPr>
          </w:p>
        </w:tc>
      </w:tr>
      <w:tr>
        <w:trPr>
          <w:trHeight w:val="169"/>
        </w:trPr>
        <w:tc>
          <w:tcPr>
            <w:tcW w:w="800" w:type="dxa"/>
            <w:vAlign w:val="bottom"/>
            <w:tcBorders>
              <w:bottom w:val="single" w:sz="8" w:color="CCCCCC"/>
            </w:tcBorders>
          </w:tcPr>
          <w:p>
            <w:pPr>
              <w:ind w:left="20"/>
              <w:spacing w:after="0"/>
              <w:rPr>
                <w:sz w:val="20"/>
                <w:szCs w:val="20"/>
                <w:color w:val="auto"/>
              </w:rPr>
            </w:pPr>
            <w:r>
              <w:rPr>
                <w:rFonts w:ascii="Arial" w:cs="Arial" w:eastAsia="Arial" w:hAnsi="Arial"/>
                <w:sz w:val="10"/>
                <w:szCs w:val="10"/>
                <w:b w:val="1"/>
                <w:bCs w:val="1"/>
                <w:color w:val="E31F26"/>
              </w:rPr>
              <w:t>Cadence</w:t>
            </w:r>
          </w:p>
        </w:tc>
        <w:tc>
          <w:tcPr>
            <w:tcW w:w="3320" w:type="dxa"/>
            <w:vAlign w:val="bottom"/>
            <w:tcBorders>
              <w:bottom w:val="single" w:sz="8" w:color="CCCCCC"/>
            </w:tcBorders>
          </w:tcPr>
          <w:p>
            <w:pPr>
              <w:ind w:left="180"/>
              <w:spacing w:after="0"/>
              <w:rPr>
                <w:sz w:val="20"/>
                <w:szCs w:val="20"/>
                <w:color w:val="auto"/>
              </w:rPr>
            </w:pPr>
            <w:r>
              <w:rPr>
                <w:rFonts w:ascii="Arial" w:cs="Arial" w:eastAsia="Arial" w:hAnsi="Arial"/>
                <w:sz w:val="10"/>
                <w:szCs w:val="10"/>
                <w:color w:val="auto"/>
              </w:rPr>
              <w:t>Annual</w:t>
            </w:r>
          </w:p>
        </w:tc>
        <w:tc>
          <w:tcPr>
            <w:tcW w:w="3220" w:type="dxa"/>
            <w:vAlign w:val="bottom"/>
            <w:tcBorders>
              <w:bottom w:val="single" w:sz="8" w:color="CCCCCC"/>
            </w:tcBorders>
          </w:tcPr>
          <w:p>
            <w:pPr>
              <w:ind w:left="80"/>
              <w:spacing w:after="0"/>
              <w:rPr>
                <w:sz w:val="20"/>
                <w:szCs w:val="20"/>
                <w:color w:val="auto"/>
              </w:rPr>
            </w:pPr>
            <w:r>
              <w:rPr>
                <w:rFonts w:ascii="Arial" w:cs="Arial" w:eastAsia="Arial" w:hAnsi="Arial"/>
                <w:sz w:val="10"/>
                <w:szCs w:val="10"/>
                <w:color w:val="auto"/>
              </w:rPr>
              <w:t>Triennial</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3320" w:type="dxa"/>
            <w:vAlign w:val="bottom"/>
          </w:tcPr>
          <w:p>
            <w:pPr>
              <w:ind w:left="180"/>
              <w:spacing w:after="0"/>
              <w:rPr>
                <w:sz w:val="20"/>
                <w:szCs w:val="20"/>
                <w:color w:val="auto"/>
              </w:rPr>
            </w:pPr>
            <w:r>
              <w:rPr>
                <w:rFonts w:ascii="Arial" w:cs="Arial" w:eastAsia="Arial" w:hAnsi="Arial"/>
                <w:sz w:val="10"/>
                <w:szCs w:val="10"/>
                <w:color w:val="auto"/>
                <w:w w:val="97"/>
              </w:rPr>
              <w:t>Each director completes a separate detailed assessment to evaluate the</w:t>
            </w:r>
          </w:p>
        </w:tc>
        <w:tc>
          <w:tcPr>
            <w:tcW w:w="3220" w:type="dxa"/>
            <w:vAlign w:val="bottom"/>
          </w:tcPr>
          <w:p>
            <w:pPr>
              <w:ind w:left="80"/>
              <w:spacing w:after="0"/>
              <w:rPr>
                <w:sz w:val="20"/>
                <w:szCs w:val="20"/>
                <w:color w:val="auto"/>
              </w:rPr>
            </w:pPr>
            <w:r>
              <w:rPr>
                <w:rFonts w:ascii="Arial" w:cs="Arial" w:eastAsia="Arial" w:hAnsi="Arial"/>
                <w:sz w:val="10"/>
                <w:szCs w:val="10"/>
                <w:color w:val="auto"/>
              </w:rPr>
              <w:t>Each independent director completes a detailed peer and self-</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320" w:type="dxa"/>
            <w:vAlign w:val="bottom"/>
          </w:tcPr>
          <w:p>
            <w:pPr>
              <w:ind w:left="180"/>
              <w:spacing w:after="0"/>
              <w:rPr>
                <w:sz w:val="20"/>
                <w:szCs w:val="20"/>
                <w:color w:val="auto"/>
              </w:rPr>
            </w:pPr>
            <w:r>
              <w:rPr>
                <w:rFonts w:ascii="Arial" w:cs="Arial" w:eastAsia="Arial" w:hAnsi="Arial"/>
                <w:sz w:val="10"/>
                <w:szCs w:val="10"/>
                <w:color w:val="auto"/>
              </w:rPr>
              <w:t>Board and each committee on which they serve.</w:t>
            </w:r>
          </w:p>
        </w:tc>
        <w:tc>
          <w:tcPr>
            <w:tcW w:w="3220" w:type="dxa"/>
            <w:vAlign w:val="bottom"/>
          </w:tcPr>
          <w:p>
            <w:pPr>
              <w:ind w:left="80"/>
              <w:spacing w:after="0"/>
              <w:rPr>
                <w:sz w:val="20"/>
                <w:szCs w:val="20"/>
                <w:color w:val="auto"/>
              </w:rPr>
            </w:pPr>
            <w:r>
              <w:rPr>
                <w:rFonts w:ascii="Arial" w:cs="Arial" w:eastAsia="Arial" w:hAnsi="Arial"/>
                <w:sz w:val="10"/>
                <w:szCs w:val="10"/>
                <w:color w:val="auto"/>
              </w:rPr>
              <w:t>assessment.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0"/>
                <w:szCs w:val="10"/>
                <w:color w:val="auto"/>
              </w:rPr>
              <w:t>Topics covered include, among others:</w:t>
            </w:r>
          </w:p>
        </w:tc>
        <w:tc>
          <w:tcPr>
            <w:tcW w:w="3220" w:type="dxa"/>
            <w:vAlign w:val="bottom"/>
          </w:tcPr>
          <w:p>
            <w:pPr>
              <w:ind w:left="80"/>
              <w:spacing w:after="0"/>
              <w:rPr>
                <w:sz w:val="20"/>
                <w:szCs w:val="20"/>
                <w:color w:val="auto"/>
              </w:rPr>
            </w:pPr>
            <w:r>
              <w:rPr>
                <w:rFonts w:ascii="Arial" w:cs="Arial" w:eastAsia="Arial" w:hAnsi="Arial"/>
                <w:sz w:val="10"/>
                <w:szCs w:val="10"/>
                <w:color w:val="auto"/>
              </w:rPr>
              <w:t>Topics covered include, among others, whether each director:</w:t>
            </w:r>
          </w:p>
        </w:tc>
        <w:tc>
          <w:tcPr>
            <w:tcW w:w="0" w:type="dxa"/>
            <w:vAlign w:val="bottom"/>
          </w:tcPr>
          <w:p>
            <w:pPr>
              <w:spacing w:after="0"/>
              <w:rPr>
                <w:sz w:val="1"/>
                <w:szCs w:val="1"/>
                <w:color w:val="auto"/>
              </w:rPr>
            </w:pPr>
          </w:p>
        </w:tc>
      </w:tr>
      <w:tr>
        <w:trPr>
          <w:trHeight w:val="199"/>
        </w:trPr>
        <w:tc>
          <w:tcPr>
            <w:tcW w:w="800" w:type="dxa"/>
            <w:vAlign w:val="bottom"/>
          </w:tcPr>
          <w:p>
            <w:pPr>
              <w:spacing w:after="0"/>
              <w:rPr>
                <w:sz w:val="17"/>
                <w:szCs w:val="17"/>
                <w:color w:val="auto"/>
              </w:rPr>
            </w:pPr>
          </w:p>
        </w:tc>
        <w:tc>
          <w:tcPr>
            <w:tcW w:w="3320" w:type="dxa"/>
            <w:vAlign w:val="bottom"/>
          </w:tcPr>
          <w:p>
            <w:pPr>
              <w:ind w:left="1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Board and committee structure, size, composition, skills, diversity,</w:t>
            </w:r>
          </w:p>
        </w:tc>
        <w:tc>
          <w:tcPr>
            <w:tcW w:w="3220" w:type="dxa"/>
            <w:vAlign w:val="bottom"/>
          </w:tcPr>
          <w:p>
            <w:pPr>
              <w:ind w:left="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Demonstrates commitment to the Company’s core values.</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320" w:type="dxa"/>
            <w:vAlign w:val="bottom"/>
          </w:tcPr>
          <w:p>
            <w:pPr>
              <w:ind w:left="380"/>
              <w:spacing w:after="0"/>
              <w:rPr>
                <w:sz w:val="20"/>
                <w:szCs w:val="20"/>
                <w:color w:val="auto"/>
              </w:rPr>
            </w:pPr>
            <w:r>
              <w:rPr>
                <w:rFonts w:ascii="Arial" w:cs="Arial" w:eastAsia="Arial" w:hAnsi="Arial"/>
                <w:sz w:val="10"/>
                <w:szCs w:val="10"/>
                <w:color w:val="auto"/>
              </w:rPr>
              <w:t>and succession planning.</w:t>
            </w:r>
          </w:p>
        </w:tc>
        <w:tc>
          <w:tcPr>
            <w:tcW w:w="3220" w:type="dxa"/>
            <w:vAlign w:val="bottom"/>
            <w:vMerge w:val="restart"/>
          </w:tcPr>
          <w:p>
            <w:pPr>
              <w:ind w:left="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Participates actively and constructively in, and is well-prepared</w:t>
            </w:r>
          </w:p>
        </w:tc>
        <w:tc>
          <w:tcPr>
            <w:tcW w:w="0" w:type="dxa"/>
            <w:vAlign w:val="bottom"/>
          </w:tcPr>
          <w:p>
            <w:pPr>
              <w:spacing w:after="0"/>
              <w:rPr>
                <w:sz w:val="1"/>
                <w:szCs w:val="1"/>
                <w:color w:val="auto"/>
              </w:rPr>
            </w:pPr>
          </w:p>
        </w:tc>
      </w:tr>
      <w:tr>
        <w:trPr>
          <w:trHeight w:val="91"/>
        </w:trPr>
        <w:tc>
          <w:tcPr>
            <w:tcW w:w="8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3320" w:type="dxa"/>
            <w:vAlign w:val="bottom"/>
          </w:tcPr>
          <w:p>
            <w:pPr>
              <w:ind w:left="1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The effectiveness of the Board, committees, and committee chairs.</w:t>
            </w:r>
          </w:p>
        </w:tc>
        <w:tc>
          <w:tcPr>
            <w:tcW w:w="3220" w:type="dxa"/>
            <w:vAlign w:val="bottom"/>
          </w:tcPr>
          <w:p>
            <w:pPr>
              <w:ind w:left="300"/>
              <w:spacing w:after="0"/>
              <w:rPr>
                <w:sz w:val="20"/>
                <w:szCs w:val="20"/>
                <w:color w:val="auto"/>
              </w:rPr>
            </w:pPr>
            <w:r>
              <w:rPr>
                <w:rFonts w:ascii="Arial" w:cs="Arial" w:eastAsia="Arial" w:hAnsi="Arial"/>
                <w:sz w:val="10"/>
                <w:szCs w:val="10"/>
                <w:color w:val="auto"/>
              </w:rPr>
              <w:t>for, Board and committee meetings.</w:t>
            </w:r>
          </w:p>
        </w:tc>
        <w:tc>
          <w:tcPr>
            <w:tcW w:w="0" w:type="dxa"/>
            <w:vAlign w:val="bottom"/>
          </w:tcPr>
          <w:p>
            <w:pPr>
              <w:spacing w:after="0"/>
              <w:rPr>
                <w:sz w:val="1"/>
                <w:szCs w:val="1"/>
                <w:color w:val="auto"/>
              </w:rPr>
            </w:pPr>
          </w:p>
        </w:tc>
      </w:tr>
      <w:tr>
        <w:trPr>
          <w:trHeight w:val="177"/>
        </w:trPr>
        <w:tc>
          <w:tcPr>
            <w:tcW w:w="800" w:type="dxa"/>
            <w:vAlign w:val="bottom"/>
          </w:tcPr>
          <w:p>
            <w:pPr>
              <w:spacing w:after="0"/>
              <w:rPr>
                <w:sz w:val="15"/>
                <w:szCs w:val="15"/>
                <w:color w:val="auto"/>
              </w:rPr>
            </w:pPr>
          </w:p>
        </w:tc>
        <w:tc>
          <w:tcPr>
            <w:tcW w:w="3320" w:type="dxa"/>
            <w:vAlign w:val="bottom"/>
            <w:vMerge w:val="restart"/>
          </w:tcPr>
          <w:p>
            <w:pPr>
              <w:ind w:left="1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Board strategy and operational oversight.</w:t>
            </w:r>
          </w:p>
        </w:tc>
        <w:tc>
          <w:tcPr>
            <w:tcW w:w="3220" w:type="dxa"/>
            <w:vAlign w:val="bottom"/>
          </w:tcPr>
          <w:p>
            <w:pPr>
              <w:ind w:left="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Exercises independent judgment when considering issues before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20"/>
              <w:spacing w:after="0"/>
              <w:rPr>
                <w:sz w:val="20"/>
                <w:szCs w:val="20"/>
                <w:color w:val="auto"/>
              </w:rPr>
            </w:pPr>
            <w:r>
              <w:rPr>
                <w:rFonts w:ascii="Arial" w:cs="Arial" w:eastAsia="Arial" w:hAnsi="Arial"/>
                <w:sz w:val="10"/>
                <w:szCs w:val="10"/>
                <w:b w:val="1"/>
                <w:bCs w:val="1"/>
                <w:color w:val="E31F26"/>
              </w:rPr>
              <w:t>Assessments</w:t>
            </w:r>
          </w:p>
        </w:tc>
        <w:tc>
          <w:tcPr>
            <w:tcW w:w="3320" w:type="dxa"/>
            <w:vAlign w:val="bottom"/>
            <w:vMerge w:val="continue"/>
          </w:tcPr>
          <w:p>
            <w:pPr>
              <w:spacing w:after="0"/>
              <w:rPr>
                <w:sz w:val="5"/>
                <w:szCs w:val="5"/>
                <w:color w:val="auto"/>
              </w:rPr>
            </w:pPr>
          </w:p>
        </w:tc>
        <w:tc>
          <w:tcPr>
            <w:tcW w:w="3220" w:type="dxa"/>
            <w:vAlign w:val="bottom"/>
            <w:vMerge w:val="restart"/>
          </w:tcPr>
          <w:p>
            <w:pPr>
              <w:ind w:left="300"/>
              <w:spacing w:after="0"/>
              <w:rPr>
                <w:sz w:val="20"/>
                <w:szCs w:val="20"/>
                <w:color w:val="auto"/>
              </w:rPr>
            </w:pPr>
            <w:r>
              <w:rPr>
                <w:rFonts w:ascii="Arial" w:cs="Arial" w:eastAsia="Arial" w:hAnsi="Arial"/>
                <w:sz w:val="10"/>
                <w:szCs w:val="10"/>
                <w:color w:val="auto"/>
              </w:rPr>
              <w:t>the Board and committees.</w:t>
            </w:r>
          </w:p>
        </w:tc>
        <w:tc>
          <w:tcPr>
            <w:tcW w:w="0" w:type="dxa"/>
            <w:vAlign w:val="bottom"/>
          </w:tcPr>
          <w:p>
            <w:pPr>
              <w:spacing w:after="0"/>
              <w:rPr>
                <w:sz w:val="1"/>
                <w:szCs w:val="1"/>
                <w:color w:val="auto"/>
              </w:rPr>
            </w:pPr>
          </w:p>
        </w:tc>
      </w:tr>
      <w:tr>
        <w:trPr>
          <w:trHeight w:val="59"/>
        </w:trPr>
        <w:tc>
          <w:tcPr>
            <w:tcW w:w="800" w:type="dxa"/>
            <w:vAlign w:val="bottom"/>
            <w:vMerge w:val="continue"/>
          </w:tcPr>
          <w:p>
            <w:pPr>
              <w:spacing w:after="0"/>
              <w:rPr>
                <w:sz w:val="5"/>
                <w:szCs w:val="5"/>
                <w:color w:val="auto"/>
              </w:rPr>
            </w:pPr>
          </w:p>
        </w:tc>
        <w:tc>
          <w:tcPr>
            <w:tcW w:w="332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3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800" w:type="dxa"/>
            <w:vAlign w:val="bottom"/>
          </w:tcPr>
          <w:p>
            <w:pPr>
              <w:spacing w:after="0"/>
              <w:rPr>
                <w:sz w:val="10"/>
                <w:szCs w:val="10"/>
                <w:color w:val="auto"/>
              </w:rPr>
            </w:pPr>
          </w:p>
        </w:tc>
        <w:tc>
          <w:tcPr>
            <w:tcW w:w="3320" w:type="dxa"/>
            <w:vAlign w:val="bottom"/>
          </w:tcPr>
          <w:p>
            <w:pPr>
              <w:ind w:left="1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Board culture and dynamics, including the effectiveness of</w:t>
            </w:r>
          </w:p>
        </w:tc>
        <w:tc>
          <w:tcPr>
            <w:tcW w:w="3220" w:type="dxa"/>
            <w:vAlign w:val="bottom"/>
            <w:vMerge w:val="restart"/>
          </w:tcPr>
          <w:p>
            <w:pPr>
              <w:ind w:left="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Seeks opportunities to proactively strengthen their understanding</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3320" w:type="dxa"/>
            <w:vAlign w:val="bottom"/>
            <w:vMerge w:val="restart"/>
          </w:tcPr>
          <w:p>
            <w:pPr>
              <w:ind w:left="380"/>
              <w:spacing w:after="0"/>
              <w:rPr>
                <w:sz w:val="20"/>
                <w:szCs w:val="20"/>
                <w:color w:val="auto"/>
              </w:rPr>
            </w:pPr>
            <w:r>
              <w:rPr>
                <w:rFonts w:ascii="Arial" w:cs="Arial" w:eastAsia="Arial" w:hAnsi="Arial"/>
                <w:sz w:val="10"/>
                <w:szCs w:val="10"/>
                <w:color w:val="auto"/>
              </w:rPr>
              <w:t>discussion and debate at Board and committee meetings.</w:t>
            </w:r>
          </w:p>
        </w:tc>
        <w:tc>
          <w:tcPr>
            <w:tcW w:w="3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3220" w:type="dxa"/>
            <w:vAlign w:val="bottom"/>
          </w:tcPr>
          <w:p>
            <w:pPr>
              <w:ind w:left="300"/>
              <w:spacing w:after="0" w:line="108" w:lineRule="exact"/>
              <w:rPr>
                <w:sz w:val="20"/>
                <w:szCs w:val="20"/>
                <w:color w:val="auto"/>
              </w:rPr>
            </w:pPr>
            <w:r>
              <w:rPr>
                <w:rFonts w:ascii="Arial" w:cs="Arial" w:eastAsia="Arial" w:hAnsi="Arial"/>
                <w:sz w:val="10"/>
                <w:szCs w:val="10"/>
                <w:color w:val="auto"/>
              </w:rPr>
              <w:t>of their role as a director and are open to ongoing training and</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3320" w:type="dxa"/>
            <w:vAlign w:val="bottom"/>
            <w:vMerge w:val="restart"/>
          </w:tcPr>
          <w:p>
            <w:pPr>
              <w:ind w:left="18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The quality of Board and committee agendas, meeting length, and</w:t>
            </w:r>
          </w:p>
        </w:tc>
        <w:tc>
          <w:tcPr>
            <w:tcW w:w="3220" w:type="dxa"/>
            <w:vAlign w:val="bottom"/>
          </w:tcPr>
          <w:p>
            <w:pPr>
              <w:ind w:left="300"/>
              <w:spacing w:after="0"/>
              <w:rPr>
                <w:sz w:val="20"/>
                <w:szCs w:val="20"/>
                <w:color w:val="auto"/>
              </w:rPr>
            </w:pPr>
            <w:r>
              <w:rPr>
                <w:rFonts w:ascii="Arial" w:cs="Arial" w:eastAsia="Arial" w:hAnsi="Arial"/>
                <w:sz w:val="10"/>
                <w:szCs w:val="10"/>
                <w:color w:val="auto"/>
              </w:rPr>
              <w:t>constructive feedback.</w:t>
            </w:r>
          </w:p>
        </w:tc>
        <w:tc>
          <w:tcPr>
            <w:tcW w:w="0" w:type="dxa"/>
            <w:vAlign w:val="bottom"/>
          </w:tcPr>
          <w:p>
            <w:pPr>
              <w:spacing w:after="0"/>
              <w:rPr>
                <w:sz w:val="1"/>
                <w:szCs w:val="1"/>
                <w:color w:val="auto"/>
              </w:rPr>
            </w:pPr>
          </w:p>
        </w:tc>
      </w:tr>
      <w:tr>
        <w:trPr>
          <w:trHeight w:val="99"/>
        </w:trPr>
        <w:tc>
          <w:tcPr>
            <w:tcW w:w="80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00"/>
          </w:cols>
          <w:pgMar w:left="300" w:top="439" w:right="299" w:bottom="1440" w:gutter="0" w:footer="0" w:header="0"/>
        </w:sectPr>
      </w:pPr>
    </w:p>
    <w:p>
      <w:pPr>
        <w:ind w:left="3160"/>
        <w:spacing w:after="0"/>
        <w:rPr>
          <w:sz w:val="20"/>
          <w:szCs w:val="20"/>
          <w:color w:val="auto"/>
        </w:rPr>
      </w:pPr>
      <w:r>
        <w:rPr>
          <w:rFonts w:ascii="Arial" w:cs="Arial" w:eastAsia="Arial" w:hAnsi="Arial"/>
          <w:sz w:val="10"/>
          <w:szCs w:val="10"/>
          <w:color w:val="auto"/>
        </w:rPr>
        <w:t>presentations.</w:t>
      </w:r>
    </w:p>
    <w:p>
      <w:pPr>
        <w:spacing w:after="0" w:line="111" w:lineRule="exact"/>
        <w:rPr>
          <w:sz w:val="20"/>
          <w:szCs w:val="20"/>
          <w:color w:val="auto"/>
        </w:rPr>
      </w:pPr>
    </w:p>
    <w:p>
      <w:pPr>
        <w:ind w:left="3160" w:hanging="207"/>
        <w:spacing w:after="0"/>
        <w:tabs>
          <w:tab w:leader="none" w:pos="3160" w:val="left"/>
        </w:tabs>
        <w:numPr>
          <w:ilvl w:val="0"/>
          <w:numId w:val="50"/>
        </w:numPr>
        <w:rPr>
          <w:rFonts w:ascii="Arial" w:cs="Arial" w:eastAsia="Arial" w:hAnsi="Arial"/>
          <w:sz w:val="10"/>
          <w:szCs w:val="10"/>
          <w:b w:val="1"/>
          <w:bCs w:val="1"/>
          <w:color w:val="E31F26"/>
        </w:rPr>
      </w:pPr>
      <w:r>
        <w:rPr>
          <w:rFonts w:ascii="Arial" w:cs="Arial" w:eastAsia="Arial" w:hAnsi="Arial"/>
          <w:sz w:val="10"/>
          <w:szCs w:val="10"/>
          <w:color w:val="auto"/>
        </w:rPr>
        <w:t>The appropriateness of Board and committee priorities.</w:t>
      </w:r>
    </w:p>
    <w:p>
      <w:pPr>
        <w:spacing w:after="0" w:line="128" w:lineRule="exact"/>
        <w:rPr>
          <w:rFonts w:ascii="Arial" w:cs="Arial" w:eastAsia="Arial" w:hAnsi="Arial"/>
          <w:sz w:val="10"/>
          <w:szCs w:val="10"/>
          <w:b w:val="1"/>
          <w:bCs w:val="1"/>
          <w:color w:val="E31F26"/>
        </w:rPr>
      </w:pPr>
    </w:p>
    <w:p>
      <w:pPr>
        <w:jc w:val="both"/>
        <w:ind w:left="3160" w:hanging="207"/>
        <w:spacing w:after="0" w:line="390" w:lineRule="auto"/>
        <w:tabs>
          <w:tab w:leader="none" w:pos="3159" w:val="left"/>
        </w:tabs>
        <w:numPr>
          <w:ilvl w:val="0"/>
          <w:numId w:val="50"/>
        </w:numPr>
        <w:rPr>
          <w:rFonts w:ascii="Arial" w:cs="Arial" w:eastAsia="Arial" w:hAnsi="Arial"/>
          <w:sz w:val="8"/>
          <w:szCs w:val="8"/>
          <w:b w:val="1"/>
          <w:bCs w:val="1"/>
          <w:color w:val="E31F26"/>
        </w:rPr>
      </w:pPr>
      <w:r>
        <w:rPr>
          <w:rFonts w:ascii="Arial" w:cs="Arial" w:eastAsia="Arial" w:hAnsi="Arial"/>
          <w:sz w:val="8"/>
          <w:szCs w:val="8"/>
          <w:color w:val="auto"/>
        </w:rPr>
        <w:t>Board interactions with management, including the quality of meeting materials and the information provided to the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7620</wp:posOffset>
            </wp:positionV>
            <wp:extent cx="46634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5" w:right="2720" w:hanging="225"/>
        <w:spacing w:after="0" w:line="346" w:lineRule="auto"/>
        <w:tabs>
          <w:tab w:leader="none" w:pos="237" w:val="left"/>
        </w:tabs>
        <w:numPr>
          <w:ilvl w:val="0"/>
          <w:numId w:val="51"/>
        </w:numPr>
        <w:rPr>
          <w:rFonts w:ascii="Arial" w:cs="Arial" w:eastAsia="Arial" w:hAnsi="Arial"/>
          <w:sz w:val="8"/>
          <w:szCs w:val="8"/>
          <w:b w:val="1"/>
          <w:bCs w:val="1"/>
          <w:color w:val="E31F26"/>
        </w:rPr>
      </w:pPr>
      <w:r>
        <w:rPr>
          <w:rFonts w:ascii="Arial" w:cs="Arial" w:eastAsia="Arial" w:hAnsi="Arial"/>
          <w:sz w:val="8"/>
          <w:szCs w:val="8"/>
          <w:color w:val="auto"/>
        </w:rPr>
        <w:t>Brings functional expertise to the Board to augment management’s thinking and development.</w:t>
      </w:r>
    </w:p>
    <w:p>
      <w:pPr>
        <w:spacing w:after="0" w:line="50" w:lineRule="exact"/>
        <w:rPr>
          <w:rFonts w:ascii="Arial" w:cs="Arial" w:eastAsia="Arial" w:hAnsi="Arial"/>
          <w:sz w:val="8"/>
          <w:szCs w:val="8"/>
          <w:b w:val="1"/>
          <w:bCs w:val="1"/>
          <w:color w:val="E31F26"/>
        </w:rPr>
      </w:pPr>
    </w:p>
    <w:p>
      <w:pPr>
        <w:ind w:left="225" w:right="2120" w:hanging="225"/>
        <w:spacing w:after="0" w:line="237" w:lineRule="auto"/>
        <w:tabs>
          <w:tab w:leader="none" w:pos="237" w:val="left"/>
        </w:tabs>
        <w:numPr>
          <w:ilvl w:val="0"/>
          <w:numId w:val="51"/>
        </w:numPr>
        <w:rPr>
          <w:rFonts w:ascii="Arial" w:cs="Arial" w:eastAsia="Arial" w:hAnsi="Arial"/>
          <w:sz w:val="10"/>
          <w:szCs w:val="10"/>
          <w:b w:val="1"/>
          <w:bCs w:val="1"/>
          <w:color w:val="E31F26"/>
        </w:rPr>
      </w:pPr>
      <w:r>
        <w:rPr>
          <w:rFonts w:ascii="Arial" w:cs="Arial" w:eastAsia="Arial" w:hAnsi="Arial"/>
          <w:sz w:val="10"/>
          <w:szCs w:val="10"/>
          <w:color w:val="auto"/>
        </w:rPr>
        <w:t>Seeks opportunities to better understand the Company’s business and issues that are important to shareholders and offers innovative solutions to these challenges.</w:t>
      </w:r>
    </w:p>
    <w:p>
      <w:pPr>
        <w:spacing w:after="0" w:line="163" w:lineRule="exact"/>
        <w:rPr>
          <w:sz w:val="20"/>
          <w:szCs w:val="20"/>
          <w:color w:val="auto"/>
        </w:rPr>
      </w:pPr>
    </w:p>
    <w:p>
      <w:pPr>
        <w:sectPr>
          <w:pgSz w:w="11900" w:h="16838" w:orient="portrait"/>
          <w:cols w:equalWidth="0" w:num="2">
            <w:col w:w="6100" w:space="75"/>
            <w:col w:w="5125"/>
          </w:cols>
          <w:pgMar w:left="300" w:top="439" w:right="29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vMerge w:val="restart"/>
          </w:tcPr>
          <w:p>
            <w:pPr>
              <w:ind w:left="260"/>
              <w:spacing w:after="0"/>
              <w:rPr>
                <w:sz w:val="20"/>
                <w:szCs w:val="20"/>
                <w:color w:val="auto"/>
              </w:rPr>
            </w:pPr>
            <w:r>
              <w:rPr>
                <w:rFonts w:ascii="Arial" w:cs="Arial" w:eastAsia="Arial" w:hAnsi="Arial"/>
                <w:sz w:val="10"/>
                <w:szCs w:val="10"/>
                <w:color w:val="auto"/>
              </w:rPr>
              <w:t>The results of the assessments are processed as follows:</w:t>
            </w:r>
          </w:p>
        </w:tc>
        <w:tc>
          <w:tcPr>
            <w:tcW w:w="3180" w:type="dxa"/>
            <w:vAlign w:val="bottom"/>
            <w:gridSpan w:val="2"/>
          </w:tcPr>
          <w:p>
            <w:pPr>
              <w:ind w:left="40"/>
              <w:spacing w:after="0"/>
              <w:rPr>
                <w:sz w:val="20"/>
                <w:szCs w:val="20"/>
                <w:color w:val="auto"/>
              </w:rPr>
            </w:pPr>
            <w:r>
              <w:rPr>
                <w:rFonts w:ascii="Arial" w:cs="Arial" w:eastAsia="Arial" w:hAnsi="Arial"/>
                <w:sz w:val="10"/>
                <w:szCs w:val="10"/>
                <w:color w:val="auto"/>
              </w:rPr>
              <w:t>The results of the peer and self-evaluations are processed as follows:</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3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An independent third party tabulates the results of the evaluation</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40" w:type="dxa"/>
            <w:vAlign w:val="bottom"/>
            <w:vMerge w:val="restart"/>
          </w:tcPr>
          <w:p>
            <w:pPr>
              <w:ind w:left="26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The General Counsel reviews and summarizes the responses from</w:t>
            </w:r>
          </w:p>
        </w:tc>
        <w:tc>
          <w:tcPr>
            <w:tcW w:w="3180" w:type="dxa"/>
            <w:vAlign w:val="bottom"/>
            <w:gridSpan w:val="2"/>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2740" w:type="dxa"/>
            <w:vAlign w:val="bottom"/>
          </w:tcPr>
          <w:p>
            <w:pPr>
              <w:ind w:left="260"/>
              <w:spacing w:after="0" w:line="108" w:lineRule="exact"/>
              <w:rPr>
                <w:sz w:val="20"/>
                <w:szCs w:val="20"/>
                <w:color w:val="auto"/>
              </w:rPr>
            </w:pPr>
            <w:r>
              <w:rPr>
                <w:rFonts w:ascii="Arial" w:cs="Arial" w:eastAsia="Arial" w:hAnsi="Arial"/>
                <w:sz w:val="10"/>
                <w:szCs w:val="10"/>
                <w:color w:val="auto"/>
                <w:w w:val="97"/>
              </w:rPr>
              <w:t>and prepares individual, confidential reports reflecting the</w:t>
            </w: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tcPr>
          <w:p>
            <w:pPr>
              <w:ind w:left="460"/>
              <w:spacing w:after="0" w:line="108" w:lineRule="exact"/>
              <w:rPr>
                <w:sz w:val="20"/>
                <w:szCs w:val="20"/>
                <w:color w:val="auto"/>
              </w:rPr>
            </w:pPr>
            <w:r>
              <w:rPr>
                <w:rFonts w:ascii="Arial" w:cs="Arial" w:eastAsia="Arial" w:hAnsi="Arial"/>
                <w:sz w:val="10"/>
                <w:szCs w:val="10"/>
                <w:color w:val="auto"/>
              </w:rPr>
              <w:t>each director’s assessment for the Lead Independent Director and</w:t>
            </w:r>
          </w:p>
        </w:tc>
        <w:tc>
          <w:tcPr>
            <w:tcW w:w="2740" w:type="dxa"/>
            <w:vAlign w:val="bottom"/>
          </w:tcPr>
          <w:p>
            <w:pPr>
              <w:ind w:left="260"/>
              <w:spacing w:after="0" w:line="108" w:lineRule="exact"/>
              <w:rPr>
                <w:sz w:val="20"/>
                <w:szCs w:val="20"/>
                <w:color w:val="auto"/>
              </w:rPr>
            </w:pPr>
            <w:r>
              <w:rPr>
                <w:rFonts w:ascii="Arial" w:cs="Arial" w:eastAsia="Arial" w:hAnsi="Arial"/>
                <w:sz w:val="10"/>
                <w:szCs w:val="10"/>
                <w:color w:val="auto"/>
              </w:rPr>
              <w:t>directors’ peer and self-evaluation findings and</w:t>
            </w: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tcPr>
          <w:p>
            <w:pPr>
              <w:ind w:left="460"/>
              <w:spacing w:after="0"/>
              <w:rPr>
                <w:sz w:val="20"/>
                <w:szCs w:val="20"/>
                <w:color w:val="auto"/>
              </w:rPr>
            </w:pPr>
            <w:r>
              <w:rPr>
                <w:rFonts w:ascii="Arial" w:cs="Arial" w:eastAsia="Arial" w:hAnsi="Arial"/>
                <w:sz w:val="10"/>
                <w:szCs w:val="10"/>
                <w:color w:val="auto"/>
              </w:rPr>
              <w:t>each of the committee chairs.</w:t>
            </w:r>
          </w:p>
        </w:tc>
        <w:tc>
          <w:tcPr>
            <w:tcW w:w="2740" w:type="dxa"/>
            <w:vAlign w:val="bottom"/>
          </w:tcPr>
          <w:p>
            <w:pPr>
              <w:ind w:left="260"/>
              <w:spacing w:after="0"/>
              <w:rPr>
                <w:sz w:val="20"/>
                <w:szCs w:val="20"/>
                <w:color w:val="auto"/>
              </w:rPr>
            </w:pPr>
            <w:r>
              <w:rPr>
                <w:rFonts w:ascii="Arial" w:cs="Arial" w:eastAsia="Arial" w:hAnsi="Arial"/>
                <w:sz w:val="10"/>
                <w:szCs w:val="10"/>
                <w:color w:val="auto"/>
              </w:rPr>
              <w:t>recommendations.</w:t>
            </w: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1980" w:type="dxa"/>
            <w:vAlign w:val="bottom"/>
          </w:tcPr>
          <w:p>
            <w:pPr>
              <w:spacing w:after="0"/>
              <w:rPr>
                <w:sz w:val="17"/>
                <w:szCs w:val="17"/>
                <w:color w:val="auto"/>
              </w:rPr>
            </w:pPr>
          </w:p>
        </w:tc>
        <w:tc>
          <w:tcPr>
            <w:tcW w:w="720" w:type="dxa"/>
            <w:vAlign w:val="bottom"/>
            <w:vMerge w:val="restart"/>
          </w:tcPr>
          <w:p>
            <w:pPr>
              <w:ind w:left="20"/>
              <w:spacing w:after="0"/>
              <w:rPr>
                <w:sz w:val="20"/>
                <w:szCs w:val="20"/>
                <w:color w:val="auto"/>
              </w:rPr>
            </w:pPr>
            <w:r>
              <w:rPr>
                <w:rFonts w:ascii="Arial" w:cs="Arial" w:eastAsia="Arial" w:hAnsi="Arial"/>
                <w:sz w:val="10"/>
                <w:szCs w:val="10"/>
                <w:b w:val="1"/>
                <w:bCs w:val="1"/>
                <w:color w:val="E31F26"/>
              </w:rPr>
              <w:t>Reporting</w:t>
            </w:r>
          </w:p>
        </w:tc>
        <w:tc>
          <w:tcPr>
            <w:tcW w:w="3440" w:type="dxa"/>
            <w:vAlign w:val="bottom"/>
          </w:tcPr>
          <w:p>
            <w:pPr>
              <w:ind w:left="260"/>
              <w:spacing w:after="0"/>
              <w:rPr>
                <w:sz w:val="20"/>
                <w:szCs w:val="20"/>
                <w:color w:val="auto"/>
              </w:rPr>
            </w:pPr>
            <w:r>
              <w:rPr>
                <w:rFonts w:ascii="Arial" w:cs="Arial" w:eastAsia="Arial" w:hAnsi="Arial"/>
                <w:sz w:val="10"/>
                <w:szCs w:val="10"/>
                <w:b w:val="1"/>
                <w:bCs w:val="1"/>
                <w:color w:val="E31F26"/>
                <w:w w:val="99"/>
              </w:rPr>
              <w:t xml:space="preserve">►  </w:t>
            </w:r>
            <w:r>
              <w:rPr>
                <w:rFonts w:ascii="Arial" w:cs="Arial" w:eastAsia="Arial" w:hAnsi="Arial"/>
                <w:sz w:val="10"/>
                <w:szCs w:val="10"/>
                <w:color w:val="000000"/>
                <w:w w:val="99"/>
              </w:rPr>
              <w:t>Each director participates in a confidential, open-ended, one-on-one</w:t>
            </w:r>
          </w:p>
        </w:tc>
        <w:tc>
          <w:tcPr>
            <w:tcW w:w="2740" w:type="dxa"/>
            <w:vAlign w:val="bottom"/>
          </w:tcPr>
          <w:p>
            <w:pPr>
              <w:ind w:left="40"/>
              <w:spacing w:after="0"/>
              <w:rPr>
                <w:sz w:val="20"/>
                <w:szCs w:val="20"/>
                <w:color w:val="auto"/>
              </w:rPr>
            </w:pPr>
            <w:r>
              <w:rPr>
                <w:rFonts w:ascii="Arial" w:cs="Arial" w:eastAsia="Arial" w:hAnsi="Arial"/>
                <w:sz w:val="10"/>
                <w:szCs w:val="10"/>
                <w:b w:val="1"/>
                <w:bCs w:val="1"/>
                <w:color w:val="E31F26"/>
                <w:w w:val="96"/>
              </w:rPr>
              <w:t xml:space="preserve">►  </w:t>
            </w:r>
            <w:r>
              <w:rPr>
                <w:rFonts w:ascii="Arial" w:cs="Arial" w:eastAsia="Arial" w:hAnsi="Arial"/>
                <w:sz w:val="10"/>
                <w:szCs w:val="10"/>
                <w:color w:val="000000"/>
                <w:w w:val="96"/>
              </w:rPr>
              <w:t>The reports are provided to the Lead Independent Director,</w:t>
            </w:r>
          </w:p>
        </w:tc>
        <w:tc>
          <w:tcPr>
            <w:tcW w:w="4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9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3440" w:type="dxa"/>
            <w:vAlign w:val="bottom"/>
            <w:vMerge w:val="restart"/>
          </w:tcPr>
          <w:p>
            <w:pPr>
              <w:ind w:left="460"/>
              <w:spacing w:after="0" w:line="108" w:lineRule="exact"/>
              <w:rPr>
                <w:sz w:val="20"/>
                <w:szCs w:val="20"/>
                <w:color w:val="auto"/>
              </w:rPr>
            </w:pPr>
            <w:r>
              <w:rPr>
                <w:rFonts w:ascii="Arial" w:cs="Arial" w:eastAsia="Arial" w:hAnsi="Arial"/>
                <w:sz w:val="10"/>
                <w:szCs w:val="10"/>
                <w:color w:val="auto"/>
                <w:w w:val="98"/>
              </w:rPr>
              <w:t>interview facilitated by the Lead Independent Director to discuss the</w:t>
            </w:r>
          </w:p>
        </w:tc>
        <w:tc>
          <w:tcPr>
            <w:tcW w:w="3180" w:type="dxa"/>
            <w:vAlign w:val="bottom"/>
            <w:gridSpan w:val="2"/>
            <w:vMerge w:val="restart"/>
          </w:tcPr>
          <w:p>
            <w:pPr>
              <w:ind w:left="260"/>
              <w:spacing w:after="0" w:line="108" w:lineRule="exact"/>
              <w:rPr>
                <w:sz w:val="20"/>
                <w:szCs w:val="20"/>
                <w:color w:val="auto"/>
              </w:rPr>
            </w:pPr>
            <w:r>
              <w:rPr>
                <w:rFonts w:ascii="Arial" w:cs="Arial" w:eastAsia="Arial" w:hAnsi="Arial"/>
                <w:sz w:val="10"/>
                <w:szCs w:val="10"/>
                <w:color w:val="auto"/>
              </w:rPr>
              <w:t>except the report on the Lead Independent Director, which is</w:t>
            </w: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318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tcPr>
          <w:p>
            <w:pPr>
              <w:ind w:left="460"/>
              <w:spacing w:after="0" w:line="108" w:lineRule="exact"/>
              <w:rPr>
                <w:sz w:val="20"/>
                <w:szCs w:val="20"/>
                <w:color w:val="auto"/>
              </w:rPr>
            </w:pPr>
            <w:r>
              <w:rPr>
                <w:rFonts w:ascii="Arial" w:cs="Arial" w:eastAsia="Arial" w:hAnsi="Arial"/>
                <w:sz w:val="10"/>
                <w:szCs w:val="10"/>
                <w:color w:val="auto"/>
              </w:rPr>
              <w:t>results of the assessments regarding Board and committee</w:t>
            </w:r>
          </w:p>
        </w:tc>
        <w:tc>
          <w:tcPr>
            <w:tcW w:w="2740" w:type="dxa"/>
            <w:vAlign w:val="bottom"/>
          </w:tcPr>
          <w:p>
            <w:pPr>
              <w:ind w:left="260"/>
              <w:spacing w:after="0" w:line="108" w:lineRule="exact"/>
              <w:rPr>
                <w:sz w:val="20"/>
                <w:szCs w:val="20"/>
                <w:color w:val="auto"/>
              </w:rPr>
            </w:pPr>
            <w:r>
              <w:rPr>
                <w:rFonts w:ascii="Arial" w:cs="Arial" w:eastAsia="Arial" w:hAnsi="Arial"/>
                <w:sz w:val="10"/>
                <w:szCs w:val="10"/>
                <w:color w:val="auto"/>
              </w:rPr>
              <w:t>provided to the Responsibility Committee Chair.</w:t>
            </w: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tcPr>
          <w:p>
            <w:pPr>
              <w:ind w:left="460"/>
              <w:spacing w:after="0" w:line="108" w:lineRule="exact"/>
              <w:rPr>
                <w:sz w:val="20"/>
                <w:szCs w:val="20"/>
                <w:color w:val="auto"/>
              </w:rPr>
            </w:pPr>
            <w:r>
              <w:rPr>
                <w:rFonts w:ascii="Arial" w:cs="Arial" w:eastAsia="Arial" w:hAnsi="Arial"/>
                <w:sz w:val="10"/>
                <w:szCs w:val="10"/>
                <w:color w:val="auto"/>
                <w:w w:val="98"/>
              </w:rPr>
              <w:t>performance, and solicit input on the performance and effectiveness</w:t>
            </w:r>
          </w:p>
        </w:tc>
        <w:tc>
          <w:tcPr>
            <w:tcW w:w="3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The Lead Independent Director briefs the CEO on the results.</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tcPr>
          <w:p>
            <w:pPr>
              <w:ind w:left="460"/>
              <w:spacing w:after="0" w:line="108" w:lineRule="exact"/>
              <w:rPr>
                <w:sz w:val="20"/>
                <w:szCs w:val="20"/>
                <w:color w:val="auto"/>
              </w:rPr>
            </w:pPr>
            <w:r>
              <w:rPr>
                <w:rFonts w:ascii="Arial" w:cs="Arial" w:eastAsia="Arial" w:hAnsi="Arial"/>
                <w:sz w:val="10"/>
                <w:szCs w:val="10"/>
                <w:color w:val="auto"/>
              </w:rPr>
              <w:t>of the Board and the committees (except the Lead Independent</w:t>
            </w:r>
          </w:p>
        </w:tc>
        <w:tc>
          <w:tcPr>
            <w:tcW w:w="318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tcPr>
          <w:p>
            <w:pPr>
              <w:ind w:left="460"/>
              <w:spacing w:after="0"/>
              <w:rPr>
                <w:sz w:val="20"/>
                <w:szCs w:val="20"/>
                <w:color w:val="auto"/>
              </w:rPr>
            </w:pPr>
            <w:r>
              <w:rPr>
                <w:rFonts w:ascii="Arial" w:cs="Arial" w:eastAsia="Arial" w:hAnsi="Arial"/>
                <w:sz w:val="10"/>
                <w:szCs w:val="10"/>
                <w:color w:val="auto"/>
              </w:rPr>
              <w:t>Director, who meets with the Responsibility Committee Chair).</w:t>
            </w:r>
          </w:p>
        </w:tc>
        <w:tc>
          <w:tcPr>
            <w:tcW w:w="3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Confidential, open-ended, one-on-one interviews are facilitated by</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40" w:type="dxa"/>
            <w:vAlign w:val="bottom"/>
            <w:vMerge w:val="restart"/>
          </w:tcPr>
          <w:p>
            <w:pPr>
              <w:ind w:left="26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Each committee chair meets separately with each of its members to</w:t>
            </w:r>
          </w:p>
        </w:tc>
        <w:tc>
          <w:tcPr>
            <w:tcW w:w="3180" w:type="dxa"/>
            <w:vAlign w:val="bottom"/>
            <w:gridSpan w:val="2"/>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3180" w:type="dxa"/>
            <w:vAlign w:val="bottom"/>
            <w:gridSpan w:val="2"/>
          </w:tcPr>
          <w:p>
            <w:pPr>
              <w:ind w:left="260"/>
              <w:spacing w:after="0" w:line="108" w:lineRule="exact"/>
              <w:rPr>
                <w:sz w:val="20"/>
                <w:szCs w:val="20"/>
                <w:color w:val="auto"/>
              </w:rPr>
            </w:pPr>
            <w:r>
              <w:rPr>
                <w:rFonts w:ascii="Arial" w:cs="Arial" w:eastAsia="Arial" w:hAnsi="Arial"/>
                <w:sz w:val="10"/>
                <w:szCs w:val="10"/>
                <w:color w:val="auto"/>
              </w:rPr>
              <w:t>the Lead Independent Director and, for the Lead Independent</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tcPr>
          <w:p>
            <w:pPr>
              <w:ind w:left="460"/>
              <w:spacing w:after="0"/>
              <w:rPr>
                <w:sz w:val="20"/>
                <w:szCs w:val="20"/>
                <w:color w:val="auto"/>
              </w:rPr>
            </w:pPr>
            <w:r>
              <w:rPr>
                <w:rFonts w:ascii="Arial" w:cs="Arial" w:eastAsia="Arial" w:hAnsi="Arial"/>
                <w:sz w:val="10"/>
                <w:szCs w:val="10"/>
                <w:color w:val="auto"/>
              </w:rPr>
              <w:t>discuss the results of that committee’s assessment.</w:t>
            </w:r>
          </w:p>
        </w:tc>
        <w:tc>
          <w:tcPr>
            <w:tcW w:w="2740" w:type="dxa"/>
            <w:vAlign w:val="bottom"/>
          </w:tcPr>
          <w:p>
            <w:pPr>
              <w:ind w:left="260"/>
              <w:spacing w:after="0"/>
              <w:rPr>
                <w:sz w:val="20"/>
                <w:szCs w:val="20"/>
                <w:color w:val="auto"/>
              </w:rPr>
            </w:pPr>
            <w:r>
              <w:rPr>
                <w:rFonts w:ascii="Arial" w:cs="Arial" w:eastAsia="Arial" w:hAnsi="Arial"/>
                <w:sz w:val="10"/>
                <w:szCs w:val="10"/>
                <w:color w:val="auto"/>
              </w:rPr>
              <w:t>Director, by the Responsibility Committee Chair.</w:t>
            </w: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980" w:type="dxa"/>
            <w:vAlign w:val="bottom"/>
          </w:tcPr>
          <w:p>
            <w:pPr>
              <w:spacing w:after="0"/>
              <w:rPr>
                <w:sz w:val="2"/>
                <w:szCs w:val="2"/>
                <w:color w:val="auto"/>
              </w:rPr>
            </w:pPr>
          </w:p>
        </w:tc>
        <w:tc>
          <w:tcPr>
            <w:tcW w:w="720" w:type="dxa"/>
            <w:vAlign w:val="bottom"/>
            <w:tcBorders>
              <w:bottom w:val="single" w:sz="8" w:color="CCCCCC"/>
            </w:tcBorders>
          </w:tcPr>
          <w:p>
            <w:pPr>
              <w:spacing w:after="0"/>
              <w:rPr>
                <w:sz w:val="2"/>
                <w:szCs w:val="2"/>
                <w:color w:val="auto"/>
              </w:rPr>
            </w:pPr>
          </w:p>
        </w:tc>
        <w:tc>
          <w:tcPr>
            <w:tcW w:w="3440" w:type="dxa"/>
            <w:vAlign w:val="bottom"/>
            <w:tcBorders>
              <w:bottom w:val="single" w:sz="8" w:color="CCCCCC"/>
            </w:tcBorders>
          </w:tcPr>
          <w:p>
            <w:pPr>
              <w:spacing w:after="0"/>
              <w:rPr>
                <w:sz w:val="2"/>
                <w:szCs w:val="2"/>
                <w:color w:val="auto"/>
              </w:rPr>
            </w:pPr>
          </w:p>
        </w:tc>
        <w:tc>
          <w:tcPr>
            <w:tcW w:w="2740" w:type="dxa"/>
            <w:vAlign w:val="bottom"/>
            <w:tcBorders>
              <w:bottom w:val="single" w:sz="8" w:color="CCCCCC"/>
            </w:tcBorders>
          </w:tcPr>
          <w:p>
            <w:pPr>
              <w:spacing w:after="0"/>
              <w:rPr>
                <w:sz w:val="2"/>
                <w:szCs w:val="2"/>
                <w:color w:val="auto"/>
              </w:rPr>
            </w:pPr>
          </w:p>
        </w:tc>
        <w:tc>
          <w:tcPr>
            <w:tcW w:w="440" w:type="dxa"/>
            <w:vAlign w:val="bottom"/>
            <w:tcBorders>
              <w:bottom w:val="single" w:sz="8" w:color="CCCCCC"/>
            </w:tcBorders>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40" w:type="dxa"/>
            <w:vAlign w:val="bottom"/>
          </w:tcPr>
          <w:p>
            <w:pPr>
              <w:ind w:left="260"/>
              <w:spacing w:after="0"/>
              <w:rPr>
                <w:sz w:val="20"/>
                <w:szCs w:val="20"/>
                <w:color w:val="auto"/>
              </w:rPr>
            </w:pPr>
            <w:r>
              <w:rPr>
                <w:rFonts w:ascii="Arial" w:cs="Arial" w:eastAsia="Arial" w:hAnsi="Arial"/>
                <w:sz w:val="10"/>
                <w:szCs w:val="10"/>
                <w:color w:val="auto"/>
              </w:rPr>
              <w:t>These evaluations have consistently found that the Board and its</w:t>
            </w:r>
          </w:p>
        </w:tc>
        <w:tc>
          <w:tcPr>
            <w:tcW w:w="2740" w:type="dxa"/>
            <w:vAlign w:val="bottom"/>
          </w:tcPr>
          <w:p>
            <w:pPr>
              <w:ind w:left="40"/>
              <w:spacing w:after="0"/>
              <w:rPr>
                <w:sz w:val="20"/>
                <w:szCs w:val="20"/>
                <w:color w:val="auto"/>
              </w:rPr>
            </w:pPr>
            <w:r>
              <w:rPr>
                <w:rFonts w:ascii="Arial" w:cs="Arial" w:eastAsia="Arial" w:hAnsi="Arial"/>
                <w:sz w:val="10"/>
                <w:szCs w:val="10"/>
                <w:color w:val="auto"/>
              </w:rPr>
              <w:t>These evaluations have consistently identified development</w:t>
            </w:r>
          </w:p>
        </w:tc>
        <w:tc>
          <w:tcPr>
            <w:tcW w:w="4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tcPr>
          <w:p>
            <w:pPr>
              <w:ind w:left="260"/>
              <w:spacing w:after="0" w:line="108" w:lineRule="exact"/>
              <w:rPr>
                <w:sz w:val="20"/>
                <w:szCs w:val="20"/>
                <w:color w:val="auto"/>
              </w:rPr>
            </w:pPr>
            <w:r>
              <w:rPr>
                <w:rFonts w:ascii="Arial" w:cs="Arial" w:eastAsia="Arial" w:hAnsi="Arial"/>
                <w:sz w:val="10"/>
                <w:szCs w:val="10"/>
                <w:color w:val="auto"/>
              </w:rPr>
              <w:t>committees are operating effectively.</w:t>
            </w:r>
          </w:p>
        </w:tc>
        <w:tc>
          <w:tcPr>
            <w:tcW w:w="2740" w:type="dxa"/>
            <w:vAlign w:val="bottom"/>
          </w:tcPr>
          <w:p>
            <w:pPr>
              <w:ind w:left="40"/>
              <w:spacing w:after="0" w:line="108" w:lineRule="exact"/>
              <w:rPr>
                <w:sz w:val="20"/>
                <w:szCs w:val="20"/>
                <w:color w:val="auto"/>
              </w:rPr>
            </w:pPr>
            <w:r>
              <w:rPr>
                <w:rFonts w:ascii="Arial" w:cs="Arial" w:eastAsia="Arial" w:hAnsi="Arial"/>
                <w:sz w:val="10"/>
                <w:szCs w:val="10"/>
                <w:color w:val="auto"/>
                <w:w w:val="96"/>
              </w:rPr>
              <w:t>opportunities for each director. They have also found that each</w:t>
            </w: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vMerge w:val="restart"/>
          </w:tcPr>
          <w:p>
            <w:pPr>
              <w:ind w:left="260"/>
              <w:spacing w:after="0"/>
              <w:rPr>
                <w:sz w:val="20"/>
                <w:szCs w:val="20"/>
                <w:color w:val="auto"/>
              </w:rPr>
            </w:pPr>
            <w:r>
              <w:rPr>
                <w:rFonts w:ascii="Arial" w:cs="Arial" w:eastAsia="Arial" w:hAnsi="Arial"/>
                <w:sz w:val="10"/>
                <w:szCs w:val="10"/>
                <w:color w:val="auto"/>
              </w:rPr>
              <w:t>This evaluation process has led to various refinements designed to</w:t>
            </w:r>
          </w:p>
        </w:tc>
        <w:tc>
          <w:tcPr>
            <w:tcW w:w="2740" w:type="dxa"/>
            <w:vAlign w:val="bottom"/>
          </w:tcPr>
          <w:p>
            <w:pPr>
              <w:ind w:left="40"/>
              <w:spacing w:after="0"/>
              <w:rPr>
                <w:sz w:val="20"/>
                <w:szCs w:val="20"/>
                <w:color w:val="auto"/>
              </w:rPr>
            </w:pPr>
            <w:r>
              <w:rPr>
                <w:rFonts w:ascii="Arial" w:cs="Arial" w:eastAsia="Arial" w:hAnsi="Arial"/>
                <w:sz w:val="10"/>
                <w:szCs w:val="10"/>
                <w:color w:val="auto"/>
              </w:rPr>
              <w:t>director:</w:t>
            </w: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40" w:type="dxa"/>
            <w:vAlign w:val="bottom"/>
          </w:tcPr>
          <w:p>
            <w:pPr>
              <w:ind w:left="260"/>
              <w:spacing w:after="0"/>
              <w:rPr>
                <w:sz w:val="20"/>
                <w:szCs w:val="20"/>
                <w:color w:val="auto"/>
              </w:rPr>
            </w:pPr>
            <w:r>
              <w:rPr>
                <w:rFonts w:ascii="Arial" w:cs="Arial" w:eastAsia="Arial" w:hAnsi="Arial"/>
                <w:sz w:val="10"/>
                <w:szCs w:val="10"/>
                <w:color w:val="auto"/>
              </w:rPr>
              <w:t>increase Board effectiveness over the past few years, including:</w:t>
            </w:r>
          </w:p>
        </w:tc>
        <w:tc>
          <w:tcPr>
            <w:tcW w:w="3180" w:type="dxa"/>
            <w:vAlign w:val="bottom"/>
            <w:gridSpan w:val="2"/>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Demonstrates a commitment to the Company’s core values.</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40" w:type="dxa"/>
            <w:vAlign w:val="bottom"/>
          </w:tcPr>
          <w:p>
            <w:pPr>
              <w:ind w:left="26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Adding additional responsibilities for the Responsibility Committee,</w:t>
            </w:r>
          </w:p>
        </w:tc>
        <w:tc>
          <w:tcPr>
            <w:tcW w:w="3180" w:type="dxa"/>
            <w:vAlign w:val="bottom"/>
            <w:gridSpan w:val="2"/>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Participates actively and constructively in, and is well-prepared</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40" w:type="dxa"/>
            <w:vAlign w:val="bottom"/>
          </w:tcPr>
          <w:p>
            <w:pPr>
              <w:ind w:left="460"/>
              <w:spacing w:after="0"/>
              <w:rPr>
                <w:sz w:val="20"/>
                <w:szCs w:val="20"/>
                <w:color w:val="auto"/>
              </w:rPr>
            </w:pPr>
            <w:r>
              <w:rPr>
                <w:rFonts w:ascii="Arial" w:cs="Arial" w:eastAsia="Arial" w:hAnsi="Arial"/>
                <w:sz w:val="10"/>
                <w:szCs w:val="10"/>
                <w:color w:val="auto"/>
              </w:rPr>
              <w:t>including overseeing the Company’s ESG efforts.</w:t>
            </w:r>
          </w:p>
        </w:tc>
        <w:tc>
          <w:tcPr>
            <w:tcW w:w="2740" w:type="dxa"/>
            <w:vAlign w:val="bottom"/>
          </w:tcPr>
          <w:p>
            <w:pPr>
              <w:ind w:left="260"/>
              <w:spacing w:after="0"/>
              <w:rPr>
                <w:sz w:val="20"/>
                <w:szCs w:val="20"/>
                <w:color w:val="auto"/>
              </w:rPr>
            </w:pPr>
            <w:r>
              <w:rPr>
                <w:rFonts w:ascii="Arial" w:cs="Arial" w:eastAsia="Arial" w:hAnsi="Arial"/>
                <w:sz w:val="10"/>
                <w:szCs w:val="10"/>
                <w:color w:val="auto"/>
              </w:rPr>
              <w:t>for, Board and committee meetings.</w:t>
            </w:r>
          </w:p>
        </w:tc>
        <w:tc>
          <w:tcPr>
            <w:tcW w:w="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80" w:type="dxa"/>
            <w:vAlign w:val="bottom"/>
          </w:tcPr>
          <w:p>
            <w:pPr>
              <w:spacing w:after="0"/>
              <w:rPr>
                <w:sz w:val="17"/>
                <w:szCs w:val="17"/>
                <w:color w:val="auto"/>
              </w:rPr>
            </w:pPr>
          </w:p>
        </w:tc>
        <w:tc>
          <w:tcPr>
            <w:tcW w:w="720" w:type="dxa"/>
            <w:vAlign w:val="bottom"/>
            <w:vMerge w:val="restart"/>
          </w:tcPr>
          <w:p>
            <w:pPr>
              <w:ind w:left="20"/>
              <w:spacing w:after="0"/>
              <w:rPr>
                <w:sz w:val="20"/>
                <w:szCs w:val="20"/>
                <w:color w:val="auto"/>
              </w:rPr>
            </w:pPr>
            <w:r>
              <w:rPr>
                <w:rFonts w:ascii="Arial" w:cs="Arial" w:eastAsia="Arial" w:hAnsi="Arial"/>
                <w:sz w:val="10"/>
                <w:szCs w:val="10"/>
                <w:b w:val="1"/>
                <w:bCs w:val="1"/>
                <w:color w:val="E31F26"/>
              </w:rPr>
              <w:t>Action</w:t>
            </w:r>
          </w:p>
        </w:tc>
        <w:tc>
          <w:tcPr>
            <w:tcW w:w="3440" w:type="dxa"/>
            <w:vAlign w:val="bottom"/>
          </w:tcPr>
          <w:p>
            <w:pPr>
              <w:ind w:left="26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Ensuring that Board and committee agendas are appropriately</w:t>
            </w:r>
          </w:p>
        </w:tc>
        <w:tc>
          <w:tcPr>
            <w:tcW w:w="3180" w:type="dxa"/>
            <w:vAlign w:val="bottom"/>
            <w:gridSpan w:val="2"/>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Exercises independent judgment when considering issues before</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9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3440" w:type="dxa"/>
            <w:vAlign w:val="bottom"/>
            <w:vMerge w:val="restart"/>
          </w:tcPr>
          <w:p>
            <w:pPr>
              <w:ind w:left="460"/>
              <w:spacing w:after="0"/>
              <w:rPr>
                <w:sz w:val="20"/>
                <w:szCs w:val="20"/>
                <w:color w:val="auto"/>
              </w:rPr>
            </w:pPr>
            <w:r>
              <w:rPr>
                <w:rFonts w:ascii="Arial" w:cs="Arial" w:eastAsia="Arial" w:hAnsi="Arial"/>
                <w:sz w:val="10"/>
                <w:szCs w:val="10"/>
                <w:color w:val="auto"/>
              </w:rPr>
              <w:t>focused on strategic priorities.</w:t>
            </w:r>
          </w:p>
        </w:tc>
        <w:tc>
          <w:tcPr>
            <w:tcW w:w="2740" w:type="dxa"/>
            <w:vAlign w:val="bottom"/>
            <w:vMerge w:val="restart"/>
          </w:tcPr>
          <w:p>
            <w:pPr>
              <w:ind w:left="260"/>
              <w:spacing w:after="0"/>
              <w:rPr>
                <w:sz w:val="20"/>
                <w:szCs w:val="20"/>
                <w:color w:val="auto"/>
              </w:rPr>
            </w:pPr>
            <w:r>
              <w:rPr>
                <w:rFonts w:ascii="Arial" w:cs="Arial" w:eastAsia="Arial" w:hAnsi="Arial"/>
                <w:sz w:val="10"/>
                <w:szCs w:val="10"/>
                <w:color w:val="auto"/>
              </w:rPr>
              <w:t>the Board and committees.</w:t>
            </w:r>
          </w:p>
        </w:tc>
        <w:tc>
          <w:tcPr>
            <w:tcW w:w="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1"/>
        </w:trPr>
        <w:tc>
          <w:tcPr>
            <w:tcW w:w="1980" w:type="dxa"/>
            <w:vAlign w:val="bottom"/>
          </w:tcPr>
          <w:p>
            <w:pPr>
              <w:spacing w:after="0"/>
              <w:rPr>
                <w:sz w:val="7"/>
                <w:szCs w:val="7"/>
                <w:color w:val="auto"/>
              </w:rPr>
            </w:pPr>
          </w:p>
        </w:tc>
        <w:tc>
          <w:tcPr>
            <w:tcW w:w="720" w:type="dxa"/>
            <w:vAlign w:val="bottom"/>
            <w:vMerge w:val="restart"/>
          </w:tcPr>
          <w:p>
            <w:pPr>
              <w:ind w:left="20"/>
              <w:spacing w:after="0"/>
              <w:rPr>
                <w:sz w:val="20"/>
                <w:szCs w:val="20"/>
                <w:color w:val="auto"/>
              </w:rPr>
            </w:pPr>
            <w:r>
              <w:rPr>
                <w:rFonts w:ascii="Arial" w:cs="Arial" w:eastAsia="Arial" w:hAnsi="Arial"/>
                <w:sz w:val="10"/>
                <w:szCs w:val="10"/>
                <w:b w:val="1"/>
                <w:bCs w:val="1"/>
                <w:color w:val="E31F26"/>
              </w:rPr>
              <w:t>Planning</w:t>
            </w:r>
          </w:p>
        </w:tc>
        <w:tc>
          <w:tcPr>
            <w:tcW w:w="344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9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3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40" w:type="dxa"/>
            <w:vAlign w:val="bottom"/>
          </w:tcPr>
          <w:p>
            <w:pPr>
              <w:ind w:left="26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Increasing focus on continuous Board succession planning and</w:t>
            </w:r>
          </w:p>
        </w:tc>
        <w:tc>
          <w:tcPr>
            <w:tcW w:w="3180" w:type="dxa"/>
            <w:vAlign w:val="bottom"/>
            <w:gridSpan w:val="2"/>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Seeks opportunities to proactively strengthen their understanding</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tcPr>
          <w:p>
            <w:pPr>
              <w:ind w:left="460"/>
              <w:spacing w:after="0" w:line="108" w:lineRule="exact"/>
              <w:rPr>
                <w:sz w:val="20"/>
                <w:szCs w:val="20"/>
                <w:color w:val="auto"/>
              </w:rPr>
            </w:pPr>
            <w:r>
              <w:rPr>
                <w:rFonts w:ascii="Arial" w:cs="Arial" w:eastAsia="Arial" w:hAnsi="Arial"/>
                <w:sz w:val="10"/>
                <w:szCs w:val="10"/>
                <w:color w:val="auto"/>
              </w:rPr>
              <w:t>refreshment.</w:t>
            </w:r>
          </w:p>
        </w:tc>
        <w:tc>
          <w:tcPr>
            <w:tcW w:w="3180" w:type="dxa"/>
            <w:vAlign w:val="bottom"/>
            <w:gridSpan w:val="2"/>
          </w:tcPr>
          <w:p>
            <w:pPr>
              <w:ind w:left="260"/>
              <w:spacing w:after="0" w:line="108" w:lineRule="exact"/>
              <w:rPr>
                <w:sz w:val="20"/>
                <w:szCs w:val="20"/>
                <w:color w:val="auto"/>
              </w:rPr>
            </w:pPr>
            <w:r>
              <w:rPr>
                <w:rFonts w:ascii="Arial" w:cs="Arial" w:eastAsia="Arial" w:hAnsi="Arial"/>
                <w:sz w:val="10"/>
                <w:szCs w:val="10"/>
                <w:color w:val="auto"/>
              </w:rPr>
              <w:t>of their role as a director and is open to ongoing training and</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vMerge w:val="restart"/>
          </w:tcPr>
          <w:p>
            <w:pPr>
              <w:ind w:left="260"/>
              <w:spacing w:after="0"/>
              <w:rPr>
                <w:sz w:val="20"/>
                <w:szCs w:val="20"/>
                <w:color w:val="auto"/>
              </w:rPr>
            </w:pPr>
            <w:r>
              <w:rPr>
                <w:rFonts w:ascii="Arial" w:cs="Arial" w:eastAsia="Arial" w:hAnsi="Arial"/>
                <w:sz w:val="10"/>
                <w:szCs w:val="10"/>
                <w:b w:val="1"/>
                <w:bCs w:val="1"/>
                <w:color w:val="E31F26"/>
                <w:w w:val="97"/>
              </w:rPr>
              <w:t xml:space="preserve">►  </w:t>
            </w:r>
            <w:r>
              <w:rPr>
                <w:rFonts w:ascii="Arial" w:cs="Arial" w:eastAsia="Arial" w:hAnsi="Arial"/>
                <w:sz w:val="10"/>
                <w:szCs w:val="10"/>
                <w:color w:val="000000"/>
                <w:w w:val="97"/>
              </w:rPr>
              <w:t>Continuing to prioritize diversity when seeking new Board candidates.</w:t>
            </w:r>
          </w:p>
        </w:tc>
        <w:tc>
          <w:tcPr>
            <w:tcW w:w="2740" w:type="dxa"/>
            <w:vAlign w:val="bottom"/>
          </w:tcPr>
          <w:p>
            <w:pPr>
              <w:ind w:left="260"/>
              <w:spacing w:after="0"/>
              <w:rPr>
                <w:sz w:val="20"/>
                <w:szCs w:val="20"/>
                <w:color w:val="auto"/>
              </w:rPr>
            </w:pPr>
            <w:r>
              <w:rPr>
                <w:rFonts w:ascii="Arial" w:cs="Arial" w:eastAsia="Arial" w:hAnsi="Arial"/>
                <w:sz w:val="10"/>
                <w:szCs w:val="10"/>
                <w:color w:val="auto"/>
              </w:rPr>
              <w:t>constructive feedback.</w:t>
            </w: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2740" w:type="dxa"/>
            <w:vAlign w:val="bottom"/>
            <w:vMerge w:val="restart"/>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Brings functional expertise to the Board to augment</w:t>
            </w: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40" w:type="dxa"/>
            <w:vAlign w:val="bottom"/>
            <w:vMerge w:val="restart"/>
          </w:tcPr>
          <w:p>
            <w:pPr>
              <w:ind w:left="26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Enhancing Board evaluation process with a 360-degree peer and</w:t>
            </w:r>
          </w:p>
        </w:tc>
        <w:tc>
          <w:tcPr>
            <w:tcW w:w="27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2740" w:type="dxa"/>
            <w:vAlign w:val="bottom"/>
          </w:tcPr>
          <w:p>
            <w:pPr>
              <w:ind w:left="260"/>
              <w:spacing w:after="0" w:line="108" w:lineRule="exact"/>
              <w:rPr>
                <w:sz w:val="20"/>
                <w:szCs w:val="20"/>
                <w:color w:val="auto"/>
              </w:rPr>
            </w:pPr>
            <w:r>
              <w:rPr>
                <w:rFonts w:ascii="Arial" w:cs="Arial" w:eastAsia="Arial" w:hAnsi="Arial"/>
                <w:sz w:val="10"/>
                <w:szCs w:val="10"/>
                <w:color w:val="auto"/>
              </w:rPr>
              <w:t>management’s thinking and development.</w:t>
            </w:r>
          </w:p>
        </w:tc>
        <w:tc>
          <w:tcPr>
            <w:tcW w:w="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tcPr>
          <w:p>
            <w:pPr>
              <w:ind w:left="460"/>
              <w:spacing w:after="0"/>
              <w:rPr>
                <w:sz w:val="20"/>
                <w:szCs w:val="20"/>
                <w:color w:val="auto"/>
              </w:rPr>
            </w:pPr>
            <w:r>
              <w:rPr>
                <w:rFonts w:ascii="Arial" w:cs="Arial" w:eastAsia="Arial" w:hAnsi="Arial"/>
                <w:sz w:val="10"/>
                <w:szCs w:val="10"/>
                <w:color w:val="auto"/>
              </w:rPr>
              <w:t>self-assessment facilitated by an independent third party.</w:t>
            </w:r>
          </w:p>
        </w:tc>
        <w:tc>
          <w:tcPr>
            <w:tcW w:w="2740" w:type="dxa"/>
            <w:vAlign w:val="bottom"/>
            <w:vMerge w:val="restart"/>
          </w:tcPr>
          <w:p>
            <w:pPr>
              <w:ind w:left="40"/>
              <w:spacing w:after="0"/>
              <w:rPr>
                <w:sz w:val="20"/>
                <w:szCs w:val="20"/>
                <w:color w:val="auto"/>
              </w:rPr>
            </w:pPr>
            <w:r>
              <w:rPr>
                <w:rFonts w:ascii="Arial" w:cs="Arial" w:eastAsia="Arial" w:hAnsi="Arial"/>
                <w:sz w:val="10"/>
                <w:szCs w:val="10"/>
                <w:b w:val="1"/>
                <w:bCs w:val="1"/>
                <w:color w:val="E31F26"/>
              </w:rPr>
              <w:t xml:space="preserve">►   </w:t>
            </w:r>
            <w:r>
              <w:rPr>
                <w:rFonts w:ascii="Arial" w:cs="Arial" w:eastAsia="Arial" w:hAnsi="Arial"/>
                <w:sz w:val="10"/>
                <w:szCs w:val="10"/>
                <w:color w:val="000000"/>
              </w:rPr>
              <w:t>Seeks opportunities to better understand the Company’s</w:t>
            </w: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180" w:type="dxa"/>
            <w:vAlign w:val="bottom"/>
            <w:gridSpan w:val="2"/>
          </w:tcPr>
          <w:p>
            <w:pPr>
              <w:ind w:left="260"/>
              <w:spacing w:after="0" w:line="108" w:lineRule="exact"/>
              <w:rPr>
                <w:sz w:val="20"/>
                <w:szCs w:val="20"/>
                <w:color w:val="auto"/>
              </w:rPr>
            </w:pPr>
            <w:r>
              <w:rPr>
                <w:rFonts w:ascii="Arial" w:cs="Arial" w:eastAsia="Arial" w:hAnsi="Arial"/>
                <w:sz w:val="10"/>
                <w:szCs w:val="10"/>
                <w:color w:val="auto"/>
                <w:w w:val="99"/>
              </w:rPr>
              <w:t>business and issues that are important to shareholders and offers</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740" w:type="dxa"/>
            <w:vAlign w:val="bottom"/>
          </w:tcPr>
          <w:p>
            <w:pPr>
              <w:ind w:left="260"/>
              <w:spacing w:after="0"/>
              <w:rPr>
                <w:sz w:val="20"/>
                <w:szCs w:val="20"/>
                <w:color w:val="auto"/>
              </w:rPr>
            </w:pPr>
            <w:r>
              <w:rPr>
                <w:rFonts w:ascii="Arial" w:cs="Arial" w:eastAsia="Arial" w:hAnsi="Arial"/>
                <w:sz w:val="10"/>
                <w:szCs w:val="10"/>
                <w:color w:val="auto"/>
              </w:rPr>
              <w:t>innovative solutions to these challenges.</w:t>
            </w:r>
          </w:p>
        </w:tc>
        <w:tc>
          <w:tcPr>
            <w:tcW w:w="4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980" w:type="dxa"/>
            <w:vAlign w:val="bottom"/>
          </w:tcPr>
          <w:p>
            <w:pPr>
              <w:spacing w:after="0"/>
              <w:rPr>
                <w:sz w:val="2"/>
                <w:szCs w:val="2"/>
                <w:color w:val="auto"/>
              </w:rPr>
            </w:pPr>
          </w:p>
        </w:tc>
        <w:tc>
          <w:tcPr>
            <w:tcW w:w="720" w:type="dxa"/>
            <w:vAlign w:val="bottom"/>
            <w:tcBorders>
              <w:bottom w:val="single" w:sz="8" w:color="FF0000"/>
            </w:tcBorders>
          </w:tcPr>
          <w:p>
            <w:pPr>
              <w:spacing w:after="0"/>
              <w:rPr>
                <w:sz w:val="2"/>
                <w:szCs w:val="2"/>
                <w:color w:val="auto"/>
              </w:rPr>
            </w:pPr>
          </w:p>
        </w:tc>
        <w:tc>
          <w:tcPr>
            <w:tcW w:w="3440" w:type="dxa"/>
            <w:vAlign w:val="bottom"/>
            <w:tcBorders>
              <w:bottom w:val="single" w:sz="8" w:color="FF0000"/>
            </w:tcBorders>
          </w:tcPr>
          <w:p>
            <w:pPr>
              <w:spacing w:after="0"/>
              <w:rPr>
                <w:sz w:val="2"/>
                <w:szCs w:val="2"/>
                <w:color w:val="auto"/>
              </w:rPr>
            </w:pPr>
          </w:p>
        </w:tc>
        <w:tc>
          <w:tcPr>
            <w:tcW w:w="2740" w:type="dxa"/>
            <w:vAlign w:val="bottom"/>
            <w:tcBorders>
              <w:bottom w:val="single" w:sz="8" w:color="FF0000"/>
            </w:tcBorders>
          </w:tcPr>
          <w:p>
            <w:pPr>
              <w:spacing w:after="0"/>
              <w:rPr>
                <w:sz w:val="2"/>
                <w:szCs w:val="2"/>
                <w:color w:val="auto"/>
              </w:rPr>
            </w:pPr>
          </w:p>
        </w:tc>
        <w:tc>
          <w:tcPr>
            <w:tcW w:w="440" w:type="dxa"/>
            <w:vAlign w:val="bottom"/>
            <w:tcBorders>
              <w:bottom w:val="single" w:sz="8" w:color="FF0000"/>
            </w:tcBorders>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40" w:type="dxa"/>
            <w:vAlign w:val="bottom"/>
          </w:tcPr>
          <w:p>
            <w:pPr>
              <w:ind w:left="130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440" w:type="dxa"/>
            <w:vAlign w:val="bottom"/>
          </w:tcPr>
          <w:p>
            <w:pPr>
              <w:jc w:val="right"/>
              <w:ind w:right="266"/>
              <w:spacing w:after="0"/>
              <w:rPr>
                <w:sz w:val="20"/>
                <w:szCs w:val="20"/>
                <w:color w:val="auto"/>
              </w:rPr>
            </w:pPr>
            <w:r>
              <w:rPr>
                <w:rFonts w:ascii="Arial" w:cs="Arial" w:eastAsia="Arial" w:hAnsi="Arial"/>
                <w:sz w:val="11"/>
                <w:szCs w:val="11"/>
                <w:b w:val="1"/>
                <w:bCs w:val="1"/>
                <w:color w:val="FFFFFF"/>
                <w:w w:val="81"/>
              </w:rPr>
              <w:t>31</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-410845</wp:posOffset>
            </wp:positionV>
            <wp:extent cx="36576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439" w:right="299" w:bottom="1440" w:gutter="0" w:footer="0" w:header="0"/>
          <w:type w:val="continuous"/>
        </w:sectPr>
      </w:pPr>
    </w:p>
    <w:bookmarkStart w:id="37" w:name="page38"/>
    <w:bookmarkEnd w:id="37"/>
    <w:p>
      <w:pPr>
        <w:ind w:left="840"/>
        <w:spacing w:after="0"/>
        <w:rPr>
          <w:sz w:val="20"/>
          <w:szCs w:val="20"/>
          <w:color w:val="auto"/>
        </w:rPr>
      </w:pPr>
      <w:r>
        <w:rPr>
          <w:rFonts w:ascii="Arial" w:cs="Arial" w:eastAsia="Arial" w:hAnsi="Arial"/>
          <w:sz w:val="10"/>
          <w:szCs w:val="10"/>
          <w:b w:val="1"/>
          <w:bCs w:val="1"/>
          <w:color w:val="E31F26"/>
        </w:rPr>
        <w:t>GOVERNANCE</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E31F26"/>
        </w:rPr>
        <w:t>STOCK OWNERSHIP GUIDELINES</w:t>
      </w:r>
    </w:p>
    <w:p>
      <w:pPr>
        <w:spacing w:after="0" w:line="136" w:lineRule="exact"/>
        <w:rPr>
          <w:sz w:val="20"/>
          <w:szCs w:val="20"/>
          <w:color w:val="auto"/>
        </w:rPr>
      </w:pPr>
    </w:p>
    <w:p>
      <w:pPr>
        <w:ind w:left="840" w:right="859"/>
        <w:spacing w:after="0" w:line="246" w:lineRule="auto"/>
        <w:rPr>
          <w:sz w:val="20"/>
          <w:szCs w:val="20"/>
          <w:color w:val="auto"/>
        </w:rPr>
      </w:pPr>
      <w:r>
        <w:rPr>
          <w:rFonts w:ascii="Arial" w:cs="Arial" w:eastAsia="Arial" w:hAnsi="Arial"/>
          <w:sz w:val="11"/>
          <w:szCs w:val="11"/>
          <w:color w:val="auto"/>
        </w:rPr>
        <w:t>The Company’s Stock Ownership Guidelines align the interests of non-employee directors and executives with the interests of shareholders, and promote the Company’s commitment to sound corporate governance. These guidelines apply to the Company’s non-employee directors, executive officers, corporate officers, and certain other executives. The participants are expected to achieve and maintain beneficial ownership of Common Stock having a value equal to at least the multiple indicated in the table below of the remuneration payable to them from time to time. The individual guidelines established for each participant are as follows:</w:t>
      </w:r>
    </w:p>
    <w:p>
      <w:pPr>
        <w:spacing w:after="0" w:line="11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600" w:type="dxa"/>
            <w:vAlign w:val="bottom"/>
            <w:tcBorders>
              <w:bottom w:val="single" w:sz="8" w:color="FF0000"/>
            </w:tcBorders>
          </w:tcPr>
          <w:p>
            <w:pPr>
              <w:ind w:left="60"/>
              <w:spacing w:after="0"/>
              <w:rPr>
                <w:sz w:val="20"/>
                <w:szCs w:val="20"/>
                <w:color w:val="auto"/>
              </w:rPr>
            </w:pPr>
            <w:r>
              <w:rPr>
                <w:rFonts w:ascii="Arial" w:cs="Arial" w:eastAsia="Arial" w:hAnsi="Arial"/>
                <w:sz w:val="10"/>
                <w:szCs w:val="10"/>
                <w:b w:val="1"/>
                <w:bCs w:val="1"/>
                <w:color w:val="auto"/>
              </w:rPr>
              <w:t>Position</w:t>
            </w:r>
          </w:p>
        </w:tc>
        <w:tc>
          <w:tcPr>
            <w:tcW w:w="1000" w:type="dxa"/>
            <w:vAlign w:val="bottom"/>
            <w:tcBorders>
              <w:bottom w:val="single" w:sz="8" w:color="FF0000"/>
            </w:tcBorders>
          </w:tcPr>
          <w:p>
            <w:pPr>
              <w:jc w:val="right"/>
              <w:ind w:right="11"/>
              <w:spacing w:after="0"/>
              <w:rPr>
                <w:sz w:val="20"/>
                <w:szCs w:val="20"/>
                <w:color w:val="auto"/>
              </w:rPr>
            </w:pPr>
            <w:r>
              <w:rPr>
                <w:rFonts w:ascii="Arial" w:cs="Arial" w:eastAsia="Arial" w:hAnsi="Arial"/>
                <w:sz w:val="10"/>
                <w:szCs w:val="10"/>
                <w:b w:val="1"/>
                <w:bCs w:val="1"/>
                <w:color w:val="auto"/>
              </w:rPr>
              <w:t>Multiple</w:t>
            </w:r>
          </w:p>
        </w:tc>
        <w:tc>
          <w:tcPr>
            <w:tcW w:w="3740" w:type="dxa"/>
            <w:vAlign w:val="bottom"/>
            <w:tcBorders>
              <w:bottom w:val="single" w:sz="8" w:color="FF0000"/>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00" w:type="dxa"/>
            <w:vAlign w:val="bottom"/>
            <w:vMerge w:val="restart"/>
          </w:tcPr>
          <w:p>
            <w:pPr>
              <w:ind w:left="60"/>
              <w:spacing w:after="0"/>
              <w:rPr>
                <w:sz w:val="20"/>
                <w:szCs w:val="20"/>
                <w:color w:val="auto"/>
              </w:rPr>
            </w:pPr>
            <w:r>
              <w:rPr>
                <w:rFonts w:ascii="Arial" w:cs="Arial" w:eastAsia="Arial" w:hAnsi="Arial"/>
                <w:sz w:val="10"/>
                <w:szCs w:val="10"/>
                <w:b w:val="1"/>
                <w:bCs w:val="1"/>
                <w:color w:val="E31F26"/>
              </w:rPr>
              <w:t>Non-Employee Director</w:t>
            </w: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E31F26"/>
              </w:rPr>
              <w:t>4x</w:t>
            </w:r>
          </w:p>
        </w:tc>
        <w:tc>
          <w:tcPr>
            <w:tcW w:w="3740" w:type="dxa"/>
            <w:vAlign w:val="bottom"/>
          </w:tcPr>
          <w:p>
            <w:pPr>
              <w:ind w:left="60"/>
              <w:spacing w:after="0" w:line="92" w:lineRule="exact"/>
              <w:rPr>
                <w:sz w:val="20"/>
                <w:szCs w:val="20"/>
                <w:color w:val="auto"/>
              </w:rPr>
            </w:pPr>
            <w:r>
              <w:rPr>
                <w:rFonts w:ascii="Arial" w:cs="Arial" w:eastAsia="Arial" w:hAnsi="Arial"/>
                <w:sz w:val="10"/>
                <w:szCs w:val="10"/>
                <w:color w:val="auto"/>
              </w:rPr>
              <w:t>Annual Retainer Fee</w:t>
            </w:r>
          </w:p>
        </w:tc>
        <w:tc>
          <w:tcPr>
            <w:tcW w:w="0" w:type="dxa"/>
            <w:vAlign w:val="bottom"/>
          </w:tcPr>
          <w:p>
            <w:pPr>
              <w:spacing w:after="0"/>
              <w:rPr>
                <w:sz w:val="1"/>
                <w:szCs w:val="1"/>
                <w:color w:val="auto"/>
              </w:rPr>
            </w:pPr>
          </w:p>
        </w:tc>
      </w:tr>
      <w:tr>
        <w:trPr>
          <w:trHeight w:val="113"/>
        </w:trPr>
        <w:tc>
          <w:tcPr>
            <w:tcW w:w="2600" w:type="dxa"/>
            <w:vAlign w:val="bottom"/>
            <w:tcBorders>
              <w:bottom w:val="single" w:sz="8" w:color="CCCCCC"/>
            </w:tcBorders>
            <w:vMerge w:val="continue"/>
          </w:tcPr>
          <w:p>
            <w:pPr>
              <w:spacing w:after="0"/>
              <w:rPr>
                <w:sz w:val="9"/>
                <w:szCs w:val="9"/>
                <w:color w:val="auto"/>
              </w:rPr>
            </w:pPr>
          </w:p>
        </w:tc>
        <w:tc>
          <w:tcPr>
            <w:tcW w:w="1000" w:type="dxa"/>
            <w:vAlign w:val="bottom"/>
            <w:tcBorders>
              <w:bottom w:val="single" w:sz="8" w:color="CCCCCC"/>
            </w:tcBorders>
            <w:vMerge w:val="continue"/>
          </w:tcPr>
          <w:p>
            <w:pPr>
              <w:spacing w:after="0"/>
              <w:rPr>
                <w:sz w:val="9"/>
                <w:szCs w:val="9"/>
                <w:color w:val="auto"/>
              </w:rPr>
            </w:pPr>
          </w:p>
        </w:tc>
        <w:tc>
          <w:tcPr>
            <w:tcW w:w="3740" w:type="dxa"/>
            <w:vAlign w:val="bottom"/>
            <w:tcBorders>
              <w:bottom w:val="single" w:sz="8" w:color="CCCCCC"/>
            </w:tcBorders>
          </w:tcPr>
          <w:p>
            <w:pPr>
              <w:ind w:left="60"/>
              <w:spacing w:after="0" w:line="113" w:lineRule="exact"/>
              <w:rPr>
                <w:sz w:val="20"/>
                <w:szCs w:val="20"/>
                <w:color w:val="auto"/>
              </w:rPr>
            </w:pPr>
            <w:r>
              <w:rPr>
                <w:rFonts w:ascii="Arial" w:cs="Arial" w:eastAsia="Arial" w:hAnsi="Arial"/>
                <w:sz w:val="10"/>
                <w:szCs w:val="10"/>
                <w:color w:val="auto"/>
              </w:rPr>
              <w:t>(both Cash and Equity)</w:t>
            </w:r>
          </w:p>
        </w:tc>
        <w:tc>
          <w:tcPr>
            <w:tcW w:w="0" w:type="dxa"/>
            <w:vAlign w:val="bottom"/>
          </w:tcPr>
          <w:p>
            <w:pPr>
              <w:spacing w:after="0"/>
              <w:rPr>
                <w:sz w:val="1"/>
                <w:szCs w:val="1"/>
                <w:color w:val="auto"/>
              </w:rPr>
            </w:pPr>
          </w:p>
        </w:tc>
      </w:tr>
      <w:tr>
        <w:trPr>
          <w:trHeight w:val="151"/>
        </w:trPr>
        <w:tc>
          <w:tcPr>
            <w:tcW w:w="26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E31F26"/>
              </w:rPr>
              <w:t>Chief Executive Officer</w:t>
            </w:r>
          </w:p>
        </w:tc>
        <w:tc>
          <w:tcPr>
            <w:tcW w:w="1000" w:type="dxa"/>
            <w:vAlign w:val="bottom"/>
            <w:tcBorders>
              <w:bottom w:val="single" w:sz="8" w:color="CCCCCC"/>
            </w:tcBorders>
          </w:tcPr>
          <w:p>
            <w:pPr>
              <w:jc w:val="right"/>
              <w:ind w:right="11"/>
              <w:spacing w:after="0" w:line="151" w:lineRule="exact"/>
              <w:rPr>
                <w:sz w:val="20"/>
                <w:szCs w:val="20"/>
                <w:color w:val="auto"/>
              </w:rPr>
            </w:pPr>
            <w:r>
              <w:rPr>
                <w:rFonts w:ascii="Arial" w:cs="Arial" w:eastAsia="Arial" w:hAnsi="Arial"/>
                <w:sz w:val="14"/>
                <w:szCs w:val="14"/>
                <w:b w:val="1"/>
                <w:bCs w:val="1"/>
                <w:color w:val="E31F26"/>
              </w:rPr>
              <w:t>6x</w:t>
            </w:r>
          </w:p>
        </w:tc>
        <w:tc>
          <w:tcPr>
            <w:tcW w:w="37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Annual Base Salary Rate</w:t>
            </w:r>
          </w:p>
        </w:tc>
        <w:tc>
          <w:tcPr>
            <w:tcW w:w="0" w:type="dxa"/>
            <w:vAlign w:val="bottom"/>
          </w:tcPr>
          <w:p>
            <w:pPr>
              <w:spacing w:after="0"/>
              <w:rPr>
                <w:sz w:val="1"/>
                <w:szCs w:val="1"/>
                <w:color w:val="auto"/>
              </w:rPr>
            </w:pPr>
          </w:p>
        </w:tc>
      </w:tr>
      <w:tr>
        <w:trPr>
          <w:trHeight w:val="151"/>
        </w:trPr>
        <w:tc>
          <w:tcPr>
            <w:tcW w:w="26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E31F26"/>
              </w:rPr>
              <w:t>Chief Operating Officer</w:t>
            </w:r>
          </w:p>
        </w:tc>
        <w:tc>
          <w:tcPr>
            <w:tcW w:w="1000" w:type="dxa"/>
            <w:vAlign w:val="bottom"/>
            <w:tcBorders>
              <w:bottom w:val="single" w:sz="8" w:color="CCCCCC"/>
            </w:tcBorders>
          </w:tcPr>
          <w:p>
            <w:pPr>
              <w:jc w:val="right"/>
              <w:ind w:right="11"/>
              <w:spacing w:after="0" w:line="151" w:lineRule="exact"/>
              <w:rPr>
                <w:sz w:val="20"/>
                <w:szCs w:val="20"/>
                <w:color w:val="auto"/>
              </w:rPr>
            </w:pPr>
            <w:r>
              <w:rPr>
                <w:rFonts w:ascii="Arial" w:cs="Arial" w:eastAsia="Arial" w:hAnsi="Arial"/>
                <w:sz w:val="14"/>
                <w:szCs w:val="14"/>
                <w:b w:val="1"/>
                <w:bCs w:val="1"/>
                <w:color w:val="E31F26"/>
              </w:rPr>
              <w:t>4x</w:t>
            </w:r>
          </w:p>
        </w:tc>
        <w:tc>
          <w:tcPr>
            <w:tcW w:w="37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Annual Base Salary Rate</w:t>
            </w:r>
          </w:p>
        </w:tc>
        <w:tc>
          <w:tcPr>
            <w:tcW w:w="0" w:type="dxa"/>
            <w:vAlign w:val="bottom"/>
          </w:tcPr>
          <w:p>
            <w:pPr>
              <w:spacing w:after="0"/>
              <w:rPr>
                <w:sz w:val="1"/>
                <w:szCs w:val="1"/>
                <w:color w:val="auto"/>
              </w:rPr>
            </w:pPr>
          </w:p>
        </w:tc>
      </w:tr>
      <w:tr>
        <w:trPr>
          <w:trHeight w:val="151"/>
        </w:trPr>
        <w:tc>
          <w:tcPr>
            <w:tcW w:w="26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E31F26"/>
              </w:rPr>
              <w:t>Executive Vice President</w:t>
            </w:r>
          </w:p>
        </w:tc>
        <w:tc>
          <w:tcPr>
            <w:tcW w:w="1000" w:type="dxa"/>
            <w:vAlign w:val="bottom"/>
            <w:tcBorders>
              <w:bottom w:val="single" w:sz="8" w:color="CCCCCC"/>
            </w:tcBorders>
          </w:tcPr>
          <w:p>
            <w:pPr>
              <w:jc w:val="right"/>
              <w:ind w:right="11"/>
              <w:spacing w:after="0" w:line="151" w:lineRule="exact"/>
              <w:rPr>
                <w:sz w:val="20"/>
                <w:szCs w:val="20"/>
                <w:color w:val="auto"/>
              </w:rPr>
            </w:pPr>
            <w:r>
              <w:rPr>
                <w:rFonts w:ascii="Arial" w:cs="Arial" w:eastAsia="Arial" w:hAnsi="Arial"/>
                <w:sz w:val="14"/>
                <w:szCs w:val="14"/>
                <w:b w:val="1"/>
                <w:bCs w:val="1"/>
                <w:color w:val="E31F26"/>
              </w:rPr>
              <w:t>3x</w:t>
            </w:r>
          </w:p>
        </w:tc>
        <w:tc>
          <w:tcPr>
            <w:tcW w:w="37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Annual Base Salary Rate</w:t>
            </w:r>
          </w:p>
        </w:tc>
        <w:tc>
          <w:tcPr>
            <w:tcW w:w="0" w:type="dxa"/>
            <w:vAlign w:val="bottom"/>
          </w:tcPr>
          <w:p>
            <w:pPr>
              <w:spacing w:after="0"/>
              <w:rPr>
                <w:sz w:val="1"/>
                <w:szCs w:val="1"/>
                <w:color w:val="auto"/>
              </w:rPr>
            </w:pPr>
          </w:p>
        </w:tc>
      </w:tr>
      <w:tr>
        <w:trPr>
          <w:trHeight w:val="90"/>
        </w:trPr>
        <w:tc>
          <w:tcPr>
            <w:tcW w:w="2600" w:type="dxa"/>
            <w:vAlign w:val="bottom"/>
          </w:tcPr>
          <w:p>
            <w:pPr>
              <w:ind w:left="60"/>
              <w:spacing w:after="0" w:line="91" w:lineRule="exact"/>
              <w:rPr>
                <w:sz w:val="20"/>
                <w:szCs w:val="20"/>
                <w:color w:val="auto"/>
              </w:rPr>
            </w:pPr>
            <w:r>
              <w:rPr>
                <w:rFonts w:ascii="Arial" w:cs="Arial" w:eastAsia="Arial" w:hAnsi="Arial"/>
                <w:sz w:val="10"/>
                <w:szCs w:val="10"/>
                <w:b w:val="1"/>
                <w:bCs w:val="1"/>
                <w:color w:val="E31F26"/>
              </w:rPr>
              <w:t>Senior Vice President</w:t>
            </w: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E31F26"/>
              </w:rPr>
              <w:t>2x</w:t>
            </w:r>
          </w:p>
        </w:tc>
        <w:tc>
          <w:tcPr>
            <w:tcW w:w="3740" w:type="dxa"/>
            <w:vAlign w:val="bottom"/>
            <w:vMerge w:val="restart"/>
          </w:tcPr>
          <w:p>
            <w:pPr>
              <w:ind w:left="60"/>
              <w:spacing w:after="0"/>
              <w:rPr>
                <w:sz w:val="20"/>
                <w:szCs w:val="20"/>
                <w:color w:val="auto"/>
              </w:rPr>
            </w:pPr>
            <w:r>
              <w:rPr>
                <w:rFonts w:ascii="Arial" w:cs="Arial" w:eastAsia="Arial" w:hAnsi="Arial"/>
                <w:sz w:val="10"/>
                <w:szCs w:val="10"/>
                <w:color w:val="auto"/>
              </w:rPr>
              <w:t>Annual Base Salary Rate</w:t>
            </w:r>
          </w:p>
        </w:tc>
        <w:tc>
          <w:tcPr>
            <w:tcW w:w="0" w:type="dxa"/>
            <w:vAlign w:val="bottom"/>
          </w:tcPr>
          <w:p>
            <w:pPr>
              <w:spacing w:after="0"/>
              <w:rPr>
                <w:sz w:val="1"/>
                <w:szCs w:val="1"/>
                <w:color w:val="auto"/>
              </w:rPr>
            </w:pPr>
          </w:p>
        </w:tc>
      </w:tr>
      <w:tr>
        <w:trPr>
          <w:trHeight w:val="115"/>
        </w:trPr>
        <w:tc>
          <w:tcPr>
            <w:tcW w:w="26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E31F26"/>
              </w:rPr>
              <w:t>Senior Vice President and General Manager</w:t>
            </w:r>
          </w:p>
        </w:tc>
        <w:tc>
          <w:tcPr>
            <w:tcW w:w="1000" w:type="dxa"/>
            <w:vAlign w:val="bottom"/>
            <w:tcBorders>
              <w:bottom w:val="single" w:sz="8" w:color="CCCCCC"/>
            </w:tcBorders>
            <w:vMerge w:val="continue"/>
          </w:tcPr>
          <w:p>
            <w:pPr>
              <w:spacing w:after="0"/>
              <w:rPr>
                <w:sz w:val="9"/>
                <w:szCs w:val="9"/>
                <w:color w:val="auto"/>
              </w:rPr>
            </w:pPr>
          </w:p>
        </w:tc>
        <w:tc>
          <w:tcPr>
            <w:tcW w:w="3740" w:type="dxa"/>
            <w:vAlign w:val="bottom"/>
            <w:tcBorders>
              <w:bottom w:val="single" w:sz="8" w:color="CCCC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600" w:type="dxa"/>
            <w:vAlign w:val="bottom"/>
          </w:tcPr>
          <w:p>
            <w:pPr>
              <w:ind w:left="60"/>
              <w:spacing w:after="0" w:line="91" w:lineRule="exact"/>
              <w:rPr>
                <w:sz w:val="20"/>
                <w:szCs w:val="20"/>
                <w:color w:val="auto"/>
              </w:rPr>
            </w:pPr>
            <w:r>
              <w:rPr>
                <w:rFonts w:ascii="Arial" w:cs="Arial" w:eastAsia="Arial" w:hAnsi="Arial"/>
                <w:sz w:val="10"/>
                <w:szCs w:val="10"/>
                <w:b w:val="1"/>
                <w:bCs w:val="1"/>
                <w:color w:val="E31F26"/>
              </w:rPr>
              <w:t>Corporate Vice President</w:t>
            </w:r>
          </w:p>
        </w:tc>
        <w:tc>
          <w:tcPr>
            <w:tcW w:w="10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E31F26"/>
              </w:rPr>
              <w:t>0.5x</w:t>
            </w:r>
          </w:p>
        </w:tc>
        <w:tc>
          <w:tcPr>
            <w:tcW w:w="3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600" w:type="dxa"/>
            <w:vAlign w:val="bottom"/>
          </w:tcPr>
          <w:p>
            <w:pPr>
              <w:ind w:left="60"/>
              <w:spacing w:after="0"/>
              <w:rPr>
                <w:sz w:val="20"/>
                <w:szCs w:val="20"/>
                <w:color w:val="auto"/>
              </w:rPr>
            </w:pPr>
            <w:r>
              <w:rPr>
                <w:rFonts w:ascii="Arial" w:cs="Arial" w:eastAsia="Arial" w:hAnsi="Arial"/>
                <w:sz w:val="10"/>
                <w:szCs w:val="10"/>
                <w:b w:val="1"/>
                <w:bCs w:val="1"/>
                <w:color w:val="E31F26"/>
              </w:rPr>
              <w:t>Vice President and General Manager</w:t>
            </w:r>
          </w:p>
        </w:tc>
        <w:tc>
          <w:tcPr>
            <w:tcW w:w="1000" w:type="dxa"/>
            <w:vAlign w:val="bottom"/>
            <w:vMerge w:val="continue"/>
          </w:tcPr>
          <w:p>
            <w:pPr>
              <w:spacing w:after="0"/>
              <w:rPr>
                <w:sz w:val="10"/>
                <w:szCs w:val="10"/>
                <w:color w:val="auto"/>
              </w:rPr>
            </w:pPr>
          </w:p>
        </w:tc>
        <w:tc>
          <w:tcPr>
            <w:tcW w:w="3740" w:type="dxa"/>
            <w:vAlign w:val="bottom"/>
          </w:tcPr>
          <w:p>
            <w:pPr>
              <w:ind w:left="60"/>
              <w:spacing w:after="0"/>
              <w:rPr>
                <w:sz w:val="20"/>
                <w:szCs w:val="20"/>
                <w:color w:val="auto"/>
              </w:rPr>
            </w:pPr>
            <w:r>
              <w:rPr>
                <w:rFonts w:ascii="Arial" w:cs="Arial" w:eastAsia="Arial" w:hAnsi="Arial"/>
                <w:sz w:val="10"/>
                <w:szCs w:val="10"/>
                <w:color w:val="auto"/>
              </w:rPr>
              <w:t>Annual Base Salary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-732790</wp:posOffset>
            </wp:positionV>
            <wp:extent cx="611505" cy="914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505" cy="9144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-601345</wp:posOffset>
            </wp:positionV>
            <wp:extent cx="920115" cy="422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20115" cy="422910"/>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-86995</wp:posOffset>
            </wp:positionV>
            <wp:extent cx="114300" cy="914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4300" cy="9144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0"/>
          <w:szCs w:val="10"/>
          <w:b w:val="1"/>
          <w:bCs w:val="1"/>
          <w:color w:val="E31F26"/>
        </w:rPr>
        <w:t>Select Vice Presidents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46634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96" w:lineRule="exact"/>
        <w:rPr>
          <w:sz w:val="20"/>
          <w:szCs w:val="20"/>
          <w:color w:val="auto"/>
        </w:rPr>
      </w:pPr>
    </w:p>
    <w:p>
      <w:pPr>
        <w:ind w:left="840" w:right="919"/>
        <w:spacing w:after="0" w:line="268" w:lineRule="auto"/>
        <w:rPr>
          <w:sz w:val="20"/>
          <w:szCs w:val="20"/>
          <w:color w:val="auto"/>
        </w:rPr>
      </w:pPr>
      <w:r>
        <w:rPr>
          <w:rFonts w:ascii="Arial" w:cs="Arial" w:eastAsia="Arial" w:hAnsi="Arial"/>
          <w:sz w:val="11"/>
          <w:szCs w:val="11"/>
          <w:color w:val="auto"/>
        </w:rPr>
        <w:t>For purposes of calculating beneficial ownership, (i) Common Stock, RSUs, and DSUs count towards ownership, (ii) PSUs and ESPP shares count once earned and purchased, respectively, and (iii) stock options and shares held through the 401(k) Plan are disregarded.</w:t>
      </w:r>
    </w:p>
    <w:p>
      <w:pPr>
        <w:spacing w:after="0" w:line="96" w:lineRule="exact"/>
        <w:rPr>
          <w:sz w:val="20"/>
          <w:szCs w:val="20"/>
          <w:color w:val="auto"/>
        </w:rPr>
      </w:pPr>
    </w:p>
    <w:p>
      <w:pPr>
        <w:ind w:left="840" w:right="1019"/>
        <w:spacing w:after="0" w:line="248" w:lineRule="auto"/>
        <w:rPr>
          <w:sz w:val="20"/>
          <w:szCs w:val="20"/>
          <w:color w:val="auto"/>
        </w:rPr>
      </w:pPr>
      <w:r>
        <w:rPr>
          <w:rFonts w:ascii="Arial" w:cs="Arial" w:eastAsia="Arial" w:hAnsi="Arial"/>
          <w:sz w:val="11"/>
          <w:szCs w:val="11"/>
          <w:color w:val="auto"/>
        </w:rPr>
        <w:t>Executives and Non-Employee Directors are required to achieve their Stock Ownership Guideline within five years of their hiring or promotion effective date that caused such employee to be covered by these guidelines, and their election to the Board, respectively. In the event of any increase in the required ownership level, either as a result of an increase in the remuneration paid or the multiple, the target date for compliance with such increased ownership guideline is five years after the effective date of such increase.</w:t>
      </w:r>
    </w:p>
    <w:p>
      <w:pPr>
        <w:spacing w:after="0" w:line="107" w:lineRule="exact"/>
        <w:rPr>
          <w:sz w:val="20"/>
          <w:szCs w:val="20"/>
          <w:color w:val="auto"/>
        </w:rPr>
      </w:pPr>
    </w:p>
    <w:p>
      <w:pPr>
        <w:ind w:left="840" w:right="859"/>
        <w:spacing w:after="0" w:line="281" w:lineRule="auto"/>
        <w:rPr>
          <w:sz w:val="20"/>
          <w:szCs w:val="20"/>
          <w:color w:val="auto"/>
        </w:rPr>
      </w:pPr>
      <w:r>
        <w:rPr>
          <w:rFonts w:ascii="Arial" w:cs="Arial" w:eastAsia="Arial" w:hAnsi="Arial"/>
          <w:sz w:val="10"/>
          <w:szCs w:val="10"/>
          <w:color w:val="auto"/>
        </w:rPr>
        <w:t>In the event any person subject to these guidelines fails to be in compliance by the applicable compliance date, they are required to hold the net shares obtained through all future stock option exercises and RSU vestings, after withholding for the payment of applicable taxes, until such person is in compliance; provided, however, that in order to take into consideration fluctuations in the Company’s stock price, any person who has been in compliance as of the end of at least one of the two preceding fiscal years and who has not subsequently sold shares will not be subject to the holding requirements.</w:t>
      </w:r>
    </w:p>
    <w:p>
      <w:pPr>
        <w:spacing w:after="0" w:line="91" w:lineRule="exact"/>
        <w:rPr>
          <w:sz w:val="20"/>
          <w:szCs w:val="20"/>
          <w:color w:val="auto"/>
        </w:rPr>
      </w:pPr>
    </w:p>
    <w:p>
      <w:pPr>
        <w:ind w:left="840" w:right="1179"/>
        <w:spacing w:after="0" w:line="268" w:lineRule="auto"/>
        <w:rPr>
          <w:sz w:val="20"/>
          <w:szCs w:val="20"/>
          <w:color w:val="auto"/>
        </w:rPr>
      </w:pPr>
      <w:r>
        <w:rPr>
          <w:rFonts w:ascii="Arial" w:cs="Arial" w:eastAsia="Arial" w:hAnsi="Arial"/>
          <w:sz w:val="11"/>
          <w:szCs w:val="11"/>
          <w:color w:val="auto"/>
        </w:rPr>
        <w:t>The Responsibility Committee will consider a Non-Employee Director’s failure to comply with these guidelines when considering that director for re-election to the Board.</w:t>
      </w:r>
    </w:p>
    <w:p>
      <w:pPr>
        <w:spacing w:after="0" w:line="96" w:lineRule="exact"/>
        <w:rPr>
          <w:sz w:val="20"/>
          <w:szCs w:val="20"/>
          <w:color w:val="auto"/>
        </w:rPr>
      </w:pPr>
    </w:p>
    <w:p>
      <w:pPr>
        <w:ind w:left="840" w:right="919"/>
        <w:spacing w:after="0" w:line="268" w:lineRule="auto"/>
        <w:rPr>
          <w:sz w:val="20"/>
          <w:szCs w:val="20"/>
          <w:color w:val="auto"/>
        </w:rPr>
      </w:pPr>
      <w:r>
        <w:rPr>
          <w:rFonts w:ascii="Arial" w:cs="Arial" w:eastAsia="Arial" w:hAnsi="Arial"/>
          <w:sz w:val="11"/>
          <w:szCs w:val="11"/>
          <w:color w:val="auto"/>
        </w:rPr>
        <w:t>The Company measures compliance at the end of each fiscal year, with the compliance determination at that point in time applying for the entire ensuing fiscal year, regardless of fluctuations in the Company’s stock price.</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All director nominees, the CEO, and all other executives subject to these guidelines were in compliance as of the end of the 2021 fiscal year.</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E31F26"/>
        </w:rPr>
        <w:t>POLITICAL CONTRIBUTIONS AND PUBLIC ADVOCACY</w:t>
      </w:r>
    </w:p>
    <w:p>
      <w:pPr>
        <w:spacing w:after="0" w:line="136" w:lineRule="exact"/>
        <w:rPr>
          <w:sz w:val="20"/>
          <w:szCs w:val="20"/>
          <w:color w:val="auto"/>
        </w:rPr>
      </w:pPr>
    </w:p>
    <w:p>
      <w:pPr>
        <w:ind w:left="840" w:right="1359"/>
        <w:spacing w:after="0" w:line="268" w:lineRule="auto"/>
        <w:rPr>
          <w:sz w:val="20"/>
          <w:szCs w:val="20"/>
          <w:color w:val="auto"/>
        </w:rPr>
      </w:pPr>
      <w:r>
        <w:rPr>
          <w:rFonts w:ascii="Arial" w:cs="Arial" w:eastAsia="Arial" w:hAnsi="Arial"/>
          <w:sz w:val="11"/>
          <w:szCs w:val="11"/>
          <w:color w:val="auto"/>
        </w:rPr>
        <w:t>Our Code of Business Conduct prohibits making contributions on behalf of the Company to political parties, political action committees, political candidates, or holders of public office.</w:t>
      </w:r>
    </w:p>
    <w:p>
      <w:pPr>
        <w:spacing w:after="0" w:line="96" w:lineRule="exact"/>
        <w:rPr>
          <w:sz w:val="20"/>
          <w:szCs w:val="20"/>
          <w:color w:val="auto"/>
        </w:rPr>
      </w:pPr>
    </w:p>
    <w:p>
      <w:pPr>
        <w:ind w:left="840" w:right="839"/>
        <w:spacing w:after="0" w:line="281" w:lineRule="auto"/>
        <w:rPr>
          <w:sz w:val="20"/>
          <w:szCs w:val="20"/>
          <w:color w:val="auto"/>
        </w:rPr>
      </w:pPr>
      <w:r>
        <w:rPr>
          <w:rFonts w:ascii="Arial" w:cs="Arial" w:eastAsia="Arial" w:hAnsi="Arial"/>
          <w:sz w:val="10"/>
          <w:szCs w:val="10"/>
          <w:color w:val="auto"/>
        </w:rPr>
        <w:t>The Company is a member of certain trade associations, which support their member companies by offering educational forums, public policy advocacy, networking, and advancement of issues important to the retail and footwear industries, as well as the business community generally. Given the diversity of interests, viewpoints, and broad membership represented by these trade associations, the positions they take may not always reflect the Company’s positions. Also, we monitor the use of membership dues paid to trade associations for consistency with the Company’s values and business objectives.</w:t>
      </w:r>
    </w:p>
    <w:p>
      <w:pPr>
        <w:spacing w:after="0" w:line="86" w:lineRule="exact"/>
        <w:rPr>
          <w:sz w:val="20"/>
          <w:szCs w:val="20"/>
          <w:color w:val="auto"/>
        </w:rPr>
      </w:pPr>
    </w:p>
    <w:p>
      <w:pPr>
        <w:ind w:left="1540" w:hanging="408"/>
        <w:spacing w:after="0"/>
        <w:tabs>
          <w:tab w:leader="none" w:pos="1540" w:val="left"/>
        </w:tabs>
        <w:numPr>
          <w:ilvl w:val="0"/>
          <w:numId w:val="52"/>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439" w:right="1440" w:bottom="1440" w:gutter="0" w:footer="0" w:header="0"/>
        </w:sectPr>
      </w:pPr>
    </w:p>
    <w:bookmarkStart w:id="38" w:name="page39"/>
    <w:bookmarkEnd w:id="38"/>
    <w:p>
      <w:pPr>
        <w:ind w:left="8620"/>
        <w:spacing w:after="0"/>
        <w:rPr>
          <w:sz w:val="20"/>
          <w:szCs w:val="20"/>
          <w:color w:val="auto"/>
        </w:rPr>
      </w:pPr>
      <w:r>
        <w:rPr>
          <w:rFonts w:ascii="Arial" w:cs="Arial" w:eastAsia="Arial" w:hAnsi="Arial"/>
          <w:sz w:val="10"/>
          <w:szCs w:val="10"/>
          <w:b w:val="1"/>
          <w:bCs w:val="1"/>
          <w:color w:val="E31F26"/>
        </w:rPr>
        <w:t>GOVERNANCE</w:t>
      </w:r>
    </w:p>
    <w:p>
      <w:pPr>
        <w:spacing w:after="0" w:line="117" w:lineRule="exact"/>
        <w:rPr>
          <w:sz w:val="20"/>
          <w:szCs w:val="20"/>
          <w:color w:val="auto"/>
        </w:rPr>
      </w:pPr>
    </w:p>
    <w:p>
      <w:pPr>
        <w:ind w:left="1980" w:right="2300"/>
        <w:spacing w:after="0" w:line="318" w:lineRule="auto"/>
        <w:rPr>
          <w:sz w:val="20"/>
          <w:szCs w:val="20"/>
          <w:color w:val="auto"/>
        </w:rPr>
      </w:pPr>
      <w:r>
        <w:rPr>
          <w:rFonts w:ascii="Arial" w:cs="Arial" w:eastAsia="Arial" w:hAnsi="Arial"/>
          <w:sz w:val="10"/>
          <w:szCs w:val="10"/>
          <w:color w:val="auto"/>
        </w:rPr>
        <w:t>The Company is a member of, and has paid membership fees to, the following organizations which, as part of their overall activities, may engage in advocacy activities with regard to issues important to the retail or footwear industries or the business community generally, as applicable:</w:t>
      </w:r>
    </w:p>
    <w:p>
      <w:pPr>
        <w:spacing w:after="0" w:line="73" w:lineRule="exact"/>
        <w:rPr>
          <w:sz w:val="20"/>
          <w:szCs w:val="20"/>
          <w:color w:val="auto"/>
        </w:rPr>
      </w:pPr>
    </w:p>
    <w:p>
      <w:pPr>
        <w:ind w:left="2180" w:hanging="208"/>
        <w:spacing w:after="0"/>
        <w:tabs>
          <w:tab w:leader="none" w:pos="2180" w:val="left"/>
        </w:tabs>
        <w:numPr>
          <w:ilvl w:val="0"/>
          <w:numId w:val="53"/>
        </w:numPr>
        <w:rPr>
          <w:rFonts w:ascii="Arial" w:cs="Arial" w:eastAsia="Arial" w:hAnsi="Arial"/>
          <w:sz w:val="11"/>
          <w:szCs w:val="11"/>
          <w:color w:val="E31F26"/>
        </w:rPr>
      </w:pPr>
      <w:r>
        <w:rPr>
          <w:rFonts w:ascii="Arial" w:cs="Arial" w:eastAsia="Arial" w:hAnsi="Arial"/>
          <w:sz w:val="11"/>
          <w:szCs w:val="11"/>
          <w:color w:val="auto"/>
        </w:rPr>
        <w:t>FDRA</w:t>
      </w:r>
    </w:p>
    <w:p>
      <w:pPr>
        <w:spacing w:after="0" w:line="71" w:lineRule="exact"/>
        <w:rPr>
          <w:rFonts w:ascii="Arial" w:cs="Arial" w:eastAsia="Arial" w:hAnsi="Arial"/>
          <w:sz w:val="11"/>
          <w:szCs w:val="11"/>
          <w:color w:val="E31F26"/>
        </w:rPr>
      </w:pPr>
    </w:p>
    <w:p>
      <w:pPr>
        <w:ind w:left="2180" w:hanging="208"/>
        <w:spacing w:after="0"/>
        <w:tabs>
          <w:tab w:leader="none" w:pos="2180" w:val="left"/>
        </w:tabs>
        <w:numPr>
          <w:ilvl w:val="0"/>
          <w:numId w:val="53"/>
        </w:numPr>
        <w:rPr>
          <w:rFonts w:ascii="Arial" w:cs="Arial" w:eastAsia="Arial" w:hAnsi="Arial"/>
          <w:sz w:val="11"/>
          <w:szCs w:val="11"/>
          <w:color w:val="E31F26"/>
        </w:rPr>
      </w:pPr>
      <w:r>
        <w:rPr>
          <w:rFonts w:ascii="Arial" w:cs="Arial" w:eastAsia="Arial" w:hAnsi="Arial"/>
          <w:sz w:val="11"/>
          <w:szCs w:val="11"/>
          <w:color w:val="auto"/>
        </w:rPr>
        <w:t>RILA</w:t>
      </w:r>
    </w:p>
    <w:p>
      <w:pPr>
        <w:spacing w:after="0" w:line="71" w:lineRule="exact"/>
        <w:rPr>
          <w:rFonts w:ascii="Arial" w:cs="Arial" w:eastAsia="Arial" w:hAnsi="Arial"/>
          <w:sz w:val="11"/>
          <w:szCs w:val="11"/>
          <w:color w:val="E31F26"/>
        </w:rPr>
      </w:pPr>
    </w:p>
    <w:p>
      <w:pPr>
        <w:ind w:left="2180" w:hanging="208"/>
        <w:spacing w:after="0"/>
        <w:tabs>
          <w:tab w:leader="none" w:pos="2180" w:val="left"/>
        </w:tabs>
        <w:numPr>
          <w:ilvl w:val="0"/>
          <w:numId w:val="53"/>
        </w:numPr>
        <w:rPr>
          <w:rFonts w:ascii="Arial" w:cs="Arial" w:eastAsia="Arial" w:hAnsi="Arial"/>
          <w:sz w:val="11"/>
          <w:szCs w:val="11"/>
          <w:color w:val="E31F26"/>
        </w:rPr>
      </w:pPr>
      <w:r>
        <w:rPr>
          <w:rFonts w:ascii="Arial" w:cs="Arial" w:eastAsia="Arial" w:hAnsi="Arial"/>
          <w:sz w:val="11"/>
          <w:szCs w:val="11"/>
          <w:color w:val="auto"/>
        </w:rPr>
        <w:t>U.S. Chamber of Commerce</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Mr. Johnson is a director of FDRA and Chairman of RILA.</w:t>
      </w:r>
    </w:p>
    <w:p>
      <w:pPr>
        <w:spacing w:after="0" w:line="126" w:lineRule="exact"/>
        <w:rPr>
          <w:sz w:val="20"/>
          <w:szCs w:val="20"/>
          <w:color w:val="auto"/>
        </w:rPr>
      </w:pPr>
    </w:p>
    <w:p>
      <w:pPr>
        <w:jc w:val="both"/>
        <w:ind w:left="1980" w:right="1980"/>
        <w:spacing w:after="0" w:line="253" w:lineRule="auto"/>
        <w:rPr>
          <w:sz w:val="20"/>
          <w:szCs w:val="20"/>
          <w:color w:val="auto"/>
        </w:rPr>
      </w:pPr>
      <w:r>
        <w:rPr>
          <w:rFonts w:ascii="Arial" w:cs="Arial" w:eastAsia="Arial" w:hAnsi="Arial"/>
          <w:sz w:val="11"/>
          <w:szCs w:val="11"/>
          <w:color w:val="auto"/>
        </w:rPr>
        <w:t>Notwithstanding these policies, we believe that our stakeholders look to us for leadership and to have a voice that is aligned with their values. As a purpose-driven organization, we have an obligation to add our voice and actions to drive meaningful and lasting change within our Company and the communities we serve.</w:t>
      </w:r>
    </w:p>
    <w:p>
      <w:pPr>
        <w:spacing w:after="0" w:line="10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For additional information regarding our Board’s political and public advocacy oversight, see </w:t>
      </w:r>
      <w:r>
        <w:rPr>
          <w:rFonts w:ascii="Arial" w:cs="Arial" w:eastAsia="Arial" w:hAnsi="Arial"/>
          <w:sz w:val="11"/>
          <w:szCs w:val="11"/>
          <w:b w:val="1"/>
          <w:bCs w:val="1"/>
          <w:color w:val="E31F26"/>
        </w:rPr>
        <w:t>Political and Public Advocacy Oversight</w:t>
      </w:r>
      <w:r>
        <w:rPr>
          <w:rFonts w:ascii="Arial" w:cs="Arial" w:eastAsia="Arial" w:hAnsi="Arial"/>
          <w:sz w:val="11"/>
          <w:szCs w:val="11"/>
          <w:color w:val="auto"/>
        </w:rPr>
        <w:t xml:space="preserve"> on page 36.</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OUR BOARD’S OVERSIGHT OF OUR BUSINESS</w:t>
      </w:r>
    </w:p>
    <w:p>
      <w:pPr>
        <w:spacing w:after="0" w:line="145" w:lineRule="exact"/>
        <w:rPr>
          <w:sz w:val="20"/>
          <w:szCs w:val="20"/>
          <w:color w:val="auto"/>
        </w:rPr>
      </w:pPr>
    </w:p>
    <w:p>
      <w:pPr>
        <w:ind w:left="1980" w:right="2000"/>
        <w:spacing w:after="0" w:line="246" w:lineRule="auto"/>
        <w:rPr>
          <w:sz w:val="20"/>
          <w:szCs w:val="20"/>
          <w:color w:val="auto"/>
        </w:rPr>
      </w:pPr>
      <w:r>
        <w:rPr>
          <w:rFonts w:ascii="Arial" w:cs="Arial" w:eastAsia="Arial" w:hAnsi="Arial"/>
          <w:sz w:val="11"/>
          <w:szCs w:val="11"/>
          <w:color w:val="auto"/>
        </w:rPr>
        <w:t>Oversight of the Company’s business strategy is a key responsibility of the Board, including work embedded in the Board committees. The Board believes that overseeing and monitoring strategy is a continuous process and takes a multilayered approach in exercising its duties. The Board’s oversight and management’s execution of business strategy are viewed with a long-term mindset and a focus on assessing both opportunities for, and potential risks to, the Company. In addition to financial and operational performance, other measures, including ESG goals, are discussed regularly by the Board and its committees.</w:t>
      </w:r>
    </w:p>
    <w:p>
      <w:pPr>
        <w:spacing w:after="0" w:line="108" w:lineRule="exact"/>
        <w:rPr>
          <w:sz w:val="20"/>
          <w:szCs w:val="20"/>
          <w:color w:val="auto"/>
        </w:rPr>
      </w:pPr>
    </w:p>
    <w:p>
      <w:pPr>
        <w:ind w:left="1980" w:right="1980"/>
        <w:spacing w:after="0" w:line="253" w:lineRule="auto"/>
        <w:rPr>
          <w:sz w:val="20"/>
          <w:szCs w:val="20"/>
          <w:color w:val="auto"/>
        </w:rPr>
      </w:pPr>
      <w:r>
        <w:rPr>
          <w:rFonts w:ascii="Arial" w:cs="Arial" w:eastAsia="Arial" w:hAnsi="Arial"/>
          <w:sz w:val="11"/>
          <w:szCs w:val="11"/>
          <w:color w:val="auto"/>
        </w:rPr>
        <w:t>The Board believes deeply that it must be fit for its purpose and provide strategic value to the Company. This dynamic has been highlighted during the COVID-19 pandemic, as the Board’s focus quickly pivoted toward protecting the communities we serve, keeping our team members safe, and maintaining financial stability for our shareholders.</w:t>
      </w:r>
    </w:p>
    <w:p>
      <w:pPr>
        <w:spacing w:after="0" w:line="104" w:lineRule="exact"/>
        <w:rPr>
          <w:sz w:val="20"/>
          <w:szCs w:val="20"/>
          <w:color w:val="auto"/>
        </w:rPr>
      </w:pPr>
    </w:p>
    <w:p>
      <w:pPr>
        <w:ind w:left="1980" w:right="2040"/>
        <w:spacing w:after="0" w:line="246" w:lineRule="auto"/>
        <w:rPr>
          <w:sz w:val="20"/>
          <w:szCs w:val="20"/>
          <w:color w:val="auto"/>
        </w:rPr>
      </w:pPr>
      <w:r>
        <w:rPr>
          <w:rFonts w:ascii="Arial" w:cs="Arial" w:eastAsia="Arial" w:hAnsi="Arial"/>
          <w:sz w:val="11"/>
          <w:szCs w:val="11"/>
          <w:color w:val="auto"/>
        </w:rPr>
        <w:t>While the Board and its committees oversee strategic planning, management is charged with developing and executing the business strategy. Management is completely transparent with the Board. To monitor the performance of the Company’s strategic goals, the Board maintains an open dialogue with, has regular access to, and receives ongoing updates from, management. For example, our Lead Independent Director has monthly calls with management, and each of the committee chairs regularly engages with their respective management liaisons. These discussions are enhanced with “hands-on” experiences, such as store and facility visits, to provide directors with opportunities to see strategy execution first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73660</wp:posOffset>
            </wp:positionV>
            <wp:extent cx="365760"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33</w:t>
            </w:r>
          </w:p>
        </w:tc>
      </w:tr>
      <w:tr>
        <w:trPr>
          <w:trHeight w:val="327"/>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9" w:right="299" w:bottom="1440" w:gutter="0" w:footer="0" w:header="0"/>
        </w:sectPr>
      </w:pPr>
    </w:p>
    <w:bookmarkStart w:id="39" w:name="page40"/>
    <w:bookmarkEnd w:id="39"/>
    <w:p>
      <w:pPr>
        <w:ind w:left="840"/>
        <w:spacing w:after="0"/>
        <w:rPr>
          <w:sz w:val="20"/>
          <w:szCs w:val="20"/>
          <w:color w:val="auto"/>
        </w:rPr>
      </w:pPr>
      <w:r>
        <w:rPr>
          <w:rFonts w:ascii="Arial" w:cs="Arial" w:eastAsia="Arial" w:hAnsi="Arial"/>
          <w:sz w:val="10"/>
          <w:szCs w:val="10"/>
          <w:b w:val="1"/>
          <w:bCs w:val="1"/>
          <w:color w:val="D60011"/>
        </w:rPr>
        <w:t>GOVERNANCE</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HUMAN CAPITAL MANAGEMENT AND SUCCESSION PLANNING OVERSIGHT</w:t>
      </w:r>
    </w:p>
    <w:p>
      <w:pPr>
        <w:spacing w:after="0" w:line="145" w:lineRule="exact"/>
        <w:rPr>
          <w:sz w:val="20"/>
          <w:szCs w:val="20"/>
          <w:color w:val="auto"/>
        </w:rPr>
      </w:pPr>
    </w:p>
    <w:p>
      <w:pPr>
        <w:jc w:val="both"/>
        <w:ind w:left="840" w:right="839"/>
        <w:spacing w:after="0" w:line="248" w:lineRule="auto"/>
        <w:rPr>
          <w:sz w:val="20"/>
          <w:szCs w:val="20"/>
          <w:color w:val="auto"/>
        </w:rPr>
      </w:pPr>
      <w:r>
        <w:rPr>
          <w:rFonts w:ascii="Arial" w:cs="Arial" w:eastAsia="Arial" w:hAnsi="Arial"/>
          <w:sz w:val="11"/>
          <w:szCs w:val="11"/>
          <w:color w:val="auto"/>
        </w:rPr>
        <w:t>The Board believes that the strength of the Company’s workforce is one of the significant contributors to our success as a global brand that leads with purpose. One of the primary responsibilities of the Board is to ensure that the Company has a high-performing CEO and management team. To meet that goal, the Board, the Human Capital Committee, the Responsibility Committee, and management share responsibility for management development and succession planning:</w:t>
      </w:r>
    </w:p>
    <w:p>
      <w:pPr>
        <w:spacing w:after="0" w:line="118" w:lineRule="exact"/>
        <w:rPr>
          <w:sz w:val="20"/>
          <w:szCs w:val="20"/>
          <w:color w:val="auto"/>
        </w:rPr>
      </w:pPr>
    </w:p>
    <w:tbl>
      <w:tblPr>
        <w:tblLayout w:type="fixed"/>
        <w:tblInd w:w="840" w:type="dxa"/>
        <w:tblCellMar>
          <w:top w:w="0" w:type="dxa"/>
          <w:left w:w="0" w:type="dxa"/>
          <w:bottom w:w="0" w:type="dxa"/>
          <w:right w:w="0" w:type="dxa"/>
        </w:tblCellMar>
      </w:tblPr>
      <w:tr>
        <w:trPr>
          <w:trHeight w:val="131"/>
        </w:trPr>
        <w:tc>
          <w:tcPr>
            <w:tcW w:w="1580" w:type="dxa"/>
            <w:vAlign w:val="bottom"/>
          </w:tcPr>
          <w:p>
            <w:pPr>
              <w:spacing w:after="0"/>
              <w:rPr>
                <w:sz w:val="20"/>
                <w:szCs w:val="20"/>
                <w:color w:val="auto"/>
              </w:rPr>
            </w:pPr>
            <w:r>
              <w:rPr>
                <w:rFonts w:ascii="Arial" w:cs="Arial" w:eastAsia="Arial" w:hAnsi="Arial"/>
                <w:sz w:val="10"/>
                <w:szCs w:val="10"/>
                <w:b w:val="1"/>
                <w:bCs w:val="1"/>
                <w:color w:val="auto"/>
              </w:rPr>
              <w:t>Responsible Party</w:t>
            </w:r>
          </w:p>
        </w:tc>
        <w:tc>
          <w:tcPr>
            <w:tcW w:w="5760" w:type="dxa"/>
            <w:vAlign w:val="bottom"/>
          </w:tcPr>
          <w:p>
            <w:pPr>
              <w:ind w:left="240"/>
              <w:spacing w:after="0"/>
              <w:rPr>
                <w:sz w:val="20"/>
                <w:szCs w:val="20"/>
                <w:color w:val="auto"/>
              </w:rPr>
            </w:pPr>
            <w:r>
              <w:rPr>
                <w:rFonts w:ascii="Arial" w:cs="Arial" w:eastAsia="Arial" w:hAnsi="Arial"/>
                <w:sz w:val="10"/>
                <w:szCs w:val="10"/>
                <w:b w:val="1"/>
                <w:bCs w:val="1"/>
                <w:color w:val="auto"/>
              </w:rPr>
              <w:t>Oversight Area</w:t>
            </w:r>
          </w:p>
        </w:tc>
      </w:tr>
      <w:tr>
        <w:trPr>
          <w:trHeight w:val="29"/>
        </w:trPr>
        <w:tc>
          <w:tcPr>
            <w:tcW w:w="1580" w:type="dxa"/>
            <w:vAlign w:val="bottom"/>
            <w:tcBorders>
              <w:bottom w:val="single" w:sz="8" w:color="D60011"/>
            </w:tcBorders>
          </w:tcPr>
          <w:p>
            <w:pPr>
              <w:spacing w:after="0"/>
              <w:rPr>
                <w:sz w:val="2"/>
                <w:szCs w:val="2"/>
                <w:color w:val="auto"/>
              </w:rPr>
            </w:pPr>
          </w:p>
        </w:tc>
        <w:tc>
          <w:tcPr>
            <w:tcW w:w="5760" w:type="dxa"/>
            <w:vAlign w:val="bottom"/>
            <w:tcBorders>
              <w:bottom w:val="single" w:sz="8" w:color="D60011"/>
            </w:tcBorders>
          </w:tcPr>
          <w:p>
            <w:pPr>
              <w:spacing w:after="0"/>
              <w:rPr>
                <w:sz w:val="2"/>
                <w:szCs w:val="2"/>
                <w:color w:val="auto"/>
              </w:rPr>
            </w:pPr>
          </w:p>
        </w:tc>
      </w:tr>
      <w:tr>
        <w:trPr>
          <w:trHeight w:val="151"/>
        </w:trPr>
        <w:tc>
          <w:tcPr>
            <w:tcW w:w="1580" w:type="dxa"/>
            <w:vAlign w:val="bottom"/>
          </w:tcPr>
          <w:p>
            <w:pPr>
              <w:spacing w:after="0"/>
              <w:rPr>
                <w:sz w:val="20"/>
                <w:szCs w:val="20"/>
                <w:color w:val="auto"/>
              </w:rPr>
            </w:pPr>
            <w:r>
              <w:rPr>
                <w:rFonts w:ascii="Arial" w:cs="Arial" w:eastAsia="Arial" w:hAnsi="Arial"/>
                <w:sz w:val="11"/>
                <w:szCs w:val="11"/>
                <w:b w:val="1"/>
                <w:bCs w:val="1"/>
                <w:color w:val="D60011"/>
              </w:rPr>
              <w:t>Board</w:t>
            </w:r>
          </w:p>
        </w:tc>
        <w:tc>
          <w:tcPr>
            <w:tcW w:w="5760" w:type="dxa"/>
            <w:vAlign w:val="bottom"/>
          </w:tcPr>
          <w:p>
            <w:pPr>
              <w:ind w:left="240"/>
              <w:spacing w:after="0"/>
              <w:rPr>
                <w:sz w:val="20"/>
                <w:szCs w:val="20"/>
                <w:color w:val="auto"/>
              </w:rPr>
            </w:pPr>
            <w:r>
              <w:rPr>
                <w:rFonts w:ascii="Arial" w:cs="Arial" w:eastAsia="Arial" w:hAnsi="Arial"/>
                <w:sz w:val="11"/>
                <w:szCs w:val="11"/>
                <w:color w:val="auto"/>
              </w:rPr>
              <w:t>Oversight of these topics as part of its overall oversight role, including regular reviews of management</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development and succession planning to maximize the pool of emerging diverse talent who can assume top</w:t>
            </w:r>
          </w:p>
        </w:tc>
      </w:tr>
      <w:tr>
        <w:trPr>
          <w:trHeight w:val="142"/>
        </w:trPr>
        <w:tc>
          <w:tcPr>
            <w:tcW w:w="1580" w:type="dxa"/>
            <w:vAlign w:val="bottom"/>
          </w:tcPr>
          <w:p>
            <w:pPr>
              <w:spacing w:after="0"/>
              <w:rPr>
                <w:sz w:val="12"/>
                <w:szCs w:val="12"/>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management positions without undue interruption.</w:t>
            </w:r>
          </w:p>
        </w:tc>
      </w:tr>
      <w:tr>
        <w:trPr>
          <w:trHeight w:val="236"/>
        </w:trPr>
        <w:tc>
          <w:tcPr>
            <w:tcW w:w="158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In assessing possible CEO and other senior leadership candidates, our independent directors identify the skills,</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experiences, and attributes they believe are required to be an effective leader in light of the Company’s global</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business strategies, opportunities, and challenges. This process is designed to prepare the Company for both</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expected successions, such as those arising from anticipated retirements, as well as those occurring when</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w w:val="99"/>
              </w:rPr>
              <w:t>executives leave unexpectedly, or due to death, disability, or other unforeseen events. Each director has complete</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w w:val="99"/>
              </w:rPr>
              <w:t>and open access to any member of management. Members of management, including those several levels below</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senior management, are invited regularly to make presentations at Board and committee meetings and meet with</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w w:val="99"/>
              </w:rPr>
              <w:t>directors in informal settings to allow the directors to form a more complete understanding of the executives’ skills</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and character. We maintain updated emergency succession plans for the CEO and other executive committee</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members. Succession reviews for key executive roles consist of an assessment of internal candidates as well as</w:t>
            </w:r>
          </w:p>
        </w:tc>
      </w:tr>
      <w:tr>
        <w:trPr>
          <w:trHeight w:val="142"/>
        </w:trPr>
        <w:tc>
          <w:tcPr>
            <w:tcW w:w="1580" w:type="dxa"/>
            <w:vAlign w:val="bottom"/>
          </w:tcPr>
          <w:p>
            <w:pPr>
              <w:spacing w:after="0"/>
              <w:rPr>
                <w:sz w:val="12"/>
                <w:szCs w:val="12"/>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external talent identified by executive search firms.</w:t>
            </w:r>
          </w:p>
        </w:tc>
      </w:tr>
      <w:tr>
        <w:trPr>
          <w:trHeight w:val="47"/>
        </w:trPr>
        <w:tc>
          <w:tcPr>
            <w:tcW w:w="1580" w:type="dxa"/>
            <w:vAlign w:val="bottom"/>
            <w:tcBorders>
              <w:bottom w:val="single" w:sz="8" w:color="C0C0C0"/>
            </w:tcBorders>
          </w:tcPr>
          <w:p>
            <w:pPr>
              <w:spacing w:after="0"/>
              <w:rPr>
                <w:sz w:val="4"/>
                <w:szCs w:val="4"/>
                <w:color w:val="auto"/>
              </w:rPr>
            </w:pPr>
          </w:p>
        </w:tc>
        <w:tc>
          <w:tcPr>
            <w:tcW w:w="5760" w:type="dxa"/>
            <w:vAlign w:val="bottom"/>
            <w:tcBorders>
              <w:bottom w:val="single" w:sz="8" w:color="C0C0C0"/>
            </w:tcBorders>
          </w:tcPr>
          <w:p>
            <w:pPr>
              <w:spacing w:after="0"/>
              <w:rPr>
                <w:sz w:val="4"/>
                <w:szCs w:val="4"/>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1"/>
                <w:szCs w:val="11"/>
                <w:b w:val="1"/>
                <w:bCs w:val="1"/>
                <w:color w:val="D60011"/>
              </w:rPr>
              <w:t>Human Capital Committee</w:t>
            </w:r>
          </w:p>
        </w:tc>
        <w:tc>
          <w:tcPr>
            <w:tcW w:w="5760" w:type="dxa"/>
            <w:vAlign w:val="bottom"/>
          </w:tcPr>
          <w:p>
            <w:pPr>
              <w:ind w:left="240"/>
              <w:spacing w:after="0"/>
              <w:rPr>
                <w:sz w:val="20"/>
                <w:szCs w:val="20"/>
                <w:color w:val="auto"/>
              </w:rPr>
            </w:pPr>
            <w:r>
              <w:rPr>
                <w:rFonts w:ascii="Arial" w:cs="Arial" w:eastAsia="Arial" w:hAnsi="Arial"/>
                <w:sz w:val="11"/>
                <w:szCs w:val="11"/>
                <w:color w:val="auto"/>
              </w:rPr>
              <w:t>As described in its charter, primary responsibility for organizational talent and development and management</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w w:val="98"/>
              </w:rPr>
              <w:t>succession planning, including regular reviews of executive performance, potential, and succession planning with a</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deeper focus than the full Board review, emphasizing career development of promising management talent. The</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Board made human capital management a priority through its Human Capital Committee, which oversees the</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Company’s strategies and initiatives on diversity and inclusion, employee well-being, compensation and benefits</w:t>
            </w:r>
          </w:p>
        </w:tc>
      </w:tr>
      <w:tr>
        <w:trPr>
          <w:trHeight w:val="142"/>
        </w:trPr>
        <w:tc>
          <w:tcPr>
            <w:tcW w:w="1580" w:type="dxa"/>
            <w:vAlign w:val="bottom"/>
          </w:tcPr>
          <w:p>
            <w:pPr>
              <w:spacing w:after="0"/>
              <w:rPr>
                <w:sz w:val="12"/>
                <w:szCs w:val="12"/>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program, and engagement.</w:t>
            </w:r>
          </w:p>
        </w:tc>
      </w:tr>
      <w:tr>
        <w:trPr>
          <w:trHeight w:val="47"/>
        </w:trPr>
        <w:tc>
          <w:tcPr>
            <w:tcW w:w="1580" w:type="dxa"/>
            <w:vAlign w:val="bottom"/>
            <w:tcBorders>
              <w:bottom w:val="single" w:sz="8" w:color="C0C0C0"/>
            </w:tcBorders>
          </w:tcPr>
          <w:p>
            <w:pPr>
              <w:spacing w:after="0"/>
              <w:rPr>
                <w:sz w:val="4"/>
                <w:szCs w:val="4"/>
                <w:color w:val="auto"/>
              </w:rPr>
            </w:pPr>
          </w:p>
        </w:tc>
        <w:tc>
          <w:tcPr>
            <w:tcW w:w="5760" w:type="dxa"/>
            <w:vAlign w:val="bottom"/>
            <w:tcBorders>
              <w:bottom w:val="single" w:sz="8" w:color="C0C0C0"/>
            </w:tcBorders>
          </w:tcPr>
          <w:p>
            <w:pPr>
              <w:spacing w:after="0"/>
              <w:rPr>
                <w:sz w:val="4"/>
                <w:szCs w:val="4"/>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1"/>
                <w:szCs w:val="11"/>
                <w:b w:val="1"/>
                <w:bCs w:val="1"/>
                <w:color w:val="D60011"/>
              </w:rPr>
              <w:t>Responsibility Committee</w:t>
            </w:r>
          </w:p>
        </w:tc>
        <w:tc>
          <w:tcPr>
            <w:tcW w:w="5760" w:type="dxa"/>
            <w:vAlign w:val="bottom"/>
          </w:tcPr>
          <w:p>
            <w:pPr>
              <w:ind w:left="240"/>
              <w:spacing w:after="0"/>
              <w:rPr>
                <w:sz w:val="20"/>
                <w:szCs w:val="20"/>
                <w:color w:val="auto"/>
              </w:rPr>
            </w:pPr>
            <w:r>
              <w:rPr>
                <w:rFonts w:ascii="Arial" w:cs="Arial" w:eastAsia="Arial" w:hAnsi="Arial"/>
                <w:sz w:val="11"/>
                <w:szCs w:val="11"/>
                <w:color w:val="auto"/>
              </w:rPr>
              <w:t>As described in its charter, primary responsibility for reviewing and making recommendations regarding the</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governance and process around CEO succession planning. The Board made ESG a priority through its</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Responsibility Committee, which oversees the Company’s ESG efforts, including diversity and inclusion and the</w:t>
            </w:r>
          </w:p>
        </w:tc>
      </w:tr>
      <w:tr>
        <w:trPr>
          <w:trHeight w:val="142"/>
        </w:trPr>
        <w:tc>
          <w:tcPr>
            <w:tcW w:w="1580" w:type="dxa"/>
            <w:vAlign w:val="bottom"/>
          </w:tcPr>
          <w:p>
            <w:pPr>
              <w:spacing w:after="0"/>
              <w:rPr>
                <w:sz w:val="12"/>
                <w:szCs w:val="12"/>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LEED initiative, which serve as talent recruitment tools.</w:t>
            </w:r>
          </w:p>
        </w:tc>
      </w:tr>
      <w:tr>
        <w:trPr>
          <w:trHeight w:val="47"/>
        </w:trPr>
        <w:tc>
          <w:tcPr>
            <w:tcW w:w="1580" w:type="dxa"/>
            <w:vAlign w:val="bottom"/>
            <w:tcBorders>
              <w:bottom w:val="single" w:sz="8" w:color="C0C0C0"/>
            </w:tcBorders>
          </w:tcPr>
          <w:p>
            <w:pPr>
              <w:spacing w:after="0"/>
              <w:rPr>
                <w:sz w:val="4"/>
                <w:szCs w:val="4"/>
                <w:color w:val="auto"/>
              </w:rPr>
            </w:pPr>
          </w:p>
        </w:tc>
        <w:tc>
          <w:tcPr>
            <w:tcW w:w="5760" w:type="dxa"/>
            <w:vAlign w:val="bottom"/>
            <w:tcBorders>
              <w:bottom w:val="single" w:sz="8" w:color="C0C0C0"/>
            </w:tcBorders>
          </w:tcPr>
          <w:p>
            <w:pPr>
              <w:spacing w:after="0"/>
              <w:rPr>
                <w:sz w:val="4"/>
                <w:szCs w:val="4"/>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1"/>
                <w:szCs w:val="11"/>
                <w:b w:val="1"/>
                <w:bCs w:val="1"/>
                <w:color w:val="D60011"/>
              </w:rPr>
              <w:t>Management</w:t>
            </w:r>
          </w:p>
        </w:tc>
        <w:tc>
          <w:tcPr>
            <w:tcW w:w="5760" w:type="dxa"/>
            <w:vAlign w:val="bottom"/>
          </w:tcPr>
          <w:p>
            <w:pPr>
              <w:ind w:left="240"/>
              <w:spacing w:after="0"/>
              <w:rPr>
                <w:sz w:val="20"/>
                <w:szCs w:val="20"/>
                <w:color w:val="auto"/>
              </w:rPr>
            </w:pPr>
            <w:r>
              <w:rPr>
                <w:rFonts w:ascii="Arial" w:cs="Arial" w:eastAsia="Arial" w:hAnsi="Arial"/>
                <w:sz w:val="11"/>
                <w:szCs w:val="11"/>
                <w:color w:val="auto"/>
                <w:w w:val="99"/>
              </w:rPr>
              <w:t>Collaboration of the Chief Human Resources Officer and senior Human Resources leaders with functional leaders</w:t>
            </w:r>
          </w:p>
        </w:tc>
      </w:tr>
      <w:tr>
        <w:trPr>
          <w:trHeight w:val="126"/>
        </w:trPr>
        <w:tc>
          <w:tcPr>
            <w:tcW w:w="1580" w:type="dxa"/>
            <w:vAlign w:val="bottom"/>
          </w:tcPr>
          <w:p>
            <w:pPr>
              <w:spacing w:after="0"/>
              <w:rPr>
                <w:sz w:val="10"/>
                <w:szCs w:val="10"/>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w w:val="99"/>
              </w:rPr>
              <w:t>across the Company in developing and implementing programs to attract, assess, and develop management-level</w:t>
            </w:r>
          </w:p>
        </w:tc>
      </w:tr>
      <w:tr>
        <w:trPr>
          <w:trHeight w:val="142"/>
        </w:trPr>
        <w:tc>
          <w:tcPr>
            <w:tcW w:w="1580" w:type="dxa"/>
            <w:vAlign w:val="bottom"/>
          </w:tcPr>
          <w:p>
            <w:pPr>
              <w:spacing w:after="0"/>
              <w:rPr>
                <w:sz w:val="12"/>
                <w:szCs w:val="12"/>
                <w:color w:val="auto"/>
              </w:rPr>
            </w:pPr>
          </w:p>
        </w:tc>
        <w:tc>
          <w:tcPr>
            <w:tcW w:w="5760" w:type="dxa"/>
            <w:vAlign w:val="bottom"/>
          </w:tcPr>
          <w:p>
            <w:pPr>
              <w:ind w:left="240"/>
              <w:spacing w:after="0"/>
              <w:rPr>
                <w:sz w:val="20"/>
                <w:szCs w:val="20"/>
                <w:color w:val="auto"/>
              </w:rPr>
            </w:pPr>
            <w:r>
              <w:rPr>
                <w:rFonts w:ascii="Arial" w:cs="Arial" w:eastAsia="Arial" w:hAnsi="Arial"/>
                <w:sz w:val="11"/>
                <w:szCs w:val="11"/>
                <w:color w:val="auto"/>
              </w:rPr>
              <w:t>talent for possible future senior leadership positions.</w:t>
            </w:r>
          </w:p>
        </w:tc>
      </w:tr>
      <w:tr>
        <w:trPr>
          <w:trHeight w:val="47"/>
        </w:trPr>
        <w:tc>
          <w:tcPr>
            <w:tcW w:w="1580" w:type="dxa"/>
            <w:vAlign w:val="bottom"/>
            <w:tcBorders>
              <w:bottom w:val="single" w:sz="8" w:color="D60010"/>
            </w:tcBorders>
          </w:tcPr>
          <w:p>
            <w:pPr>
              <w:spacing w:after="0"/>
              <w:rPr>
                <w:sz w:val="4"/>
                <w:szCs w:val="4"/>
                <w:color w:val="auto"/>
              </w:rPr>
            </w:pPr>
          </w:p>
        </w:tc>
        <w:tc>
          <w:tcPr>
            <w:tcW w:w="5760" w:type="dxa"/>
            <w:vAlign w:val="bottom"/>
            <w:tcBorders>
              <w:bottom w:val="single" w:sz="8" w:color="D60010"/>
            </w:tcBorders>
          </w:tcPr>
          <w:p>
            <w:pPr>
              <w:spacing w:after="0"/>
              <w:rPr>
                <w:sz w:val="4"/>
                <w:szCs w:val="4"/>
                <w:color w:val="auto"/>
              </w:rPr>
            </w:pPr>
          </w:p>
        </w:tc>
      </w:tr>
    </w:tbl>
    <w:p>
      <w:pPr>
        <w:spacing w:after="0" w:line="126" w:lineRule="exact"/>
        <w:rPr>
          <w:sz w:val="20"/>
          <w:szCs w:val="20"/>
          <w:color w:val="auto"/>
        </w:rPr>
      </w:pPr>
    </w:p>
    <w:p>
      <w:pPr>
        <w:ind w:left="840" w:right="1359"/>
        <w:spacing w:after="0" w:line="279" w:lineRule="auto"/>
        <w:rPr>
          <w:sz w:val="20"/>
          <w:szCs w:val="20"/>
          <w:color w:val="auto"/>
        </w:rPr>
      </w:pPr>
      <w:r>
        <w:rPr>
          <w:rFonts w:ascii="Arial" w:cs="Arial" w:eastAsia="Arial" w:hAnsi="Arial"/>
          <w:sz w:val="11"/>
          <w:szCs w:val="11"/>
          <w:color w:val="auto"/>
        </w:rPr>
        <w:t xml:space="preserve">For additional information on the Company’s human capital management strategies and initiatives, see our Annual Report, which is available at </w:t>
      </w:r>
      <w:r>
        <w:rPr>
          <w:rFonts w:ascii="Arial" w:cs="Arial" w:eastAsia="Arial" w:hAnsi="Arial"/>
          <w:sz w:val="11"/>
          <w:szCs w:val="11"/>
          <w:b w:val="1"/>
          <w:bCs w:val="1"/>
          <w:color w:val="D60011"/>
        </w:rPr>
        <w:t>investors.footlocker-inc.com/ar</w:t>
      </w:r>
      <w:r>
        <w:rPr>
          <w:rFonts w:ascii="Arial" w:cs="Arial" w:eastAsia="Arial" w:hAnsi="Arial"/>
          <w:sz w:val="11"/>
          <w:szCs w:val="11"/>
          <w:color w:val="000000"/>
        </w:rPr>
        <w:t>.</w:t>
      </w:r>
    </w:p>
    <w:p>
      <w:pPr>
        <w:spacing w:after="0" w:line="88" w:lineRule="exact"/>
        <w:rPr>
          <w:sz w:val="20"/>
          <w:szCs w:val="20"/>
          <w:color w:val="auto"/>
        </w:rPr>
      </w:pPr>
    </w:p>
    <w:p>
      <w:pPr>
        <w:ind w:left="1520" w:hanging="388"/>
        <w:spacing w:after="0"/>
        <w:tabs>
          <w:tab w:leader="none" w:pos="1520" w:val="left"/>
        </w:tabs>
        <w:numPr>
          <w:ilvl w:val="0"/>
          <w:numId w:val="54"/>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242570</wp:posOffset>
            </wp:positionV>
            <wp:extent cx="717804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74" w:right="1440" w:bottom="1440" w:gutter="0" w:footer="0" w:header="0"/>
        </w:sectPr>
      </w:pPr>
    </w:p>
    <w:bookmarkStart w:id="40" w:name="page41"/>
    <w:bookmarkEnd w:id="40"/>
    <w:p>
      <w:pPr>
        <w:ind w:left="8540"/>
        <w:spacing w:after="0"/>
        <w:rPr>
          <w:sz w:val="20"/>
          <w:szCs w:val="20"/>
          <w:color w:val="auto"/>
        </w:rPr>
      </w:pPr>
      <w:r>
        <w:rPr>
          <w:rFonts w:ascii="Arial" w:cs="Arial" w:eastAsia="Arial" w:hAnsi="Arial"/>
          <w:sz w:val="11"/>
          <w:szCs w:val="11"/>
          <w:b w:val="1"/>
          <w:bCs w:val="1"/>
          <w:color w:val="D60011"/>
        </w:rPr>
        <w:t>GOVERNANCE</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ESG OVERSIGHT</w:t>
      </w:r>
    </w:p>
    <w:p>
      <w:pPr>
        <w:spacing w:after="0" w:line="145" w:lineRule="exact"/>
        <w:rPr>
          <w:sz w:val="20"/>
          <w:szCs w:val="20"/>
          <w:color w:val="auto"/>
        </w:rPr>
      </w:pPr>
    </w:p>
    <w:p>
      <w:pPr>
        <w:ind w:left="1980" w:right="2040"/>
        <w:spacing w:after="0" w:line="246" w:lineRule="auto"/>
        <w:rPr>
          <w:sz w:val="20"/>
          <w:szCs w:val="20"/>
          <w:color w:val="auto"/>
        </w:rPr>
      </w:pPr>
      <w:r>
        <w:rPr>
          <w:rFonts w:ascii="Arial" w:cs="Arial" w:eastAsia="Arial" w:hAnsi="Arial"/>
          <w:sz w:val="11"/>
          <w:szCs w:val="11"/>
          <w:color w:val="auto"/>
        </w:rPr>
        <w:t>The Board is actively engaged in the oversight of the Company’s global ESG program. In exercising its authority, the Board recognizes that the long-term interests of our shareholders are best advanced when considering other stakeholders and interested parties, including customers, team members, business partners, and the communities we serve. The Responsibility Committee oversees our global ESG program, and the Board receives updates from the Responsibility Committee Chair throughout the year. In addition, each of the Audit Committee, Finance Committee, and Human Capital Committee have certain ESG oversight responsibilities relevant to their respective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80010</wp:posOffset>
            </wp:positionV>
            <wp:extent cx="4663440" cy="1668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63440" cy="1668780"/>
                    </a:xfrm>
                    <a:prstGeom prst="rect">
                      <a:avLst/>
                    </a:prstGeom>
                    <a:noFill/>
                  </pic:spPr>
                </pic:pic>
              </a:graphicData>
            </a:graphic>
          </wp:anchor>
        </w:drawing>
      </w:r>
    </w:p>
    <w:p>
      <w:pPr>
        <w:spacing w:after="0" w:line="228" w:lineRule="exact"/>
        <w:rPr>
          <w:sz w:val="20"/>
          <w:szCs w:val="20"/>
          <w:color w:val="auto"/>
        </w:rPr>
      </w:pPr>
    </w:p>
    <w:p>
      <w:pPr>
        <w:ind w:left="4100"/>
        <w:spacing w:after="0"/>
        <w:rPr>
          <w:sz w:val="20"/>
          <w:szCs w:val="20"/>
          <w:color w:val="auto"/>
        </w:rPr>
      </w:pPr>
      <w:r>
        <w:rPr>
          <w:rFonts w:ascii="Arial" w:cs="Arial" w:eastAsia="Arial" w:hAnsi="Arial"/>
          <w:sz w:val="12"/>
          <w:szCs w:val="12"/>
          <w:color w:val="auto"/>
        </w:rPr>
        <w:t>Inspired by engagement with our shareholders, the Company has begun publishing an annual</w:t>
      </w:r>
    </w:p>
    <w:p>
      <w:pPr>
        <w:spacing w:after="0" w:line="6" w:lineRule="exact"/>
        <w:rPr>
          <w:sz w:val="20"/>
          <w:szCs w:val="20"/>
          <w:color w:val="auto"/>
        </w:rPr>
      </w:pPr>
    </w:p>
    <w:p>
      <w:pPr>
        <w:ind w:left="4100"/>
        <w:spacing w:after="0"/>
        <w:rPr>
          <w:sz w:val="20"/>
          <w:szCs w:val="20"/>
          <w:color w:val="auto"/>
        </w:rPr>
      </w:pPr>
      <w:r>
        <w:rPr>
          <w:rFonts w:ascii="Arial" w:cs="Arial" w:eastAsia="Arial" w:hAnsi="Arial"/>
          <w:sz w:val="12"/>
          <w:szCs w:val="12"/>
          <w:color w:val="auto"/>
        </w:rPr>
        <w:t>Impact Report. The Impact Report provides details on our global ESG program, consistent with</w:t>
      </w:r>
    </w:p>
    <w:p>
      <w:pPr>
        <w:ind w:left="4100"/>
        <w:spacing w:after="0" w:line="234" w:lineRule="auto"/>
        <w:rPr>
          <w:sz w:val="20"/>
          <w:szCs w:val="20"/>
          <w:color w:val="auto"/>
        </w:rPr>
      </w:pPr>
      <w:r>
        <w:rPr>
          <w:rFonts w:ascii="Arial" w:cs="Arial" w:eastAsia="Arial" w:hAnsi="Arial"/>
          <w:sz w:val="12"/>
          <w:szCs w:val="12"/>
          <w:color w:val="auto"/>
        </w:rPr>
        <w:t>the SASB reporting standards and TCFD reporting framework. Our global ESG program is</w:t>
      </w:r>
    </w:p>
    <w:p>
      <w:pPr>
        <w:ind w:left="4100"/>
        <w:spacing w:after="0"/>
        <w:rPr>
          <w:sz w:val="20"/>
          <w:szCs w:val="20"/>
          <w:color w:val="auto"/>
        </w:rPr>
      </w:pPr>
      <w:r>
        <w:rPr>
          <w:rFonts w:ascii="Arial" w:cs="Arial" w:eastAsia="Arial" w:hAnsi="Arial"/>
          <w:sz w:val="12"/>
          <w:szCs w:val="12"/>
          <w:color w:val="auto"/>
        </w:rPr>
        <w:t>focused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100"/>
        <w:spacing w:after="0"/>
        <w:rPr>
          <w:sz w:val="20"/>
          <w:szCs w:val="20"/>
          <w:color w:val="auto"/>
        </w:rPr>
      </w:pPr>
      <w:r>
        <w:rPr>
          <w:rFonts w:ascii="Arial" w:cs="Arial" w:eastAsia="Arial" w:hAnsi="Arial"/>
          <w:sz w:val="12"/>
          <w:szCs w:val="12"/>
          <w:color w:val="auto"/>
        </w:rPr>
        <w:t xml:space="preserve">For additional information regarding our global ESG program and Board oversight, see </w:t>
      </w:r>
      <w:r>
        <w:rPr>
          <w:rFonts w:ascii="Arial" w:cs="Arial" w:eastAsia="Arial" w:hAnsi="Arial"/>
          <w:sz w:val="12"/>
          <w:szCs w:val="12"/>
          <w:b w:val="1"/>
          <w:bCs w:val="1"/>
          <w:color w:val="D60011"/>
        </w:rPr>
        <w:t>ESG</w:t>
      </w:r>
      <w:r>
        <w:rPr>
          <w:rFonts w:ascii="Arial" w:cs="Arial" w:eastAsia="Arial" w:hAnsi="Arial"/>
          <w:sz w:val="12"/>
          <w:szCs w:val="12"/>
          <w:color w:val="auto"/>
        </w:rPr>
        <w:t xml:space="preserve"> on</w:t>
      </w:r>
    </w:p>
    <w:p>
      <w:pPr>
        <w:spacing w:after="0" w:line="6" w:lineRule="exact"/>
        <w:rPr>
          <w:sz w:val="20"/>
          <w:szCs w:val="20"/>
          <w:color w:val="auto"/>
        </w:rPr>
      </w:pPr>
    </w:p>
    <w:p>
      <w:pPr>
        <w:ind w:left="4100"/>
        <w:spacing w:after="0"/>
        <w:rPr>
          <w:sz w:val="20"/>
          <w:szCs w:val="20"/>
          <w:color w:val="auto"/>
        </w:rPr>
      </w:pPr>
      <w:r>
        <w:rPr>
          <w:rFonts w:ascii="Arial" w:cs="Arial" w:eastAsia="Arial" w:hAnsi="Arial"/>
          <w:sz w:val="12"/>
          <w:szCs w:val="12"/>
          <w:color w:val="auto"/>
        </w:rPr>
        <w:t xml:space="preserve">page 96, </w:t>
      </w:r>
      <w:r>
        <w:rPr>
          <w:rFonts w:ascii="Arial" w:cs="Arial" w:eastAsia="Arial" w:hAnsi="Arial"/>
          <w:sz w:val="12"/>
          <w:szCs w:val="12"/>
          <w:b w:val="1"/>
          <w:bCs w:val="1"/>
          <w:color w:val="D60011"/>
        </w:rPr>
        <w:t>ESG Oversight</w:t>
      </w:r>
      <w:r>
        <w:rPr>
          <w:rFonts w:ascii="Arial" w:cs="Arial" w:eastAsia="Arial" w:hAnsi="Arial"/>
          <w:sz w:val="12"/>
          <w:szCs w:val="12"/>
          <w:color w:val="auto"/>
        </w:rPr>
        <w:t xml:space="preserve"> on page 35, and our Impact Report, which is available at</w:t>
      </w:r>
    </w:p>
    <w:p>
      <w:pPr>
        <w:ind w:left="4100"/>
        <w:spacing w:after="0"/>
        <w:rPr>
          <w:sz w:val="20"/>
          <w:szCs w:val="20"/>
          <w:color w:val="auto"/>
        </w:rPr>
      </w:pPr>
      <w:r>
        <w:rPr>
          <w:rFonts w:ascii="Arial" w:cs="Arial" w:eastAsia="Arial" w:hAnsi="Arial"/>
          <w:sz w:val="12"/>
          <w:szCs w:val="12"/>
          <w:b w:val="1"/>
          <w:bCs w:val="1"/>
          <w:color w:val="D60011"/>
        </w:rPr>
        <w:t>investors.footlocker-inc.com/impactreport</w:t>
      </w:r>
      <w:r>
        <w:rPr>
          <w:rFonts w:ascii="Arial" w:cs="Arial" w:eastAsia="Arial" w:hAnsi="Arial"/>
          <w:sz w:val="12"/>
          <w:szCs w:val="12"/>
          <w:color w:val="000000"/>
        </w:rPr>
        <w:t>.</w:t>
      </w:r>
    </w:p>
    <w:p>
      <w:pPr>
        <w:spacing w:after="0" w:line="25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has adopted the following policy statements related to its global ESG program: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980" w:type="dxa"/>
            <w:vAlign w:val="bottom"/>
          </w:tcPr>
          <w:p>
            <w:pPr>
              <w:spacing w:after="0"/>
              <w:rPr>
                <w:sz w:val="11"/>
                <w:szCs w:val="11"/>
                <w:color w:val="auto"/>
              </w:rPr>
            </w:pPr>
          </w:p>
        </w:tc>
        <w:tc>
          <w:tcPr>
            <w:tcW w:w="2900" w:type="dxa"/>
            <w:vAlign w:val="bottom"/>
          </w:tcPr>
          <w:p>
            <w:pPr>
              <w:spacing w:after="0"/>
              <w:rPr>
                <w:sz w:val="20"/>
                <w:szCs w:val="20"/>
                <w:color w:val="auto"/>
              </w:rPr>
            </w:pPr>
            <w:r>
              <w:rPr>
                <w:rFonts w:ascii="Arial" w:cs="Arial" w:eastAsia="Arial" w:hAnsi="Arial"/>
                <w:sz w:val="10"/>
                <w:szCs w:val="10"/>
                <w:b w:val="1"/>
                <w:bCs w:val="1"/>
                <w:color w:val="auto"/>
              </w:rPr>
              <w:t>Policy Statement</w:t>
            </w:r>
          </w:p>
        </w:tc>
        <w:tc>
          <w:tcPr>
            <w:tcW w:w="3860" w:type="dxa"/>
            <w:vAlign w:val="bottom"/>
          </w:tcPr>
          <w:p>
            <w:pPr>
              <w:ind w:left="160"/>
              <w:spacing w:after="0"/>
              <w:rPr>
                <w:sz w:val="20"/>
                <w:szCs w:val="20"/>
                <w:color w:val="auto"/>
              </w:rPr>
            </w:pPr>
            <w:r>
              <w:rPr>
                <w:rFonts w:ascii="Arial" w:cs="Arial" w:eastAsia="Arial" w:hAnsi="Arial"/>
                <w:sz w:val="10"/>
                <w:szCs w:val="10"/>
                <w:b w:val="1"/>
                <w:bCs w:val="1"/>
                <w:color w:val="auto"/>
              </w:rPr>
              <w:t>Purpose</w:t>
            </w:r>
          </w:p>
        </w:tc>
        <w:tc>
          <w:tcPr>
            <w:tcW w:w="58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38"/>
        </w:trPr>
        <w:tc>
          <w:tcPr>
            <w:tcW w:w="1980" w:type="dxa"/>
            <w:vAlign w:val="bottom"/>
          </w:tcPr>
          <w:p>
            <w:pPr>
              <w:spacing w:after="0"/>
              <w:rPr>
                <w:sz w:val="3"/>
                <w:szCs w:val="3"/>
                <w:color w:val="auto"/>
              </w:rPr>
            </w:pPr>
          </w:p>
        </w:tc>
        <w:tc>
          <w:tcPr>
            <w:tcW w:w="2900" w:type="dxa"/>
            <w:vAlign w:val="bottom"/>
            <w:tcBorders>
              <w:bottom w:val="single" w:sz="8" w:color="D61100"/>
            </w:tcBorders>
          </w:tcPr>
          <w:p>
            <w:pPr>
              <w:spacing w:after="0"/>
              <w:rPr>
                <w:sz w:val="3"/>
                <w:szCs w:val="3"/>
                <w:color w:val="auto"/>
              </w:rPr>
            </w:pPr>
          </w:p>
        </w:tc>
        <w:tc>
          <w:tcPr>
            <w:tcW w:w="4440" w:type="dxa"/>
            <w:vAlign w:val="bottom"/>
            <w:tcBorders>
              <w:bottom w:val="single" w:sz="8" w:color="D61100"/>
            </w:tcBorders>
            <w:gridSpan w:val="2"/>
          </w:tcPr>
          <w:p>
            <w:pPr>
              <w:spacing w:after="0"/>
              <w:rPr>
                <w:sz w:val="3"/>
                <w:szCs w:val="3"/>
                <w:color w:val="auto"/>
              </w:rPr>
            </w:pPr>
          </w:p>
        </w:tc>
        <w:tc>
          <w:tcPr>
            <w:tcW w:w="1980" w:type="dxa"/>
            <w:vAlign w:val="bottom"/>
          </w:tcPr>
          <w:p>
            <w:pPr>
              <w:spacing w:after="0"/>
              <w:rPr>
                <w:sz w:val="3"/>
                <w:szCs w:val="3"/>
                <w:color w:val="auto"/>
              </w:rPr>
            </w:pPr>
          </w:p>
        </w:tc>
      </w:tr>
      <w:tr>
        <w:trPr>
          <w:trHeight w:val="160"/>
        </w:trPr>
        <w:tc>
          <w:tcPr>
            <w:tcW w:w="198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1"/>
                <w:szCs w:val="11"/>
                <w:b w:val="1"/>
                <w:bCs w:val="1"/>
                <w:color w:val="D60011"/>
              </w:rPr>
              <w:t>Global Environmental and Climate Change Statement</w:t>
            </w: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Sets out certain sustainability and environmental commitments and priorities, including</w:t>
            </w:r>
          </w:p>
        </w:tc>
        <w:tc>
          <w:tcPr>
            <w:tcW w:w="1980" w:type="dxa"/>
            <w:vAlign w:val="bottom"/>
          </w:tcPr>
          <w:p>
            <w:pPr>
              <w:spacing w:after="0"/>
              <w:rPr>
                <w:sz w:val="13"/>
                <w:szCs w:val="13"/>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reducing GHG emissions that have an adverse effect on climate change, and certain</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860" w:type="dxa"/>
            <w:vAlign w:val="bottom"/>
          </w:tcPr>
          <w:p>
            <w:pPr>
              <w:ind w:left="160"/>
              <w:spacing w:after="0"/>
              <w:rPr>
                <w:sz w:val="20"/>
                <w:szCs w:val="20"/>
                <w:color w:val="auto"/>
              </w:rPr>
            </w:pPr>
            <w:r>
              <w:rPr>
                <w:rFonts w:ascii="Arial" w:cs="Arial" w:eastAsia="Arial" w:hAnsi="Arial"/>
                <w:sz w:val="11"/>
                <w:szCs w:val="11"/>
                <w:color w:val="auto"/>
              </w:rPr>
              <w:t>responsibilities of its suppliers. This policy statement is available at</w:t>
            </w:r>
          </w:p>
        </w:tc>
        <w:tc>
          <w:tcPr>
            <w:tcW w:w="58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148"/>
        </w:trPr>
        <w:tc>
          <w:tcPr>
            <w:tcW w:w="1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60" w:type="dxa"/>
            <w:vAlign w:val="bottom"/>
          </w:tcPr>
          <w:p>
            <w:pPr>
              <w:ind w:left="160"/>
              <w:spacing w:after="0"/>
              <w:rPr>
                <w:sz w:val="20"/>
                <w:szCs w:val="20"/>
                <w:color w:val="auto"/>
              </w:rPr>
            </w:pPr>
            <w:r>
              <w:rPr>
                <w:rFonts w:ascii="Arial" w:cs="Arial" w:eastAsia="Arial" w:hAnsi="Arial"/>
                <w:sz w:val="11"/>
                <w:szCs w:val="11"/>
                <w:b w:val="1"/>
                <w:bCs w:val="1"/>
                <w:color w:val="D60011"/>
              </w:rPr>
              <w:t>investors.footlocker-inc.com/climate</w:t>
            </w:r>
            <w:r>
              <w:rPr>
                <w:rFonts w:ascii="Arial" w:cs="Arial" w:eastAsia="Arial" w:hAnsi="Arial"/>
                <w:sz w:val="11"/>
                <w:szCs w:val="11"/>
                <w:color w:val="000000"/>
              </w:rPr>
              <w:t>.</w:t>
            </w:r>
          </w:p>
        </w:tc>
        <w:tc>
          <w:tcPr>
            <w:tcW w:w="5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41"/>
        </w:trPr>
        <w:tc>
          <w:tcPr>
            <w:tcW w:w="1980" w:type="dxa"/>
            <w:vAlign w:val="bottom"/>
          </w:tcPr>
          <w:p>
            <w:pPr>
              <w:spacing w:after="0"/>
              <w:rPr>
                <w:sz w:val="3"/>
                <w:szCs w:val="3"/>
                <w:color w:val="auto"/>
              </w:rPr>
            </w:pPr>
          </w:p>
        </w:tc>
        <w:tc>
          <w:tcPr>
            <w:tcW w:w="2900" w:type="dxa"/>
            <w:vAlign w:val="bottom"/>
            <w:tcBorders>
              <w:bottom w:val="single" w:sz="8" w:color="C0C0C0"/>
            </w:tcBorders>
          </w:tcPr>
          <w:p>
            <w:pPr>
              <w:spacing w:after="0"/>
              <w:rPr>
                <w:sz w:val="3"/>
                <w:szCs w:val="3"/>
                <w:color w:val="auto"/>
              </w:rPr>
            </w:pPr>
          </w:p>
        </w:tc>
        <w:tc>
          <w:tcPr>
            <w:tcW w:w="3860" w:type="dxa"/>
            <w:vAlign w:val="bottom"/>
            <w:tcBorders>
              <w:bottom w:val="single" w:sz="8" w:color="C0C0C0"/>
            </w:tcBorders>
          </w:tcPr>
          <w:p>
            <w:pPr>
              <w:spacing w:after="0"/>
              <w:rPr>
                <w:sz w:val="3"/>
                <w:szCs w:val="3"/>
                <w:color w:val="auto"/>
              </w:rPr>
            </w:pPr>
          </w:p>
        </w:tc>
        <w:tc>
          <w:tcPr>
            <w:tcW w:w="580" w:type="dxa"/>
            <w:vAlign w:val="bottom"/>
            <w:tcBorders>
              <w:bottom w:val="single" w:sz="8" w:color="C0C0C0"/>
            </w:tcBorders>
          </w:tcPr>
          <w:p>
            <w:pPr>
              <w:spacing w:after="0"/>
              <w:rPr>
                <w:sz w:val="3"/>
                <w:szCs w:val="3"/>
                <w:color w:val="auto"/>
              </w:rPr>
            </w:pPr>
          </w:p>
        </w:tc>
        <w:tc>
          <w:tcPr>
            <w:tcW w:w="1980" w:type="dxa"/>
            <w:vAlign w:val="bottom"/>
          </w:tcPr>
          <w:p>
            <w:pPr>
              <w:spacing w:after="0"/>
              <w:rPr>
                <w:sz w:val="3"/>
                <w:szCs w:val="3"/>
                <w:color w:val="auto"/>
              </w:rPr>
            </w:pPr>
          </w:p>
        </w:tc>
      </w:tr>
      <w:tr>
        <w:trPr>
          <w:trHeight w:val="160"/>
        </w:trPr>
        <w:tc>
          <w:tcPr>
            <w:tcW w:w="198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1"/>
                <w:szCs w:val="11"/>
                <w:b w:val="1"/>
                <w:bCs w:val="1"/>
                <w:color w:val="D60011"/>
              </w:rPr>
              <w:t>Global Human Rights Statement</w:t>
            </w:r>
          </w:p>
        </w:tc>
        <w:tc>
          <w:tcPr>
            <w:tcW w:w="3860" w:type="dxa"/>
            <w:vAlign w:val="bottom"/>
          </w:tcPr>
          <w:p>
            <w:pPr>
              <w:ind w:left="160"/>
              <w:spacing w:after="0"/>
              <w:rPr>
                <w:sz w:val="20"/>
                <w:szCs w:val="20"/>
                <w:color w:val="auto"/>
              </w:rPr>
            </w:pPr>
            <w:r>
              <w:rPr>
                <w:rFonts w:ascii="Arial" w:cs="Arial" w:eastAsia="Arial" w:hAnsi="Arial"/>
                <w:sz w:val="11"/>
                <w:szCs w:val="11"/>
                <w:color w:val="auto"/>
                <w:w w:val="98"/>
              </w:rPr>
              <w:t>Sets out certain commitments, including maintaining a work environment that</w:t>
            </w: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respects</w:t>
            </w:r>
          </w:p>
        </w:tc>
        <w:tc>
          <w:tcPr>
            <w:tcW w:w="1980" w:type="dxa"/>
            <w:vAlign w:val="bottom"/>
          </w:tcPr>
          <w:p>
            <w:pPr>
              <w:spacing w:after="0"/>
              <w:rPr>
                <w:sz w:val="13"/>
                <w:szCs w:val="13"/>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and supports the provision of basic human rights to all of its team members around the</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world, regardless of the country in which they work, to the full extent permitted by law,</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and certain responsibilities of its suppliers. This policy statement is available at</w:t>
            </w:r>
          </w:p>
        </w:tc>
        <w:tc>
          <w:tcPr>
            <w:tcW w:w="1980" w:type="dxa"/>
            <w:vAlign w:val="bottom"/>
          </w:tcPr>
          <w:p>
            <w:pPr>
              <w:spacing w:after="0"/>
              <w:rPr>
                <w:sz w:val="10"/>
                <w:szCs w:val="10"/>
                <w:color w:val="auto"/>
              </w:rPr>
            </w:pPr>
          </w:p>
        </w:tc>
      </w:tr>
      <w:tr>
        <w:trPr>
          <w:trHeight w:val="148"/>
        </w:trPr>
        <w:tc>
          <w:tcPr>
            <w:tcW w:w="1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60" w:type="dxa"/>
            <w:vAlign w:val="bottom"/>
          </w:tcPr>
          <w:p>
            <w:pPr>
              <w:ind w:left="160"/>
              <w:spacing w:after="0"/>
              <w:rPr>
                <w:sz w:val="20"/>
                <w:szCs w:val="20"/>
                <w:color w:val="auto"/>
              </w:rPr>
            </w:pPr>
            <w:r>
              <w:rPr>
                <w:rFonts w:ascii="Arial" w:cs="Arial" w:eastAsia="Arial" w:hAnsi="Arial"/>
                <w:sz w:val="11"/>
                <w:szCs w:val="11"/>
                <w:b w:val="1"/>
                <w:bCs w:val="1"/>
                <w:color w:val="D60011"/>
              </w:rPr>
              <w:t>investors.footlocker-inc.com/humanrights</w:t>
            </w:r>
            <w:r>
              <w:rPr>
                <w:rFonts w:ascii="Arial" w:cs="Arial" w:eastAsia="Arial" w:hAnsi="Arial"/>
                <w:sz w:val="11"/>
                <w:szCs w:val="11"/>
                <w:color w:val="000000"/>
              </w:rPr>
              <w:t>.</w:t>
            </w:r>
          </w:p>
        </w:tc>
        <w:tc>
          <w:tcPr>
            <w:tcW w:w="5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41"/>
        </w:trPr>
        <w:tc>
          <w:tcPr>
            <w:tcW w:w="1980" w:type="dxa"/>
            <w:vAlign w:val="bottom"/>
          </w:tcPr>
          <w:p>
            <w:pPr>
              <w:spacing w:after="0"/>
              <w:rPr>
                <w:sz w:val="3"/>
                <w:szCs w:val="3"/>
                <w:color w:val="auto"/>
              </w:rPr>
            </w:pPr>
          </w:p>
        </w:tc>
        <w:tc>
          <w:tcPr>
            <w:tcW w:w="2900" w:type="dxa"/>
            <w:vAlign w:val="bottom"/>
            <w:tcBorders>
              <w:bottom w:val="single" w:sz="8" w:color="C0C0C0"/>
            </w:tcBorders>
          </w:tcPr>
          <w:p>
            <w:pPr>
              <w:spacing w:after="0"/>
              <w:rPr>
                <w:sz w:val="3"/>
                <w:szCs w:val="3"/>
                <w:color w:val="auto"/>
              </w:rPr>
            </w:pPr>
          </w:p>
        </w:tc>
        <w:tc>
          <w:tcPr>
            <w:tcW w:w="4440" w:type="dxa"/>
            <w:vAlign w:val="bottom"/>
            <w:tcBorders>
              <w:bottom w:val="single" w:sz="8" w:color="C0C0C0"/>
            </w:tcBorders>
            <w:gridSpan w:val="2"/>
          </w:tcPr>
          <w:p>
            <w:pPr>
              <w:spacing w:after="0"/>
              <w:rPr>
                <w:sz w:val="3"/>
                <w:szCs w:val="3"/>
                <w:color w:val="auto"/>
              </w:rPr>
            </w:pPr>
          </w:p>
        </w:tc>
        <w:tc>
          <w:tcPr>
            <w:tcW w:w="1980" w:type="dxa"/>
            <w:vAlign w:val="bottom"/>
          </w:tcPr>
          <w:p>
            <w:pPr>
              <w:spacing w:after="0"/>
              <w:rPr>
                <w:sz w:val="3"/>
                <w:szCs w:val="3"/>
                <w:color w:val="auto"/>
              </w:rPr>
            </w:pPr>
          </w:p>
        </w:tc>
      </w:tr>
      <w:tr>
        <w:trPr>
          <w:trHeight w:val="160"/>
        </w:trPr>
        <w:tc>
          <w:tcPr>
            <w:tcW w:w="198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1"/>
                <w:szCs w:val="11"/>
                <w:b w:val="1"/>
                <w:bCs w:val="1"/>
                <w:color w:val="D60011"/>
              </w:rPr>
              <w:t>Global Occupational Health and Safety Statement</w:t>
            </w: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Sets out certain commitments, including operating in a safe and responsible manner to</w:t>
            </w:r>
          </w:p>
        </w:tc>
        <w:tc>
          <w:tcPr>
            <w:tcW w:w="1980" w:type="dxa"/>
            <w:vAlign w:val="bottom"/>
          </w:tcPr>
          <w:p>
            <w:pPr>
              <w:spacing w:after="0"/>
              <w:rPr>
                <w:sz w:val="13"/>
                <w:szCs w:val="13"/>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w w:val="99"/>
              </w:rPr>
              <w:t>protect the health and safety of its team members, partners, and customers, and certain</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860" w:type="dxa"/>
            <w:vAlign w:val="bottom"/>
          </w:tcPr>
          <w:p>
            <w:pPr>
              <w:ind w:left="160"/>
              <w:spacing w:after="0"/>
              <w:rPr>
                <w:sz w:val="20"/>
                <w:szCs w:val="20"/>
                <w:color w:val="auto"/>
              </w:rPr>
            </w:pPr>
            <w:r>
              <w:rPr>
                <w:rFonts w:ascii="Arial" w:cs="Arial" w:eastAsia="Arial" w:hAnsi="Arial"/>
                <w:sz w:val="11"/>
                <w:szCs w:val="11"/>
                <w:color w:val="auto"/>
              </w:rPr>
              <w:t>responsibilities of its suppliers. This policy statement is available at</w:t>
            </w:r>
          </w:p>
        </w:tc>
        <w:tc>
          <w:tcPr>
            <w:tcW w:w="58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148"/>
        </w:trPr>
        <w:tc>
          <w:tcPr>
            <w:tcW w:w="1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60" w:type="dxa"/>
            <w:vAlign w:val="bottom"/>
          </w:tcPr>
          <w:p>
            <w:pPr>
              <w:ind w:left="160"/>
              <w:spacing w:after="0"/>
              <w:rPr>
                <w:sz w:val="20"/>
                <w:szCs w:val="20"/>
                <w:color w:val="auto"/>
              </w:rPr>
            </w:pPr>
            <w:r>
              <w:rPr>
                <w:rFonts w:ascii="Arial" w:cs="Arial" w:eastAsia="Arial" w:hAnsi="Arial"/>
                <w:sz w:val="11"/>
                <w:szCs w:val="11"/>
                <w:b w:val="1"/>
                <w:bCs w:val="1"/>
                <w:color w:val="D60011"/>
              </w:rPr>
              <w:t>investors.footlocker-inc.com/safety</w:t>
            </w:r>
            <w:r>
              <w:rPr>
                <w:rFonts w:ascii="Arial" w:cs="Arial" w:eastAsia="Arial" w:hAnsi="Arial"/>
                <w:sz w:val="11"/>
                <w:szCs w:val="11"/>
                <w:color w:val="000000"/>
              </w:rPr>
              <w:t>.</w:t>
            </w:r>
          </w:p>
        </w:tc>
        <w:tc>
          <w:tcPr>
            <w:tcW w:w="5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41"/>
        </w:trPr>
        <w:tc>
          <w:tcPr>
            <w:tcW w:w="1980" w:type="dxa"/>
            <w:vAlign w:val="bottom"/>
          </w:tcPr>
          <w:p>
            <w:pPr>
              <w:spacing w:after="0"/>
              <w:rPr>
                <w:sz w:val="3"/>
                <w:szCs w:val="3"/>
                <w:color w:val="auto"/>
              </w:rPr>
            </w:pPr>
          </w:p>
        </w:tc>
        <w:tc>
          <w:tcPr>
            <w:tcW w:w="2900" w:type="dxa"/>
            <w:vAlign w:val="bottom"/>
            <w:tcBorders>
              <w:bottom w:val="single" w:sz="8" w:color="C0C0C0"/>
            </w:tcBorders>
          </w:tcPr>
          <w:p>
            <w:pPr>
              <w:spacing w:after="0"/>
              <w:rPr>
                <w:sz w:val="3"/>
                <w:szCs w:val="3"/>
                <w:color w:val="auto"/>
              </w:rPr>
            </w:pPr>
          </w:p>
        </w:tc>
        <w:tc>
          <w:tcPr>
            <w:tcW w:w="4440" w:type="dxa"/>
            <w:vAlign w:val="bottom"/>
            <w:tcBorders>
              <w:bottom w:val="single" w:sz="8" w:color="C0C0C0"/>
            </w:tcBorders>
            <w:gridSpan w:val="2"/>
          </w:tcPr>
          <w:p>
            <w:pPr>
              <w:spacing w:after="0"/>
              <w:rPr>
                <w:sz w:val="3"/>
                <w:szCs w:val="3"/>
                <w:color w:val="auto"/>
              </w:rPr>
            </w:pPr>
          </w:p>
        </w:tc>
        <w:tc>
          <w:tcPr>
            <w:tcW w:w="1980" w:type="dxa"/>
            <w:vAlign w:val="bottom"/>
          </w:tcPr>
          <w:p>
            <w:pPr>
              <w:spacing w:after="0"/>
              <w:rPr>
                <w:sz w:val="3"/>
                <w:szCs w:val="3"/>
                <w:color w:val="auto"/>
              </w:rPr>
            </w:pPr>
          </w:p>
        </w:tc>
      </w:tr>
      <w:tr>
        <w:trPr>
          <w:trHeight w:val="160"/>
        </w:trPr>
        <w:tc>
          <w:tcPr>
            <w:tcW w:w="198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1"/>
                <w:szCs w:val="11"/>
                <w:b w:val="1"/>
                <w:bCs w:val="1"/>
                <w:color w:val="D60011"/>
              </w:rPr>
              <w:t>Global Water Stewardship Statement</w:t>
            </w: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Sets out certain commitments, including operating in a safe and responsible manner to</w:t>
            </w:r>
          </w:p>
        </w:tc>
        <w:tc>
          <w:tcPr>
            <w:tcW w:w="1980" w:type="dxa"/>
            <w:vAlign w:val="bottom"/>
          </w:tcPr>
          <w:p>
            <w:pPr>
              <w:spacing w:after="0"/>
              <w:rPr>
                <w:sz w:val="13"/>
                <w:szCs w:val="13"/>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protect against water risks and seeking to promote the human right to water and</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40" w:type="dxa"/>
            <w:vAlign w:val="bottom"/>
            <w:gridSpan w:val="2"/>
          </w:tcPr>
          <w:p>
            <w:pPr>
              <w:ind w:left="160"/>
              <w:spacing w:after="0"/>
              <w:rPr>
                <w:sz w:val="20"/>
                <w:szCs w:val="20"/>
                <w:color w:val="auto"/>
              </w:rPr>
            </w:pPr>
            <w:r>
              <w:rPr>
                <w:rFonts w:ascii="Arial" w:cs="Arial" w:eastAsia="Arial" w:hAnsi="Arial"/>
                <w:sz w:val="11"/>
                <w:szCs w:val="11"/>
                <w:color w:val="auto"/>
              </w:rPr>
              <w:t>sanitation, and certain responsibilities of its suppliers. This policy statement is available</w:t>
            </w:r>
          </w:p>
        </w:tc>
        <w:tc>
          <w:tcPr>
            <w:tcW w:w="1980" w:type="dxa"/>
            <w:vAlign w:val="bottom"/>
          </w:tcPr>
          <w:p>
            <w:pPr>
              <w:spacing w:after="0"/>
              <w:rPr>
                <w:sz w:val="10"/>
                <w:szCs w:val="10"/>
                <w:color w:val="auto"/>
              </w:rPr>
            </w:pPr>
          </w:p>
        </w:tc>
      </w:tr>
      <w:tr>
        <w:trPr>
          <w:trHeight w:val="148"/>
        </w:trPr>
        <w:tc>
          <w:tcPr>
            <w:tcW w:w="1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60" w:type="dxa"/>
            <w:vAlign w:val="bottom"/>
          </w:tcPr>
          <w:p>
            <w:pPr>
              <w:ind w:left="160"/>
              <w:spacing w:after="0"/>
              <w:rPr>
                <w:sz w:val="20"/>
                <w:szCs w:val="20"/>
                <w:color w:val="auto"/>
              </w:rPr>
            </w:pPr>
            <w:r>
              <w:rPr>
                <w:rFonts w:ascii="Arial" w:cs="Arial" w:eastAsia="Arial" w:hAnsi="Arial"/>
                <w:sz w:val="11"/>
                <w:szCs w:val="11"/>
                <w:color w:val="auto"/>
              </w:rPr>
              <w:t xml:space="preserve">at </w:t>
            </w:r>
            <w:r>
              <w:rPr>
                <w:rFonts w:ascii="Arial" w:cs="Arial" w:eastAsia="Arial" w:hAnsi="Arial"/>
                <w:sz w:val="11"/>
                <w:szCs w:val="11"/>
                <w:b w:val="1"/>
                <w:bCs w:val="1"/>
                <w:color w:val="D60011"/>
              </w:rPr>
              <w:t>investors.footlocker-inc.com/water</w:t>
            </w: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41"/>
        </w:trPr>
        <w:tc>
          <w:tcPr>
            <w:tcW w:w="1980" w:type="dxa"/>
            <w:vAlign w:val="bottom"/>
          </w:tcPr>
          <w:p>
            <w:pPr>
              <w:spacing w:after="0"/>
              <w:rPr>
                <w:sz w:val="3"/>
                <w:szCs w:val="3"/>
                <w:color w:val="auto"/>
              </w:rPr>
            </w:pPr>
          </w:p>
        </w:tc>
        <w:tc>
          <w:tcPr>
            <w:tcW w:w="2900" w:type="dxa"/>
            <w:vAlign w:val="bottom"/>
            <w:tcBorders>
              <w:bottom w:val="single" w:sz="8" w:color="D61100"/>
            </w:tcBorders>
          </w:tcPr>
          <w:p>
            <w:pPr>
              <w:spacing w:after="0"/>
              <w:rPr>
                <w:sz w:val="3"/>
                <w:szCs w:val="3"/>
                <w:color w:val="auto"/>
              </w:rPr>
            </w:pPr>
          </w:p>
        </w:tc>
        <w:tc>
          <w:tcPr>
            <w:tcW w:w="3860" w:type="dxa"/>
            <w:vAlign w:val="bottom"/>
            <w:tcBorders>
              <w:bottom w:val="single" w:sz="8" w:color="D61100"/>
            </w:tcBorders>
          </w:tcPr>
          <w:p>
            <w:pPr>
              <w:spacing w:after="0"/>
              <w:rPr>
                <w:sz w:val="3"/>
                <w:szCs w:val="3"/>
                <w:color w:val="auto"/>
              </w:rPr>
            </w:pPr>
          </w:p>
        </w:tc>
        <w:tc>
          <w:tcPr>
            <w:tcW w:w="580" w:type="dxa"/>
            <w:vAlign w:val="bottom"/>
            <w:tcBorders>
              <w:bottom w:val="single" w:sz="8" w:color="D61100"/>
            </w:tcBorders>
          </w:tcPr>
          <w:p>
            <w:pPr>
              <w:spacing w:after="0"/>
              <w:rPr>
                <w:sz w:val="3"/>
                <w:szCs w:val="3"/>
                <w:color w:val="auto"/>
              </w:rPr>
            </w:pPr>
          </w:p>
        </w:tc>
        <w:tc>
          <w:tcPr>
            <w:tcW w:w="1980" w:type="dxa"/>
            <w:vAlign w:val="bottom"/>
          </w:tcPr>
          <w:p>
            <w:pPr>
              <w:spacing w:after="0"/>
              <w:rPr>
                <w:sz w:val="3"/>
                <w:szCs w:val="3"/>
                <w:color w:val="auto"/>
              </w:rPr>
            </w:pPr>
          </w:p>
        </w:tc>
      </w:tr>
      <w:tr>
        <w:trPr>
          <w:trHeight w:val="425"/>
        </w:trPr>
        <w:tc>
          <w:tcPr>
            <w:tcW w:w="1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860" w:type="dxa"/>
            <w:vAlign w:val="bottom"/>
          </w:tcPr>
          <w:p>
            <w:pPr>
              <w:ind w:left="248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580" w:type="dxa"/>
            <w:vAlign w:val="bottom"/>
          </w:tcPr>
          <w:p>
            <w:pPr>
              <w:jc w:val="right"/>
              <w:ind w:right="266"/>
              <w:spacing w:after="0"/>
              <w:rPr>
                <w:sz w:val="20"/>
                <w:szCs w:val="20"/>
                <w:color w:val="auto"/>
              </w:rPr>
            </w:pPr>
            <w:r>
              <w:rPr>
                <w:rFonts w:ascii="Arial" w:cs="Arial" w:eastAsia="Arial" w:hAnsi="Arial"/>
                <w:sz w:val="11"/>
                <w:szCs w:val="11"/>
                <w:b w:val="1"/>
                <w:bCs w:val="1"/>
                <w:color w:val="FFFFFF"/>
              </w:rPr>
              <w:t>35</w:t>
            </w:r>
          </w:p>
        </w:tc>
        <w:tc>
          <w:tcPr>
            <w:tcW w:w="1980" w:type="dxa"/>
            <w:vAlign w:val="bottom"/>
          </w:tcPr>
          <w:p>
            <w:pPr>
              <w:spacing w:after="0"/>
              <w:rPr>
                <w:sz w:val="24"/>
                <w:szCs w:val="24"/>
                <w:color w:val="auto"/>
              </w:rPr>
            </w:pPr>
          </w:p>
        </w:tc>
      </w:tr>
      <w:tr>
        <w:trPr>
          <w:trHeight w:val="336"/>
        </w:trPr>
        <w:tc>
          <w:tcPr>
            <w:tcW w:w="19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-416560</wp:posOffset>
            </wp:positionV>
            <wp:extent cx="365760"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72" w:right="299" w:bottom="1440" w:gutter="0" w:footer="0" w:header="0"/>
        </w:sectPr>
      </w:pPr>
    </w:p>
    <w:bookmarkStart w:id="41" w:name="page42"/>
    <w:bookmarkEnd w:id="41"/>
    <w:p>
      <w:pPr>
        <w:ind w:left="840"/>
        <w:spacing w:after="0"/>
        <w:rPr>
          <w:sz w:val="20"/>
          <w:szCs w:val="20"/>
          <w:color w:val="auto"/>
        </w:rPr>
      </w:pPr>
      <w:r>
        <w:rPr>
          <w:rFonts w:ascii="Arial" w:cs="Arial" w:eastAsia="Arial" w:hAnsi="Arial"/>
          <w:sz w:val="10"/>
          <w:szCs w:val="10"/>
          <w:b w:val="1"/>
          <w:bCs w:val="1"/>
          <w:color w:val="D60011"/>
        </w:rPr>
        <w:t>GOVERNANCE</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POLITICAL AND PUBLIC ADVOCACY OVERSIGHT</w:t>
      </w:r>
    </w:p>
    <w:p>
      <w:pPr>
        <w:spacing w:after="0" w:line="145" w:lineRule="exact"/>
        <w:rPr>
          <w:sz w:val="20"/>
          <w:szCs w:val="20"/>
          <w:color w:val="auto"/>
        </w:rPr>
      </w:pPr>
    </w:p>
    <w:p>
      <w:pPr>
        <w:ind w:left="840" w:right="839"/>
        <w:spacing w:after="0" w:line="249" w:lineRule="auto"/>
        <w:rPr>
          <w:sz w:val="20"/>
          <w:szCs w:val="20"/>
          <w:color w:val="auto"/>
        </w:rPr>
      </w:pPr>
      <w:r>
        <w:rPr>
          <w:rFonts w:ascii="Arial" w:cs="Arial" w:eastAsia="Arial" w:hAnsi="Arial"/>
          <w:sz w:val="11"/>
          <w:szCs w:val="11"/>
          <w:color w:val="auto"/>
        </w:rPr>
        <w:t xml:space="preserve">Our Board has political and public advocacy oversight responsibility, including ensuring that management’s political and lobbying expenditures are aligned with the Company’s strategy. The Board has adopted policies and procedures to oversee political and lobbying expenditures. As part of its ESG oversight responsibility, the Responsibility Committee reviews annually the Board’s policies and procedures regarding politics and public advocacy and that the Company’s publicly-stated positions are aligned with its related activities and spending. For additional information regarding our policies concerning political contributions and public advocacy, see </w:t>
      </w:r>
      <w:r>
        <w:rPr>
          <w:rFonts w:ascii="Arial" w:cs="Arial" w:eastAsia="Arial" w:hAnsi="Arial"/>
          <w:sz w:val="11"/>
          <w:szCs w:val="11"/>
          <w:b w:val="1"/>
          <w:bCs w:val="1"/>
          <w:color w:val="D60011"/>
        </w:rPr>
        <w:t>Political Contributions and Public Advocacy</w:t>
      </w:r>
      <w:r>
        <w:rPr>
          <w:rFonts w:ascii="Arial" w:cs="Arial" w:eastAsia="Arial" w:hAnsi="Arial"/>
          <w:sz w:val="11"/>
          <w:szCs w:val="11"/>
          <w:color w:val="auto"/>
        </w:rPr>
        <w:t xml:space="preserve"> beginning on page 32.</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RISK OVERSIGHT</w:t>
      </w:r>
    </w:p>
    <w:p>
      <w:pPr>
        <w:spacing w:after="0" w:line="145" w:lineRule="exact"/>
        <w:rPr>
          <w:sz w:val="20"/>
          <w:szCs w:val="20"/>
          <w:color w:val="auto"/>
        </w:rPr>
      </w:pPr>
    </w:p>
    <w:p>
      <w:pPr>
        <w:ind w:left="840" w:right="879"/>
        <w:spacing w:after="0" w:line="268" w:lineRule="auto"/>
        <w:rPr>
          <w:sz w:val="20"/>
          <w:szCs w:val="20"/>
          <w:color w:val="auto"/>
        </w:rPr>
      </w:pPr>
      <w:r>
        <w:rPr>
          <w:rFonts w:ascii="Arial" w:cs="Arial" w:eastAsia="Arial" w:hAnsi="Arial"/>
          <w:sz w:val="11"/>
          <w:szCs w:val="11"/>
          <w:color w:val="auto"/>
        </w:rPr>
        <w:t>The Board has oversight responsibilities regarding risks that could affect the Company. Oversight for some of these risks is assigned to the committees— largely the Audit Committee—based on the individual risk.</w:t>
      </w:r>
    </w:p>
    <w:p>
      <w:pPr>
        <w:spacing w:after="0" w:line="96" w:lineRule="exact"/>
        <w:rPr>
          <w:sz w:val="20"/>
          <w:szCs w:val="20"/>
          <w:color w:val="auto"/>
        </w:rPr>
      </w:pPr>
    </w:p>
    <w:p>
      <w:pPr>
        <w:ind w:left="840" w:right="859"/>
        <w:spacing w:after="0" w:line="272" w:lineRule="auto"/>
        <w:rPr>
          <w:sz w:val="20"/>
          <w:szCs w:val="20"/>
          <w:color w:val="auto"/>
        </w:rPr>
      </w:pPr>
      <w:r>
        <w:rPr>
          <w:rFonts w:ascii="Arial" w:cs="Arial" w:eastAsia="Arial" w:hAnsi="Arial"/>
          <w:sz w:val="10"/>
          <w:szCs w:val="10"/>
          <w:color w:val="auto"/>
        </w:rPr>
        <w:t>The Audit Committee has established procedures for reviewing the Company’s risks. These procedures include regular risk monitoring by management to update current risks and identify potential new and emerging risks, quarterly risk reviews by management with the Audit Committee, and an annual risk report to the Board. In addition, the Audit Committee receives regular briefings from our Chief Information Security Officer, Chief Financial Officer, Chief Accounting Officer, General Counsel, Vice President of Internal Audit, and outside experts on cybersecurity risks and cyber risk oversight. During these meetings, the Audit Committee and management discuss these risks, risk management activities and efforts, best practices, lessons learned from incidents at other companies, the effectiveness of our security measures, and other related matters. The Audit Committee Chair reports on the committee’s meetings, considerations, and actions to the Board at the next Board meeting following each Audit Committee meeting.</w:t>
      </w:r>
    </w:p>
    <w:p>
      <w:pPr>
        <w:spacing w:after="0" w:line="96" w:lineRule="exact"/>
        <w:rPr>
          <w:sz w:val="20"/>
          <w:szCs w:val="20"/>
          <w:color w:val="auto"/>
        </w:rPr>
      </w:pPr>
    </w:p>
    <w:p>
      <w:pPr>
        <w:ind w:left="840" w:right="1259"/>
        <w:spacing w:after="0" w:line="318" w:lineRule="auto"/>
        <w:rPr>
          <w:sz w:val="20"/>
          <w:szCs w:val="20"/>
          <w:color w:val="auto"/>
        </w:rPr>
      </w:pPr>
      <w:r>
        <w:rPr>
          <w:rFonts w:ascii="Arial" w:cs="Arial" w:eastAsia="Arial" w:hAnsi="Arial"/>
          <w:sz w:val="10"/>
          <w:szCs w:val="10"/>
          <w:color w:val="auto"/>
        </w:rPr>
        <w:t>The Human Capital Committee considers risk in relation to the Company’s compensation policies and practices. The Human Capital Committee’s independent compensation consultant provides an annual report to the committee on risk relative to the Company’s compensation programs.</w:t>
      </w:r>
    </w:p>
    <w:p>
      <w:pPr>
        <w:spacing w:after="0" w:line="73" w:lineRule="exact"/>
        <w:rPr>
          <w:sz w:val="20"/>
          <w:szCs w:val="20"/>
          <w:color w:val="auto"/>
        </w:rPr>
      </w:pPr>
    </w:p>
    <w:p>
      <w:pPr>
        <w:ind w:left="840" w:right="1019"/>
        <w:spacing w:after="0" w:line="253" w:lineRule="auto"/>
        <w:rPr>
          <w:sz w:val="20"/>
          <w:szCs w:val="20"/>
          <w:color w:val="auto"/>
        </w:rPr>
      </w:pPr>
      <w:r>
        <w:rPr>
          <w:rFonts w:ascii="Arial" w:cs="Arial" w:eastAsia="Arial" w:hAnsi="Arial"/>
          <w:sz w:val="11"/>
          <w:szCs w:val="11"/>
          <w:color w:val="auto"/>
        </w:rPr>
        <w:t>The Company believes that this risk oversight process is appropriate in light of the Company’s business, size, and active senior management participation, including by the CEO, in managing risk and holding regular discussions on risk with the Audit Committee, the Human Capital Committee, and the Board.</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CYBERSECURITY</w:t>
      </w:r>
    </w:p>
    <w:p>
      <w:pPr>
        <w:spacing w:after="0" w:line="137" w:lineRule="exact"/>
        <w:rPr>
          <w:sz w:val="20"/>
          <w:szCs w:val="20"/>
          <w:color w:val="auto"/>
        </w:rPr>
      </w:pPr>
    </w:p>
    <w:p>
      <w:pPr>
        <w:ind w:left="840" w:right="999"/>
        <w:spacing w:after="0" w:line="268" w:lineRule="auto"/>
        <w:rPr>
          <w:sz w:val="20"/>
          <w:szCs w:val="20"/>
          <w:color w:val="auto"/>
        </w:rPr>
      </w:pPr>
      <w:r>
        <w:rPr>
          <w:rFonts w:ascii="Arial" w:cs="Arial" w:eastAsia="Arial" w:hAnsi="Arial"/>
          <w:sz w:val="11"/>
          <w:szCs w:val="11"/>
          <w:color w:val="auto"/>
        </w:rPr>
        <w:t>We are subject to technology risks, including failures, security breaches, and cybersecurity risks, that could harm our business, damage our reputation, and increase our costs in an effort to protect against such risks. Our cybersecurity program includes the following elements:</w:t>
      </w:r>
    </w:p>
    <w:p>
      <w:pPr>
        <w:spacing w:after="0" w:line="106" w:lineRule="exact"/>
        <w:rPr>
          <w:sz w:val="20"/>
          <w:szCs w:val="20"/>
          <w:color w:val="auto"/>
        </w:rPr>
      </w:pPr>
    </w:p>
    <w:tbl>
      <w:tblPr>
        <w:tblLayout w:type="fixed"/>
        <w:tblInd w:w="840" w:type="dxa"/>
        <w:tblCellMar>
          <w:top w:w="0" w:type="dxa"/>
          <w:left w:w="0" w:type="dxa"/>
          <w:bottom w:w="0" w:type="dxa"/>
          <w:right w:w="0" w:type="dxa"/>
        </w:tblCellMar>
      </w:tblPr>
      <w:tr>
        <w:trPr>
          <w:trHeight w:val="131"/>
        </w:trPr>
        <w:tc>
          <w:tcPr>
            <w:tcW w:w="2440" w:type="dxa"/>
            <w:vAlign w:val="bottom"/>
          </w:tcPr>
          <w:p>
            <w:pPr>
              <w:spacing w:after="0"/>
              <w:rPr>
                <w:sz w:val="20"/>
                <w:szCs w:val="20"/>
                <w:color w:val="auto"/>
              </w:rPr>
            </w:pPr>
            <w:r>
              <w:rPr>
                <w:rFonts w:ascii="Arial" w:cs="Arial" w:eastAsia="Arial" w:hAnsi="Arial"/>
                <w:sz w:val="10"/>
                <w:szCs w:val="10"/>
                <w:b w:val="1"/>
                <w:bCs w:val="1"/>
                <w:color w:val="auto"/>
              </w:rPr>
              <w:t>Element</w:t>
            </w:r>
          </w:p>
        </w:tc>
        <w:tc>
          <w:tcPr>
            <w:tcW w:w="4900" w:type="dxa"/>
            <w:vAlign w:val="bottom"/>
          </w:tcPr>
          <w:p>
            <w:pPr>
              <w:ind w:left="360"/>
              <w:spacing w:after="0"/>
              <w:rPr>
                <w:sz w:val="20"/>
                <w:szCs w:val="20"/>
                <w:color w:val="auto"/>
              </w:rPr>
            </w:pPr>
            <w:r>
              <w:rPr>
                <w:rFonts w:ascii="Arial" w:cs="Arial" w:eastAsia="Arial" w:hAnsi="Arial"/>
                <w:sz w:val="10"/>
                <w:szCs w:val="10"/>
                <w:b w:val="1"/>
                <w:bCs w:val="1"/>
                <w:color w:val="auto"/>
              </w:rPr>
              <w:t>Strategy</w:t>
            </w:r>
          </w:p>
        </w:tc>
      </w:tr>
      <w:tr>
        <w:trPr>
          <w:trHeight w:val="38"/>
        </w:trPr>
        <w:tc>
          <w:tcPr>
            <w:tcW w:w="2440" w:type="dxa"/>
            <w:vAlign w:val="bottom"/>
            <w:tcBorders>
              <w:bottom w:val="single" w:sz="8" w:color="D60011"/>
            </w:tcBorders>
          </w:tcPr>
          <w:p>
            <w:pPr>
              <w:spacing w:after="0"/>
              <w:rPr>
                <w:sz w:val="3"/>
                <w:szCs w:val="3"/>
                <w:color w:val="auto"/>
              </w:rPr>
            </w:pPr>
          </w:p>
        </w:tc>
        <w:tc>
          <w:tcPr>
            <w:tcW w:w="4900" w:type="dxa"/>
            <w:vAlign w:val="bottom"/>
            <w:tcBorders>
              <w:bottom w:val="single" w:sz="8" w:color="D60011"/>
            </w:tcBorders>
          </w:tcPr>
          <w:p>
            <w:pPr>
              <w:spacing w:after="0"/>
              <w:rPr>
                <w:sz w:val="3"/>
                <w:szCs w:val="3"/>
                <w:color w:val="auto"/>
              </w:rPr>
            </w:pPr>
          </w:p>
        </w:tc>
      </w:tr>
      <w:tr>
        <w:trPr>
          <w:trHeight w:val="182"/>
        </w:trPr>
        <w:tc>
          <w:tcPr>
            <w:tcW w:w="2440" w:type="dxa"/>
            <w:vAlign w:val="bottom"/>
          </w:tcPr>
          <w:p>
            <w:pPr>
              <w:spacing w:after="0"/>
              <w:rPr>
                <w:sz w:val="20"/>
                <w:szCs w:val="20"/>
                <w:color w:val="auto"/>
              </w:rPr>
            </w:pPr>
            <w:r>
              <w:rPr>
                <w:rFonts w:ascii="Arial" w:cs="Arial" w:eastAsia="Arial" w:hAnsi="Arial"/>
                <w:sz w:val="11"/>
                <w:szCs w:val="11"/>
                <w:b w:val="1"/>
                <w:bCs w:val="1"/>
                <w:color w:val="D60011"/>
              </w:rPr>
              <w:t>Technology</w:t>
            </w:r>
          </w:p>
        </w:tc>
        <w:tc>
          <w:tcPr>
            <w:tcW w:w="4900" w:type="dxa"/>
            <w:vAlign w:val="bottom"/>
          </w:tcPr>
          <w:p>
            <w:pPr>
              <w:ind w:left="360"/>
              <w:spacing w:after="0"/>
              <w:rPr>
                <w:sz w:val="20"/>
                <w:szCs w:val="20"/>
                <w:color w:val="auto"/>
              </w:rPr>
            </w:pPr>
            <w:r>
              <w:rPr>
                <w:rFonts w:ascii="Arial" w:cs="Arial" w:eastAsia="Arial" w:hAnsi="Arial"/>
                <w:sz w:val="11"/>
                <w:szCs w:val="11"/>
                <w:color w:val="auto"/>
              </w:rPr>
              <w:t>We employ a layered “defense, detect, and respond” strategy.</w:t>
            </w:r>
          </w:p>
        </w:tc>
      </w:tr>
      <w:tr>
        <w:trPr>
          <w:trHeight w:val="41"/>
        </w:trPr>
        <w:tc>
          <w:tcPr>
            <w:tcW w:w="2440" w:type="dxa"/>
            <w:vAlign w:val="bottom"/>
            <w:tcBorders>
              <w:bottom w:val="single" w:sz="8" w:color="C0C0C0"/>
            </w:tcBorders>
          </w:tcPr>
          <w:p>
            <w:pPr>
              <w:spacing w:after="0"/>
              <w:rPr>
                <w:sz w:val="3"/>
                <w:szCs w:val="3"/>
                <w:color w:val="auto"/>
              </w:rPr>
            </w:pPr>
          </w:p>
        </w:tc>
        <w:tc>
          <w:tcPr>
            <w:tcW w:w="4900" w:type="dxa"/>
            <w:vAlign w:val="bottom"/>
            <w:tcBorders>
              <w:bottom w:val="single" w:sz="8" w:color="C0C0C0"/>
            </w:tcBorders>
          </w:tcPr>
          <w:p>
            <w:pPr>
              <w:spacing w:after="0"/>
              <w:rPr>
                <w:sz w:val="3"/>
                <w:szCs w:val="3"/>
                <w:color w:val="auto"/>
              </w:rPr>
            </w:pPr>
          </w:p>
        </w:tc>
      </w:tr>
      <w:tr>
        <w:trPr>
          <w:trHeight w:val="160"/>
        </w:trPr>
        <w:tc>
          <w:tcPr>
            <w:tcW w:w="2440" w:type="dxa"/>
            <w:vAlign w:val="bottom"/>
          </w:tcPr>
          <w:p>
            <w:pPr>
              <w:spacing w:after="0"/>
              <w:rPr>
                <w:sz w:val="20"/>
                <w:szCs w:val="20"/>
                <w:color w:val="auto"/>
              </w:rPr>
            </w:pPr>
            <w:r>
              <w:rPr>
                <w:rFonts w:ascii="Arial" w:cs="Arial" w:eastAsia="Arial" w:hAnsi="Arial"/>
                <w:sz w:val="11"/>
                <w:szCs w:val="11"/>
                <w:b w:val="1"/>
                <w:bCs w:val="1"/>
                <w:color w:val="D60011"/>
              </w:rPr>
              <w:t>Benchmarking and External Engagement</w:t>
            </w:r>
          </w:p>
        </w:tc>
        <w:tc>
          <w:tcPr>
            <w:tcW w:w="4900" w:type="dxa"/>
            <w:vAlign w:val="bottom"/>
          </w:tcPr>
          <w:p>
            <w:pPr>
              <w:ind w:left="360"/>
              <w:spacing w:after="0"/>
              <w:rPr>
                <w:sz w:val="20"/>
                <w:szCs w:val="20"/>
                <w:color w:val="auto"/>
              </w:rPr>
            </w:pPr>
            <w:r>
              <w:rPr>
                <w:rFonts w:ascii="Arial" w:cs="Arial" w:eastAsia="Arial" w:hAnsi="Arial"/>
                <w:sz w:val="11"/>
                <w:szCs w:val="11"/>
                <w:color w:val="auto"/>
              </w:rPr>
              <w:t>We benchmark our security practices against other organizations and are active in the</w:t>
            </w:r>
          </w:p>
        </w:tc>
      </w:tr>
      <w:tr>
        <w:trPr>
          <w:trHeight w:val="142"/>
        </w:trPr>
        <w:tc>
          <w:tcPr>
            <w:tcW w:w="2440" w:type="dxa"/>
            <w:vAlign w:val="bottom"/>
          </w:tcPr>
          <w:p>
            <w:pPr>
              <w:spacing w:after="0"/>
              <w:rPr>
                <w:sz w:val="12"/>
                <w:szCs w:val="12"/>
                <w:color w:val="auto"/>
              </w:rPr>
            </w:pPr>
          </w:p>
        </w:tc>
        <w:tc>
          <w:tcPr>
            <w:tcW w:w="4900" w:type="dxa"/>
            <w:vAlign w:val="bottom"/>
          </w:tcPr>
          <w:p>
            <w:pPr>
              <w:ind w:left="360"/>
              <w:spacing w:after="0"/>
              <w:rPr>
                <w:sz w:val="20"/>
                <w:szCs w:val="20"/>
                <w:color w:val="auto"/>
              </w:rPr>
            </w:pPr>
            <w:r>
              <w:rPr>
                <w:rFonts w:ascii="Arial" w:cs="Arial" w:eastAsia="Arial" w:hAnsi="Arial"/>
                <w:sz w:val="11"/>
                <w:szCs w:val="11"/>
                <w:color w:val="auto"/>
              </w:rPr>
              <w:t>information security community.</w:t>
            </w:r>
          </w:p>
        </w:tc>
      </w:tr>
      <w:tr>
        <w:trPr>
          <w:trHeight w:val="47"/>
        </w:trPr>
        <w:tc>
          <w:tcPr>
            <w:tcW w:w="2440" w:type="dxa"/>
            <w:vAlign w:val="bottom"/>
            <w:tcBorders>
              <w:bottom w:val="single" w:sz="8" w:color="C0C0C0"/>
            </w:tcBorders>
          </w:tcPr>
          <w:p>
            <w:pPr>
              <w:spacing w:after="0"/>
              <w:rPr>
                <w:sz w:val="4"/>
                <w:szCs w:val="4"/>
                <w:color w:val="auto"/>
              </w:rPr>
            </w:pPr>
          </w:p>
        </w:tc>
        <w:tc>
          <w:tcPr>
            <w:tcW w:w="4900" w:type="dxa"/>
            <w:vAlign w:val="bottom"/>
            <w:tcBorders>
              <w:bottom w:val="single" w:sz="8" w:color="C0C0C0"/>
            </w:tcBorders>
          </w:tcPr>
          <w:p>
            <w:pPr>
              <w:spacing w:after="0"/>
              <w:rPr>
                <w:sz w:val="4"/>
                <w:szCs w:val="4"/>
                <w:color w:val="auto"/>
              </w:rPr>
            </w:pPr>
          </w:p>
        </w:tc>
      </w:tr>
      <w:tr>
        <w:trPr>
          <w:trHeight w:val="160"/>
        </w:trPr>
        <w:tc>
          <w:tcPr>
            <w:tcW w:w="2440" w:type="dxa"/>
            <w:vAlign w:val="bottom"/>
          </w:tcPr>
          <w:p>
            <w:pPr>
              <w:spacing w:after="0"/>
              <w:rPr>
                <w:sz w:val="20"/>
                <w:szCs w:val="20"/>
                <w:color w:val="auto"/>
              </w:rPr>
            </w:pPr>
            <w:r>
              <w:rPr>
                <w:rFonts w:ascii="Arial" w:cs="Arial" w:eastAsia="Arial" w:hAnsi="Arial"/>
                <w:sz w:val="11"/>
                <w:szCs w:val="11"/>
                <w:b w:val="1"/>
                <w:bCs w:val="1"/>
                <w:color w:val="D60011"/>
              </w:rPr>
              <w:t>Third-Party Assessments</w:t>
            </w:r>
          </w:p>
        </w:tc>
        <w:tc>
          <w:tcPr>
            <w:tcW w:w="4900" w:type="dxa"/>
            <w:vAlign w:val="bottom"/>
          </w:tcPr>
          <w:p>
            <w:pPr>
              <w:ind w:left="360"/>
              <w:spacing w:after="0"/>
              <w:rPr>
                <w:sz w:val="20"/>
                <w:szCs w:val="20"/>
                <w:color w:val="auto"/>
              </w:rPr>
            </w:pPr>
            <w:r>
              <w:rPr>
                <w:rFonts w:ascii="Arial" w:cs="Arial" w:eastAsia="Arial" w:hAnsi="Arial"/>
                <w:sz w:val="11"/>
                <w:szCs w:val="11"/>
                <w:color w:val="auto"/>
              </w:rPr>
              <w:t>We engage a range of outside experts to regularly assess our organizational security</w:t>
            </w:r>
          </w:p>
        </w:tc>
      </w:tr>
      <w:tr>
        <w:trPr>
          <w:trHeight w:val="142"/>
        </w:trPr>
        <w:tc>
          <w:tcPr>
            <w:tcW w:w="2440" w:type="dxa"/>
            <w:vAlign w:val="bottom"/>
          </w:tcPr>
          <w:p>
            <w:pPr>
              <w:spacing w:after="0"/>
              <w:rPr>
                <w:sz w:val="12"/>
                <w:szCs w:val="12"/>
                <w:color w:val="auto"/>
              </w:rPr>
            </w:pPr>
          </w:p>
        </w:tc>
        <w:tc>
          <w:tcPr>
            <w:tcW w:w="4900" w:type="dxa"/>
            <w:vAlign w:val="bottom"/>
          </w:tcPr>
          <w:p>
            <w:pPr>
              <w:ind w:left="360"/>
              <w:spacing w:after="0"/>
              <w:rPr>
                <w:sz w:val="20"/>
                <w:szCs w:val="20"/>
                <w:color w:val="auto"/>
              </w:rPr>
            </w:pPr>
            <w:r>
              <w:rPr>
                <w:rFonts w:ascii="Arial" w:cs="Arial" w:eastAsia="Arial" w:hAnsi="Arial"/>
                <w:sz w:val="11"/>
                <w:szCs w:val="11"/>
                <w:color w:val="auto"/>
              </w:rPr>
              <w:t>programs, processes, and capabilities.</w:t>
            </w:r>
          </w:p>
        </w:tc>
      </w:tr>
      <w:tr>
        <w:trPr>
          <w:trHeight w:val="47"/>
        </w:trPr>
        <w:tc>
          <w:tcPr>
            <w:tcW w:w="2440" w:type="dxa"/>
            <w:vAlign w:val="bottom"/>
            <w:tcBorders>
              <w:bottom w:val="single" w:sz="8" w:color="C0C0C0"/>
            </w:tcBorders>
          </w:tcPr>
          <w:p>
            <w:pPr>
              <w:spacing w:after="0"/>
              <w:rPr>
                <w:sz w:val="4"/>
                <w:szCs w:val="4"/>
                <w:color w:val="auto"/>
              </w:rPr>
            </w:pPr>
          </w:p>
        </w:tc>
        <w:tc>
          <w:tcPr>
            <w:tcW w:w="4900" w:type="dxa"/>
            <w:vAlign w:val="bottom"/>
            <w:tcBorders>
              <w:bottom w:val="single" w:sz="8" w:color="C0C0C0"/>
            </w:tcBorders>
          </w:tcPr>
          <w:p>
            <w:pPr>
              <w:spacing w:after="0"/>
              <w:rPr>
                <w:sz w:val="4"/>
                <w:szCs w:val="4"/>
                <w:color w:val="auto"/>
              </w:rPr>
            </w:pPr>
          </w:p>
        </w:tc>
      </w:tr>
      <w:tr>
        <w:trPr>
          <w:trHeight w:val="160"/>
        </w:trPr>
        <w:tc>
          <w:tcPr>
            <w:tcW w:w="2440" w:type="dxa"/>
            <w:vAlign w:val="bottom"/>
          </w:tcPr>
          <w:p>
            <w:pPr>
              <w:spacing w:after="0"/>
              <w:rPr>
                <w:sz w:val="20"/>
                <w:szCs w:val="20"/>
                <w:color w:val="auto"/>
              </w:rPr>
            </w:pPr>
            <w:r>
              <w:rPr>
                <w:rFonts w:ascii="Arial" w:cs="Arial" w:eastAsia="Arial" w:hAnsi="Arial"/>
                <w:sz w:val="11"/>
                <w:szCs w:val="11"/>
                <w:b w:val="1"/>
                <w:bCs w:val="1"/>
                <w:color w:val="D60011"/>
              </w:rPr>
              <w:t>Internal Assessments</w:t>
            </w:r>
          </w:p>
        </w:tc>
        <w:tc>
          <w:tcPr>
            <w:tcW w:w="4900" w:type="dxa"/>
            <w:vAlign w:val="bottom"/>
          </w:tcPr>
          <w:p>
            <w:pPr>
              <w:ind w:left="360"/>
              <w:spacing w:after="0"/>
              <w:rPr>
                <w:sz w:val="20"/>
                <w:szCs w:val="20"/>
                <w:color w:val="auto"/>
              </w:rPr>
            </w:pPr>
            <w:r>
              <w:rPr>
                <w:rFonts w:ascii="Arial" w:cs="Arial" w:eastAsia="Arial" w:hAnsi="Arial"/>
                <w:sz w:val="11"/>
                <w:szCs w:val="11"/>
                <w:color w:val="auto"/>
              </w:rPr>
              <w:t>We regularly test and improve our information systems through security risk and compliance</w:t>
            </w:r>
          </w:p>
        </w:tc>
      </w:tr>
      <w:tr>
        <w:trPr>
          <w:trHeight w:val="142"/>
        </w:trPr>
        <w:tc>
          <w:tcPr>
            <w:tcW w:w="2440" w:type="dxa"/>
            <w:vAlign w:val="bottom"/>
          </w:tcPr>
          <w:p>
            <w:pPr>
              <w:spacing w:after="0"/>
              <w:rPr>
                <w:sz w:val="12"/>
                <w:szCs w:val="12"/>
                <w:color w:val="auto"/>
              </w:rPr>
            </w:pPr>
          </w:p>
        </w:tc>
        <w:tc>
          <w:tcPr>
            <w:tcW w:w="4900" w:type="dxa"/>
            <w:vAlign w:val="bottom"/>
          </w:tcPr>
          <w:p>
            <w:pPr>
              <w:ind w:left="360"/>
              <w:spacing w:after="0"/>
              <w:rPr>
                <w:sz w:val="20"/>
                <w:szCs w:val="20"/>
                <w:color w:val="auto"/>
              </w:rPr>
            </w:pPr>
            <w:r>
              <w:rPr>
                <w:rFonts w:ascii="Arial" w:cs="Arial" w:eastAsia="Arial" w:hAnsi="Arial"/>
                <w:sz w:val="11"/>
                <w:szCs w:val="11"/>
                <w:color w:val="auto"/>
              </w:rPr>
              <w:t>review, user access campaigns, and other strategies.</w:t>
            </w:r>
          </w:p>
        </w:tc>
      </w:tr>
      <w:tr>
        <w:trPr>
          <w:trHeight w:val="47"/>
        </w:trPr>
        <w:tc>
          <w:tcPr>
            <w:tcW w:w="2440" w:type="dxa"/>
            <w:vAlign w:val="bottom"/>
            <w:tcBorders>
              <w:bottom w:val="single" w:sz="8" w:color="D60011"/>
            </w:tcBorders>
          </w:tcPr>
          <w:p>
            <w:pPr>
              <w:spacing w:after="0"/>
              <w:rPr>
                <w:sz w:val="4"/>
                <w:szCs w:val="4"/>
                <w:color w:val="auto"/>
              </w:rPr>
            </w:pPr>
          </w:p>
        </w:tc>
        <w:tc>
          <w:tcPr>
            <w:tcW w:w="4900" w:type="dxa"/>
            <w:vAlign w:val="bottom"/>
            <w:tcBorders>
              <w:bottom w:val="single" w:sz="8" w:color="D60011"/>
            </w:tcBorders>
          </w:tcPr>
          <w:p>
            <w:pPr>
              <w:spacing w:after="0"/>
              <w:rPr>
                <w:sz w:val="4"/>
                <w:szCs w:val="4"/>
                <w:color w:val="auto"/>
              </w:rPr>
            </w:pPr>
          </w:p>
        </w:tc>
      </w:tr>
    </w:tbl>
    <w:p>
      <w:pPr>
        <w:spacing w:after="0" w:line="11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PRIVACY</w:t>
      </w:r>
    </w:p>
    <w:p>
      <w:pPr>
        <w:spacing w:after="0" w:line="146" w:lineRule="exact"/>
        <w:rPr>
          <w:sz w:val="20"/>
          <w:szCs w:val="20"/>
          <w:color w:val="auto"/>
        </w:rPr>
      </w:pPr>
    </w:p>
    <w:p>
      <w:pPr>
        <w:ind w:left="840" w:right="859"/>
        <w:spacing w:after="0" w:line="276" w:lineRule="auto"/>
        <w:rPr>
          <w:sz w:val="20"/>
          <w:szCs w:val="20"/>
          <w:color w:val="auto"/>
        </w:rPr>
      </w:pPr>
      <w:r>
        <w:rPr>
          <w:rFonts w:ascii="Arial" w:cs="Arial" w:eastAsia="Arial" w:hAnsi="Arial"/>
          <w:sz w:val="10"/>
          <w:szCs w:val="10"/>
          <w:color w:val="auto"/>
        </w:rPr>
        <w:t>Our Privacy Policies and Privacy Statements govern our treatment of customer data. Our policies provide explanations of the types of customer personal information we collect, how we use and share that information, and the measures we take to protect the security of that information. Our policies provide multiple points of contact through which our customers may initiate inquiries, requests, and raise concerns to us regarding our collection, sharing, and use of their personal data. Our privacy policies and practices in the European Union were updated in 2018 in response to the GDPR requirements. Similarly, our privacy statements and practices in the United States were updated in response to CCPA, which came into force in January 2020.</w:t>
      </w:r>
    </w:p>
    <w:p>
      <w:pPr>
        <w:spacing w:after="0" w:line="99" w:lineRule="exact"/>
        <w:rPr>
          <w:sz w:val="20"/>
          <w:szCs w:val="20"/>
          <w:color w:val="auto"/>
        </w:rPr>
      </w:pPr>
    </w:p>
    <w:p>
      <w:pPr>
        <w:ind w:left="1520" w:hanging="388"/>
        <w:spacing w:after="0"/>
        <w:tabs>
          <w:tab w:leader="none" w:pos="1520" w:val="left"/>
        </w:tabs>
        <w:numPr>
          <w:ilvl w:val="0"/>
          <w:numId w:val="55"/>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242570</wp:posOffset>
            </wp:positionV>
            <wp:extent cx="71780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74" w:right="1440" w:bottom="1440" w:gutter="0" w:footer="0" w:header="0"/>
        </w:sectPr>
      </w:pPr>
    </w:p>
    <w:bookmarkStart w:id="42" w:name="page43"/>
    <w:bookmarkEnd w:id="42"/>
    <w:p>
      <w:pPr>
        <w:jc w:val="right"/>
        <w:ind w:right="1980"/>
        <w:spacing w:after="0"/>
        <w:rPr>
          <w:sz w:val="20"/>
          <w:szCs w:val="20"/>
          <w:color w:val="auto"/>
        </w:rPr>
      </w:pPr>
      <w:r>
        <w:rPr>
          <w:rFonts w:ascii="Arial" w:cs="Arial" w:eastAsia="Arial" w:hAnsi="Arial"/>
          <w:sz w:val="10"/>
          <w:szCs w:val="10"/>
          <w:b w:val="1"/>
          <w:bCs w:val="1"/>
          <w:color w:val="D60011"/>
        </w:rPr>
        <w:t>GOVERNANCE</w:t>
      </w:r>
    </w:p>
    <w:p>
      <w:pPr>
        <w:spacing w:after="0" w:line="116"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CODE OF BUSINESS CONDUCT</w:t>
      </w:r>
    </w:p>
    <w:p>
      <w:pPr>
        <w:spacing w:after="0" w:line="136" w:lineRule="exact"/>
        <w:rPr>
          <w:sz w:val="20"/>
          <w:szCs w:val="20"/>
          <w:color w:val="auto"/>
        </w:rPr>
      </w:pPr>
    </w:p>
    <w:p>
      <w:pPr>
        <w:ind w:left="1980" w:right="2040"/>
        <w:spacing w:after="0" w:line="252" w:lineRule="auto"/>
        <w:rPr>
          <w:sz w:val="20"/>
          <w:szCs w:val="20"/>
          <w:color w:val="auto"/>
        </w:rPr>
      </w:pPr>
      <w:r>
        <w:rPr>
          <w:rFonts w:ascii="Arial" w:cs="Arial" w:eastAsia="Arial" w:hAnsi="Arial"/>
          <w:sz w:val="11"/>
          <w:szCs w:val="11"/>
          <w:color w:val="auto"/>
        </w:rPr>
        <w:t xml:space="preserve">The Company has adopted a Code of Business Conduct applicable to directors, officers, and all other team members. The Company periodically reviews the Code of Business Conduct and revises it, as appropriate. Any waivers of the Code of Business Conduct for directors and officers must be approved by the Audit Committee. The Code of Business Conduct is available at </w:t>
      </w:r>
      <w:r>
        <w:rPr>
          <w:rFonts w:ascii="Arial" w:cs="Arial" w:eastAsia="Arial" w:hAnsi="Arial"/>
          <w:sz w:val="11"/>
          <w:szCs w:val="11"/>
          <w:b w:val="1"/>
          <w:bCs w:val="1"/>
          <w:color w:val="D60011"/>
        </w:rPr>
        <w:t>investors.footlocker-inc.com/cobc</w:t>
      </w:r>
      <w:r>
        <w:rPr>
          <w:rFonts w:ascii="Arial" w:cs="Arial" w:eastAsia="Arial" w:hAnsi="Arial"/>
          <w:sz w:val="11"/>
          <w:szCs w:val="11"/>
          <w:color w:val="auto"/>
        </w:rPr>
        <w:t xml:space="preserve">, and all current waivers for directors and officers are available at </w:t>
      </w:r>
      <w:r>
        <w:rPr>
          <w:rFonts w:ascii="Arial" w:cs="Arial" w:eastAsia="Arial" w:hAnsi="Arial"/>
          <w:sz w:val="11"/>
          <w:szCs w:val="11"/>
          <w:b w:val="1"/>
          <w:bCs w:val="1"/>
          <w:color w:val="D60011"/>
        </w:rPr>
        <w:t>investors.footlocker-inc.com/cobcwaivers</w:t>
      </w:r>
      <w:r>
        <w:rPr>
          <w:rFonts w:ascii="Arial" w:cs="Arial" w:eastAsia="Arial" w:hAnsi="Arial"/>
          <w:sz w:val="11"/>
          <w:szCs w:val="11"/>
          <w:color w:val="auto"/>
        </w:rPr>
        <w:t>.</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GLOBAL SOURCING GUIDELINES</w:t>
      </w:r>
    </w:p>
    <w:p>
      <w:pPr>
        <w:spacing w:after="0" w:line="136" w:lineRule="exact"/>
        <w:rPr>
          <w:sz w:val="20"/>
          <w:szCs w:val="20"/>
          <w:color w:val="auto"/>
        </w:rPr>
      </w:pPr>
    </w:p>
    <w:p>
      <w:pPr>
        <w:ind w:left="1980" w:right="2160"/>
        <w:spacing w:after="0" w:line="248" w:lineRule="auto"/>
        <w:rPr>
          <w:sz w:val="20"/>
          <w:szCs w:val="20"/>
          <w:color w:val="auto"/>
        </w:rPr>
      </w:pPr>
      <w:r>
        <w:rPr>
          <w:rFonts w:ascii="Arial" w:cs="Arial" w:eastAsia="Arial" w:hAnsi="Arial"/>
          <w:sz w:val="11"/>
          <w:szCs w:val="11"/>
          <w:color w:val="auto"/>
        </w:rPr>
        <w:t>Without a sound commitment to human rights and implementation through due diligence, jobs can be precarious, compensation can be below a living wage, and individuals can be subjected to modern day slavery, among a range of other potential impacts. Therefore, as part of our ESG program, we have policies, processes, and practices in place to systematize our human rights approach and how we respond to serious allegations. This is a public good for all stakeholders.</w:t>
      </w:r>
    </w:p>
    <w:p>
      <w:pPr>
        <w:spacing w:after="0" w:line="107" w:lineRule="exact"/>
        <w:rPr>
          <w:sz w:val="20"/>
          <w:szCs w:val="20"/>
          <w:color w:val="auto"/>
        </w:rPr>
      </w:pPr>
    </w:p>
    <w:p>
      <w:pPr>
        <w:ind w:left="1980" w:right="2000"/>
        <w:spacing w:after="0" w:line="243" w:lineRule="auto"/>
        <w:rPr>
          <w:sz w:val="20"/>
          <w:szCs w:val="20"/>
          <w:color w:val="auto"/>
        </w:rPr>
      </w:pPr>
      <w:r>
        <w:rPr>
          <w:rFonts w:ascii="Arial" w:cs="Arial" w:eastAsia="Arial" w:hAnsi="Arial"/>
          <w:sz w:val="11"/>
          <w:szCs w:val="11"/>
          <w:color w:val="auto"/>
        </w:rPr>
        <w:t>Our Global Sourcing Guidelines require all of our suppliers to respect certain employment standards that we believe should be universal, notwithstanding more relaxed standards (if any) imposed by law. In the selection of our suppliers, we work hard to choose reputable business partners who are committed to our ethical standards and business practices. The Global Sourcing Guidelines are distributed annually to each of our suppliers and each supplier agrees that, by accepting orders from us, it will abide by and implement its terms and require the same from each of its subcontractors. Each of our suppliers acknowledges that its failure to honor these guidelines will compel us to reevaluate, and possibly terminate, our business relationship with them. The Global Sourcing Guidelines are an integral part of our purchase agreements with suppliers, and to assure conformity with the Global Sourcing Guidelines, we reserve the right to make periodic, unannounced inspections of their facilities, and suppliers agree to maintain and provide upon request all documentation necessary to demonstrate compliance.</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Our Global Sourcing Guidelines provide the following:</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31"/>
        </w:trPr>
        <w:tc>
          <w:tcPr>
            <w:tcW w:w="1520" w:type="dxa"/>
            <w:vAlign w:val="bottom"/>
          </w:tcPr>
          <w:p>
            <w:pPr>
              <w:spacing w:after="0"/>
              <w:rPr>
                <w:sz w:val="20"/>
                <w:szCs w:val="20"/>
                <w:color w:val="auto"/>
              </w:rPr>
            </w:pPr>
            <w:r>
              <w:rPr>
                <w:rFonts w:ascii="Arial" w:cs="Arial" w:eastAsia="Arial" w:hAnsi="Arial"/>
                <w:sz w:val="10"/>
                <w:szCs w:val="10"/>
                <w:b w:val="1"/>
                <w:bCs w:val="1"/>
                <w:color w:val="auto"/>
              </w:rPr>
              <w:t>Standard</w:t>
            </w:r>
          </w:p>
        </w:tc>
        <w:tc>
          <w:tcPr>
            <w:tcW w:w="5820" w:type="dxa"/>
            <w:vAlign w:val="bottom"/>
          </w:tcPr>
          <w:p>
            <w:pPr>
              <w:ind w:left="300"/>
              <w:spacing w:after="0"/>
              <w:rPr>
                <w:sz w:val="20"/>
                <w:szCs w:val="20"/>
                <w:color w:val="auto"/>
              </w:rPr>
            </w:pPr>
            <w:r>
              <w:rPr>
                <w:rFonts w:ascii="Arial" w:cs="Arial" w:eastAsia="Arial" w:hAnsi="Arial"/>
                <w:sz w:val="10"/>
                <w:szCs w:val="10"/>
                <w:b w:val="1"/>
                <w:bCs w:val="1"/>
                <w:color w:val="auto"/>
              </w:rPr>
              <w:t>Policy</w:t>
            </w:r>
          </w:p>
        </w:tc>
      </w:tr>
      <w:tr>
        <w:trPr>
          <w:trHeight w:val="38"/>
        </w:trPr>
        <w:tc>
          <w:tcPr>
            <w:tcW w:w="1520" w:type="dxa"/>
            <w:vAlign w:val="bottom"/>
            <w:tcBorders>
              <w:bottom w:val="single" w:sz="8" w:color="D61100"/>
            </w:tcBorders>
          </w:tcPr>
          <w:p>
            <w:pPr>
              <w:spacing w:after="0"/>
              <w:rPr>
                <w:sz w:val="3"/>
                <w:szCs w:val="3"/>
                <w:color w:val="auto"/>
              </w:rPr>
            </w:pPr>
          </w:p>
        </w:tc>
        <w:tc>
          <w:tcPr>
            <w:tcW w:w="5820" w:type="dxa"/>
            <w:vAlign w:val="bottom"/>
            <w:tcBorders>
              <w:bottom w:val="single" w:sz="8" w:color="D61100"/>
            </w:tcBorders>
          </w:tcPr>
          <w:p>
            <w:pPr>
              <w:spacing w:after="0"/>
              <w:rPr>
                <w:sz w:val="3"/>
                <w:szCs w:val="3"/>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Employment</w:t>
            </w:r>
          </w:p>
        </w:tc>
        <w:tc>
          <w:tcPr>
            <w:tcW w:w="5820" w:type="dxa"/>
            <w:vAlign w:val="bottom"/>
          </w:tcPr>
          <w:p>
            <w:pPr>
              <w:ind w:left="300"/>
              <w:spacing w:after="0"/>
              <w:rPr>
                <w:sz w:val="20"/>
                <w:szCs w:val="20"/>
                <w:color w:val="auto"/>
              </w:rPr>
            </w:pPr>
            <w:r>
              <w:rPr>
                <w:rFonts w:ascii="Arial" w:cs="Arial" w:eastAsia="Arial" w:hAnsi="Arial"/>
                <w:sz w:val="11"/>
                <w:szCs w:val="11"/>
                <w:color w:val="auto"/>
              </w:rPr>
              <w:t>We will only do business with suppliers whose workers are, in all cases, present voluntarily, compensated fairly,</w:t>
            </w:r>
          </w:p>
        </w:tc>
      </w:tr>
      <w:tr>
        <w:trPr>
          <w:trHeight w:val="126"/>
        </w:trPr>
        <w:tc>
          <w:tcPr>
            <w:tcW w:w="1520" w:type="dxa"/>
            <w:vAlign w:val="bottom"/>
          </w:tcPr>
          <w:p>
            <w:pPr>
              <w:spacing w:after="0"/>
              <w:rPr>
                <w:sz w:val="10"/>
                <w:szCs w:val="10"/>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allowed the right of free association, and who are not put at risk of physical harm, discriminated against, or</w:t>
            </w:r>
          </w:p>
        </w:tc>
      </w:tr>
      <w:tr>
        <w:trPr>
          <w:trHeight w:val="126"/>
        </w:trPr>
        <w:tc>
          <w:tcPr>
            <w:tcW w:w="1520" w:type="dxa"/>
            <w:vAlign w:val="bottom"/>
          </w:tcPr>
          <w:p>
            <w:pPr>
              <w:spacing w:after="0"/>
              <w:rPr>
                <w:sz w:val="10"/>
                <w:szCs w:val="10"/>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w w:val="98"/>
              </w:rPr>
              <w:t>exploited in any way. For additional information regarding our commitment to human rights, see our Global Human</w:t>
            </w:r>
          </w:p>
        </w:tc>
      </w:tr>
      <w:tr>
        <w:trPr>
          <w:trHeight w:val="148"/>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 xml:space="preserve">Rights Statement available at </w:t>
            </w:r>
            <w:r>
              <w:rPr>
                <w:rFonts w:ascii="Arial" w:cs="Arial" w:eastAsia="Arial" w:hAnsi="Arial"/>
                <w:sz w:val="11"/>
                <w:szCs w:val="11"/>
                <w:b w:val="1"/>
                <w:bCs w:val="1"/>
                <w:color w:val="D60011"/>
              </w:rPr>
              <w:t>investors.footlocker-inc.com/humanrights</w:t>
            </w:r>
            <w:r>
              <w:rPr>
                <w:rFonts w:ascii="Arial" w:cs="Arial" w:eastAsia="Arial" w:hAnsi="Arial"/>
                <w:sz w:val="11"/>
                <w:szCs w:val="11"/>
                <w:color w:val="auto"/>
              </w:rPr>
              <w:t>.</w:t>
            </w:r>
          </w:p>
        </w:tc>
      </w:tr>
      <w:tr>
        <w:trPr>
          <w:trHeight w:val="41"/>
        </w:trPr>
        <w:tc>
          <w:tcPr>
            <w:tcW w:w="1520" w:type="dxa"/>
            <w:vAlign w:val="bottom"/>
            <w:tcBorders>
              <w:bottom w:val="single" w:sz="8" w:color="C0C0C0"/>
            </w:tcBorders>
          </w:tcPr>
          <w:p>
            <w:pPr>
              <w:spacing w:after="0"/>
              <w:rPr>
                <w:sz w:val="3"/>
                <w:szCs w:val="3"/>
                <w:color w:val="auto"/>
              </w:rPr>
            </w:pPr>
          </w:p>
        </w:tc>
        <w:tc>
          <w:tcPr>
            <w:tcW w:w="5820" w:type="dxa"/>
            <w:vAlign w:val="bottom"/>
            <w:tcBorders>
              <w:bottom w:val="single" w:sz="8" w:color="C0C0C0"/>
            </w:tcBorders>
          </w:tcPr>
          <w:p>
            <w:pPr>
              <w:spacing w:after="0"/>
              <w:rPr>
                <w:sz w:val="3"/>
                <w:szCs w:val="3"/>
                <w:color w:val="auto"/>
              </w:rPr>
            </w:pPr>
          </w:p>
        </w:tc>
      </w:tr>
      <w:tr>
        <w:trPr>
          <w:trHeight w:val="182"/>
        </w:trPr>
        <w:tc>
          <w:tcPr>
            <w:tcW w:w="1520" w:type="dxa"/>
            <w:vAlign w:val="bottom"/>
          </w:tcPr>
          <w:p>
            <w:pPr>
              <w:spacing w:after="0"/>
              <w:rPr>
                <w:sz w:val="20"/>
                <w:szCs w:val="20"/>
                <w:color w:val="auto"/>
              </w:rPr>
            </w:pPr>
            <w:r>
              <w:rPr>
                <w:rFonts w:ascii="Arial" w:cs="Arial" w:eastAsia="Arial" w:hAnsi="Arial"/>
                <w:sz w:val="11"/>
                <w:szCs w:val="11"/>
                <w:b w:val="1"/>
                <w:bCs w:val="1"/>
                <w:color w:val="D60011"/>
              </w:rPr>
              <w:t>Child Labor</w:t>
            </w:r>
          </w:p>
        </w:tc>
        <w:tc>
          <w:tcPr>
            <w:tcW w:w="5820" w:type="dxa"/>
            <w:vAlign w:val="bottom"/>
          </w:tcPr>
          <w:p>
            <w:pPr>
              <w:ind w:left="300"/>
              <w:spacing w:after="0"/>
              <w:rPr>
                <w:sz w:val="20"/>
                <w:szCs w:val="20"/>
                <w:color w:val="auto"/>
              </w:rPr>
            </w:pPr>
            <w:r>
              <w:rPr>
                <w:rFonts w:ascii="Arial" w:cs="Arial" w:eastAsia="Arial" w:hAnsi="Arial"/>
                <w:sz w:val="11"/>
                <w:szCs w:val="11"/>
                <w:color w:val="auto"/>
              </w:rPr>
              <w:t>Child labor is not permissible.</w:t>
            </w:r>
          </w:p>
        </w:tc>
      </w:tr>
      <w:tr>
        <w:trPr>
          <w:trHeight w:val="41"/>
        </w:trPr>
        <w:tc>
          <w:tcPr>
            <w:tcW w:w="1520" w:type="dxa"/>
            <w:vAlign w:val="bottom"/>
            <w:tcBorders>
              <w:bottom w:val="single" w:sz="8" w:color="C0C0C0"/>
            </w:tcBorders>
          </w:tcPr>
          <w:p>
            <w:pPr>
              <w:spacing w:after="0"/>
              <w:rPr>
                <w:sz w:val="3"/>
                <w:szCs w:val="3"/>
                <w:color w:val="auto"/>
              </w:rPr>
            </w:pPr>
          </w:p>
        </w:tc>
        <w:tc>
          <w:tcPr>
            <w:tcW w:w="5820" w:type="dxa"/>
            <w:vAlign w:val="bottom"/>
            <w:tcBorders>
              <w:bottom w:val="single" w:sz="8" w:color="C0C0C0"/>
            </w:tcBorders>
          </w:tcPr>
          <w:p>
            <w:pPr>
              <w:spacing w:after="0"/>
              <w:rPr>
                <w:sz w:val="3"/>
                <w:szCs w:val="3"/>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Forced Labor</w:t>
            </w:r>
          </w:p>
        </w:tc>
        <w:tc>
          <w:tcPr>
            <w:tcW w:w="5820" w:type="dxa"/>
            <w:vAlign w:val="bottom"/>
          </w:tcPr>
          <w:p>
            <w:pPr>
              <w:ind w:left="300"/>
              <w:spacing w:after="0"/>
              <w:rPr>
                <w:sz w:val="20"/>
                <w:szCs w:val="20"/>
                <w:color w:val="auto"/>
              </w:rPr>
            </w:pPr>
            <w:r>
              <w:rPr>
                <w:rFonts w:ascii="Arial" w:cs="Arial" w:eastAsia="Arial" w:hAnsi="Arial"/>
                <w:sz w:val="11"/>
                <w:szCs w:val="11"/>
                <w:color w:val="auto"/>
                <w:w w:val="97"/>
              </w:rPr>
              <w:t>Forced labor, whether in the form of prison labor, involuntary or slave labor (including human trafficking), indentured</w:t>
            </w:r>
          </w:p>
        </w:tc>
      </w:tr>
      <w:tr>
        <w:trPr>
          <w:trHeight w:val="142"/>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labor, bonded labor, or otherwise is not permissible. Employment must always be on a voluntary basis.</w:t>
            </w:r>
          </w:p>
        </w:tc>
      </w:tr>
      <w:tr>
        <w:trPr>
          <w:trHeight w:val="47"/>
        </w:trPr>
        <w:tc>
          <w:tcPr>
            <w:tcW w:w="1520" w:type="dxa"/>
            <w:vAlign w:val="bottom"/>
            <w:tcBorders>
              <w:bottom w:val="single" w:sz="8" w:color="C0C0C0"/>
            </w:tcBorders>
          </w:tcPr>
          <w:p>
            <w:pPr>
              <w:spacing w:after="0"/>
              <w:rPr>
                <w:sz w:val="4"/>
                <w:szCs w:val="4"/>
                <w:color w:val="auto"/>
              </w:rPr>
            </w:pPr>
          </w:p>
        </w:tc>
        <w:tc>
          <w:tcPr>
            <w:tcW w:w="5820" w:type="dxa"/>
            <w:vAlign w:val="bottom"/>
            <w:tcBorders>
              <w:bottom w:val="single" w:sz="8" w:color="C0C0C0"/>
            </w:tcBorders>
          </w:tcPr>
          <w:p>
            <w:pPr>
              <w:spacing w:after="0"/>
              <w:rPr>
                <w:sz w:val="4"/>
                <w:szCs w:val="4"/>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Wages and Benefits</w:t>
            </w:r>
          </w:p>
        </w:tc>
        <w:tc>
          <w:tcPr>
            <w:tcW w:w="5820" w:type="dxa"/>
            <w:vAlign w:val="bottom"/>
          </w:tcPr>
          <w:p>
            <w:pPr>
              <w:ind w:left="300"/>
              <w:spacing w:after="0"/>
              <w:rPr>
                <w:sz w:val="20"/>
                <w:szCs w:val="20"/>
                <w:color w:val="auto"/>
              </w:rPr>
            </w:pPr>
            <w:r>
              <w:rPr>
                <w:rFonts w:ascii="Arial" w:cs="Arial" w:eastAsia="Arial" w:hAnsi="Arial"/>
                <w:sz w:val="11"/>
                <w:szCs w:val="11"/>
                <w:color w:val="auto"/>
              </w:rPr>
              <w:t>We will only deal with suppliers who compensate their employees fairly by providing wages, overtime premiums,</w:t>
            </w:r>
          </w:p>
        </w:tc>
      </w:tr>
      <w:tr>
        <w:trPr>
          <w:trHeight w:val="142"/>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and benefits that, at the very least, comply with legally-mandated minimum standards.</w:t>
            </w:r>
          </w:p>
        </w:tc>
      </w:tr>
      <w:tr>
        <w:trPr>
          <w:trHeight w:val="47"/>
        </w:trPr>
        <w:tc>
          <w:tcPr>
            <w:tcW w:w="1520" w:type="dxa"/>
            <w:vAlign w:val="bottom"/>
            <w:tcBorders>
              <w:bottom w:val="single" w:sz="8" w:color="C0C0C0"/>
            </w:tcBorders>
          </w:tcPr>
          <w:p>
            <w:pPr>
              <w:spacing w:after="0"/>
              <w:rPr>
                <w:sz w:val="4"/>
                <w:szCs w:val="4"/>
                <w:color w:val="auto"/>
              </w:rPr>
            </w:pPr>
          </w:p>
        </w:tc>
        <w:tc>
          <w:tcPr>
            <w:tcW w:w="5820" w:type="dxa"/>
            <w:vAlign w:val="bottom"/>
            <w:tcBorders>
              <w:bottom w:val="single" w:sz="8" w:color="C0C0C0"/>
            </w:tcBorders>
          </w:tcPr>
          <w:p>
            <w:pPr>
              <w:spacing w:after="0"/>
              <w:rPr>
                <w:sz w:val="4"/>
                <w:szCs w:val="4"/>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Working Hours</w:t>
            </w:r>
          </w:p>
        </w:tc>
        <w:tc>
          <w:tcPr>
            <w:tcW w:w="5820" w:type="dxa"/>
            <w:vAlign w:val="bottom"/>
          </w:tcPr>
          <w:p>
            <w:pPr>
              <w:ind w:left="300"/>
              <w:spacing w:after="0"/>
              <w:rPr>
                <w:sz w:val="20"/>
                <w:szCs w:val="20"/>
                <w:color w:val="auto"/>
              </w:rPr>
            </w:pPr>
            <w:r>
              <w:rPr>
                <w:rFonts w:ascii="Arial" w:cs="Arial" w:eastAsia="Arial" w:hAnsi="Arial"/>
                <w:sz w:val="11"/>
                <w:szCs w:val="11"/>
                <w:color w:val="auto"/>
                <w:w w:val="99"/>
              </w:rPr>
              <w:t>We will only deal with suppliers who maintain reasonable work hours, not exceeding prevailing local standards, or</w:t>
            </w:r>
          </w:p>
        </w:tc>
      </w:tr>
      <w:tr>
        <w:trPr>
          <w:trHeight w:val="142"/>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any maximum prescribed by applicable laws.</w:t>
            </w:r>
          </w:p>
        </w:tc>
      </w:tr>
      <w:tr>
        <w:trPr>
          <w:trHeight w:val="47"/>
        </w:trPr>
        <w:tc>
          <w:tcPr>
            <w:tcW w:w="1520" w:type="dxa"/>
            <w:vAlign w:val="bottom"/>
            <w:tcBorders>
              <w:bottom w:val="single" w:sz="8" w:color="C0C0C0"/>
            </w:tcBorders>
          </w:tcPr>
          <w:p>
            <w:pPr>
              <w:spacing w:after="0"/>
              <w:rPr>
                <w:sz w:val="4"/>
                <w:szCs w:val="4"/>
                <w:color w:val="auto"/>
              </w:rPr>
            </w:pPr>
          </w:p>
        </w:tc>
        <w:tc>
          <w:tcPr>
            <w:tcW w:w="5820" w:type="dxa"/>
            <w:vAlign w:val="bottom"/>
            <w:tcBorders>
              <w:bottom w:val="single" w:sz="8" w:color="C0C0C0"/>
            </w:tcBorders>
          </w:tcPr>
          <w:p>
            <w:pPr>
              <w:spacing w:after="0"/>
              <w:rPr>
                <w:sz w:val="4"/>
                <w:szCs w:val="4"/>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Health and Safety</w:t>
            </w:r>
          </w:p>
        </w:tc>
        <w:tc>
          <w:tcPr>
            <w:tcW w:w="5820" w:type="dxa"/>
            <w:vAlign w:val="bottom"/>
          </w:tcPr>
          <w:p>
            <w:pPr>
              <w:ind w:left="300"/>
              <w:spacing w:after="0"/>
              <w:rPr>
                <w:sz w:val="20"/>
                <w:szCs w:val="20"/>
                <w:color w:val="auto"/>
              </w:rPr>
            </w:pPr>
            <w:r>
              <w:rPr>
                <w:rFonts w:ascii="Arial" w:cs="Arial" w:eastAsia="Arial" w:hAnsi="Arial"/>
                <w:sz w:val="11"/>
                <w:szCs w:val="11"/>
                <w:color w:val="auto"/>
                <w:w w:val="99"/>
              </w:rPr>
              <w:t>We will only deal with suppliers who provide their employees with a safe and healthy work environment, designed</w:t>
            </w:r>
          </w:p>
        </w:tc>
      </w:tr>
      <w:tr>
        <w:trPr>
          <w:trHeight w:val="126"/>
        </w:trPr>
        <w:tc>
          <w:tcPr>
            <w:tcW w:w="1520" w:type="dxa"/>
            <w:vAlign w:val="bottom"/>
          </w:tcPr>
          <w:p>
            <w:pPr>
              <w:spacing w:after="0"/>
              <w:rPr>
                <w:sz w:val="10"/>
                <w:szCs w:val="10"/>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w w:val="98"/>
              </w:rPr>
              <w:t>to prevent accidents and injury to health arising out of or occurring in the course of work. At a minimum, we require</w:t>
            </w:r>
          </w:p>
        </w:tc>
      </w:tr>
      <w:tr>
        <w:trPr>
          <w:trHeight w:val="126"/>
        </w:trPr>
        <w:tc>
          <w:tcPr>
            <w:tcW w:w="1520" w:type="dxa"/>
            <w:vAlign w:val="bottom"/>
          </w:tcPr>
          <w:p>
            <w:pPr>
              <w:spacing w:after="0"/>
              <w:rPr>
                <w:sz w:val="10"/>
                <w:szCs w:val="10"/>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that suppliers comply with all applicable, legally-mandated standards for workplace health and safety. For</w:t>
            </w:r>
          </w:p>
        </w:tc>
      </w:tr>
      <w:tr>
        <w:trPr>
          <w:trHeight w:val="126"/>
        </w:trPr>
        <w:tc>
          <w:tcPr>
            <w:tcW w:w="1520" w:type="dxa"/>
            <w:vAlign w:val="bottom"/>
          </w:tcPr>
          <w:p>
            <w:pPr>
              <w:spacing w:after="0"/>
              <w:rPr>
                <w:sz w:val="10"/>
                <w:szCs w:val="10"/>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additional information regarding our commitment to health and safety, see our Global Occupational Health and</w:t>
            </w:r>
          </w:p>
        </w:tc>
      </w:tr>
      <w:tr>
        <w:trPr>
          <w:trHeight w:val="148"/>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 xml:space="preserve">Safety Statement available at </w:t>
            </w:r>
            <w:r>
              <w:rPr>
                <w:rFonts w:ascii="Arial" w:cs="Arial" w:eastAsia="Arial" w:hAnsi="Arial"/>
                <w:sz w:val="11"/>
                <w:szCs w:val="11"/>
                <w:b w:val="1"/>
                <w:bCs w:val="1"/>
                <w:color w:val="D60011"/>
              </w:rPr>
              <w:t>investors.footlocker-inc.com/safety</w:t>
            </w:r>
            <w:r>
              <w:rPr>
                <w:rFonts w:ascii="Arial" w:cs="Arial" w:eastAsia="Arial" w:hAnsi="Arial"/>
                <w:sz w:val="11"/>
                <w:szCs w:val="11"/>
                <w:color w:val="auto"/>
              </w:rPr>
              <w:t>.</w:t>
            </w:r>
          </w:p>
        </w:tc>
      </w:tr>
      <w:tr>
        <w:trPr>
          <w:trHeight w:val="41"/>
        </w:trPr>
        <w:tc>
          <w:tcPr>
            <w:tcW w:w="1520" w:type="dxa"/>
            <w:vAlign w:val="bottom"/>
            <w:tcBorders>
              <w:bottom w:val="single" w:sz="8" w:color="C0C0C0"/>
            </w:tcBorders>
          </w:tcPr>
          <w:p>
            <w:pPr>
              <w:spacing w:after="0"/>
              <w:rPr>
                <w:sz w:val="3"/>
                <w:szCs w:val="3"/>
                <w:color w:val="auto"/>
              </w:rPr>
            </w:pPr>
          </w:p>
        </w:tc>
        <w:tc>
          <w:tcPr>
            <w:tcW w:w="5820" w:type="dxa"/>
            <w:vAlign w:val="bottom"/>
            <w:tcBorders>
              <w:bottom w:val="single" w:sz="8" w:color="C0C0C0"/>
            </w:tcBorders>
          </w:tcPr>
          <w:p>
            <w:pPr>
              <w:spacing w:after="0"/>
              <w:rPr>
                <w:sz w:val="3"/>
                <w:szCs w:val="3"/>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Nondiscrimination</w:t>
            </w:r>
          </w:p>
        </w:tc>
        <w:tc>
          <w:tcPr>
            <w:tcW w:w="5820" w:type="dxa"/>
            <w:vAlign w:val="bottom"/>
          </w:tcPr>
          <w:p>
            <w:pPr>
              <w:ind w:left="300"/>
              <w:spacing w:after="0"/>
              <w:rPr>
                <w:sz w:val="20"/>
                <w:szCs w:val="20"/>
                <w:color w:val="auto"/>
              </w:rPr>
            </w:pPr>
            <w:r>
              <w:rPr>
                <w:rFonts w:ascii="Arial" w:cs="Arial" w:eastAsia="Arial" w:hAnsi="Arial"/>
                <w:sz w:val="11"/>
                <w:szCs w:val="11"/>
                <w:color w:val="auto"/>
                <w:w w:val="98"/>
              </w:rPr>
              <w:t>We believe that employment should be based on ability and not on belief or any other personal characteristics. We</w:t>
            </w:r>
          </w:p>
        </w:tc>
      </w:tr>
      <w:tr>
        <w:trPr>
          <w:trHeight w:val="126"/>
        </w:trPr>
        <w:tc>
          <w:tcPr>
            <w:tcW w:w="1520" w:type="dxa"/>
            <w:vAlign w:val="bottom"/>
          </w:tcPr>
          <w:p>
            <w:pPr>
              <w:spacing w:after="0"/>
              <w:rPr>
                <w:sz w:val="10"/>
                <w:szCs w:val="10"/>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will only deal with suppliers who do not practice discrimination in employment, including in hiring, salary, benefits,</w:t>
            </w:r>
          </w:p>
        </w:tc>
      </w:tr>
      <w:tr>
        <w:trPr>
          <w:trHeight w:val="126"/>
        </w:trPr>
        <w:tc>
          <w:tcPr>
            <w:tcW w:w="1520" w:type="dxa"/>
            <w:vAlign w:val="bottom"/>
          </w:tcPr>
          <w:p>
            <w:pPr>
              <w:spacing w:after="0"/>
              <w:rPr>
                <w:sz w:val="10"/>
                <w:szCs w:val="10"/>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advancement, discipline, termination, retirement, or in other aspects of employment on the basis of race, color,</w:t>
            </w:r>
          </w:p>
        </w:tc>
      </w:tr>
      <w:tr>
        <w:trPr>
          <w:trHeight w:val="142"/>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nationality, ethnic origin, gender, religion, age, sexual orientation, disability, or similar factors.</w:t>
            </w:r>
          </w:p>
        </w:tc>
      </w:tr>
      <w:tr>
        <w:trPr>
          <w:trHeight w:val="47"/>
        </w:trPr>
        <w:tc>
          <w:tcPr>
            <w:tcW w:w="1520" w:type="dxa"/>
            <w:vAlign w:val="bottom"/>
            <w:tcBorders>
              <w:bottom w:val="single" w:sz="8" w:color="C0C0C0"/>
            </w:tcBorders>
          </w:tcPr>
          <w:p>
            <w:pPr>
              <w:spacing w:after="0"/>
              <w:rPr>
                <w:sz w:val="4"/>
                <w:szCs w:val="4"/>
                <w:color w:val="auto"/>
              </w:rPr>
            </w:pPr>
          </w:p>
        </w:tc>
        <w:tc>
          <w:tcPr>
            <w:tcW w:w="5820" w:type="dxa"/>
            <w:vAlign w:val="bottom"/>
            <w:tcBorders>
              <w:bottom w:val="single" w:sz="8" w:color="C0C0C0"/>
            </w:tcBorders>
          </w:tcPr>
          <w:p>
            <w:pPr>
              <w:spacing w:after="0"/>
              <w:rPr>
                <w:sz w:val="4"/>
                <w:szCs w:val="4"/>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Harassment and Abuse</w:t>
            </w:r>
          </w:p>
        </w:tc>
        <w:tc>
          <w:tcPr>
            <w:tcW w:w="5820" w:type="dxa"/>
            <w:vAlign w:val="bottom"/>
          </w:tcPr>
          <w:p>
            <w:pPr>
              <w:ind w:left="300"/>
              <w:spacing w:after="0"/>
              <w:rPr>
                <w:sz w:val="20"/>
                <w:szCs w:val="20"/>
                <w:color w:val="auto"/>
              </w:rPr>
            </w:pPr>
            <w:r>
              <w:rPr>
                <w:rFonts w:ascii="Arial" w:cs="Arial" w:eastAsia="Arial" w:hAnsi="Arial"/>
                <w:sz w:val="11"/>
                <w:szCs w:val="11"/>
                <w:color w:val="auto"/>
              </w:rPr>
              <w:t>We expect all employees to be treated with respect and dignity. We will not deal with suppliers whose employees</w:t>
            </w:r>
          </w:p>
        </w:tc>
      </w:tr>
      <w:tr>
        <w:trPr>
          <w:trHeight w:val="142"/>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are subjected to physical, sexual, psychological, or verbal harassment or abuse.</w:t>
            </w:r>
          </w:p>
        </w:tc>
      </w:tr>
      <w:tr>
        <w:trPr>
          <w:trHeight w:val="47"/>
        </w:trPr>
        <w:tc>
          <w:tcPr>
            <w:tcW w:w="1520" w:type="dxa"/>
            <w:vAlign w:val="bottom"/>
            <w:tcBorders>
              <w:bottom w:val="single" w:sz="8" w:color="C0C0C0"/>
            </w:tcBorders>
          </w:tcPr>
          <w:p>
            <w:pPr>
              <w:spacing w:after="0"/>
              <w:rPr>
                <w:sz w:val="4"/>
                <w:szCs w:val="4"/>
                <w:color w:val="auto"/>
              </w:rPr>
            </w:pPr>
          </w:p>
        </w:tc>
        <w:tc>
          <w:tcPr>
            <w:tcW w:w="5820" w:type="dxa"/>
            <w:vAlign w:val="bottom"/>
            <w:tcBorders>
              <w:bottom w:val="single" w:sz="8" w:color="C0C0C0"/>
            </w:tcBorders>
          </w:tcPr>
          <w:p>
            <w:pPr>
              <w:spacing w:after="0"/>
              <w:rPr>
                <w:sz w:val="4"/>
                <w:szCs w:val="4"/>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Freedom of Association</w:t>
            </w:r>
          </w:p>
        </w:tc>
        <w:tc>
          <w:tcPr>
            <w:tcW w:w="5820" w:type="dxa"/>
            <w:vAlign w:val="bottom"/>
          </w:tcPr>
          <w:p>
            <w:pPr>
              <w:ind w:left="300"/>
              <w:spacing w:after="0"/>
              <w:rPr>
                <w:sz w:val="20"/>
                <w:szCs w:val="20"/>
                <w:color w:val="auto"/>
              </w:rPr>
            </w:pPr>
            <w:r>
              <w:rPr>
                <w:rFonts w:ascii="Arial" w:cs="Arial" w:eastAsia="Arial" w:hAnsi="Arial"/>
                <w:sz w:val="11"/>
                <w:szCs w:val="11"/>
                <w:color w:val="auto"/>
              </w:rPr>
              <w:t>We expect all of our suppliers to grant their employees the right to choose to affiliate with legally-sanctioned</w:t>
            </w:r>
          </w:p>
        </w:tc>
      </w:tr>
      <w:tr>
        <w:trPr>
          <w:trHeight w:val="142"/>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organizations or associations without interference.</w:t>
            </w:r>
          </w:p>
        </w:tc>
      </w:tr>
      <w:tr>
        <w:trPr>
          <w:trHeight w:val="47"/>
        </w:trPr>
        <w:tc>
          <w:tcPr>
            <w:tcW w:w="1520" w:type="dxa"/>
            <w:vAlign w:val="bottom"/>
            <w:tcBorders>
              <w:bottom w:val="single" w:sz="8" w:color="C0C0C0"/>
            </w:tcBorders>
          </w:tcPr>
          <w:p>
            <w:pPr>
              <w:spacing w:after="0"/>
              <w:rPr>
                <w:sz w:val="4"/>
                <w:szCs w:val="4"/>
                <w:color w:val="auto"/>
              </w:rPr>
            </w:pPr>
          </w:p>
        </w:tc>
        <w:tc>
          <w:tcPr>
            <w:tcW w:w="5820" w:type="dxa"/>
            <w:vAlign w:val="bottom"/>
            <w:tcBorders>
              <w:bottom w:val="single" w:sz="8" w:color="C0C0C0"/>
            </w:tcBorders>
          </w:tcPr>
          <w:p>
            <w:pPr>
              <w:spacing w:after="0"/>
              <w:rPr>
                <w:sz w:val="4"/>
                <w:szCs w:val="4"/>
                <w:color w:val="auto"/>
              </w:rPr>
            </w:pPr>
          </w:p>
        </w:tc>
      </w:tr>
      <w:tr>
        <w:trPr>
          <w:trHeight w:val="160"/>
        </w:trPr>
        <w:tc>
          <w:tcPr>
            <w:tcW w:w="1520" w:type="dxa"/>
            <w:vAlign w:val="bottom"/>
          </w:tcPr>
          <w:p>
            <w:pPr>
              <w:spacing w:after="0"/>
              <w:rPr>
                <w:sz w:val="20"/>
                <w:szCs w:val="20"/>
                <w:color w:val="auto"/>
              </w:rPr>
            </w:pPr>
            <w:r>
              <w:rPr>
                <w:rFonts w:ascii="Arial" w:cs="Arial" w:eastAsia="Arial" w:hAnsi="Arial"/>
                <w:sz w:val="11"/>
                <w:szCs w:val="11"/>
                <w:b w:val="1"/>
                <w:bCs w:val="1"/>
                <w:color w:val="D60011"/>
              </w:rPr>
              <w:t>Subcontracting</w:t>
            </w:r>
          </w:p>
        </w:tc>
        <w:tc>
          <w:tcPr>
            <w:tcW w:w="5820" w:type="dxa"/>
            <w:vAlign w:val="bottom"/>
          </w:tcPr>
          <w:p>
            <w:pPr>
              <w:ind w:left="300"/>
              <w:spacing w:after="0"/>
              <w:rPr>
                <w:sz w:val="20"/>
                <w:szCs w:val="20"/>
                <w:color w:val="auto"/>
              </w:rPr>
            </w:pPr>
            <w:r>
              <w:rPr>
                <w:rFonts w:ascii="Arial" w:cs="Arial" w:eastAsia="Arial" w:hAnsi="Arial"/>
                <w:sz w:val="11"/>
                <w:szCs w:val="11"/>
                <w:color w:val="auto"/>
              </w:rPr>
              <w:t>Our suppliers may not utilize subcontractors to manufacture our products without our prior written approval and</w:t>
            </w:r>
          </w:p>
        </w:tc>
      </w:tr>
      <w:tr>
        <w:trPr>
          <w:trHeight w:val="142"/>
        </w:trPr>
        <w:tc>
          <w:tcPr>
            <w:tcW w:w="1520" w:type="dxa"/>
            <w:vAlign w:val="bottom"/>
          </w:tcPr>
          <w:p>
            <w:pPr>
              <w:spacing w:after="0"/>
              <w:rPr>
                <w:sz w:val="12"/>
                <w:szCs w:val="12"/>
                <w:color w:val="auto"/>
              </w:rPr>
            </w:pPr>
          </w:p>
        </w:tc>
        <w:tc>
          <w:tcPr>
            <w:tcW w:w="5820" w:type="dxa"/>
            <w:vAlign w:val="bottom"/>
          </w:tcPr>
          <w:p>
            <w:pPr>
              <w:ind w:left="300"/>
              <w:spacing w:after="0"/>
              <w:rPr>
                <w:sz w:val="20"/>
                <w:szCs w:val="20"/>
                <w:color w:val="auto"/>
              </w:rPr>
            </w:pPr>
            <w:r>
              <w:rPr>
                <w:rFonts w:ascii="Arial" w:cs="Arial" w:eastAsia="Arial" w:hAnsi="Arial"/>
                <w:sz w:val="11"/>
                <w:szCs w:val="11"/>
                <w:color w:val="auto"/>
              </w:rPr>
              <w:t>only after the subcontractor has agreed to comply with the Global Sourcing Guidelines.</w:t>
            </w:r>
          </w:p>
        </w:tc>
      </w:tr>
      <w:tr>
        <w:trPr>
          <w:trHeight w:val="47"/>
        </w:trPr>
        <w:tc>
          <w:tcPr>
            <w:tcW w:w="1520" w:type="dxa"/>
            <w:vAlign w:val="bottom"/>
            <w:tcBorders>
              <w:bottom w:val="single" w:sz="8" w:color="D61100"/>
            </w:tcBorders>
          </w:tcPr>
          <w:p>
            <w:pPr>
              <w:spacing w:after="0"/>
              <w:rPr>
                <w:sz w:val="4"/>
                <w:szCs w:val="4"/>
                <w:color w:val="auto"/>
              </w:rPr>
            </w:pPr>
          </w:p>
        </w:tc>
        <w:tc>
          <w:tcPr>
            <w:tcW w:w="5820" w:type="dxa"/>
            <w:vAlign w:val="bottom"/>
            <w:tcBorders>
              <w:bottom w:val="single" w:sz="8" w:color="D61100"/>
            </w:tcBorders>
          </w:tcPr>
          <w:p>
            <w:pPr>
              <w:spacing w:after="0"/>
              <w:rPr>
                <w:sz w:val="4"/>
                <w:szCs w:val="4"/>
                <w:color w:val="auto"/>
              </w:rPr>
            </w:pPr>
          </w:p>
        </w:tc>
      </w:tr>
    </w:tbl>
    <w:p>
      <w:pPr>
        <w:spacing w:after="0" w:line="126" w:lineRule="exact"/>
        <w:rPr>
          <w:sz w:val="20"/>
          <w:szCs w:val="20"/>
          <w:color w:val="auto"/>
        </w:rPr>
      </w:pPr>
    </w:p>
    <w:p>
      <w:pPr>
        <w:ind w:left="1980" w:right="3040"/>
        <w:spacing w:after="0" w:line="279" w:lineRule="auto"/>
        <w:rPr>
          <w:sz w:val="20"/>
          <w:szCs w:val="20"/>
          <w:color w:val="auto"/>
        </w:rPr>
      </w:pPr>
      <w:r>
        <w:rPr>
          <w:rFonts w:ascii="Arial" w:cs="Arial" w:eastAsia="Arial" w:hAnsi="Arial"/>
          <w:sz w:val="11"/>
          <w:szCs w:val="11"/>
          <w:color w:val="auto"/>
        </w:rPr>
        <w:t xml:space="preserve">The Company periodically reviews the guidelines and revises them, as appropriate. The Global Sourcing Guidelines are available at </w:t>
      </w:r>
      <w:r>
        <w:rPr>
          <w:rFonts w:ascii="Arial" w:cs="Arial" w:eastAsia="Arial" w:hAnsi="Arial"/>
          <w:sz w:val="11"/>
          <w:szCs w:val="11"/>
          <w:b w:val="1"/>
          <w:bCs w:val="1"/>
          <w:color w:val="D60011"/>
        </w:rPr>
        <w:t>investors.footlocker-inc.com/gsg</w:t>
      </w:r>
      <w:r>
        <w:rPr>
          <w:rFonts w:ascii="Arial" w:cs="Arial" w:eastAsia="Arial" w:hAnsi="Arial"/>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64770</wp:posOffset>
            </wp:positionV>
            <wp:extent cx="365760"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37</w:t>
            </w:r>
          </w:p>
        </w:tc>
      </w:tr>
      <w:tr>
        <w:trPr>
          <w:trHeight w:val="336"/>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74" w:right="299" w:bottom="1440" w:gutter="0" w:footer="0" w:header="0"/>
        </w:sectPr>
      </w:pPr>
    </w:p>
    <w:bookmarkStart w:id="43" w:name="page44"/>
    <w:bookmarkEnd w:id="43"/>
    <w:p>
      <w:pPr>
        <w:ind w:left="840"/>
        <w:spacing w:after="0"/>
        <w:rPr>
          <w:sz w:val="20"/>
          <w:szCs w:val="20"/>
          <w:color w:val="auto"/>
        </w:rPr>
      </w:pPr>
      <w:r>
        <w:rPr>
          <w:rFonts w:ascii="Arial" w:cs="Arial" w:eastAsia="Arial" w:hAnsi="Arial"/>
          <w:sz w:val="10"/>
          <w:szCs w:val="10"/>
          <w:b w:val="1"/>
          <w:bCs w:val="1"/>
          <w:color w:val="D60011"/>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0</wp:posOffset>
            </wp:positionV>
            <wp:extent cx="2571750" cy="297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71750" cy="29718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-158750</wp:posOffset>
            </wp:positionV>
            <wp:extent cx="1714500" cy="4954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0" cy="4954905"/>
                    </a:xfrm>
                    <a:prstGeom prst="rect">
                      <a:avLst/>
                    </a:prstGeom>
                    <a:noFill/>
                  </pic:spPr>
                </pic:pic>
              </a:graphicData>
            </a:graphic>
          </wp:anchor>
        </w:drawing>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WHY WE ENGAGE</w:t>
      </w:r>
    </w:p>
    <w:p>
      <w:pPr>
        <w:spacing w:after="0" w:line="145" w:lineRule="exact"/>
        <w:rPr>
          <w:sz w:val="20"/>
          <w:szCs w:val="20"/>
          <w:color w:val="auto"/>
        </w:rPr>
      </w:pPr>
    </w:p>
    <w:p>
      <w:pPr>
        <w:ind w:left="840" w:right="3879"/>
        <w:spacing w:after="0" w:line="268" w:lineRule="auto"/>
        <w:rPr>
          <w:sz w:val="20"/>
          <w:szCs w:val="20"/>
          <w:color w:val="auto"/>
        </w:rPr>
      </w:pPr>
      <w:r>
        <w:rPr>
          <w:rFonts w:ascii="Arial" w:cs="Arial" w:eastAsia="Arial" w:hAnsi="Arial"/>
          <w:sz w:val="10"/>
          <w:szCs w:val="10"/>
          <w:color w:val="auto"/>
        </w:rPr>
        <w:t>The Board’s relationship with shareholders is an important part of the Company’s success. The Board believes it is important to foster long-term relationships with shareholders and understand their perspectives. The Board has a long tradition of engaging with shareholders. The Board values an open dialogue with shareholders, and the Board believes that regular communication is a critical part of the Company’s long-term success. Through these activities, the Board discusses the Company’s corporate governance, executive compensation programs, ESG, and other topics of interest to shareholders. We also closely monitor policy statements and areas of focus for shareholders. These engagement efforts allow the Board to better understand the Company’s shareholders’ priorities and perspectives and provide the Board with useful input concerning the Company’s compensation, corporate governance, and ESG practices.</w:t>
      </w:r>
    </w:p>
    <w:p>
      <w:pPr>
        <w:spacing w:after="0" w:line="22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Board is committed to:</w:t>
      </w:r>
    </w:p>
    <w:p>
      <w:pPr>
        <w:spacing w:after="0" w:line="83" w:lineRule="exact"/>
        <w:rPr>
          <w:sz w:val="20"/>
          <w:szCs w:val="20"/>
          <w:color w:val="auto"/>
        </w:rPr>
      </w:pPr>
    </w:p>
    <w:p>
      <w:pPr>
        <w:ind w:left="940" w:hanging="108"/>
        <w:spacing w:after="0"/>
        <w:tabs>
          <w:tab w:leader="none" w:pos="940" w:val="left"/>
        </w:tabs>
        <w:numPr>
          <w:ilvl w:val="0"/>
          <w:numId w:val="56"/>
        </w:numPr>
        <w:rPr>
          <w:rFonts w:ascii="Arial" w:cs="Arial" w:eastAsia="Arial" w:hAnsi="Arial"/>
          <w:sz w:val="16"/>
          <w:szCs w:val="16"/>
          <w:color w:val="D60011"/>
          <w:vertAlign w:val="superscript"/>
        </w:rPr>
      </w:pPr>
      <w:r>
        <w:rPr>
          <w:rFonts w:ascii="Arial" w:cs="Arial" w:eastAsia="Arial" w:hAnsi="Arial"/>
          <w:sz w:val="10"/>
          <w:szCs w:val="10"/>
          <w:color w:val="auto"/>
        </w:rPr>
        <w:t>Accountability. Drive and support leading corporate governance and board practices.</w:t>
      </w:r>
    </w:p>
    <w:p>
      <w:pPr>
        <w:spacing w:after="0" w:line="30" w:lineRule="exact"/>
        <w:rPr>
          <w:rFonts w:ascii="Arial" w:cs="Arial" w:eastAsia="Arial" w:hAnsi="Arial"/>
          <w:sz w:val="16"/>
          <w:szCs w:val="16"/>
          <w:color w:val="D60011"/>
          <w:vertAlign w:val="superscript"/>
        </w:rPr>
      </w:pPr>
    </w:p>
    <w:p>
      <w:pPr>
        <w:ind w:left="940" w:right="3899" w:hanging="108"/>
        <w:spacing w:after="0" w:line="206" w:lineRule="auto"/>
        <w:tabs>
          <w:tab w:leader="none" w:pos="940" w:val="left"/>
        </w:tabs>
        <w:numPr>
          <w:ilvl w:val="0"/>
          <w:numId w:val="56"/>
        </w:numPr>
        <w:rPr>
          <w:rFonts w:ascii="Arial" w:cs="Arial" w:eastAsia="Arial" w:hAnsi="Arial"/>
          <w:sz w:val="16"/>
          <w:szCs w:val="16"/>
          <w:color w:val="D60011"/>
          <w:vertAlign w:val="superscript"/>
        </w:rPr>
      </w:pPr>
      <w:r>
        <w:rPr>
          <w:rFonts w:ascii="Arial" w:cs="Arial" w:eastAsia="Arial" w:hAnsi="Arial"/>
          <w:sz w:val="10"/>
          <w:szCs w:val="10"/>
          <w:color w:val="auto"/>
        </w:rPr>
        <w:t>Transparency. Maintain high levels of transparency on a range of financial, governance, and ESG issues to build trust and sustain two-way dialogue.</w:t>
      </w:r>
    </w:p>
    <w:p>
      <w:pPr>
        <w:spacing w:after="0" w:line="21" w:lineRule="exact"/>
        <w:rPr>
          <w:rFonts w:ascii="Arial" w:cs="Arial" w:eastAsia="Arial" w:hAnsi="Arial"/>
          <w:sz w:val="16"/>
          <w:szCs w:val="16"/>
          <w:color w:val="D60011"/>
          <w:vertAlign w:val="superscript"/>
        </w:rPr>
      </w:pPr>
    </w:p>
    <w:p>
      <w:pPr>
        <w:ind w:left="940" w:right="3879" w:hanging="108"/>
        <w:spacing w:after="0"/>
        <w:tabs>
          <w:tab w:leader="none" w:pos="940" w:val="left"/>
        </w:tabs>
        <w:numPr>
          <w:ilvl w:val="0"/>
          <w:numId w:val="56"/>
        </w:numPr>
        <w:rPr>
          <w:rFonts w:ascii="Arial" w:cs="Arial" w:eastAsia="Arial" w:hAnsi="Arial"/>
          <w:sz w:val="16"/>
          <w:szCs w:val="16"/>
          <w:color w:val="D60011"/>
          <w:vertAlign w:val="superscript"/>
        </w:rPr>
      </w:pPr>
      <w:r>
        <w:rPr>
          <w:rFonts w:ascii="Arial" w:cs="Arial" w:eastAsia="Arial" w:hAnsi="Arial"/>
          <w:sz w:val="10"/>
          <w:szCs w:val="10"/>
          <w:color w:val="auto"/>
        </w:rPr>
        <w:t>Engagement. Proactively engage with shareholders and proxy advisory firms on a range of topics to identify emerging trends and issues to inform the Board’s thinking and approach.</w:t>
      </w:r>
    </w:p>
    <w:p>
      <w:pPr>
        <w:spacing w:after="0" w:line="205" w:lineRule="exact"/>
        <w:rPr>
          <w:sz w:val="20"/>
          <w:szCs w:val="20"/>
          <w:color w:val="auto"/>
        </w:rPr>
      </w:pPr>
    </w:p>
    <w:p>
      <w:pPr>
        <w:ind w:left="840" w:right="3879"/>
        <w:spacing w:after="0" w:line="253" w:lineRule="auto"/>
        <w:rPr>
          <w:sz w:val="20"/>
          <w:szCs w:val="20"/>
          <w:color w:val="auto"/>
        </w:rPr>
      </w:pPr>
      <w:r>
        <w:rPr>
          <w:rFonts w:ascii="Arial" w:cs="Arial" w:eastAsia="Arial" w:hAnsi="Arial"/>
          <w:sz w:val="11"/>
          <w:szCs w:val="11"/>
          <w:color w:val="auto"/>
        </w:rPr>
        <w:t>This shareholder engagement program complements the ongoing dialogue throughout the year among shareholders and our Chief Executive Officer, Chief Financial Officer, and Investor Relations team on our financial and strategic performance.</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WHO WE ENGAGE</w:t>
      </w:r>
    </w:p>
    <w:p>
      <w:pPr>
        <w:spacing w:after="0" w:line="145" w:lineRule="exact"/>
        <w:rPr>
          <w:sz w:val="20"/>
          <w:szCs w:val="20"/>
          <w:color w:val="auto"/>
        </w:rPr>
      </w:pPr>
    </w:p>
    <w:p>
      <w:pPr>
        <w:jc w:val="both"/>
        <w:ind w:left="840" w:right="3859"/>
        <w:spacing w:after="0" w:line="248" w:lineRule="auto"/>
        <w:rPr>
          <w:sz w:val="20"/>
          <w:szCs w:val="20"/>
          <w:color w:val="auto"/>
        </w:rPr>
      </w:pPr>
      <w:r>
        <w:rPr>
          <w:rFonts w:ascii="Arial" w:cs="Arial" w:eastAsia="Arial" w:hAnsi="Arial"/>
          <w:sz w:val="11"/>
          <w:szCs w:val="11"/>
          <w:color w:val="auto"/>
        </w:rPr>
        <w:t>During the 2021–22 season, our Lead Independent Director, General Counsel, and the head of our global ESG leadership team will have met individually with shareholders representing approximately 30% of our total shares outstanding, as well as proxy advisory firms.</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TOPICS OF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97790</wp:posOffset>
            </wp:positionV>
            <wp:extent cx="27489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48915" cy="5715"/>
                    </a:xfrm>
                    <a:prstGeom prst="rect">
                      <a:avLst/>
                    </a:prstGeom>
                    <a:noFill/>
                  </pic:spPr>
                </pic:pic>
              </a:graphicData>
            </a:graphic>
          </wp:anchor>
        </w:drawing>
      </w:r>
    </w:p>
    <w:p>
      <w:pPr>
        <w:spacing w:after="0" w:line="188" w:lineRule="exact"/>
        <w:rPr>
          <w:sz w:val="20"/>
          <w:szCs w:val="20"/>
          <w:color w:val="auto"/>
        </w:rPr>
      </w:pPr>
    </w:p>
    <w:tbl>
      <w:tblPr>
        <w:tblLayout w:type="fixed"/>
        <w:tblInd w:w="840" w:type="dxa"/>
        <w:tblCellMar>
          <w:top w:w="0" w:type="dxa"/>
          <w:left w:w="0" w:type="dxa"/>
          <w:bottom w:w="0" w:type="dxa"/>
          <w:right w:w="0" w:type="dxa"/>
        </w:tblCellMar>
      </w:tblPr>
      <w:tr>
        <w:trPr>
          <w:trHeight w:val="143"/>
        </w:trPr>
        <w:tc>
          <w:tcPr>
            <w:tcW w:w="204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Board Refreshment and Composition</w:t>
            </w:r>
          </w:p>
        </w:tc>
        <w:tc>
          <w:tcPr>
            <w:tcW w:w="2280" w:type="dxa"/>
            <w:vAlign w:val="bottom"/>
          </w:tcPr>
          <w:p>
            <w:pPr>
              <w:ind w:left="12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Human Capital Management</w:t>
            </w:r>
          </w:p>
        </w:tc>
      </w:tr>
      <w:tr>
        <w:trPr>
          <w:trHeight w:val="143"/>
        </w:trPr>
        <w:tc>
          <w:tcPr>
            <w:tcW w:w="204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Board Evaluation Process</w:t>
            </w:r>
          </w:p>
        </w:tc>
        <w:tc>
          <w:tcPr>
            <w:tcW w:w="2280" w:type="dxa"/>
            <w:vAlign w:val="bottom"/>
          </w:tcPr>
          <w:p>
            <w:pPr>
              <w:ind w:left="12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Executive Compensation Programs</w:t>
            </w:r>
          </w:p>
        </w:tc>
      </w:tr>
      <w:tr>
        <w:trPr>
          <w:trHeight w:val="144"/>
        </w:trPr>
        <w:tc>
          <w:tcPr>
            <w:tcW w:w="204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Boardroom and Company Culture</w:t>
            </w:r>
          </w:p>
        </w:tc>
        <w:tc>
          <w:tcPr>
            <w:tcW w:w="2280" w:type="dxa"/>
            <w:vAlign w:val="bottom"/>
          </w:tcPr>
          <w:p>
            <w:pPr>
              <w:ind w:left="12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ESG</w:t>
            </w:r>
          </w:p>
        </w:tc>
      </w:tr>
      <w:tr>
        <w:trPr>
          <w:trHeight w:val="47"/>
        </w:trPr>
        <w:tc>
          <w:tcPr>
            <w:tcW w:w="2040" w:type="dxa"/>
            <w:vAlign w:val="bottom"/>
            <w:tcBorders>
              <w:bottom w:val="single" w:sz="8" w:color="D60011"/>
            </w:tcBorders>
          </w:tcPr>
          <w:p>
            <w:pPr>
              <w:spacing w:after="0"/>
              <w:rPr>
                <w:sz w:val="4"/>
                <w:szCs w:val="4"/>
                <w:color w:val="auto"/>
              </w:rPr>
            </w:pPr>
          </w:p>
        </w:tc>
        <w:tc>
          <w:tcPr>
            <w:tcW w:w="2280" w:type="dxa"/>
            <w:vAlign w:val="bottom"/>
            <w:tcBorders>
              <w:bottom w:val="single" w:sz="8" w:color="D60011"/>
            </w:tcBorders>
          </w:tcPr>
          <w:p>
            <w:pPr>
              <w:spacing w:after="0"/>
              <w:rPr>
                <w:sz w:val="4"/>
                <w:szCs w:val="4"/>
                <w:color w:val="auto"/>
              </w:rPr>
            </w:pPr>
          </w:p>
        </w:tc>
      </w:tr>
    </w:tbl>
    <w:p>
      <w:pPr>
        <w:spacing w:after="0" w:line="116" w:lineRule="exact"/>
        <w:rPr>
          <w:sz w:val="20"/>
          <w:szCs w:val="20"/>
          <w:color w:val="auto"/>
        </w:rPr>
      </w:pPr>
    </w:p>
    <w:p>
      <w:pPr>
        <w:ind w:left="840" w:right="4799"/>
        <w:spacing w:after="0" w:line="286" w:lineRule="auto"/>
        <w:rPr>
          <w:sz w:val="20"/>
          <w:szCs w:val="20"/>
          <w:color w:val="auto"/>
        </w:rPr>
      </w:pPr>
      <w:r>
        <w:rPr>
          <w:rFonts w:ascii="Arial" w:cs="Arial" w:eastAsia="Arial" w:hAnsi="Arial"/>
          <w:sz w:val="18"/>
          <w:szCs w:val="18"/>
          <w:b w:val="1"/>
          <w:bCs w:val="1"/>
          <w:color w:val="D60011"/>
        </w:rPr>
        <w:t>HOW WE HAVE BEEN RESPONSIVE TO ENGAGEMENT</w:t>
      </w:r>
    </w:p>
    <w:p>
      <w:pPr>
        <w:spacing w:after="0" w:line="66" w:lineRule="exact"/>
        <w:rPr>
          <w:sz w:val="20"/>
          <w:szCs w:val="20"/>
          <w:color w:val="auto"/>
        </w:rPr>
      </w:pPr>
    </w:p>
    <w:p>
      <w:pPr>
        <w:ind w:left="840" w:right="3899"/>
        <w:spacing w:after="0" w:line="267" w:lineRule="auto"/>
        <w:rPr>
          <w:sz w:val="20"/>
          <w:szCs w:val="20"/>
          <w:color w:val="auto"/>
        </w:rPr>
      </w:pPr>
      <w:r>
        <w:rPr>
          <w:rFonts w:ascii="Arial" w:cs="Arial" w:eastAsia="Arial" w:hAnsi="Arial"/>
          <w:sz w:val="10"/>
          <w:szCs w:val="10"/>
          <w:color w:val="auto"/>
        </w:rPr>
        <w:t xml:space="preserve">The Lead Independent Director shares the feedback gained from our shareholder engagement meetings with the Board and the Responsibility Committee, as well as compensation-specific feedback with the Human Capital Committee. In recent years, we have taken a number of actions based on shareholder feedback to strengthen our governance practices, global ESG program, and disclosure. For example, the Board voluntarily adopted proxy access, amended our By-Laws to implement a majority voting standard in uncontested director elections, and added the Director Nominees’ Skillset Matrix to this Proxy Statement to describe each director’s qualifications. The Company also enhanced its ESG disclosure by publishing an Impact Report, which is presented consistent with the SASB reporting standards and TCFD reporting framework and is available at </w:t>
      </w:r>
      <w:r>
        <w:rPr>
          <w:rFonts w:ascii="Arial" w:cs="Arial" w:eastAsia="Arial" w:hAnsi="Arial"/>
          <w:sz w:val="10"/>
          <w:szCs w:val="10"/>
          <w:b w:val="1"/>
          <w:bCs w:val="1"/>
          <w:color w:val="D60011"/>
        </w:rPr>
        <w:t>investors.footlocker-inc.com/impactreport</w:t>
      </w:r>
      <w:r>
        <w:rPr>
          <w:rFonts w:ascii="Arial" w:cs="Arial" w:eastAsia="Arial" w:hAnsi="Arial"/>
          <w:sz w:val="10"/>
          <w:szCs w:val="10"/>
          <w:color w:val="auto"/>
        </w:rPr>
        <w:t>. These examples evidence our continued commitment to remain responsive on a variety of shareholder concerns. Please continue to share your thoughts or concerns at any time. The Board has established a process to facilitate shareholder communications with the Board, described below.</w:t>
      </w:r>
    </w:p>
    <w:p>
      <w:pPr>
        <w:spacing w:after="0" w:line="231" w:lineRule="exact"/>
        <w:rPr>
          <w:sz w:val="20"/>
          <w:szCs w:val="20"/>
          <w:color w:val="auto"/>
        </w:rPr>
      </w:pPr>
    </w:p>
    <w:p>
      <w:pPr>
        <w:ind w:left="1520" w:hanging="388"/>
        <w:spacing w:after="0"/>
        <w:tabs>
          <w:tab w:leader="none" w:pos="1520" w:val="left"/>
        </w:tabs>
        <w:numPr>
          <w:ilvl w:val="0"/>
          <w:numId w:val="57"/>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242570</wp:posOffset>
            </wp:positionV>
            <wp:extent cx="71780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74" w:right="1440" w:bottom="1440" w:gutter="0" w:footer="0" w:header="0"/>
        </w:sectPr>
      </w:pPr>
    </w:p>
    <w:bookmarkStart w:id="44" w:name="page45"/>
    <w:bookmarkEnd w:id="44"/>
    <w:p>
      <w:pPr>
        <w:jc w:val="right"/>
        <w:ind w:right="1980"/>
        <w:spacing w:after="0"/>
        <w:rPr>
          <w:sz w:val="20"/>
          <w:szCs w:val="20"/>
          <w:color w:val="auto"/>
        </w:rPr>
      </w:pPr>
      <w:r>
        <w:rPr>
          <w:rFonts w:ascii="Arial" w:cs="Arial" w:eastAsia="Arial" w:hAnsi="Arial"/>
          <w:sz w:val="10"/>
          <w:szCs w:val="10"/>
          <w:b w:val="1"/>
          <w:bCs w:val="1"/>
          <w:color w:val="D60011"/>
        </w:rPr>
        <w:t>GOVERNANCE</w:t>
      </w:r>
    </w:p>
    <w:p>
      <w:pPr>
        <w:spacing w:after="0" w:line="110"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COMMUNICATIONS WITH THE BOARD</w:t>
      </w:r>
    </w:p>
    <w:p>
      <w:pPr>
        <w:spacing w:after="0" w:line="154" w:lineRule="exact"/>
        <w:rPr>
          <w:sz w:val="20"/>
          <w:szCs w:val="20"/>
          <w:color w:val="auto"/>
        </w:rPr>
      </w:pPr>
    </w:p>
    <w:p>
      <w:pPr>
        <w:jc w:val="both"/>
        <w:ind w:left="1980" w:right="1980"/>
        <w:spacing w:after="0" w:line="248" w:lineRule="auto"/>
        <w:rPr>
          <w:sz w:val="20"/>
          <w:szCs w:val="20"/>
          <w:color w:val="auto"/>
        </w:rPr>
      </w:pPr>
      <w:r>
        <w:rPr>
          <w:rFonts w:ascii="Arial" w:cs="Arial" w:eastAsia="Arial" w:hAnsi="Arial"/>
          <w:sz w:val="11"/>
          <w:szCs w:val="11"/>
          <w:color w:val="auto"/>
        </w:rPr>
        <w:t xml:space="preserve">Shareholders and other interested parties who wish to communicate directly with the independent directors of the Board should send a letter to the Board. The Procedures for Communications with the Board are available at </w:t>
      </w:r>
      <w:r>
        <w:rPr>
          <w:rFonts w:ascii="Arial" w:cs="Arial" w:eastAsia="Arial" w:hAnsi="Arial"/>
          <w:sz w:val="11"/>
          <w:szCs w:val="11"/>
          <w:b w:val="1"/>
          <w:bCs w:val="1"/>
          <w:color w:val="D60011"/>
        </w:rPr>
        <w:t>investors.footlocker-inc.com/boardcomms</w:t>
      </w:r>
      <w:r>
        <w:rPr>
          <w:rFonts w:ascii="Arial" w:cs="Arial" w:eastAsia="Arial" w:hAnsi="Arial"/>
          <w:sz w:val="11"/>
          <w:szCs w:val="11"/>
          <w:color w:val="auto"/>
        </w:rPr>
        <w:t>. Our Secretary will promptly send a copy of the communication to the Lead Independent Director, who may direct our Secretary to send a copy of the communication to the other independent directors and may determine whether a meeting of the independent directors should be called to review the communication.</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MAJORITY VOTING IN THE ELECTION OF DIRECTORS</w:t>
      </w:r>
    </w:p>
    <w:p>
      <w:pPr>
        <w:spacing w:after="0" w:line="154" w:lineRule="exact"/>
        <w:rPr>
          <w:sz w:val="20"/>
          <w:szCs w:val="20"/>
          <w:color w:val="auto"/>
        </w:rPr>
      </w:pPr>
    </w:p>
    <w:p>
      <w:pPr>
        <w:ind w:left="1980" w:right="2100"/>
        <w:spacing w:after="0" w:line="243" w:lineRule="auto"/>
        <w:rPr>
          <w:sz w:val="20"/>
          <w:szCs w:val="20"/>
          <w:color w:val="auto"/>
        </w:rPr>
      </w:pPr>
      <w:r>
        <w:rPr>
          <w:rFonts w:ascii="Arial" w:cs="Arial" w:eastAsia="Arial" w:hAnsi="Arial"/>
          <w:sz w:val="11"/>
          <w:szCs w:val="11"/>
          <w:color w:val="auto"/>
        </w:rPr>
        <w:t>Directors must be elected by a majority of the votes cast in elections for which the number of nominees for election does not exceed the number of directors to be elected. A plurality vote standard applies to contested elections where the number of nominees exceeds the number of directors to be elected. Our Corporate Governance Guidelines provide that any incumbent director who does not receive a majority of the votes cast in an uncontested election is required to tender their resignation for consideration by the Responsibility Committee. The Responsibility Committee will make a recommendation to the Board whether to accept or reject the resignation, or take other action. The director who tenders their resignation will not participate in the Responsibility Committee or Board’s decision. In determining its recommendation to the Board, the Responsibility Committee will consider all factors that it deems relevant. Following such determination, the Company will promptly publicly disclose the Board’s decision, including, if applicable, the reasons for rejecting the tendered resignation.</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PROXY ACCESS</w:t>
      </w:r>
    </w:p>
    <w:p>
      <w:pPr>
        <w:spacing w:after="0" w:line="154" w:lineRule="exact"/>
        <w:rPr>
          <w:sz w:val="20"/>
          <w:szCs w:val="20"/>
          <w:color w:val="auto"/>
        </w:rPr>
      </w:pPr>
    </w:p>
    <w:p>
      <w:pPr>
        <w:ind w:left="1980" w:right="2120"/>
        <w:spacing w:after="0" w:line="248" w:lineRule="auto"/>
        <w:rPr>
          <w:sz w:val="20"/>
          <w:szCs w:val="20"/>
          <w:color w:val="auto"/>
        </w:rPr>
      </w:pPr>
      <w:r>
        <w:rPr>
          <w:rFonts w:ascii="Arial" w:cs="Arial" w:eastAsia="Arial" w:hAnsi="Arial"/>
          <w:sz w:val="11"/>
          <w:szCs w:val="11"/>
          <w:color w:val="auto"/>
        </w:rPr>
        <w:t>Under our proxy access by-law, a shareholder, or a group of up to 20 shareholders, owning at least 3% of the Common Stock continuously for at least three years as of the date of the notice of nomination, may nominate and include in the Company’s proxy materials director nominees constituting up to two individuals or 20% of the Board, whichever is greater (subject to certain limitations set forth in the By-Laws), provided that the shareholder(s) and nominee(s) satisfy the requirements specified in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79375</wp:posOffset>
            </wp:positionV>
            <wp:extent cx="4617720" cy="34232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17720" cy="342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39</w:t>
            </w:r>
          </w:p>
        </w:tc>
      </w:tr>
      <w:tr>
        <w:trPr>
          <w:trHeight w:val="336"/>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74" w:right="29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1459865</wp:posOffset>
            </wp:positionH>
            <wp:positionV relativeFrom="page">
              <wp:posOffset>283210</wp:posOffset>
            </wp:positionV>
            <wp:extent cx="4629150" cy="1297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4629150" cy="129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40" w:right="979"/>
        <w:spacing w:after="0" w:line="259" w:lineRule="auto"/>
        <w:rPr>
          <w:sz w:val="20"/>
          <w:szCs w:val="20"/>
          <w:color w:val="auto"/>
        </w:rPr>
      </w:pPr>
      <w:r>
        <w:rPr>
          <w:rFonts w:ascii="Arial" w:cs="Arial" w:eastAsia="Arial" w:hAnsi="Arial"/>
          <w:sz w:val="11"/>
          <w:szCs w:val="11"/>
          <w:color w:val="auto"/>
        </w:rPr>
        <w:t xml:space="preserve">Our Board consists of individuals from a diverse range of backgrounds—in terms of gender, age, ethnicity, skills, and business and Board experience— with an equally diverse range of perspectives. What our Board shares is a common desire to support and oversee management in achieving the Company’s purpose to </w:t>
      </w:r>
      <w:r>
        <w:rPr>
          <w:rFonts w:ascii="Arial" w:cs="Arial" w:eastAsia="Arial" w:hAnsi="Arial"/>
          <w:sz w:val="11"/>
          <w:szCs w:val="11"/>
          <w:b w:val="1"/>
          <w:bCs w:val="1"/>
          <w:color w:val="FA0D21"/>
        </w:rPr>
        <w:t>inspire and empower youth culture</w:t>
      </w:r>
      <w:r>
        <w:rPr>
          <w:rFonts w:ascii="Arial" w:cs="Arial" w:eastAsia="Arial" w:hAnsi="Arial"/>
          <w:sz w:val="11"/>
          <w:szCs w:val="11"/>
          <w:color w:val="auto"/>
        </w:rPr>
        <w:t>.</w:t>
      </w:r>
    </w:p>
    <w:p>
      <w:pPr>
        <w:spacing w:after="0" w:line="95" w:lineRule="exact"/>
        <w:rPr>
          <w:sz w:val="20"/>
          <w:szCs w:val="20"/>
          <w:color w:val="auto"/>
        </w:rPr>
      </w:pPr>
    </w:p>
    <w:p>
      <w:pPr>
        <w:ind w:left="840" w:right="879"/>
        <w:spacing w:after="0" w:line="268" w:lineRule="auto"/>
        <w:rPr>
          <w:sz w:val="20"/>
          <w:szCs w:val="20"/>
          <w:color w:val="auto"/>
        </w:rPr>
      </w:pPr>
      <w:r>
        <w:rPr>
          <w:rFonts w:ascii="Arial" w:cs="Arial" w:eastAsia="Arial" w:hAnsi="Arial"/>
          <w:sz w:val="11"/>
          <w:szCs w:val="11"/>
          <w:color w:val="auto"/>
        </w:rPr>
        <w:t>The Board has delegated certain duties to its committees, which assist the Board in carrying out its responsibilities. There are five standing committees of the Board. Each independent director serves on at least two committees.</w:t>
      </w:r>
    </w:p>
    <w:p>
      <w:pPr>
        <w:spacing w:after="0" w:line="96" w:lineRule="exact"/>
        <w:rPr>
          <w:sz w:val="20"/>
          <w:szCs w:val="20"/>
          <w:color w:val="auto"/>
        </w:rPr>
      </w:pPr>
    </w:p>
    <w:p>
      <w:pPr>
        <w:ind w:left="840" w:right="1059"/>
        <w:spacing w:after="0" w:line="259" w:lineRule="auto"/>
        <w:rPr>
          <w:sz w:val="20"/>
          <w:szCs w:val="20"/>
          <w:color w:val="auto"/>
        </w:rPr>
      </w:pPr>
      <w:r>
        <w:rPr>
          <w:rFonts w:ascii="Arial" w:cs="Arial" w:eastAsia="Arial" w:hAnsi="Arial"/>
          <w:sz w:val="11"/>
          <w:szCs w:val="11"/>
          <w:color w:val="auto"/>
        </w:rPr>
        <w:t>The Board has adopted charters for each of the Audit Committee (</w:t>
      </w:r>
      <w:r>
        <w:rPr>
          <w:rFonts w:ascii="Arial" w:cs="Arial" w:eastAsia="Arial" w:hAnsi="Arial"/>
          <w:sz w:val="11"/>
          <w:szCs w:val="11"/>
          <w:b w:val="1"/>
          <w:bCs w:val="1"/>
          <w:color w:val="D60011"/>
        </w:rPr>
        <w:t>investors.footlocker-inc.com/audit</w:t>
      </w:r>
      <w:r>
        <w:rPr>
          <w:rFonts w:ascii="Arial" w:cs="Arial" w:eastAsia="Arial" w:hAnsi="Arial"/>
          <w:sz w:val="11"/>
          <w:szCs w:val="11"/>
          <w:color w:val="auto"/>
        </w:rPr>
        <w:t>), Finance Committee (</w:t>
      </w:r>
      <w:r>
        <w:rPr>
          <w:rFonts w:ascii="Arial" w:cs="Arial" w:eastAsia="Arial" w:hAnsi="Arial"/>
          <w:sz w:val="11"/>
          <w:szCs w:val="11"/>
          <w:b w:val="1"/>
          <w:bCs w:val="1"/>
          <w:color w:val="D60011"/>
        </w:rPr>
        <w:t>investors. footlocker-inc.com/finance</w:t>
      </w:r>
      <w:r>
        <w:rPr>
          <w:rFonts w:ascii="Arial" w:cs="Arial" w:eastAsia="Arial" w:hAnsi="Arial"/>
          <w:sz w:val="11"/>
          <w:szCs w:val="11"/>
          <w:color w:val="000000"/>
        </w:rPr>
        <w:t>), Human Capital Committee (</w:t>
      </w:r>
      <w:r>
        <w:rPr>
          <w:rFonts w:ascii="Arial" w:cs="Arial" w:eastAsia="Arial" w:hAnsi="Arial"/>
          <w:sz w:val="11"/>
          <w:szCs w:val="11"/>
          <w:b w:val="1"/>
          <w:bCs w:val="1"/>
          <w:color w:val="D60011"/>
        </w:rPr>
        <w:t>investors.footlocker-inc.com/comp</w:t>
      </w:r>
      <w:r>
        <w:rPr>
          <w:rFonts w:ascii="Arial" w:cs="Arial" w:eastAsia="Arial" w:hAnsi="Arial"/>
          <w:sz w:val="11"/>
          <w:szCs w:val="11"/>
          <w:color w:val="000000"/>
        </w:rPr>
        <w:t>), and Responsibility Committee (</w:t>
      </w:r>
      <w:r>
        <w:rPr>
          <w:rFonts w:ascii="Arial" w:cs="Arial" w:eastAsia="Arial" w:hAnsi="Arial"/>
          <w:sz w:val="11"/>
          <w:szCs w:val="11"/>
          <w:b w:val="1"/>
          <w:bCs w:val="1"/>
          <w:color w:val="D60011"/>
        </w:rPr>
        <w:t>investors.footlocker-inc.com/gov</w:t>
      </w:r>
      <w:r>
        <w:rPr>
          <w:rFonts w:ascii="Arial" w:cs="Arial" w:eastAsia="Arial" w:hAnsi="Arial"/>
          <w:sz w:val="11"/>
          <w:szCs w:val="11"/>
          <w:color w:val="000000"/>
        </w:rPr>
        <w:t>).</w:t>
      </w:r>
    </w:p>
    <w:p>
      <w:pPr>
        <w:spacing w:after="0" w:line="95" w:lineRule="exact"/>
        <w:rPr>
          <w:sz w:val="20"/>
          <w:szCs w:val="20"/>
          <w:color w:val="auto"/>
        </w:rPr>
      </w:pPr>
    </w:p>
    <w:p>
      <w:pPr>
        <w:ind w:left="840" w:right="919"/>
        <w:spacing w:after="0" w:line="246" w:lineRule="auto"/>
        <w:rPr>
          <w:sz w:val="20"/>
          <w:szCs w:val="20"/>
          <w:color w:val="auto"/>
        </w:rPr>
      </w:pPr>
      <w:r>
        <w:rPr>
          <w:rFonts w:ascii="Arial" w:cs="Arial" w:eastAsia="Arial" w:hAnsi="Arial"/>
          <w:sz w:val="11"/>
          <w:szCs w:val="11"/>
          <w:color w:val="auto"/>
        </w:rPr>
        <w:t>As a general principle, the Board believes that the periodic rotation of committee and committee chair assignments on a staggered basis provides opportunities to foster diverse perspectives, develops further the depth and breadth of knowledge within the Board, and prepares the Board for future director succession. In May 2021, Mr. McKenna rotated off as Chair of the Finance Committee, and was replaced by Mr. Oakland, and Mr. Oakland rotated off as Chair of the Responsibility Committee, and was replaced by Mr. Payne. In February 2022, Ms. Drosos was added to the Audit and Finance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20" w:hanging="388"/>
        <w:spacing w:after="0"/>
        <w:tabs>
          <w:tab w:leader="none" w:pos="1520" w:val="left"/>
        </w:tabs>
        <w:numPr>
          <w:ilvl w:val="0"/>
          <w:numId w:val="58"/>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242570</wp:posOffset>
            </wp:positionV>
            <wp:extent cx="717804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jc w:val="right"/>
        <w:ind w:right="1980"/>
        <w:spacing w:after="0"/>
        <w:rPr>
          <w:sz w:val="20"/>
          <w:szCs w:val="20"/>
          <w:color w:val="auto"/>
        </w:rPr>
      </w:pPr>
      <w:r>
        <w:rPr>
          <w:rFonts w:ascii="Arial" w:cs="Arial" w:eastAsia="Arial" w:hAnsi="Arial"/>
          <w:sz w:val="10"/>
          <w:szCs w:val="10"/>
          <w:b w:val="1"/>
          <w:bCs w:val="1"/>
          <w:color w:val="D60011"/>
        </w:rPr>
        <w:t>BOARD OF DIRECTORS</w:t>
      </w:r>
    </w:p>
    <w:p>
      <w:pPr>
        <w:spacing w:after="0" w:line="83"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COMMITTEES</w:t>
      </w:r>
    </w:p>
    <w:p>
      <w:pPr>
        <w:spacing w:after="0" w:line="127" w:lineRule="exact"/>
        <w:rPr>
          <w:sz w:val="20"/>
          <w:szCs w:val="20"/>
          <w:color w:val="auto"/>
        </w:rPr>
      </w:pPr>
    </w:p>
    <w:p>
      <w:pPr>
        <w:jc w:val="center"/>
        <w:ind w:right="140"/>
        <w:spacing w:after="0"/>
        <w:rPr>
          <w:sz w:val="20"/>
          <w:szCs w:val="20"/>
          <w:color w:val="auto"/>
        </w:rPr>
      </w:pPr>
      <w:r>
        <w:rPr>
          <w:rFonts w:ascii="Arial" w:cs="Arial" w:eastAsia="Arial" w:hAnsi="Arial"/>
          <w:sz w:val="10"/>
          <w:szCs w:val="10"/>
          <w:color w:val="auto"/>
        </w:rPr>
        <w:t>The key oversight responsibilities of the committees, the current committee memberships, and the number of meetings held during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98425</wp:posOffset>
            </wp:positionV>
            <wp:extent cx="451485" cy="548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1485" cy="548640"/>
                    </a:xfrm>
                    <a:prstGeom prst="rect">
                      <a:avLst/>
                    </a:prstGeom>
                    <a:noFill/>
                  </pic:spPr>
                </pic:pic>
              </a:graphicData>
            </a:graphic>
          </wp:anchor>
        </w:drawing>
      </w:r>
    </w:p>
    <w:p>
      <w:pPr>
        <w:spacing w:after="0" w:line="20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D60011"/>
        </w:rPr>
        <w:t>AUDIT</w:t>
      </w:r>
    </w:p>
    <w:p>
      <w:pPr>
        <w:spacing w:after="0" w:line="226" w:lineRule="exact"/>
        <w:rPr>
          <w:sz w:val="20"/>
          <w:szCs w:val="20"/>
          <w:color w:val="auto"/>
        </w:rPr>
      </w:pPr>
    </w:p>
    <w:tbl>
      <w:tblPr>
        <w:tblLayout w:type="fixed"/>
        <w:tblInd w:w="1980" w:type="dxa"/>
        <w:tblCellMar>
          <w:top w:w="0" w:type="dxa"/>
          <w:left w:w="0" w:type="dxa"/>
          <w:bottom w:w="0" w:type="dxa"/>
          <w:right w:w="0" w:type="dxa"/>
        </w:tblCellMar>
      </w:tblPr>
      <w:tr>
        <w:trPr>
          <w:trHeight w:val="126"/>
        </w:trPr>
        <w:tc>
          <w:tcPr>
            <w:tcW w:w="284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GUILLERMO G.</w:t>
            </w:r>
          </w:p>
        </w:tc>
        <w:tc>
          <w:tcPr>
            <w:tcW w:w="2760" w:type="dxa"/>
            <w:vAlign w:val="bottom"/>
          </w:tcPr>
          <w:p>
            <w:pPr>
              <w:ind w:left="680"/>
              <w:spacing w:after="0"/>
              <w:rPr>
                <w:sz w:val="20"/>
                <w:szCs w:val="20"/>
                <w:color w:val="auto"/>
              </w:rPr>
            </w:pPr>
            <w:r>
              <w:rPr>
                <w:rFonts w:ascii="Arial" w:cs="Arial" w:eastAsia="Arial" w:hAnsi="Arial"/>
                <w:sz w:val="11"/>
                <w:szCs w:val="11"/>
                <w:b w:val="1"/>
                <w:bCs w:val="1"/>
                <w:color w:val="auto"/>
              </w:rPr>
              <w:t>Other Members:</w:t>
            </w:r>
          </w:p>
        </w:tc>
        <w:tc>
          <w:tcPr>
            <w:tcW w:w="1740" w:type="dxa"/>
            <w:vAlign w:val="bottom"/>
          </w:tcPr>
          <w:p>
            <w:pPr>
              <w:ind w:left="780"/>
              <w:spacing w:after="0"/>
              <w:rPr>
                <w:sz w:val="20"/>
                <w:szCs w:val="20"/>
                <w:color w:val="auto"/>
              </w:rPr>
            </w:pPr>
            <w:r>
              <w:rPr>
                <w:rFonts w:ascii="Arial" w:cs="Arial" w:eastAsia="Arial" w:hAnsi="Arial"/>
                <w:sz w:val="11"/>
                <w:szCs w:val="11"/>
                <w:b w:val="1"/>
                <w:bCs w:val="1"/>
                <w:color w:val="auto"/>
                <w:w w:val="96"/>
              </w:rPr>
              <w:t>9 meetings in 2021</w:t>
            </w:r>
          </w:p>
        </w:tc>
        <w:tc>
          <w:tcPr>
            <w:tcW w:w="0" w:type="dxa"/>
            <w:vAlign w:val="bottom"/>
          </w:tcPr>
          <w:p>
            <w:pPr>
              <w:spacing w:after="0"/>
              <w:rPr>
                <w:sz w:val="1"/>
                <w:szCs w:val="1"/>
                <w:color w:val="auto"/>
              </w:rPr>
            </w:pPr>
          </w:p>
        </w:tc>
      </w:tr>
      <w:tr>
        <w:trPr>
          <w:trHeight w:val="108"/>
        </w:trPr>
        <w:tc>
          <w:tcPr>
            <w:tcW w:w="2840" w:type="dxa"/>
            <w:vAlign w:val="bottom"/>
            <w:vMerge w:val="continue"/>
          </w:tcPr>
          <w:p>
            <w:pPr>
              <w:spacing w:after="0"/>
              <w:rPr>
                <w:sz w:val="9"/>
                <w:szCs w:val="9"/>
                <w:color w:val="auto"/>
              </w:rPr>
            </w:pPr>
          </w:p>
        </w:tc>
        <w:tc>
          <w:tcPr>
            <w:tcW w:w="2760" w:type="dxa"/>
            <w:vAlign w:val="bottom"/>
          </w:tcPr>
          <w:p>
            <w:pPr>
              <w:ind w:left="680"/>
              <w:spacing w:after="0" w:line="108" w:lineRule="exact"/>
              <w:rPr>
                <w:sz w:val="20"/>
                <w:szCs w:val="20"/>
                <w:color w:val="auto"/>
              </w:rPr>
            </w:pPr>
            <w:r>
              <w:rPr>
                <w:rFonts w:ascii="Arial" w:cs="Arial" w:eastAsia="Arial" w:hAnsi="Arial"/>
                <w:sz w:val="11"/>
                <w:szCs w:val="11"/>
                <w:color w:val="auto"/>
              </w:rPr>
              <w:t>Drosos, McKenna, Nicosia,</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840" w:type="dxa"/>
            <w:vAlign w:val="bottom"/>
          </w:tcPr>
          <w:p>
            <w:pPr>
              <w:ind w:left="1100"/>
              <w:spacing w:after="0"/>
              <w:rPr>
                <w:sz w:val="20"/>
                <w:szCs w:val="20"/>
                <w:color w:val="auto"/>
              </w:rPr>
            </w:pPr>
            <w:r>
              <w:rPr>
                <w:rFonts w:ascii="Arial" w:cs="Arial" w:eastAsia="Arial" w:hAnsi="Arial"/>
                <w:sz w:val="14"/>
                <w:szCs w:val="14"/>
                <w:b w:val="1"/>
                <w:bCs w:val="1"/>
                <w:color w:val="auto"/>
              </w:rPr>
              <w:t xml:space="preserve">MARMOL </w:t>
            </w:r>
            <w:r>
              <w:rPr>
                <w:rFonts w:ascii="Arial" w:cs="Arial" w:eastAsia="Arial" w:hAnsi="Arial"/>
                <w:sz w:val="11"/>
                <w:szCs w:val="11"/>
                <w:b w:val="1"/>
                <w:bCs w:val="1"/>
                <w:color w:val="D60011"/>
              </w:rPr>
              <w:t>Chair</w:t>
            </w:r>
          </w:p>
        </w:tc>
        <w:tc>
          <w:tcPr>
            <w:tcW w:w="2760" w:type="dxa"/>
            <w:vAlign w:val="bottom"/>
          </w:tcPr>
          <w:p>
            <w:pPr>
              <w:ind w:left="680"/>
              <w:spacing w:after="0"/>
              <w:rPr>
                <w:sz w:val="20"/>
                <w:szCs w:val="20"/>
                <w:color w:val="auto"/>
              </w:rPr>
            </w:pPr>
            <w:r>
              <w:rPr>
                <w:rFonts w:ascii="Arial" w:cs="Arial" w:eastAsia="Arial" w:hAnsi="Arial"/>
                <w:sz w:val="11"/>
                <w:szCs w:val="11"/>
                <w:color w:val="auto"/>
              </w:rPr>
              <w:t>Payne, and Young</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840" w:type="dxa"/>
            <w:vAlign w:val="bottom"/>
            <w:tcBorders>
              <w:bottom w:val="single" w:sz="8" w:color="D60010"/>
            </w:tcBorders>
          </w:tcPr>
          <w:p>
            <w:pPr>
              <w:spacing w:after="0"/>
              <w:rPr>
                <w:sz w:val="5"/>
                <w:szCs w:val="5"/>
                <w:color w:val="auto"/>
              </w:rPr>
            </w:pPr>
          </w:p>
        </w:tc>
        <w:tc>
          <w:tcPr>
            <w:tcW w:w="2760" w:type="dxa"/>
            <w:vAlign w:val="bottom"/>
            <w:tcBorders>
              <w:bottom w:val="single" w:sz="8" w:color="D60010"/>
            </w:tcBorders>
          </w:tcPr>
          <w:p>
            <w:pPr>
              <w:spacing w:after="0"/>
              <w:rPr>
                <w:sz w:val="5"/>
                <w:szCs w:val="5"/>
                <w:color w:val="auto"/>
              </w:rPr>
            </w:pPr>
          </w:p>
        </w:tc>
        <w:tc>
          <w:tcPr>
            <w:tcW w:w="1740" w:type="dxa"/>
            <w:vAlign w:val="bottom"/>
            <w:tcBorders>
              <w:bottom w:val="single" w:sz="8" w:color="D6001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00"/>
          </w:cols>
          <w:pgMar w:left="300" w:top="439" w:right="299" w:bottom="1440" w:gutter="0" w:footer="0" w:header="0"/>
        </w:sectPr>
      </w:pPr>
    </w:p>
    <w:p>
      <w:pPr>
        <w:jc w:val="center"/>
        <w:ind w:left="500"/>
        <w:spacing w:after="0"/>
        <w:rPr>
          <w:sz w:val="20"/>
          <w:szCs w:val="20"/>
          <w:color w:val="auto"/>
        </w:rPr>
      </w:pPr>
      <w:r>
        <w:rPr>
          <w:rFonts w:ascii="Arial" w:cs="Arial" w:eastAsia="Arial" w:hAnsi="Arial"/>
          <w:sz w:val="10"/>
          <w:szCs w:val="10"/>
          <w:b w:val="1"/>
          <w:bCs w:val="1"/>
          <w:color w:val="auto"/>
        </w:rPr>
        <w:t>KEY OVERSIGHT RESPONSIBILITIES</w:t>
      </w:r>
    </w:p>
    <w:p>
      <w:pPr>
        <w:spacing w:after="0" w:line="78" w:lineRule="exact"/>
        <w:rPr>
          <w:sz w:val="20"/>
          <w:szCs w:val="20"/>
          <w:color w:val="auto"/>
        </w:rPr>
      </w:pPr>
    </w:p>
    <w:p>
      <w:pPr>
        <w:ind w:left="2180" w:hanging="208"/>
        <w:spacing w:after="0"/>
        <w:tabs>
          <w:tab w:leader="none" w:pos="2180" w:val="left"/>
        </w:tabs>
        <w:numPr>
          <w:ilvl w:val="0"/>
          <w:numId w:val="59"/>
        </w:numPr>
        <w:rPr>
          <w:rFonts w:ascii="Arial" w:cs="Arial" w:eastAsia="Arial" w:hAnsi="Arial"/>
          <w:sz w:val="17"/>
          <w:szCs w:val="17"/>
          <w:color w:val="D60010"/>
          <w:vertAlign w:val="superscript"/>
        </w:rPr>
      </w:pPr>
      <w:r>
        <w:rPr>
          <w:rFonts w:ascii="Arial" w:cs="Arial" w:eastAsia="Arial" w:hAnsi="Arial"/>
          <w:sz w:val="11"/>
          <w:szCs w:val="11"/>
          <w:color w:val="auto"/>
        </w:rPr>
        <w:t>appoints the independent auditors</w:t>
      </w:r>
    </w:p>
    <w:p>
      <w:pPr>
        <w:ind w:left="2180" w:hanging="208"/>
        <w:spacing w:after="0" w:line="187" w:lineRule="auto"/>
        <w:tabs>
          <w:tab w:leader="none" w:pos="2180" w:val="left"/>
        </w:tabs>
        <w:numPr>
          <w:ilvl w:val="0"/>
          <w:numId w:val="59"/>
        </w:numPr>
        <w:rPr>
          <w:rFonts w:ascii="Arial" w:cs="Arial" w:eastAsia="Arial" w:hAnsi="Arial"/>
          <w:sz w:val="14"/>
          <w:szCs w:val="14"/>
          <w:color w:val="D60010"/>
          <w:vertAlign w:val="superscript"/>
        </w:rPr>
      </w:pPr>
      <w:r>
        <w:rPr>
          <w:rFonts w:ascii="Arial" w:cs="Arial" w:eastAsia="Arial" w:hAnsi="Arial"/>
          <w:sz w:val="9"/>
          <w:szCs w:val="9"/>
          <w:color w:val="auto"/>
        </w:rPr>
        <w:t>approves the independent auditors’ compensation</w:t>
      </w:r>
    </w:p>
    <w:p>
      <w:pPr>
        <w:ind w:left="2180" w:right="220" w:hanging="208"/>
        <w:spacing w:after="0" w:line="187" w:lineRule="auto"/>
        <w:tabs>
          <w:tab w:leader="none" w:pos="2180" w:val="left"/>
        </w:tabs>
        <w:numPr>
          <w:ilvl w:val="0"/>
          <w:numId w:val="59"/>
        </w:numPr>
        <w:rPr>
          <w:rFonts w:ascii="Arial" w:cs="Arial" w:eastAsia="Arial" w:hAnsi="Arial"/>
          <w:sz w:val="17"/>
          <w:szCs w:val="17"/>
          <w:color w:val="D60010"/>
          <w:vertAlign w:val="superscript"/>
        </w:rPr>
      </w:pPr>
      <w:r>
        <w:rPr>
          <w:rFonts w:ascii="Arial" w:cs="Arial" w:eastAsia="Arial" w:hAnsi="Arial"/>
          <w:sz w:val="11"/>
          <w:szCs w:val="11"/>
          <w:color w:val="auto"/>
        </w:rPr>
        <w:t>assists the Board in fulfilling its oversight responsibilities in the following areas:</w:t>
      </w:r>
    </w:p>
    <w:p>
      <w:pPr>
        <w:spacing w:after="0" w:line="1" w:lineRule="exact"/>
        <w:rPr>
          <w:rFonts w:ascii="Arial" w:cs="Arial" w:eastAsia="Arial" w:hAnsi="Arial"/>
          <w:sz w:val="17"/>
          <w:szCs w:val="17"/>
          <w:color w:val="D60010"/>
          <w:vertAlign w:val="superscript"/>
        </w:rPr>
      </w:pPr>
    </w:p>
    <w:p>
      <w:pPr>
        <w:ind w:left="2400" w:hanging="212"/>
        <w:spacing w:after="0" w:line="187" w:lineRule="auto"/>
        <w:tabs>
          <w:tab w:leader="none" w:pos="2400" w:val="left"/>
        </w:tabs>
        <w:numPr>
          <w:ilvl w:val="1"/>
          <w:numId w:val="59"/>
        </w:numPr>
        <w:rPr>
          <w:rFonts w:ascii="Arial" w:cs="Arial" w:eastAsia="Arial" w:hAnsi="Arial"/>
          <w:sz w:val="14"/>
          <w:szCs w:val="14"/>
          <w:color w:val="D60010"/>
          <w:vertAlign w:val="superscript"/>
        </w:rPr>
      </w:pPr>
      <w:r>
        <w:rPr>
          <w:rFonts w:ascii="Arial" w:cs="Arial" w:eastAsia="Arial" w:hAnsi="Arial"/>
          <w:sz w:val="9"/>
          <w:szCs w:val="9"/>
          <w:color w:val="auto"/>
        </w:rPr>
        <w:t>accounting policies and practices</w:t>
      </w:r>
    </w:p>
    <w:p>
      <w:pPr>
        <w:ind w:left="2400" w:hanging="212"/>
        <w:spacing w:after="0" w:line="187" w:lineRule="auto"/>
        <w:tabs>
          <w:tab w:leader="none" w:pos="2400" w:val="left"/>
        </w:tabs>
        <w:numPr>
          <w:ilvl w:val="1"/>
          <w:numId w:val="59"/>
        </w:numPr>
        <w:rPr>
          <w:rFonts w:ascii="Arial" w:cs="Arial" w:eastAsia="Arial" w:hAnsi="Arial"/>
          <w:sz w:val="14"/>
          <w:szCs w:val="14"/>
          <w:color w:val="D60010"/>
          <w:vertAlign w:val="superscript"/>
        </w:rPr>
      </w:pPr>
      <w:r>
        <w:rPr>
          <w:rFonts w:ascii="Arial" w:cs="Arial" w:eastAsia="Arial" w:hAnsi="Arial"/>
          <w:sz w:val="9"/>
          <w:szCs w:val="9"/>
          <w:color w:val="auto"/>
        </w:rPr>
        <w:t>the integrity of the Company’s financial statements</w:t>
      </w:r>
    </w:p>
    <w:p>
      <w:pPr>
        <w:ind w:left="2400" w:hanging="212"/>
        <w:spacing w:after="0" w:line="187" w:lineRule="auto"/>
        <w:tabs>
          <w:tab w:leader="none" w:pos="2400" w:val="left"/>
        </w:tabs>
        <w:numPr>
          <w:ilvl w:val="1"/>
          <w:numId w:val="59"/>
        </w:numPr>
        <w:rPr>
          <w:rFonts w:ascii="Arial" w:cs="Arial" w:eastAsia="Arial" w:hAnsi="Arial"/>
          <w:sz w:val="14"/>
          <w:szCs w:val="14"/>
          <w:color w:val="D60010"/>
          <w:vertAlign w:val="superscript"/>
        </w:rPr>
      </w:pPr>
      <w:r>
        <w:rPr>
          <w:rFonts w:ascii="Arial" w:cs="Arial" w:eastAsia="Arial" w:hAnsi="Arial"/>
          <w:sz w:val="9"/>
          <w:szCs w:val="9"/>
          <w:color w:val="auto"/>
        </w:rPr>
        <w:t>compliance with legal and regulatory requirements</w:t>
      </w:r>
    </w:p>
    <w:p>
      <w:pPr>
        <w:ind w:left="2400" w:hanging="212"/>
        <w:spacing w:after="0" w:line="187" w:lineRule="auto"/>
        <w:tabs>
          <w:tab w:leader="none" w:pos="2400" w:val="left"/>
        </w:tabs>
        <w:numPr>
          <w:ilvl w:val="1"/>
          <w:numId w:val="59"/>
        </w:numPr>
        <w:rPr>
          <w:rFonts w:ascii="Arial" w:cs="Arial" w:eastAsia="Arial" w:hAnsi="Arial"/>
          <w:sz w:val="14"/>
          <w:szCs w:val="14"/>
          <w:color w:val="D60010"/>
          <w:vertAlign w:val="superscript"/>
        </w:rPr>
      </w:pPr>
      <w:r>
        <w:rPr>
          <w:rFonts w:ascii="Arial" w:cs="Arial" w:eastAsia="Arial" w:hAnsi="Arial"/>
          <w:sz w:val="9"/>
          <w:szCs w:val="9"/>
          <w:color w:val="auto"/>
        </w:rPr>
        <w:t>the Company’s risk assessment and risk management policies</w:t>
      </w:r>
    </w:p>
    <w:p>
      <w:pPr>
        <w:ind w:left="2400" w:hanging="212"/>
        <w:spacing w:after="0" w:line="183" w:lineRule="auto"/>
        <w:tabs>
          <w:tab w:leader="none" w:pos="2400" w:val="left"/>
        </w:tabs>
        <w:numPr>
          <w:ilvl w:val="1"/>
          <w:numId w:val="59"/>
        </w:numPr>
        <w:rPr>
          <w:rFonts w:ascii="Arial" w:cs="Arial" w:eastAsia="Arial" w:hAnsi="Arial"/>
          <w:sz w:val="15"/>
          <w:szCs w:val="15"/>
          <w:color w:val="D60010"/>
          <w:vertAlign w:val="superscript"/>
        </w:rPr>
      </w:pPr>
      <w:r>
        <w:rPr>
          <w:rFonts w:ascii="Arial" w:cs="Arial" w:eastAsia="Arial" w:hAnsi="Arial"/>
          <w:sz w:val="10"/>
          <w:szCs w:val="10"/>
          <w:color w:val="auto"/>
        </w:rPr>
        <w:t>cybersecurity</w:t>
      </w:r>
    </w:p>
    <w:p>
      <w:pPr>
        <w:spacing w:after="0" w:line="20" w:lineRule="exact"/>
        <w:rPr>
          <w:sz w:val="20"/>
          <w:szCs w:val="20"/>
          <w:color w:val="auto"/>
        </w:rPr>
      </w:pPr>
      <w:r>
        <w:rPr>
          <w:sz w:val="20"/>
          <w:szCs w:val="20"/>
          <w:color w:val="auto"/>
        </w:rPr>
        <w:br w:type="column"/>
      </w:r>
    </w:p>
    <w:p>
      <w:pPr>
        <w:ind w:left="429" w:right="2360" w:hanging="213"/>
        <w:spacing w:after="0" w:line="195" w:lineRule="auto"/>
        <w:tabs>
          <w:tab w:leader="none" w:pos="429" w:val="left"/>
        </w:tabs>
        <w:numPr>
          <w:ilvl w:val="1"/>
          <w:numId w:val="60"/>
        </w:numPr>
        <w:rPr>
          <w:rFonts w:ascii="Arial" w:cs="Arial" w:eastAsia="Arial" w:hAnsi="Arial"/>
          <w:sz w:val="17"/>
          <w:szCs w:val="17"/>
          <w:color w:val="D60010"/>
          <w:vertAlign w:val="superscript"/>
        </w:rPr>
      </w:pPr>
      <w:r>
        <w:rPr>
          <w:rFonts w:ascii="Arial" w:cs="Arial" w:eastAsia="Arial" w:hAnsi="Arial"/>
          <w:sz w:val="11"/>
          <w:szCs w:val="11"/>
          <w:color w:val="auto"/>
        </w:rPr>
        <w:t>the qualifications, independence, and performance of the independent auditors</w:t>
      </w:r>
    </w:p>
    <w:p>
      <w:pPr>
        <w:ind w:left="429" w:right="2360" w:hanging="213"/>
        <w:spacing w:after="0" w:line="187" w:lineRule="auto"/>
        <w:tabs>
          <w:tab w:leader="none" w:pos="429" w:val="left"/>
        </w:tabs>
        <w:numPr>
          <w:ilvl w:val="1"/>
          <w:numId w:val="60"/>
        </w:numPr>
        <w:rPr>
          <w:rFonts w:ascii="Arial" w:cs="Arial" w:eastAsia="Arial" w:hAnsi="Arial"/>
          <w:sz w:val="17"/>
          <w:szCs w:val="17"/>
          <w:color w:val="D60010"/>
          <w:vertAlign w:val="superscript"/>
        </w:rPr>
      </w:pPr>
      <w:r>
        <w:rPr>
          <w:rFonts w:ascii="Arial" w:cs="Arial" w:eastAsia="Arial" w:hAnsi="Arial"/>
          <w:sz w:val="11"/>
          <w:szCs w:val="11"/>
          <w:color w:val="auto"/>
        </w:rPr>
        <w:t>the qualifications, performance, and compensation of the internal auditors</w:t>
      </w:r>
    </w:p>
    <w:p>
      <w:pPr>
        <w:spacing w:after="0" w:line="1" w:lineRule="exact"/>
        <w:rPr>
          <w:rFonts w:ascii="Arial" w:cs="Arial" w:eastAsia="Arial" w:hAnsi="Arial"/>
          <w:sz w:val="17"/>
          <w:szCs w:val="17"/>
          <w:color w:val="D60010"/>
          <w:vertAlign w:val="superscript"/>
        </w:rPr>
      </w:pPr>
    </w:p>
    <w:p>
      <w:pPr>
        <w:ind w:left="429" w:right="2200" w:hanging="213"/>
        <w:spacing w:after="0" w:line="187" w:lineRule="auto"/>
        <w:tabs>
          <w:tab w:leader="none" w:pos="429" w:val="left"/>
        </w:tabs>
        <w:numPr>
          <w:ilvl w:val="1"/>
          <w:numId w:val="60"/>
        </w:numPr>
        <w:rPr>
          <w:rFonts w:ascii="Arial" w:cs="Arial" w:eastAsia="Arial" w:hAnsi="Arial"/>
          <w:sz w:val="17"/>
          <w:szCs w:val="17"/>
          <w:color w:val="D60010"/>
          <w:vertAlign w:val="superscript"/>
        </w:rPr>
      </w:pPr>
      <w:r>
        <w:rPr>
          <w:rFonts w:ascii="Arial" w:cs="Arial" w:eastAsia="Arial" w:hAnsi="Arial"/>
          <w:sz w:val="11"/>
          <w:szCs w:val="11"/>
          <w:color w:val="auto"/>
        </w:rPr>
        <w:t>reviews and monitors compliance with the Code of Business Conduct</w:t>
      </w:r>
    </w:p>
    <w:p>
      <w:pPr>
        <w:spacing w:after="0" w:line="1" w:lineRule="exact"/>
        <w:rPr>
          <w:rFonts w:ascii="Arial" w:cs="Arial" w:eastAsia="Arial" w:hAnsi="Arial"/>
          <w:sz w:val="17"/>
          <w:szCs w:val="17"/>
          <w:color w:val="D60010"/>
          <w:vertAlign w:val="superscript"/>
        </w:rPr>
      </w:pPr>
    </w:p>
    <w:p>
      <w:pPr>
        <w:ind w:left="209" w:right="2160" w:hanging="209"/>
        <w:spacing w:after="0" w:line="202" w:lineRule="auto"/>
        <w:tabs>
          <w:tab w:leader="none" w:pos="209" w:val="left"/>
        </w:tabs>
        <w:numPr>
          <w:ilvl w:val="0"/>
          <w:numId w:val="60"/>
        </w:numPr>
        <w:rPr>
          <w:rFonts w:ascii="Arial" w:cs="Arial" w:eastAsia="Arial" w:hAnsi="Arial"/>
          <w:sz w:val="17"/>
          <w:szCs w:val="17"/>
          <w:color w:val="D60010"/>
          <w:vertAlign w:val="superscript"/>
        </w:rPr>
      </w:pPr>
      <w:r>
        <w:rPr>
          <w:rFonts w:ascii="Arial" w:cs="Arial" w:eastAsia="Arial" w:hAnsi="Arial"/>
          <w:sz w:val="11"/>
          <w:szCs w:val="11"/>
          <w:color w:val="auto"/>
        </w:rPr>
        <w:t>establishes procedures for the receipt, retention, and treatment of complaints regarding accounting, internal accounting and audit controls, and auditing matters</w:t>
      </w:r>
    </w:p>
    <w:p>
      <w:pPr>
        <w:ind w:left="209" w:right="2220" w:hanging="209"/>
        <w:spacing w:after="0" w:line="202" w:lineRule="auto"/>
        <w:tabs>
          <w:tab w:leader="none" w:pos="209" w:val="left"/>
        </w:tabs>
        <w:numPr>
          <w:ilvl w:val="0"/>
          <w:numId w:val="60"/>
        </w:numPr>
        <w:rPr>
          <w:rFonts w:ascii="Arial" w:cs="Arial" w:eastAsia="Arial" w:hAnsi="Arial"/>
          <w:sz w:val="17"/>
          <w:szCs w:val="17"/>
          <w:color w:val="D60010"/>
          <w:vertAlign w:val="superscript"/>
        </w:rPr>
      </w:pPr>
      <w:r>
        <w:rPr>
          <w:rFonts w:ascii="Arial" w:cs="Arial" w:eastAsia="Arial" w:hAnsi="Arial"/>
          <w:sz w:val="11"/>
          <w:szCs w:val="11"/>
          <w:color w:val="auto"/>
        </w:rPr>
        <w:t>reviews and discusses risk assessments from management with respect to ESG-related risks, and relevant ESG metrics and attestations associated with these metrics</w:t>
      </w:r>
    </w:p>
    <w:p>
      <w:pPr>
        <w:spacing w:after="0" w:line="1" w:lineRule="exact"/>
        <w:rPr>
          <w:sz w:val="20"/>
          <w:szCs w:val="20"/>
          <w:color w:val="auto"/>
        </w:rPr>
      </w:pPr>
    </w:p>
    <w:p>
      <w:pPr>
        <w:sectPr>
          <w:pgSz w:w="11900" w:h="16838" w:orient="portrait"/>
          <w:cols w:equalWidth="0" w:num="2">
            <w:col w:w="5380" w:space="411"/>
            <w:col w:w="5509"/>
          </w:cols>
          <w:pgMar w:left="300" w:top="439" w:right="299" w:bottom="1440" w:gutter="0" w:footer="0" w:header="0"/>
          <w:type w:val="continuous"/>
        </w:sectPr>
      </w:pPr>
    </w:p>
    <w:p>
      <w:pPr>
        <w:ind w:left="1980" w:right="2020"/>
        <w:spacing w:after="0" w:line="241" w:lineRule="auto"/>
        <w:rPr>
          <w:sz w:val="20"/>
          <w:szCs w:val="20"/>
          <w:color w:val="auto"/>
        </w:rPr>
      </w:pPr>
      <w:r>
        <w:rPr>
          <w:rFonts w:ascii="Arial" w:cs="Arial" w:eastAsia="Arial" w:hAnsi="Arial"/>
          <w:sz w:val="11"/>
          <w:szCs w:val="11"/>
          <w:color w:val="auto"/>
        </w:rPr>
        <w:t>This committee consists of six independent directors, as independence is defined under the SEC and NYSE rules applicable to audit committee members. All of the members meet the expertise requirements under the NYSE rules. The Board has determined that Mr. McKenna qualifies as an “audit committee financial expert,” as defined by the rules under the Exchange Act, through his relevant experience as a former senior financial executive of a large multinational corporation. The Board believes that there are other directors who would also qualify for this designation and the Board will designate a new “audit committee financial expert” upon Mr. McKenna’s retirement.</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The </w:t>
      </w:r>
      <w:r>
        <w:rPr>
          <w:rFonts w:ascii="Arial" w:cs="Arial" w:eastAsia="Arial" w:hAnsi="Arial"/>
          <w:sz w:val="11"/>
          <w:szCs w:val="11"/>
          <w:b w:val="1"/>
          <w:bCs w:val="1"/>
          <w:color w:val="DA0005"/>
        </w:rPr>
        <w:t>Audit Committee Report</w:t>
      </w:r>
      <w:r>
        <w:rPr>
          <w:rFonts w:ascii="Arial" w:cs="Arial" w:eastAsia="Arial" w:hAnsi="Arial"/>
          <w:sz w:val="11"/>
          <w:szCs w:val="11"/>
          <w:color w:val="auto"/>
        </w:rPr>
        <w:t xml:space="preserve"> appears on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90805</wp:posOffset>
            </wp:positionV>
            <wp:extent cx="46634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1275080</wp:posOffset>
            </wp:positionH>
            <wp:positionV relativeFrom="paragraph">
              <wp:posOffset>165100</wp:posOffset>
            </wp:positionV>
            <wp:extent cx="474345" cy="5372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4345" cy="537210"/>
                    </a:xfrm>
                    <a:prstGeom prst="rect">
                      <a:avLst/>
                    </a:prstGeom>
                    <a:noFill/>
                  </pic:spPr>
                </pic:pic>
              </a:graphicData>
            </a:graphic>
          </wp:anchor>
        </w:drawing>
      </w:r>
    </w:p>
    <w:p>
      <w:pPr>
        <w:spacing w:after="0" w:line="29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D60011"/>
        </w:rPr>
        <w:t>EXECUTIVE</w:t>
      </w:r>
    </w:p>
    <w:p>
      <w:pPr>
        <w:spacing w:after="0" w:line="226" w:lineRule="exact"/>
        <w:rPr>
          <w:sz w:val="20"/>
          <w:szCs w:val="20"/>
          <w:color w:val="auto"/>
        </w:rPr>
      </w:pPr>
    </w:p>
    <w:tbl>
      <w:tblPr>
        <w:tblLayout w:type="fixed"/>
        <w:tblInd w:w="3080" w:type="dxa"/>
        <w:tblCellMar>
          <w:top w:w="0" w:type="dxa"/>
          <w:left w:w="0" w:type="dxa"/>
          <w:bottom w:w="0" w:type="dxa"/>
          <w:right w:w="0" w:type="dxa"/>
        </w:tblCellMar>
      </w:tblPr>
      <w:tr>
        <w:trPr>
          <w:trHeight w:val="126"/>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RICHARD A.</w:t>
            </w:r>
          </w:p>
        </w:tc>
        <w:tc>
          <w:tcPr>
            <w:tcW w:w="2680" w:type="dxa"/>
            <w:vAlign w:val="bottom"/>
          </w:tcPr>
          <w:p>
            <w:pPr>
              <w:ind w:left="680"/>
              <w:spacing w:after="0"/>
              <w:rPr>
                <w:sz w:val="20"/>
                <w:szCs w:val="20"/>
                <w:color w:val="auto"/>
              </w:rPr>
            </w:pPr>
            <w:r>
              <w:rPr>
                <w:rFonts w:ascii="Arial" w:cs="Arial" w:eastAsia="Arial" w:hAnsi="Arial"/>
                <w:sz w:val="11"/>
                <w:szCs w:val="11"/>
                <w:b w:val="1"/>
                <w:bCs w:val="1"/>
                <w:color w:val="auto"/>
              </w:rPr>
              <w:t>Other Members:</w:t>
            </w: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vMerge w:val="continue"/>
          </w:tcPr>
          <w:p>
            <w:pPr>
              <w:spacing w:after="0"/>
              <w:rPr>
                <w:sz w:val="9"/>
                <w:szCs w:val="9"/>
                <w:color w:val="auto"/>
              </w:rPr>
            </w:pPr>
          </w:p>
        </w:tc>
        <w:tc>
          <w:tcPr>
            <w:tcW w:w="2680" w:type="dxa"/>
            <w:vAlign w:val="bottom"/>
          </w:tcPr>
          <w:p>
            <w:pPr>
              <w:ind w:left="680"/>
              <w:spacing w:after="0" w:line="108" w:lineRule="exact"/>
              <w:rPr>
                <w:sz w:val="20"/>
                <w:szCs w:val="20"/>
                <w:color w:val="auto"/>
              </w:rPr>
            </w:pPr>
            <w:r>
              <w:rPr>
                <w:rFonts w:ascii="Arial" w:cs="Arial" w:eastAsia="Arial" w:hAnsi="Arial"/>
                <w:sz w:val="11"/>
                <w:szCs w:val="11"/>
                <w:color w:val="auto"/>
              </w:rPr>
              <w:t>Marmol, Oakland, Payne,</w:t>
            </w:r>
          </w:p>
        </w:tc>
        <w:tc>
          <w:tcPr>
            <w:tcW w:w="1820" w:type="dxa"/>
            <w:vAlign w:val="bottom"/>
          </w:tcPr>
          <w:p>
            <w:pPr>
              <w:ind w:left="780"/>
              <w:spacing w:after="0" w:line="108" w:lineRule="exact"/>
              <w:rPr>
                <w:sz w:val="20"/>
                <w:szCs w:val="20"/>
                <w:color w:val="auto"/>
              </w:rPr>
            </w:pPr>
            <w:r>
              <w:rPr>
                <w:rFonts w:ascii="Arial" w:cs="Arial" w:eastAsia="Arial" w:hAnsi="Arial"/>
                <w:sz w:val="11"/>
                <w:szCs w:val="11"/>
                <w:b w:val="1"/>
                <w:bCs w:val="1"/>
                <w:color w:val="auto"/>
                <w:w w:val="95"/>
              </w:rPr>
              <w:t>No meetings in 2021</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4"/>
                <w:szCs w:val="14"/>
                <w:b w:val="1"/>
                <w:bCs w:val="1"/>
                <w:color w:val="auto"/>
              </w:rPr>
              <w:t xml:space="preserve">JOHNSON </w:t>
            </w:r>
            <w:r>
              <w:rPr>
                <w:rFonts w:ascii="Arial" w:cs="Arial" w:eastAsia="Arial" w:hAnsi="Arial"/>
                <w:sz w:val="11"/>
                <w:szCs w:val="11"/>
                <w:b w:val="1"/>
                <w:bCs w:val="1"/>
                <w:color w:val="D60011"/>
              </w:rPr>
              <w:t>Chair</w:t>
            </w:r>
          </w:p>
        </w:tc>
        <w:tc>
          <w:tcPr>
            <w:tcW w:w="2680" w:type="dxa"/>
            <w:vAlign w:val="bottom"/>
          </w:tcPr>
          <w:p>
            <w:pPr>
              <w:ind w:left="680"/>
              <w:spacing w:after="0"/>
              <w:rPr>
                <w:sz w:val="20"/>
                <w:szCs w:val="20"/>
                <w:color w:val="auto"/>
              </w:rPr>
            </w:pPr>
            <w:r>
              <w:rPr>
                <w:rFonts w:ascii="Arial" w:cs="Arial" w:eastAsia="Arial" w:hAnsi="Arial"/>
                <w:sz w:val="11"/>
                <w:szCs w:val="11"/>
                <w:color w:val="auto"/>
              </w:rPr>
              <w:t>Underhill, and Young</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40005</wp:posOffset>
            </wp:positionV>
            <wp:extent cx="46634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5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KEY OVERSIGHT RESPONSIBILITY</w:t>
      </w:r>
    </w:p>
    <w:p>
      <w:pPr>
        <w:spacing w:after="0" w:line="72" w:lineRule="exact"/>
        <w:rPr>
          <w:sz w:val="20"/>
          <w:szCs w:val="20"/>
          <w:color w:val="auto"/>
        </w:rPr>
      </w:pPr>
    </w:p>
    <w:p>
      <w:pPr>
        <w:ind w:left="2180" w:hanging="208"/>
        <w:spacing w:after="0"/>
        <w:tabs>
          <w:tab w:leader="none" w:pos="2180" w:val="left"/>
        </w:tabs>
        <w:numPr>
          <w:ilvl w:val="0"/>
          <w:numId w:val="61"/>
        </w:numPr>
        <w:rPr>
          <w:rFonts w:ascii="Arial" w:cs="Arial" w:eastAsia="Arial" w:hAnsi="Arial"/>
          <w:sz w:val="17"/>
          <w:szCs w:val="17"/>
          <w:color w:val="D60010"/>
          <w:vertAlign w:val="superscript"/>
        </w:rPr>
      </w:pPr>
      <w:r>
        <w:rPr>
          <w:rFonts w:ascii="Arial" w:cs="Arial" w:eastAsia="Arial" w:hAnsi="Arial"/>
          <w:sz w:val="11"/>
          <w:szCs w:val="11"/>
          <w:color w:val="auto"/>
        </w:rPr>
        <w:t>shares all of the powers of the Board during intervals between Board meetings, except for certain matters reserved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75565</wp:posOffset>
            </wp:positionV>
            <wp:extent cx="46634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1275080</wp:posOffset>
            </wp:positionH>
            <wp:positionV relativeFrom="paragraph">
              <wp:posOffset>149860</wp:posOffset>
            </wp:positionV>
            <wp:extent cx="474345" cy="5657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345" cy="565785"/>
                    </a:xfrm>
                    <a:prstGeom prst="rect">
                      <a:avLst/>
                    </a:prstGeom>
                    <a:noFill/>
                  </pic:spPr>
                </pic:pic>
              </a:graphicData>
            </a:graphic>
          </wp:anchor>
        </w:drawing>
      </w:r>
    </w:p>
    <w:p>
      <w:pPr>
        <w:spacing w:after="0" w:line="31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D60011"/>
        </w:rPr>
        <w:t>FINANCE</w:t>
      </w:r>
    </w:p>
    <w:p>
      <w:pPr>
        <w:spacing w:after="0" w:line="226" w:lineRule="exact"/>
        <w:rPr>
          <w:sz w:val="20"/>
          <w:szCs w:val="20"/>
          <w:color w:val="auto"/>
        </w:rPr>
      </w:pPr>
    </w:p>
    <w:tbl>
      <w:tblPr>
        <w:tblLayout w:type="fixed"/>
        <w:tblInd w:w="3080" w:type="dxa"/>
        <w:tblCellMar>
          <w:top w:w="0" w:type="dxa"/>
          <w:left w:w="0" w:type="dxa"/>
          <w:bottom w:w="0" w:type="dxa"/>
          <w:right w:w="0" w:type="dxa"/>
        </w:tblCellMar>
      </w:tblPr>
      <w:tr>
        <w:trPr>
          <w:trHeight w:val="126"/>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STEVEN</w:t>
            </w:r>
          </w:p>
        </w:tc>
        <w:tc>
          <w:tcPr>
            <w:tcW w:w="2800" w:type="dxa"/>
            <w:vAlign w:val="bottom"/>
          </w:tcPr>
          <w:p>
            <w:pPr>
              <w:ind w:left="680"/>
              <w:spacing w:after="0"/>
              <w:rPr>
                <w:sz w:val="20"/>
                <w:szCs w:val="20"/>
                <w:color w:val="auto"/>
              </w:rPr>
            </w:pPr>
            <w:r>
              <w:rPr>
                <w:rFonts w:ascii="Arial" w:cs="Arial" w:eastAsia="Arial" w:hAnsi="Arial"/>
                <w:sz w:val="11"/>
                <w:szCs w:val="11"/>
                <w:b w:val="1"/>
                <w:bCs w:val="1"/>
                <w:color w:val="auto"/>
              </w:rPr>
              <w:t>Other Members:</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vMerge w:val="continue"/>
          </w:tcPr>
          <w:p>
            <w:pPr>
              <w:spacing w:after="0"/>
              <w:rPr>
                <w:sz w:val="9"/>
                <w:szCs w:val="9"/>
                <w:color w:val="auto"/>
              </w:rPr>
            </w:pPr>
          </w:p>
        </w:tc>
        <w:tc>
          <w:tcPr>
            <w:tcW w:w="2800" w:type="dxa"/>
            <w:vAlign w:val="bottom"/>
          </w:tcPr>
          <w:p>
            <w:pPr>
              <w:ind w:left="680"/>
              <w:spacing w:after="0" w:line="108" w:lineRule="exact"/>
              <w:rPr>
                <w:sz w:val="20"/>
                <w:szCs w:val="20"/>
                <w:color w:val="auto"/>
              </w:rPr>
            </w:pPr>
            <w:r>
              <w:rPr>
                <w:rFonts w:ascii="Arial" w:cs="Arial" w:eastAsia="Arial" w:hAnsi="Arial"/>
                <w:sz w:val="11"/>
                <w:szCs w:val="11"/>
                <w:color w:val="auto"/>
              </w:rPr>
              <w:t>Drosos, Feldman, McKenna,</w:t>
            </w:r>
          </w:p>
        </w:tc>
        <w:tc>
          <w:tcPr>
            <w:tcW w:w="1700" w:type="dxa"/>
            <w:vAlign w:val="bottom"/>
          </w:tcPr>
          <w:p>
            <w:pPr>
              <w:ind w:left="740"/>
              <w:spacing w:after="0" w:line="108" w:lineRule="exact"/>
              <w:rPr>
                <w:sz w:val="20"/>
                <w:szCs w:val="20"/>
                <w:color w:val="auto"/>
              </w:rPr>
            </w:pPr>
            <w:r>
              <w:rPr>
                <w:rFonts w:ascii="Arial" w:cs="Arial" w:eastAsia="Arial" w:hAnsi="Arial"/>
                <w:sz w:val="11"/>
                <w:szCs w:val="11"/>
                <w:b w:val="1"/>
                <w:bCs w:val="1"/>
                <w:color w:val="auto"/>
                <w:w w:val="96"/>
              </w:rPr>
              <w:t>5 meetings in 2021</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auto"/>
              </w:rPr>
              <w:t xml:space="preserve">OAKLAND </w:t>
            </w:r>
            <w:r>
              <w:rPr>
                <w:rFonts w:ascii="Arial" w:cs="Arial" w:eastAsia="Arial" w:hAnsi="Arial"/>
                <w:sz w:val="11"/>
                <w:szCs w:val="11"/>
                <w:b w:val="1"/>
                <w:bCs w:val="1"/>
                <w:color w:val="D60011"/>
              </w:rPr>
              <w:t>Chair</w:t>
            </w:r>
          </w:p>
        </w:tc>
        <w:tc>
          <w:tcPr>
            <w:tcW w:w="2800" w:type="dxa"/>
            <w:vAlign w:val="bottom"/>
          </w:tcPr>
          <w:p>
            <w:pPr>
              <w:ind w:left="680"/>
              <w:spacing w:after="0"/>
              <w:rPr>
                <w:sz w:val="20"/>
                <w:szCs w:val="20"/>
                <w:color w:val="auto"/>
              </w:rPr>
            </w:pPr>
            <w:r>
              <w:rPr>
                <w:rFonts w:ascii="Arial" w:cs="Arial" w:eastAsia="Arial" w:hAnsi="Arial"/>
                <w:sz w:val="11"/>
                <w:szCs w:val="11"/>
                <w:color w:val="auto"/>
              </w:rPr>
              <w:t>and Walker</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41275</wp:posOffset>
            </wp:positionV>
            <wp:extent cx="46634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1300"/>
          </w:cols>
          <w:pgMar w:left="300" w:top="439" w:right="299" w:bottom="1440" w:gutter="0" w:footer="0" w:header="0"/>
          <w:type w:val="continuous"/>
        </w:sectPr>
      </w:pPr>
    </w:p>
    <w:p>
      <w:pPr>
        <w:spacing w:after="0" w:line="173" w:lineRule="exact"/>
        <w:rPr>
          <w:sz w:val="20"/>
          <w:szCs w:val="20"/>
          <w:color w:val="auto"/>
        </w:rPr>
      </w:pPr>
    </w:p>
    <w:p>
      <w:pPr>
        <w:jc w:val="center"/>
        <w:ind w:left="400"/>
        <w:spacing w:after="0"/>
        <w:rPr>
          <w:sz w:val="20"/>
          <w:szCs w:val="20"/>
          <w:color w:val="auto"/>
        </w:rPr>
      </w:pPr>
      <w:r>
        <w:rPr>
          <w:rFonts w:ascii="Arial" w:cs="Arial" w:eastAsia="Arial" w:hAnsi="Arial"/>
          <w:sz w:val="10"/>
          <w:szCs w:val="10"/>
          <w:b w:val="1"/>
          <w:bCs w:val="1"/>
          <w:color w:val="auto"/>
        </w:rPr>
        <w:t>KEY OVERSIGHT RESPONSIBILITIES</w:t>
      </w:r>
    </w:p>
    <w:p>
      <w:pPr>
        <w:spacing w:after="0" w:line="60" w:lineRule="exact"/>
        <w:rPr>
          <w:sz w:val="20"/>
          <w:szCs w:val="20"/>
          <w:color w:val="auto"/>
        </w:rPr>
      </w:pPr>
    </w:p>
    <w:p>
      <w:pPr>
        <w:ind w:left="2180" w:hanging="208"/>
        <w:spacing w:after="0"/>
        <w:tabs>
          <w:tab w:leader="none" w:pos="2180" w:val="left"/>
        </w:tabs>
        <w:numPr>
          <w:ilvl w:val="0"/>
          <w:numId w:val="62"/>
        </w:numPr>
        <w:rPr>
          <w:rFonts w:ascii="Arial" w:cs="Arial" w:eastAsia="Arial" w:hAnsi="Arial"/>
          <w:sz w:val="17"/>
          <w:szCs w:val="17"/>
          <w:color w:val="D60010"/>
          <w:vertAlign w:val="superscript"/>
        </w:rPr>
      </w:pPr>
      <w:r>
        <w:rPr>
          <w:rFonts w:ascii="Arial" w:cs="Arial" w:eastAsia="Arial" w:hAnsi="Arial"/>
          <w:sz w:val="11"/>
          <w:szCs w:val="11"/>
          <w:color w:val="auto"/>
        </w:rPr>
        <w:t>reviews the Company’s financial plans and objectives</w:t>
      </w:r>
    </w:p>
    <w:p>
      <w:pPr>
        <w:ind w:left="2180" w:hanging="208"/>
        <w:spacing w:after="0" w:line="187" w:lineRule="auto"/>
        <w:tabs>
          <w:tab w:leader="none" w:pos="2180" w:val="left"/>
        </w:tabs>
        <w:numPr>
          <w:ilvl w:val="0"/>
          <w:numId w:val="62"/>
        </w:numPr>
        <w:rPr>
          <w:rFonts w:ascii="Arial" w:cs="Arial" w:eastAsia="Arial" w:hAnsi="Arial"/>
          <w:sz w:val="17"/>
          <w:szCs w:val="17"/>
          <w:color w:val="D60010"/>
          <w:vertAlign w:val="superscript"/>
        </w:rPr>
      </w:pPr>
      <w:r>
        <w:rPr>
          <w:rFonts w:ascii="Arial" w:cs="Arial" w:eastAsia="Arial" w:hAnsi="Arial"/>
          <w:sz w:val="11"/>
          <w:szCs w:val="11"/>
          <w:color w:val="auto"/>
        </w:rPr>
        <w:t>reviews and makes recommendations to the Board regarding the Company’s annual operating budget and two-year plans</w:t>
      </w:r>
    </w:p>
    <w:p>
      <w:pPr>
        <w:spacing w:after="0" w:line="1" w:lineRule="exact"/>
        <w:rPr>
          <w:rFonts w:ascii="Arial" w:cs="Arial" w:eastAsia="Arial" w:hAnsi="Arial"/>
          <w:sz w:val="17"/>
          <w:szCs w:val="17"/>
          <w:color w:val="D60010"/>
          <w:vertAlign w:val="superscript"/>
        </w:rPr>
      </w:pPr>
    </w:p>
    <w:p>
      <w:pPr>
        <w:ind w:left="2180" w:right="220" w:hanging="208"/>
        <w:spacing w:after="0" w:line="187" w:lineRule="auto"/>
        <w:tabs>
          <w:tab w:leader="none" w:pos="2180" w:val="left"/>
        </w:tabs>
        <w:numPr>
          <w:ilvl w:val="0"/>
          <w:numId w:val="62"/>
        </w:numPr>
        <w:rPr>
          <w:rFonts w:ascii="Arial" w:cs="Arial" w:eastAsia="Arial" w:hAnsi="Arial"/>
          <w:sz w:val="17"/>
          <w:szCs w:val="17"/>
          <w:color w:val="D60010"/>
          <w:vertAlign w:val="superscript"/>
        </w:rPr>
      </w:pPr>
      <w:r>
        <w:rPr>
          <w:rFonts w:ascii="Arial" w:cs="Arial" w:eastAsia="Arial" w:hAnsi="Arial"/>
          <w:sz w:val="11"/>
          <w:szCs w:val="11"/>
          <w:color w:val="auto"/>
        </w:rPr>
        <w:t>reviews the Company’s allocation of budget for, and policies related to, capital</w:t>
      </w:r>
    </w:p>
    <w:p>
      <w:pPr>
        <w:spacing w:after="0" w:line="1" w:lineRule="exact"/>
        <w:rPr>
          <w:rFonts w:ascii="Arial" w:cs="Arial" w:eastAsia="Arial" w:hAnsi="Arial"/>
          <w:sz w:val="17"/>
          <w:szCs w:val="17"/>
          <w:color w:val="D60010"/>
          <w:vertAlign w:val="superscript"/>
        </w:rPr>
      </w:pPr>
    </w:p>
    <w:p>
      <w:pPr>
        <w:ind w:left="2180" w:right="120" w:hanging="208"/>
        <w:spacing w:after="0" w:line="202" w:lineRule="auto"/>
        <w:tabs>
          <w:tab w:leader="none" w:pos="2180" w:val="left"/>
        </w:tabs>
        <w:numPr>
          <w:ilvl w:val="0"/>
          <w:numId w:val="62"/>
        </w:numPr>
        <w:rPr>
          <w:rFonts w:ascii="Arial" w:cs="Arial" w:eastAsia="Arial" w:hAnsi="Arial"/>
          <w:sz w:val="17"/>
          <w:szCs w:val="17"/>
          <w:color w:val="D60010"/>
          <w:vertAlign w:val="superscript"/>
        </w:rPr>
      </w:pPr>
      <w:r>
        <w:rPr>
          <w:rFonts w:ascii="Arial" w:cs="Arial" w:eastAsia="Arial" w:hAnsi="Arial"/>
          <w:sz w:val="11"/>
          <w:szCs w:val="11"/>
          <w:color w:val="auto"/>
        </w:rPr>
        <w:t>reviews and makes recommendations to the Board regarding the Company’s uses of cash, including capital expenditures, stock and bond repurchases, and dividend payments</w:t>
      </w:r>
    </w:p>
    <w:p>
      <w:pPr>
        <w:ind w:left="2180" w:right="120" w:hanging="208"/>
        <w:spacing w:after="0" w:line="212" w:lineRule="auto"/>
        <w:tabs>
          <w:tab w:leader="none" w:pos="2180" w:val="left"/>
        </w:tabs>
        <w:numPr>
          <w:ilvl w:val="0"/>
          <w:numId w:val="62"/>
        </w:numPr>
        <w:rPr>
          <w:rFonts w:ascii="Arial" w:cs="Arial" w:eastAsia="Arial" w:hAnsi="Arial"/>
          <w:sz w:val="17"/>
          <w:szCs w:val="17"/>
          <w:color w:val="D60010"/>
          <w:vertAlign w:val="superscript"/>
        </w:rPr>
      </w:pPr>
      <w:r>
        <w:rPr>
          <w:rFonts w:ascii="Arial" w:cs="Arial" w:eastAsia="Arial" w:hAnsi="Arial"/>
          <w:sz w:val="11"/>
          <w:szCs w:val="11"/>
          <w:color w:val="auto"/>
        </w:rPr>
        <w:t>reviews and makes recommendations to the Board regarding the Company’s cash requirements and sources of cash, including debt or equity issuances, revolving credit facilities, or other debt instruments or facilities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209" w:hanging="209"/>
        <w:spacing w:after="0"/>
        <w:tabs>
          <w:tab w:leader="none" w:pos="209" w:val="left"/>
        </w:tabs>
        <w:numPr>
          <w:ilvl w:val="0"/>
          <w:numId w:val="63"/>
        </w:numPr>
        <w:rPr>
          <w:rFonts w:ascii="Arial" w:cs="Arial" w:eastAsia="Arial" w:hAnsi="Arial"/>
          <w:sz w:val="17"/>
          <w:szCs w:val="17"/>
          <w:color w:val="D60010"/>
          <w:vertAlign w:val="superscript"/>
        </w:rPr>
      </w:pPr>
      <w:r>
        <w:rPr>
          <w:rFonts w:ascii="Arial" w:cs="Arial" w:eastAsia="Arial" w:hAnsi="Arial"/>
          <w:sz w:val="11"/>
          <w:szCs w:val="11"/>
          <w:color w:val="auto"/>
        </w:rPr>
        <w:t>reviews the Company’s insurance and self-insurance reserves</w:t>
      </w:r>
    </w:p>
    <w:p>
      <w:pPr>
        <w:ind w:left="209" w:right="2400" w:hanging="209"/>
        <w:spacing w:after="0" w:line="187" w:lineRule="auto"/>
        <w:tabs>
          <w:tab w:leader="none" w:pos="209" w:val="left"/>
        </w:tabs>
        <w:numPr>
          <w:ilvl w:val="0"/>
          <w:numId w:val="63"/>
        </w:numPr>
        <w:rPr>
          <w:rFonts w:ascii="Arial" w:cs="Arial" w:eastAsia="Arial" w:hAnsi="Arial"/>
          <w:sz w:val="17"/>
          <w:szCs w:val="17"/>
          <w:color w:val="D60010"/>
          <w:vertAlign w:val="superscript"/>
        </w:rPr>
      </w:pPr>
      <w:r>
        <w:rPr>
          <w:rFonts w:ascii="Arial" w:cs="Arial" w:eastAsia="Arial" w:hAnsi="Arial"/>
          <w:sz w:val="11"/>
          <w:szCs w:val="11"/>
          <w:color w:val="auto"/>
        </w:rPr>
        <w:t>reviews the Company’s derivatives policy and its use of derivatives</w:t>
      </w:r>
    </w:p>
    <w:p>
      <w:pPr>
        <w:spacing w:after="0" w:line="1" w:lineRule="exact"/>
        <w:rPr>
          <w:rFonts w:ascii="Arial" w:cs="Arial" w:eastAsia="Arial" w:hAnsi="Arial"/>
          <w:sz w:val="17"/>
          <w:szCs w:val="17"/>
          <w:color w:val="D60010"/>
          <w:vertAlign w:val="superscript"/>
        </w:rPr>
      </w:pPr>
    </w:p>
    <w:p>
      <w:pPr>
        <w:ind w:left="209" w:right="2180" w:hanging="209"/>
        <w:spacing w:after="0" w:line="210" w:lineRule="auto"/>
        <w:tabs>
          <w:tab w:leader="none" w:pos="209" w:val="left"/>
        </w:tabs>
        <w:numPr>
          <w:ilvl w:val="0"/>
          <w:numId w:val="63"/>
        </w:numPr>
        <w:rPr>
          <w:rFonts w:ascii="Arial" w:cs="Arial" w:eastAsia="Arial" w:hAnsi="Arial"/>
          <w:sz w:val="17"/>
          <w:szCs w:val="17"/>
          <w:color w:val="D60010"/>
          <w:vertAlign w:val="superscript"/>
        </w:rPr>
      </w:pPr>
      <w:r>
        <w:rPr>
          <w:rFonts w:ascii="Arial" w:cs="Arial" w:eastAsia="Arial" w:hAnsi="Arial"/>
          <w:sz w:val="11"/>
          <w:szCs w:val="11"/>
          <w:color w:val="auto"/>
        </w:rPr>
        <w:t>reviews and makes recommendations to the Board regarding proposed mergers, combinations, acquisitions, offers to purchase the Company’s shares or significant assets, divestitures, and strategic investments</w:t>
      </w:r>
    </w:p>
    <w:p>
      <w:pPr>
        <w:ind w:left="209" w:right="2340" w:hanging="209"/>
        <w:spacing w:after="0" w:line="187" w:lineRule="auto"/>
        <w:tabs>
          <w:tab w:leader="none" w:pos="209" w:val="left"/>
        </w:tabs>
        <w:numPr>
          <w:ilvl w:val="0"/>
          <w:numId w:val="63"/>
        </w:numPr>
        <w:rPr>
          <w:rFonts w:ascii="Arial" w:cs="Arial" w:eastAsia="Arial" w:hAnsi="Arial"/>
          <w:sz w:val="17"/>
          <w:szCs w:val="17"/>
          <w:color w:val="D60010"/>
          <w:vertAlign w:val="superscript"/>
        </w:rPr>
      </w:pPr>
      <w:r>
        <w:rPr>
          <w:rFonts w:ascii="Arial" w:cs="Arial" w:eastAsia="Arial" w:hAnsi="Arial"/>
          <w:sz w:val="11"/>
          <w:szCs w:val="11"/>
          <w:color w:val="auto"/>
        </w:rPr>
        <w:t>reviews the Company’s corporate development approval process</w:t>
      </w:r>
    </w:p>
    <w:p>
      <w:pPr>
        <w:spacing w:after="0" w:line="1" w:lineRule="exact"/>
        <w:rPr>
          <w:rFonts w:ascii="Arial" w:cs="Arial" w:eastAsia="Arial" w:hAnsi="Arial"/>
          <w:sz w:val="17"/>
          <w:szCs w:val="17"/>
          <w:color w:val="D60010"/>
          <w:vertAlign w:val="superscript"/>
        </w:rPr>
      </w:pPr>
    </w:p>
    <w:p>
      <w:pPr>
        <w:jc w:val="both"/>
        <w:ind w:left="209" w:right="2180" w:hanging="209"/>
        <w:spacing w:after="0" w:line="205" w:lineRule="auto"/>
        <w:tabs>
          <w:tab w:leader="none" w:pos="209" w:val="left"/>
        </w:tabs>
        <w:numPr>
          <w:ilvl w:val="0"/>
          <w:numId w:val="63"/>
        </w:numPr>
        <w:rPr>
          <w:rFonts w:ascii="Arial" w:cs="Arial" w:eastAsia="Arial" w:hAnsi="Arial"/>
          <w:sz w:val="17"/>
          <w:szCs w:val="17"/>
          <w:color w:val="D60010"/>
          <w:vertAlign w:val="superscript"/>
        </w:rPr>
      </w:pPr>
      <w:r>
        <w:rPr>
          <w:rFonts w:ascii="Arial" w:cs="Arial" w:eastAsia="Arial" w:hAnsi="Arial"/>
          <w:sz w:val="11"/>
          <w:szCs w:val="11"/>
          <w:color w:val="auto"/>
        </w:rPr>
        <w:t>reviews reports from the Company’s Retirement Plan Committee regarding the asset allocation and investment performance of the Company’s North America pension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230505</wp:posOffset>
            </wp:positionV>
            <wp:extent cx="4663440" cy="2343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63440" cy="234315"/>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5480" w:space="311"/>
            <w:col w:w="5509"/>
          </w:cols>
          <w:pgMar w:left="300" w:top="439" w:right="299" w:bottom="1440" w:gutter="0" w:footer="0" w:header="0"/>
          <w:type w:val="continuous"/>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60" w:type="dxa"/>
            <w:vAlign w:val="bottom"/>
          </w:tcPr>
          <w:p>
            <w:pPr>
              <w:ind w:left="74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41</w:t>
            </w:r>
          </w:p>
        </w:tc>
      </w:tr>
      <w:tr>
        <w:trPr>
          <w:trHeight w:val="138"/>
        </w:trPr>
        <w:tc>
          <w:tcPr>
            <w:tcW w:w="87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r>
    </w:tbl>
    <w:p>
      <w:pPr>
        <w:sectPr>
          <w:pgSz w:w="11900" w:h="16838" w:orient="portrait"/>
          <w:cols w:equalWidth="0" w:num="1">
            <w:col w:w="11300"/>
          </w:cols>
          <w:pgMar w:left="300" w:top="439" w:right="299" w:bottom="1440" w:gutter="0" w:footer="0" w:header="0"/>
          <w:type w:val="continuous"/>
        </w:sectPr>
      </w:pPr>
    </w:p>
    <w:bookmarkStart w:id="47" w:name="page48"/>
    <w:bookmarkEnd w:id="47"/>
    <w:p>
      <w:pPr>
        <w:ind w:left="840"/>
        <w:spacing w:after="0"/>
        <w:rPr>
          <w:sz w:val="20"/>
          <w:szCs w:val="20"/>
          <w:color w:val="auto"/>
        </w:rPr>
      </w:pPr>
      <w:r>
        <w:rPr>
          <w:rFonts w:ascii="Arial" w:cs="Arial" w:eastAsia="Arial" w:hAnsi="Arial"/>
          <w:sz w:val="10"/>
          <w:szCs w:val="10"/>
          <w:b w:val="1"/>
          <w:bCs w:val="1"/>
          <w:color w:val="D6001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80010</wp:posOffset>
            </wp:positionV>
            <wp:extent cx="525780" cy="6229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5780" cy="622935"/>
                    </a:xfrm>
                    <a:prstGeom prst="rect">
                      <a:avLst/>
                    </a:prstGeom>
                    <a:noFill/>
                  </pic:spPr>
                </pic:pic>
              </a:graphicData>
            </a:graphic>
          </wp:anchor>
        </w:drawing>
      </w:r>
    </w:p>
    <w:p>
      <w:pPr>
        <w:spacing w:after="0" w:line="15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D60011"/>
        </w:rPr>
        <w:t>HUMAN CAPITAL</w:t>
      </w:r>
    </w:p>
    <w:p>
      <w:pPr>
        <w:spacing w:after="0" w:line="200" w:lineRule="exact"/>
        <w:rPr>
          <w:sz w:val="20"/>
          <w:szCs w:val="20"/>
          <w:color w:val="auto"/>
        </w:rPr>
      </w:pPr>
    </w:p>
    <w:p>
      <w:pPr>
        <w:spacing w:after="0" w:line="206" w:lineRule="exact"/>
        <w:rPr>
          <w:sz w:val="20"/>
          <w:szCs w:val="20"/>
          <w:color w:val="auto"/>
        </w:rPr>
      </w:pPr>
    </w:p>
    <w:tbl>
      <w:tblPr>
        <w:tblLayout w:type="fixed"/>
        <w:tblInd w:w="1940" w:type="dxa"/>
        <w:tblCellMar>
          <w:top w:w="0" w:type="dxa"/>
          <w:left w:w="0" w:type="dxa"/>
          <w:bottom w:w="0" w:type="dxa"/>
          <w:right w:w="0" w:type="dxa"/>
        </w:tblCellMar>
      </w:tblPr>
      <w:tr>
        <w:trPr>
          <w:trHeight w:val="189"/>
        </w:trPr>
        <w:tc>
          <w:tcPr>
            <w:tcW w:w="1800" w:type="dxa"/>
            <w:vAlign w:val="bottom"/>
          </w:tcPr>
          <w:p>
            <w:pPr>
              <w:spacing w:after="0"/>
              <w:rPr>
                <w:sz w:val="20"/>
                <w:szCs w:val="20"/>
                <w:color w:val="auto"/>
              </w:rPr>
            </w:pPr>
            <w:r>
              <w:rPr>
                <w:rFonts w:ascii="Arial" w:cs="Arial" w:eastAsia="Arial" w:hAnsi="Arial"/>
                <w:sz w:val="14"/>
                <w:szCs w:val="14"/>
                <w:b w:val="1"/>
                <w:bCs w:val="1"/>
                <w:color w:val="auto"/>
              </w:rPr>
              <w:t>KIMBERLY</w:t>
            </w:r>
          </w:p>
        </w:tc>
        <w:tc>
          <w:tcPr>
            <w:tcW w:w="2780" w:type="dxa"/>
            <w:vAlign w:val="bottom"/>
          </w:tcPr>
          <w:p>
            <w:pPr>
              <w:ind w:left="620"/>
              <w:spacing w:after="0"/>
              <w:rPr>
                <w:sz w:val="20"/>
                <w:szCs w:val="20"/>
                <w:color w:val="auto"/>
              </w:rPr>
            </w:pPr>
            <w:r>
              <w:rPr>
                <w:rFonts w:ascii="Arial" w:cs="Arial" w:eastAsia="Arial" w:hAnsi="Arial"/>
                <w:sz w:val="11"/>
                <w:szCs w:val="11"/>
                <w:b w:val="1"/>
                <w:bCs w:val="1"/>
                <w:color w:val="auto"/>
              </w:rPr>
              <w:t>Other Members:</w:t>
            </w:r>
          </w:p>
        </w:tc>
        <w:tc>
          <w:tcPr>
            <w:tcW w:w="1660" w:type="dxa"/>
            <w:vAlign w:val="bottom"/>
          </w:tcPr>
          <w:p>
            <w:pPr>
              <w:ind w:left="700"/>
              <w:spacing w:after="0"/>
              <w:rPr>
                <w:sz w:val="20"/>
                <w:szCs w:val="20"/>
                <w:color w:val="auto"/>
              </w:rPr>
            </w:pPr>
            <w:r>
              <w:rPr>
                <w:rFonts w:ascii="Arial" w:cs="Arial" w:eastAsia="Arial" w:hAnsi="Arial"/>
                <w:sz w:val="11"/>
                <w:szCs w:val="11"/>
                <w:b w:val="1"/>
                <w:bCs w:val="1"/>
                <w:color w:val="auto"/>
                <w:w w:val="96"/>
              </w:rPr>
              <w:t>4 meetings in 2021</w:t>
            </w:r>
          </w:p>
        </w:tc>
      </w:tr>
      <w:tr>
        <w:trPr>
          <w:trHeight w:val="198"/>
        </w:trPr>
        <w:tc>
          <w:tcPr>
            <w:tcW w:w="1800" w:type="dxa"/>
            <w:vAlign w:val="bottom"/>
          </w:tcPr>
          <w:p>
            <w:pPr>
              <w:spacing w:after="0"/>
              <w:rPr>
                <w:sz w:val="20"/>
                <w:szCs w:val="20"/>
                <w:color w:val="auto"/>
              </w:rPr>
            </w:pPr>
            <w:r>
              <w:rPr>
                <w:rFonts w:ascii="Arial" w:cs="Arial" w:eastAsia="Arial" w:hAnsi="Arial"/>
                <w:sz w:val="14"/>
                <w:szCs w:val="14"/>
                <w:b w:val="1"/>
                <w:bCs w:val="1"/>
                <w:color w:val="auto"/>
              </w:rPr>
              <w:t xml:space="preserve">UNDERHILL </w:t>
            </w:r>
            <w:r>
              <w:rPr>
                <w:rFonts w:ascii="Arial" w:cs="Arial" w:eastAsia="Arial" w:hAnsi="Arial"/>
                <w:sz w:val="11"/>
                <w:szCs w:val="11"/>
                <w:b w:val="1"/>
                <w:bCs w:val="1"/>
                <w:color w:val="D60011"/>
              </w:rPr>
              <w:t>Chair</w:t>
            </w:r>
          </w:p>
        </w:tc>
        <w:tc>
          <w:tcPr>
            <w:tcW w:w="2780" w:type="dxa"/>
            <w:vAlign w:val="bottom"/>
          </w:tcPr>
          <w:p>
            <w:pPr>
              <w:ind w:left="620"/>
              <w:spacing w:after="0"/>
              <w:rPr>
                <w:sz w:val="20"/>
                <w:szCs w:val="20"/>
                <w:color w:val="auto"/>
              </w:rPr>
            </w:pPr>
            <w:r>
              <w:rPr>
                <w:rFonts w:ascii="Arial" w:cs="Arial" w:eastAsia="Arial" w:hAnsi="Arial"/>
                <w:sz w:val="11"/>
                <w:szCs w:val="11"/>
                <w:color w:val="auto"/>
              </w:rPr>
              <w:t>Feldman, Marmol, and Nicosia</w:t>
            </w:r>
          </w:p>
        </w:tc>
        <w:tc>
          <w:tcPr>
            <w:tcW w:w="16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57150</wp:posOffset>
            </wp:positionV>
            <wp:extent cx="46634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KEY OVERSIGHT RESPONSIBILITIES</w:t>
      </w:r>
    </w:p>
    <w:p>
      <w:pPr>
        <w:sectPr>
          <w:pgSz w:w="11900" w:h="16838" w:orient="portrait"/>
          <w:cols w:equalWidth="0" w:num="1">
            <w:col w:w="9019"/>
          </w:cols>
          <w:pgMar w:left="1440" w:top="565" w:right="1440" w:bottom="1440" w:gutter="0" w:footer="0" w:header="0"/>
        </w:sectPr>
      </w:pPr>
    </w:p>
    <w:p>
      <w:pPr>
        <w:spacing w:after="0" w:line="66" w:lineRule="exact"/>
        <w:rPr>
          <w:sz w:val="20"/>
          <w:szCs w:val="20"/>
          <w:color w:val="auto"/>
        </w:rPr>
      </w:pPr>
    </w:p>
    <w:p>
      <w:pPr>
        <w:ind w:left="1020" w:hanging="188"/>
        <w:spacing w:after="0"/>
        <w:tabs>
          <w:tab w:leader="none" w:pos="1020" w:val="left"/>
        </w:tabs>
        <w:numPr>
          <w:ilvl w:val="0"/>
          <w:numId w:val="64"/>
        </w:numPr>
        <w:rPr>
          <w:rFonts w:ascii="Arial" w:cs="Arial" w:eastAsia="Arial" w:hAnsi="Arial"/>
          <w:sz w:val="17"/>
          <w:szCs w:val="17"/>
          <w:color w:val="D60010"/>
          <w:vertAlign w:val="superscript"/>
        </w:rPr>
      </w:pPr>
      <w:r>
        <w:rPr>
          <w:rFonts w:ascii="Arial" w:cs="Arial" w:eastAsia="Arial" w:hAnsi="Arial"/>
          <w:sz w:val="11"/>
          <w:szCs w:val="11"/>
          <w:color w:val="auto"/>
        </w:rPr>
        <w:t>determines the CEO’s compensation</w:t>
      </w:r>
    </w:p>
    <w:p>
      <w:pPr>
        <w:ind w:left="1020" w:hanging="188"/>
        <w:spacing w:after="0" w:line="187" w:lineRule="auto"/>
        <w:tabs>
          <w:tab w:leader="none" w:pos="1020" w:val="left"/>
        </w:tabs>
        <w:numPr>
          <w:ilvl w:val="0"/>
          <w:numId w:val="64"/>
        </w:numPr>
        <w:rPr>
          <w:rFonts w:ascii="Arial" w:cs="Arial" w:eastAsia="Arial" w:hAnsi="Arial"/>
          <w:sz w:val="17"/>
          <w:szCs w:val="17"/>
          <w:color w:val="D60011"/>
          <w:vertAlign w:val="superscript"/>
        </w:rPr>
      </w:pPr>
      <w:r>
        <w:rPr>
          <w:rFonts w:ascii="Arial" w:cs="Arial" w:eastAsia="Arial" w:hAnsi="Arial"/>
          <w:sz w:val="11"/>
          <w:szCs w:val="11"/>
          <w:color w:val="auto"/>
        </w:rPr>
        <w:t>reviews and approves the executive officers’ and corporate officers’ compensation</w:t>
      </w:r>
    </w:p>
    <w:p>
      <w:pPr>
        <w:spacing w:after="0" w:line="1" w:lineRule="exact"/>
        <w:rPr>
          <w:rFonts w:ascii="Arial" w:cs="Arial" w:eastAsia="Arial" w:hAnsi="Arial"/>
          <w:sz w:val="17"/>
          <w:szCs w:val="17"/>
          <w:color w:val="D60011"/>
          <w:vertAlign w:val="superscript"/>
        </w:rPr>
      </w:pPr>
    </w:p>
    <w:p>
      <w:pPr>
        <w:ind w:left="1020" w:hanging="188"/>
        <w:spacing w:after="0" w:line="187" w:lineRule="auto"/>
        <w:tabs>
          <w:tab w:leader="none" w:pos="1020" w:val="left"/>
        </w:tabs>
        <w:numPr>
          <w:ilvl w:val="0"/>
          <w:numId w:val="64"/>
        </w:numPr>
        <w:rPr>
          <w:rFonts w:ascii="Arial" w:cs="Arial" w:eastAsia="Arial" w:hAnsi="Arial"/>
          <w:sz w:val="14"/>
          <w:szCs w:val="14"/>
          <w:color w:val="D60011"/>
          <w:vertAlign w:val="superscript"/>
        </w:rPr>
      </w:pPr>
      <w:r>
        <w:rPr>
          <w:rFonts w:ascii="Arial" w:cs="Arial" w:eastAsia="Arial" w:hAnsi="Arial"/>
          <w:sz w:val="9"/>
          <w:szCs w:val="9"/>
          <w:color w:val="auto"/>
        </w:rPr>
        <w:t>approves team members’ equity compensation</w:t>
      </w:r>
    </w:p>
    <w:p>
      <w:pPr>
        <w:ind w:left="1020" w:right="100" w:hanging="188"/>
        <w:spacing w:after="0" w:line="192" w:lineRule="auto"/>
        <w:tabs>
          <w:tab w:leader="none" w:pos="1020" w:val="left"/>
        </w:tabs>
        <w:numPr>
          <w:ilvl w:val="0"/>
          <w:numId w:val="64"/>
        </w:numPr>
        <w:rPr>
          <w:rFonts w:ascii="Arial" w:cs="Arial" w:eastAsia="Arial" w:hAnsi="Arial"/>
          <w:sz w:val="17"/>
          <w:szCs w:val="17"/>
          <w:color w:val="D60011"/>
          <w:vertAlign w:val="superscript"/>
        </w:rPr>
      </w:pPr>
      <w:r>
        <w:rPr>
          <w:rFonts w:ascii="Arial" w:cs="Arial" w:eastAsia="Arial" w:hAnsi="Arial"/>
          <w:sz w:val="11"/>
          <w:szCs w:val="11"/>
          <w:color w:val="auto"/>
        </w:rPr>
        <w:t>assesses risk in relation to the Company’s compensation policies and practices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89" w:hanging="189"/>
        <w:spacing w:after="0"/>
        <w:tabs>
          <w:tab w:leader="none" w:pos="189" w:val="left"/>
        </w:tabs>
        <w:numPr>
          <w:ilvl w:val="0"/>
          <w:numId w:val="65"/>
        </w:numPr>
        <w:rPr>
          <w:rFonts w:ascii="Arial" w:cs="Arial" w:eastAsia="Arial" w:hAnsi="Arial"/>
          <w:sz w:val="17"/>
          <w:szCs w:val="17"/>
          <w:color w:val="D60011"/>
          <w:vertAlign w:val="superscript"/>
        </w:rPr>
      </w:pPr>
      <w:r>
        <w:rPr>
          <w:rFonts w:ascii="Arial" w:cs="Arial" w:eastAsia="Arial" w:hAnsi="Arial"/>
          <w:sz w:val="11"/>
          <w:szCs w:val="11"/>
          <w:color w:val="auto"/>
        </w:rPr>
        <w:t>administers the Company’s compensation plans</w:t>
      </w:r>
    </w:p>
    <w:p>
      <w:pPr>
        <w:ind w:left="189" w:right="1199" w:hanging="189"/>
        <w:spacing w:after="0" w:line="187" w:lineRule="auto"/>
        <w:tabs>
          <w:tab w:leader="none" w:pos="189" w:val="left"/>
        </w:tabs>
        <w:numPr>
          <w:ilvl w:val="0"/>
          <w:numId w:val="65"/>
        </w:numPr>
        <w:rPr>
          <w:rFonts w:ascii="Arial" w:cs="Arial" w:eastAsia="Arial" w:hAnsi="Arial"/>
          <w:sz w:val="17"/>
          <w:szCs w:val="17"/>
          <w:color w:val="D60011"/>
          <w:vertAlign w:val="superscript"/>
        </w:rPr>
      </w:pPr>
      <w:r>
        <w:rPr>
          <w:rFonts w:ascii="Arial" w:cs="Arial" w:eastAsia="Arial" w:hAnsi="Arial"/>
          <w:sz w:val="11"/>
          <w:szCs w:val="11"/>
          <w:color w:val="auto"/>
        </w:rPr>
        <w:t>reviews and makes recommendations to the Board concerning executive development and succession</w:t>
      </w:r>
    </w:p>
    <w:p>
      <w:pPr>
        <w:spacing w:after="0" w:line="1" w:lineRule="exact"/>
        <w:rPr>
          <w:rFonts w:ascii="Arial" w:cs="Arial" w:eastAsia="Arial" w:hAnsi="Arial"/>
          <w:sz w:val="17"/>
          <w:szCs w:val="17"/>
          <w:color w:val="D60011"/>
          <w:vertAlign w:val="superscript"/>
        </w:rPr>
      </w:pPr>
    </w:p>
    <w:p>
      <w:pPr>
        <w:ind w:left="189" w:right="999" w:hanging="189"/>
        <w:spacing w:after="0" w:line="244" w:lineRule="auto"/>
        <w:tabs>
          <w:tab w:leader="none" w:pos="189" w:val="left"/>
        </w:tabs>
        <w:numPr>
          <w:ilvl w:val="0"/>
          <w:numId w:val="65"/>
        </w:numPr>
        <w:rPr>
          <w:rFonts w:ascii="Arial" w:cs="Arial" w:eastAsia="Arial" w:hAnsi="Arial"/>
          <w:sz w:val="8"/>
          <w:szCs w:val="8"/>
          <w:color w:val="D60010"/>
        </w:rPr>
      </w:pPr>
      <w:r>
        <w:rPr>
          <w:rFonts w:ascii="Arial" w:cs="Arial" w:eastAsia="Arial" w:hAnsi="Arial"/>
          <w:sz w:val="11"/>
          <w:szCs w:val="11"/>
          <w:color w:val="auto"/>
        </w:rPr>
        <w:t>reviews non-employee directors’ compensation and makes recommendations to the Board concerning the form and amount of non-employee directors’ compensation</w:t>
      </w:r>
    </w:p>
    <w:p>
      <w:pPr>
        <w:spacing w:after="0" w:line="144" w:lineRule="exact"/>
        <w:rPr>
          <w:sz w:val="20"/>
          <w:szCs w:val="20"/>
          <w:color w:val="auto"/>
        </w:rPr>
      </w:pPr>
    </w:p>
    <w:p>
      <w:pPr>
        <w:sectPr>
          <w:pgSz w:w="11900" w:h="16838" w:orient="portrait"/>
          <w:cols w:equalWidth="0" w:num="2">
            <w:col w:w="4220" w:space="431"/>
            <w:col w:w="4368"/>
          </w:cols>
          <w:pgMar w:left="1440" w:top="565" w:right="1440" w:bottom="1440" w:gutter="0" w:footer="0" w:header="0"/>
          <w:type w:val="continuous"/>
        </w:sectPr>
      </w:pPr>
    </w:p>
    <w:p>
      <w:pPr>
        <w:ind w:left="840" w:right="1319"/>
        <w:spacing w:after="0" w:line="268" w:lineRule="auto"/>
        <w:rPr>
          <w:sz w:val="20"/>
          <w:szCs w:val="20"/>
          <w:color w:val="auto"/>
        </w:rPr>
      </w:pPr>
      <w:r>
        <w:rPr>
          <w:rFonts w:ascii="Arial" w:cs="Arial" w:eastAsia="Arial" w:hAnsi="Arial"/>
          <w:sz w:val="11"/>
          <w:szCs w:val="11"/>
          <w:color w:val="auto"/>
        </w:rPr>
        <w:t>This committee consists of four independent directors, as independence is defined under the NYSE rules applicable to compensation committee members.</w:t>
      </w:r>
    </w:p>
    <w:p>
      <w:pPr>
        <w:spacing w:after="0" w:line="96" w:lineRule="exact"/>
        <w:rPr>
          <w:sz w:val="20"/>
          <w:szCs w:val="20"/>
          <w:color w:val="auto"/>
        </w:rPr>
      </w:pPr>
    </w:p>
    <w:p>
      <w:pPr>
        <w:ind w:left="840" w:right="1119"/>
        <w:spacing w:after="0" w:line="279" w:lineRule="auto"/>
        <w:rPr>
          <w:sz w:val="20"/>
          <w:szCs w:val="20"/>
          <w:color w:val="auto"/>
        </w:rPr>
      </w:pPr>
      <w:r>
        <w:rPr>
          <w:rFonts w:ascii="Arial" w:cs="Arial" w:eastAsia="Arial" w:hAnsi="Arial"/>
          <w:sz w:val="11"/>
          <w:szCs w:val="11"/>
          <w:color w:val="auto"/>
        </w:rPr>
        <w:t xml:space="preserve">See the </w:t>
      </w:r>
      <w:r>
        <w:rPr>
          <w:rFonts w:ascii="Arial" w:cs="Arial" w:eastAsia="Arial" w:hAnsi="Arial"/>
          <w:sz w:val="11"/>
          <w:szCs w:val="11"/>
          <w:b w:val="1"/>
          <w:bCs w:val="1"/>
          <w:color w:val="D60011"/>
        </w:rPr>
        <w:t>CD&amp;A</w:t>
      </w:r>
      <w:r>
        <w:rPr>
          <w:rFonts w:ascii="Arial" w:cs="Arial" w:eastAsia="Arial" w:hAnsi="Arial"/>
          <w:sz w:val="11"/>
          <w:szCs w:val="11"/>
          <w:color w:val="auto"/>
        </w:rPr>
        <w:t xml:space="preserve"> beginning on page 50 for a discussion of the Human Capital Committee’s procedures for determining compensation, and the </w:t>
      </w:r>
      <w:r>
        <w:rPr>
          <w:rFonts w:ascii="Arial" w:cs="Arial" w:eastAsia="Arial" w:hAnsi="Arial"/>
          <w:sz w:val="11"/>
          <w:szCs w:val="11"/>
          <w:b w:val="1"/>
          <w:bCs w:val="1"/>
          <w:color w:val="D60011"/>
        </w:rPr>
        <w:t>Human</w:t>
      </w:r>
      <w:r>
        <w:rPr>
          <w:rFonts w:ascii="Arial" w:cs="Arial" w:eastAsia="Arial" w:hAnsi="Arial"/>
          <w:sz w:val="11"/>
          <w:szCs w:val="11"/>
          <w:color w:val="auto"/>
        </w:rPr>
        <w:t xml:space="preserve"> </w:t>
      </w:r>
      <w:r>
        <w:rPr>
          <w:rFonts w:ascii="Arial" w:cs="Arial" w:eastAsia="Arial" w:hAnsi="Arial"/>
          <w:sz w:val="11"/>
          <w:szCs w:val="11"/>
          <w:b w:val="1"/>
          <w:bCs w:val="1"/>
          <w:color w:val="D60011"/>
        </w:rPr>
        <w:t xml:space="preserve">Capital Committee Report </w:t>
      </w:r>
      <w:r>
        <w:rPr>
          <w:rFonts w:ascii="Arial" w:cs="Arial" w:eastAsia="Arial" w:hAnsi="Arial"/>
          <w:sz w:val="11"/>
          <w:szCs w:val="11"/>
          <w:color w:val="000000"/>
        </w:rPr>
        <w:t>on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59055</wp:posOffset>
            </wp:positionV>
            <wp:extent cx="46634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150495</wp:posOffset>
            </wp:positionV>
            <wp:extent cx="525780" cy="6286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5780" cy="628650"/>
                    </a:xfrm>
                    <a:prstGeom prst="rect">
                      <a:avLst/>
                    </a:prstGeom>
                    <a:noFill/>
                  </pic:spPr>
                </pic:pic>
              </a:graphicData>
            </a:graphic>
          </wp:anchor>
        </w:drawing>
      </w:r>
    </w:p>
    <w:p>
      <w:pPr>
        <w:spacing w:after="0" w:line="27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D60011"/>
        </w:rPr>
        <w:t>RESPONSIBILITY</w:t>
      </w:r>
    </w:p>
    <w:p>
      <w:pPr>
        <w:spacing w:after="0" w:line="361"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ULICE</w:t>
            </w:r>
          </w:p>
        </w:tc>
        <w:tc>
          <w:tcPr>
            <w:tcW w:w="2740" w:type="dxa"/>
            <w:vAlign w:val="bottom"/>
          </w:tcPr>
          <w:p>
            <w:pPr>
              <w:ind w:left="660"/>
              <w:spacing w:after="0"/>
              <w:rPr>
                <w:sz w:val="20"/>
                <w:szCs w:val="20"/>
                <w:color w:val="auto"/>
              </w:rPr>
            </w:pPr>
            <w:r>
              <w:rPr>
                <w:rFonts w:ascii="Arial" w:cs="Arial" w:eastAsia="Arial" w:hAnsi="Arial"/>
                <w:sz w:val="11"/>
                <w:szCs w:val="11"/>
                <w:b w:val="1"/>
                <w:bCs w:val="1"/>
                <w:color w:val="auto"/>
              </w:rPr>
              <w:t>Other Members:</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60" w:type="dxa"/>
            <w:vAlign w:val="bottom"/>
            <w:vMerge w:val="continue"/>
          </w:tcPr>
          <w:p>
            <w:pPr>
              <w:spacing w:after="0"/>
              <w:rPr>
                <w:sz w:val="9"/>
                <w:szCs w:val="9"/>
                <w:color w:val="auto"/>
              </w:rPr>
            </w:pPr>
          </w:p>
        </w:tc>
        <w:tc>
          <w:tcPr>
            <w:tcW w:w="2740" w:type="dxa"/>
            <w:vAlign w:val="bottom"/>
          </w:tcPr>
          <w:p>
            <w:pPr>
              <w:ind w:left="660"/>
              <w:spacing w:after="0" w:line="108" w:lineRule="exact"/>
              <w:rPr>
                <w:sz w:val="20"/>
                <w:szCs w:val="20"/>
                <w:color w:val="auto"/>
              </w:rPr>
            </w:pPr>
            <w:r>
              <w:rPr>
                <w:rFonts w:ascii="Arial" w:cs="Arial" w:eastAsia="Arial" w:hAnsi="Arial"/>
                <w:sz w:val="11"/>
                <w:szCs w:val="11"/>
                <w:color w:val="auto"/>
              </w:rPr>
              <w:t>Oakland, Underhill, Walker,</w:t>
            </w:r>
          </w:p>
        </w:tc>
        <w:tc>
          <w:tcPr>
            <w:tcW w:w="1740" w:type="dxa"/>
            <w:vAlign w:val="bottom"/>
          </w:tcPr>
          <w:p>
            <w:pPr>
              <w:ind w:left="780"/>
              <w:spacing w:after="0" w:line="108" w:lineRule="exact"/>
              <w:rPr>
                <w:sz w:val="20"/>
                <w:szCs w:val="20"/>
                <w:color w:val="auto"/>
              </w:rPr>
            </w:pPr>
            <w:r>
              <w:rPr>
                <w:rFonts w:ascii="Arial" w:cs="Arial" w:eastAsia="Arial" w:hAnsi="Arial"/>
                <w:sz w:val="11"/>
                <w:szCs w:val="11"/>
                <w:b w:val="1"/>
                <w:bCs w:val="1"/>
                <w:color w:val="auto"/>
                <w:w w:val="96"/>
              </w:rPr>
              <w:t>4 meetings in 2021</w:t>
            </w:r>
          </w:p>
        </w:tc>
        <w:tc>
          <w:tcPr>
            <w:tcW w:w="0" w:type="dxa"/>
            <w:vAlign w:val="bottom"/>
          </w:tcPr>
          <w:p>
            <w:pPr>
              <w:spacing w:after="0"/>
              <w:rPr>
                <w:sz w:val="1"/>
                <w:szCs w:val="1"/>
                <w:color w:val="auto"/>
              </w:rPr>
            </w:pPr>
          </w:p>
        </w:tc>
      </w:tr>
      <w:tr>
        <w:trPr>
          <w:trHeight w:val="198"/>
        </w:trPr>
        <w:tc>
          <w:tcPr>
            <w:tcW w:w="1760" w:type="dxa"/>
            <w:vAlign w:val="bottom"/>
          </w:tcPr>
          <w:p>
            <w:pPr>
              <w:spacing w:after="0"/>
              <w:rPr>
                <w:sz w:val="20"/>
                <w:szCs w:val="20"/>
                <w:color w:val="auto"/>
              </w:rPr>
            </w:pPr>
            <w:r>
              <w:rPr>
                <w:rFonts w:ascii="Arial" w:cs="Arial" w:eastAsia="Arial" w:hAnsi="Arial"/>
                <w:sz w:val="14"/>
                <w:szCs w:val="14"/>
                <w:b w:val="1"/>
                <w:bCs w:val="1"/>
                <w:color w:val="auto"/>
              </w:rPr>
              <w:t xml:space="preserve">PAYNE, JR. </w:t>
            </w:r>
            <w:r>
              <w:rPr>
                <w:rFonts w:ascii="Arial" w:cs="Arial" w:eastAsia="Arial" w:hAnsi="Arial"/>
                <w:sz w:val="11"/>
                <w:szCs w:val="11"/>
                <w:b w:val="1"/>
                <w:bCs w:val="1"/>
                <w:color w:val="D60011"/>
              </w:rPr>
              <w:t>Chair</w:t>
            </w:r>
          </w:p>
        </w:tc>
        <w:tc>
          <w:tcPr>
            <w:tcW w:w="2740" w:type="dxa"/>
            <w:vAlign w:val="bottom"/>
          </w:tcPr>
          <w:p>
            <w:pPr>
              <w:ind w:left="660"/>
              <w:spacing w:after="0"/>
              <w:rPr>
                <w:sz w:val="20"/>
                <w:szCs w:val="20"/>
                <w:color w:val="auto"/>
              </w:rPr>
            </w:pPr>
            <w:r>
              <w:rPr>
                <w:rFonts w:ascii="Arial" w:cs="Arial" w:eastAsia="Arial" w:hAnsi="Arial"/>
                <w:sz w:val="11"/>
                <w:szCs w:val="11"/>
                <w:color w:val="auto"/>
              </w:rPr>
              <w:t>and Young</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57150</wp:posOffset>
            </wp:positionV>
            <wp:extent cx="46634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type w:val="continuous"/>
        </w:sectPr>
      </w:pPr>
    </w:p>
    <w:p>
      <w:pPr>
        <w:spacing w:after="0" w:line="22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KEY OVERSIGHT RESPONSIBILITIES</w:t>
      </w:r>
    </w:p>
    <w:p>
      <w:pPr>
        <w:spacing w:after="0" w:line="126" w:lineRule="exact"/>
        <w:rPr>
          <w:sz w:val="20"/>
          <w:szCs w:val="20"/>
          <w:color w:val="auto"/>
        </w:rPr>
      </w:pPr>
    </w:p>
    <w:p>
      <w:pPr>
        <w:ind w:left="1040" w:right="260" w:hanging="208"/>
        <w:spacing w:after="0" w:line="207" w:lineRule="auto"/>
        <w:tabs>
          <w:tab w:leader="none" w:pos="1040" w:val="left"/>
        </w:tabs>
        <w:numPr>
          <w:ilvl w:val="0"/>
          <w:numId w:val="66"/>
        </w:numPr>
        <w:rPr>
          <w:rFonts w:ascii="Arial" w:cs="Arial" w:eastAsia="Arial" w:hAnsi="Arial"/>
          <w:sz w:val="17"/>
          <w:szCs w:val="17"/>
          <w:color w:val="D60011"/>
          <w:vertAlign w:val="superscript"/>
        </w:rPr>
      </w:pPr>
      <w:r>
        <w:rPr>
          <w:rFonts w:ascii="Arial" w:cs="Arial" w:eastAsia="Arial" w:hAnsi="Arial"/>
          <w:sz w:val="11"/>
          <w:szCs w:val="11"/>
          <w:color w:val="auto"/>
        </w:rPr>
        <w:t>oversees corporate governance matters affecting the Company, including developing and recommending criteria and policies relating to director service and tenure</w:t>
      </w:r>
    </w:p>
    <w:p>
      <w:pPr>
        <w:spacing w:after="0" w:line="1" w:lineRule="exact"/>
        <w:rPr>
          <w:rFonts w:ascii="Arial" w:cs="Arial" w:eastAsia="Arial" w:hAnsi="Arial"/>
          <w:sz w:val="17"/>
          <w:szCs w:val="17"/>
          <w:color w:val="D60011"/>
          <w:vertAlign w:val="superscript"/>
        </w:rPr>
      </w:pPr>
    </w:p>
    <w:p>
      <w:pPr>
        <w:ind w:left="1040" w:hanging="208"/>
        <w:spacing w:after="0" w:line="187" w:lineRule="auto"/>
        <w:tabs>
          <w:tab w:leader="none" w:pos="1040" w:val="left"/>
        </w:tabs>
        <w:numPr>
          <w:ilvl w:val="0"/>
          <w:numId w:val="66"/>
        </w:numPr>
        <w:rPr>
          <w:rFonts w:ascii="Arial" w:cs="Arial" w:eastAsia="Arial" w:hAnsi="Arial"/>
          <w:sz w:val="14"/>
          <w:szCs w:val="14"/>
          <w:color w:val="D60011"/>
          <w:vertAlign w:val="superscript"/>
        </w:rPr>
      </w:pPr>
      <w:r>
        <w:rPr>
          <w:rFonts w:ascii="Arial" w:cs="Arial" w:eastAsia="Arial" w:hAnsi="Arial"/>
          <w:sz w:val="9"/>
          <w:szCs w:val="9"/>
          <w:color w:val="auto"/>
        </w:rPr>
        <w:t>establishes criteria for Board candidates</w:t>
      </w:r>
    </w:p>
    <w:p>
      <w:pPr>
        <w:ind w:left="1040" w:right="280" w:hanging="208"/>
        <w:spacing w:after="0" w:line="187" w:lineRule="auto"/>
        <w:tabs>
          <w:tab w:leader="none" w:pos="1040" w:val="left"/>
        </w:tabs>
        <w:numPr>
          <w:ilvl w:val="0"/>
          <w:numId w:val="66"/>
        </w:numPr>
        <w:rPr>
          <w:rFonts w:ascii="Arial" w:cs="Arial" w:eastAsia="Arial" w:hAnsi="Arial"/>
          <w:sz w:val="17"/>
          <w:szCs w:val="17"/>
          <w:color w:val="D60011"/>
          <w:vertAlign w:val="superscript"/>
        </w:rPr>
      </w:pPr>
      <w:r>
        <w:rPr>
          <w:rFonts w:ascii="Arial" w:cs="Arial" w:eastAsia="Arial" w:hAnsi="Arial"/>
          <w:sz w:val="11"/>
          <w:szCs w:val="11"/>
          <w:color w:val="auto"/>
        </w:rPr>
        <w:t>retains a third-party search firm from time to time to identify potential director candidates</w:t>
      </w:r>
    </w:p>
    <w:p>
      <w:pPr>
        <w:spacing w:after="0" w:line="1" w:lineRule="exact"/>
        <w:rPr>
          <w:rFonts w:ascii="Arial" w:cs="Arial" w:eastAsia="Arial" w:hAnsi="Arial"/>
          <w:sz w:val="17"/>
          <w:szCs w:val="17"/>
          <w:color w:val="D60011"/>
          <w:vertAlign w:val="superscript"/>
        </w:rPr>
      </w:pPr>
    </w:p>
    <w:p>
      <w:pPr>
        <w:ind w:left="1040" w:hanging="208"/>
        <w:spacing w:after="0" w:line="187" w:lineRule="auto"/>
        <w:tabs>
          <w:tab w:leader="none" w:pos="1040" w:val="left"/>
        </w:tabs>
        <w:numPr>
          <w:ilvl w:val="0"/>
          <w:numId w:val="66"/>
        </w:numPr>
        <w:rPr>
          <w:rFonts w:ascii="Arial" w:cs="Arial" w:eastAsia="Arial" w:hAnsi="Arial"/>
          <w:sz w:val="14"/>
          <w:szCs w:val="14"/>
          <w:color w:val="D60011"/>
          <w:vertAlign w:val="superscript"/>
        </w:rPr>
      </w:pPr>
      <w:r>
        <w:rPr>
          <w:rFonts w:ascii="Arial" w:cs="Arial" w:eastAsia="Arial" w:hAnsi="Arial"/>
          <w:sz w:val="9"/>
          <w:szCs w:val="9"/>
          <w:color w:val="auto"/>
        </w:rPr>
        <w:t>selects new director nominees to recommend to the Board</w:t>
      </w:r>
    </w:p>
    <w:p>
      <w:pPr>
        <w:jc w:val="both"/>
        <w:ind w:left="1040" w:hanging="208"/>
        <w:spacing w:after="0" w:line="205" w:lineRule="auto"/>
        <w:tabs>
          <w:tab w:leader="none" w:pos="1040" w:val="left"/>
        </w:tabs>
        <w:numPr>
          <w:ilvl w:val="0"/>
          <w:numId w:val="66"/>
        </w:numPr>
        <w:rPr>
          <w:rFonts w:ascii="Arial" w:cs="Arial" w:eastAsia="Arial" w:hAnsi="Arial"/>
          <w:sz w:val="17"/>
          <w:szCs w:val="17"/>
          <w:color w:val="D60011"/>
          <w:vertAlign w:val="superscript"/>
        </w:rPr>
      </w:pPr>
      <w:r>
        <w:rPr>
          <w:rFonts w:ascii="Arial" w:cs="Arial" w:eastAsia="Arial" w:hAnsi="Arial"/>
          <w:sz w:val="11"/>
          <w:szCs w:val="11"/>
          <w:color w:val="auto"/>
        </w:rPr>
        <w:t>considers the re-nomination of existing directors after it conducts an annual review of each director’s qualifications, experience, and independence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9" w:right="979" w:hanging="209"/>
        <w:spacing w:after="0" w:line="214" w:lineRule="auto"/>
        <w:tabs>
          <w:tab w:leader="none" w:pos="209" w:val="left"/>
        </w:tabs>
        <w:numPr>
          <w:ilvl w:val="0"/>
          <w:numId w:val="67"/>
        </w:numPr>
        <w:rPr>
          <w:rFonts w:ascii="Arial" w:cs="Arial" w:eastAsia="Arial" w:hAnsi="Arial"/>
          <w:sz w:val="17"/>
          <w:szCs w:val="17"/>
          <w:color w:val="D60011"/>
          <w:vertAlign w:val="superscript"/>
        </w:rPr>
      </w:pPr>
      <w:r>
        <w:rPr>
          <w:rFonts w:ascii="Arial" w:cs="Arial" w:eastAsia="Arial" w:hAnsi="Arial"/>
          <w:sz w:val="11"/>
          <w:szCs w:val="11"/>
          <w:color w:val="auto"/>
        </w:rPr>
        <w:t>reviews membership on the Board committees and, after consultation with the CEO and Lead Independent Director, makes recommendations to the Board annually regarding both committee and committee chair assignments</w:t>
      </w:r>
    </w:p>
    <w:p>
      <w:pPr>
        <w:spacing w:after="0" w:line="1" w:lineRule="exact"/>
        <w:rPr>
          <w:rFonts w:ascii="Arial" w:cs="Arial" w:eastAsia="Arial" w:hAnsi="Arial"/>
          <w:sz w:val="17"/>
          <w:szCs w:val="17"/>
          <w:color w:val="D60011"/>
          <w:vertAlign w:val="superscript"/>
        </w:rPr>
      </w:pPr>
    </w:p>
    <w:p>
      <w:pPr>
        <w:ind w:left="209" w:right="979" w:hanging="209"/>
        <w:spacing w:after="0" w:line="187" w:lineRule="auto"/>
        <w:tabs>
          <w:tab w:leader="none" w:pos="209" w:val="left"/>
        </w:tabs>
        <w:numPr>
          <w:ilvl w:val="0"/>
          <w:numId w:val="67"/>
        </w:numPr>
        <w:rPr>
          <w:rFonts w:ascii="Arial" w:cs="Arial" w:eastAsia="Arial" w:hAnsi="Arial"/>
          <w:sz w:val="17"/>
          <w:szCs w:val="17"/>
          <w:color w:val="D60011"/>
          <w:vertAlign w:val="superscript"/>
        </w:rPr>
      </w:pPr>
      <w:r>
        <w:rPr>
          <w:rFonts w:ascii="Arial" w:cs="Arial" w:eastAsia="Arial" w:hAnsi="Arial"/>
          <w:sz w:val="11"/>
          <w:szCs w:val="11"/>
          <w:color w:val="auto"/>
        </w:rPr>
        <w:t>reviews trends and governance with regard to nonemployee directors’ compensation</w:t>
      </w:r>
    </w:p>
    <w:p>
      <w:pPr>
        <w:spacing w:after="0" w:line="1" w:lineRule="exact"/>
        <w:rPr>
          <w:rFonts w:ascii="Arial" w:cs="Arial" w:eastAsia="Arial" w:hAnsi="Arial"/>
          <w:sz w:val="17"/>
          <w:szCs w:val="17"/>
          <w:color w:val="D60011"/>
          <w:vertAlign w:val="superscript"/>
        </w:rPr>
      </w:pPr>
    </w:p>
    <w:p>
      <w:pPr>
        <w:ind w:left="209" w:right="979" w:hanging="209"/>
        <w:spacing w:after="0" w:line="222" w:lineRule="auto"/>
        <w:tabs>
          <w:tab w:leader="none" w:pos="209" w:val="left"/>
        </w:tabs>
        <w:numPr>
          <w:ilvl w:val="0"/>
          <w:numId w:val="67"/>
        </w:numPr>
        <w:rPr>
          <w:rFonts w:ascii="Arial" w:cs="Arial" w:eastAsia="Arial" w:hAnsi="Arial"/>
          <w:sz w:val="16"/>
          <w:szCs w:val="16"/>
          <w:color w:val="D60011"/>
          <w:vertAlign w:val="superscript"/>
        </w:rPr>
      </w:pPr>
      <w:r>
        <w:rPr>
          <w:rFonts w:ascii="Arial" w:cs="Arial" w:eastAsia="Arial" w:hAnsi="Arial"/>
          <w:sz w:val="10"/>
          <w:szCs w:val="10"/>
          <w:color w:val="auto"/>
        </w:rPr>
        <w:t>oversees the Company’s ESG initiatives and reviews and considers related public reporting, including the Company’s annual Impact Report, and the role of ESG in the Company’s strategy</w:t>
      </w:r>
    </w:p>
    <w:p>
      <w:pPr>
        <w:spacing w:after="0" w:line="489" w:lineRule="exact"/>
        <w:rPr>
          <w:sz w:val="20"/>
          <w:szCs w:val="20"/>
          <w:color w:val="auto"/>
        </w:rPr>
      </w:pPr>
    </w:p>
    <w:p>
      <w:pPr>
        <w:sectPr>
          <w:pgSz w:w="11900" w:h="16838" w:orient="portrait"/>
          <w:cols w:equalWidth="0" w:num="2">
            <w:col w:w="4340" w:space="311"/>
            <w:col w:w="4368"/>
          </w:cols>
          <w:pgMar w:left="1440" w:top="565" w:right="1440" w:bottom="1440" w:gutter="0" w:footer="0" w:header="0"/>
          <w:type w:val="continuous"/>
        </w:sectPr>
      </w:pPr>
    </w:p>
    <w:p>
      <w:pPr>
        <w:jc w:val="both"/>
        <w:ind w:left="840" w:right="1159"/>
        <w:spacing w:after="0" w:line="246" w:lineRule="auto"/>
        <w:rPr>
          <w:sz w:val="20"/>
          <w:szCs w:val="20"/>
          <w:color w:val="auto"/>
        </w:rPr>
      </w:pPr>
      <w:r>
        <w:rPr>
          <w:rFonts w:ascii="Arial" w:cs="Arial" w:eastAsia="Arial" w:hAnsi="Arial"/>
          <w:sz w:val="11"/>
          <w:szCs w:val="11"/>
          <w:color w:val="auto"/>
        </w:rPr>
        <w:t xml:space="preserve">Shareholders who wish to recommend candidates for Board membership may contact the Responsibility Committee in the manner described under </w:t>
      </w:r>
      <w:r>
        <w:rPr>
          <w:rFonts w:ascii="Arial" w:cs="Arial" w:eastAsia="Arial" w:hAnsi="Arial"/>
          <w:sz w:val="11"/>
          <w:szCs w:val="11"/>
          <w:b w:val="1"/>
          <w:bCs w:val="1"/>
          <w:color w:val="D60011"/>
        </w:rPr>
        <w:t xml:space="preserve">Communications with the Board </w:t>
      </w:r>
      <w:r>
        <w:rPr>
          <w:rFonts w:ascii="Arial" w:cs="Arial" w:eastAsia="Arial" w:hAnsi="Arial"/>
          <w:sz w:val="11"/>
          <w:szCs w:val="11"/>
          <w:color w:val="000000"/>
        </w:rPr>
        <w:t>on page 39. Shareholder nominations must be made according to the procedures required under, and within the</w:t>
      </w:r>
      <w:r>
        <w:rPr>
          <w:rFonts w:ascii="Arial" w:cs="Arial" w:eastAsia="Arial" w:hAnsi="Arial"/>
          <w:sz w:val="11"/>
          <w:szCs w:val="11"/>
          <w:b w:val="1"/>
          <w:bCs w:val="1"/>
          <w:color w:val="D60011"/>
        </w:rPr>
        <w:t xml:space="preserve"> </w:t>
      </w:r>
      <w:r>
        <w:rPr>
          <w:rFonts w:ascii="Arial" w:cs="Arial" w:eastAsia="Arial" w:hAnsi="Arial"/>
          <w:sz w:val="11"/>
          <w:szCs w:val="11"/>
          <w:color w:val="000000"/>
        </w:rPr>
        <w:t xml:space="preserve">timeframe described in, the By-Laws and under </w:t>
      </w:r>
      <w:r>
        <w:rPr>
          <w:rFonts w:ascii="Arial" w:cs="Arial" w:eastAsia="Arial" w:hAnsi="Arial"/>
          <w:sz w:val="11"/>
          <w:szCs w:val="11"/>
          <w:b w:val="1"/>
          <w:bCs w:val="1"/>
          <w:color w:val="D60011"/>
        </w:rPr>
        <w:t>Deadlines and Procedures for Nominations and Shareholder Proposals for the 2023 Annual</w:t>
      </w:r>
      <w:r>
        <w:rPr>
          <w:rFonts w:ascii="Arial" w:cs="Arial" w:eastAsia="Arial" w:hAnsi="Arial"/>
          <w:sz w:val="11"/>
          <w:szCs w:val="11"/>
          <w:color w:val="000000"/>
        </w:rPr>
        <w:t xml:space="preserve"> </w:t>
      </w:r>
      <w:r>
        <w:rPr>
          <w:rFonts w:ascii="Arial" w:cs="Arial" w:eastAsia="Arial" w:hAnsi="Arial"/>
          <w:sz w:val="11"/>
          <w:szCs w:val="11"/>
          <w:b w:val="1"/>
          <w:bCs w:val="1"/>
          <w:color w:val="D60011"/>
        </w:rPr>
        <w:t xml:space="preserve">Meeting </w:t>
      </w:r>
      <w:r>
        <w:rPr>
          <w:rFonts w:ascii="Arial" w:cs="Arial" w:eastAsia="Arial" w:hAnsi="Arial"/>
          <w:sz w:val="11"/>
          <w:szCs w:val="11"/>
          <w:color w:val="000000"/>
        </w:rPr>
        <w:t>on page 104. Shareholder-recommended candidates and shareholder nominees whose nominations comply with these procedures will be</w:t>
      </w:r>
      <w:r>
        <w:rPr>
          <w:rFonts w:ascii="Arial" w:cs="Arial" w:eastAsia="Arial" w:hAnsi="Arial"/>
          <w:sz w:val="11"/>
          <w:szCs w:val="11"/>
          <w:b w:val="1"/>
          <w:bCs w:val="1"/>
          <w:color w:val="D60011"/>
        </w:rPr>
        <w:t xml:space="preserve"> </w:t>
      </w:r>
      <w:r>
        <w:rPr>
          <w:rFonts w:ascii="Arial" w:cs="Arial" w:eastAsia="Arial" w:hAnsi="Arial"/>
          <w:sz w:val="11"/>
          <w:szCs w:val="11"/>
          <w:color w:val="000000"/>
        </w:rPr>
        <w:t>evaluated by the Responsibility Committee in the same manner as the Company’s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80010</wp:posOffset>
            </wp:positionV>
            <wp:extent cx="46634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45" w:lineRule="exact"/>
        <w:rPr>
          <w:sz w:val="20"/>
          <w:szCs w:val="20"/>
          <w:color w:val="auto"/>
        </w:rPr>
      </w:pPr>
    </w:p>
    <w:p>
      <w:pPr>
        <w:ind w:left="1520" w:hanging="388"/>
        <w:spacing w:after="0"/>
        <w:tabs>
          <w:tab w:leader="none" w:pos="1520" w:val="left"/>
        </w:tabs>
        <w:numPr>
          <w:ilvl w:val="0"/>
          <w:numId w:val="68"/>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116840</wp:posOffset>
            </wp:positionV>
            <wp:extent cx="717804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type w:val="continuous"/>
        </w:sectPr>
      </w:pPr>
    </w:p>
    <w:bookmarkStart w:id="48" w:name="page49"/>
    <w:bookmarkEnd w:id="48"/>
    <w:p>
      <w:pPr>
        <w:ind w:left="8220"/>
        <w:spacing w:after="0"/>
        <w:rPr>
          <w:sz w:val="20"/>
          <w:szCs w:val="20"/>
          <w:color w:val="auto"/>
        </w:rPr>
      </w:pPr>
      <w:r>
        <w:rPr>
          <w:rFonts w:ascii="Arial" w:cs="Arial" w:eastAsia="Arial" w:hAnsi="Arial"/>
          <w:sz w:val="10"/>
          <w:szCs w:val="10"/>
          <w:b w:val="1"/>
          <w:bCs w:val="1"/>
          <w:color w:val="D60011"/>
        </w:rPr>
        <w:t>BOARD OF DIRECTORS</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DIRECTOR COMPENSATION</w:t>
      </w:r>
    </w:p>
    <w:p>
      <w:pPr>
        <w:spacing w:after="0" w:line="145" w:lineRule="exact"/>
        <w:rPr>
          <w:sz w:val="20"/>
          <w:szCs w:val="20"/>
          <w:color w:val="auto"/>
        </w:rPr>
      </w:pPr>
    </w:p>
    <w:p>
      <w:pPr>
        <w:ind w:left="1980" w:right="2060"/>
        <w:spacing w:after="0" w:line="268" w:lineRule="auto"/>
        <w:rPr>
          <w:sz w:val="20"/>
          <w:szCs w:val="20"/>
          <w:color w:val="auto"/>
        </w:rPr>
      </w:pPr>
      <w:r>
        <w:rPr>
          <w:rFonts w:ascii="Arial" w:cs="Arial" w:eastAsia="Arial" w:hAnsi="Arial"/>
          <w:sz w:val="11"/>
          <w:szCs w:val="11"/>
          <w:color w:val="auto"/>
        </w:rPr>
        <w:t>This discussion relates to the compensation we pay to non-employee directors. We do not pay additional compensation to any director for service on the Board or any committee who is also a Company employee.</w:t>
      </w:r>
    </w:p>
    <w:p>
      <w:pPr>
        <w:spacing w:after="0" w:line="8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KEY PRINCIPLES OF DIRECTOR COMPENSATION PROGRAM</w:t>
      </w:r>
    </w:p>
    <w:p>
      <w:pPr>
        <w:spacing w:after="0" w:line="13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compensates its non-employee directors for their service according to the following principles: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80" w:type="dxa"/>
            <w:vAlign w:val="bottom"/>
          </w:tcPr>
          <w:p>
            <w:pPr>
              <w:spacing w:after="0"/>
              <w:rPr>
                <w:sz w:val="12"/>
                <w:szCs w:val="12"/>
                <w:color w:val="auto"/>
              </w:rPr>
            </w:pPr>
          </w:p>
        </w:tc>
        <w:tc>
          <w:tcPr>
            <w:tcW w:w="1320" w:type="dxa"/>
            <w:vAlign w:val="bottom"/>
            <w:tcBorders>
              <w:bottom w:val="single" w:sz="8" w:color="D60010"/>
            </w:tcBorders>
          </w:tcPr>
          <w:p>
            <w:pPr>
              <w:ind w:left="60"/>
              <w:spacing w:after="0"/>
              <w:rPr>
                <w:sz w:val="20"/>
                <w:szCs w:val="20"/>
                <w:color w:val="auto"/>
              </w:rPr>
            </w:pPr>
            <w:r>
              <w:rPr>
                <w:rFonts w:ascii="Arial" w:cs="Arial" w:eastAsia="Arial" w:hAnsi="Arial"/>
                <w:sz w:val="10"/>
                <w:szCs w:val="10"/>
                <w:b w:val="1"/>
                <w:bCs w:val="1"/>
                <w:color w:val="auto"/>
              </w:rPr>
              <w:t>Category</w:t>
            </w:r>
          </w:p>
        </w:tc>
        <w:tc>
          <w:tcPr>
            <w:tcW w:w="5540" w:type="dxa"/>
            <w:vAlign w:val="bottom"/>
            <w:tcBorders>
              <w:bottom w:val="single" w:sz="8" w:color="D60010"/>
            </w:tcBorders>
          </w:tcPr>
          <w:p>
            <w:pPr>
              <w:ind w:left="140"/>
              <w:spacing w:after="0"/>
              <w:rPr>
                <w:sz w:val="20"/>
                <w:szCs w:val="20"/>
                <w:color w:val="auto"/>
              </w:rPr>
            </w:pPr>
            <w:r>
              <w:rPr>
                <w:rFonts w:ascii="Arial" w:cs="Arial" w:eastAsia="Arial" w:hAnsi="Arial"/>
                <w:sz w:val="10"/>
                <w:szCs w:val="10"/>
                <w:b w:val="1"/>
                <w:bCs w:val="1"/>
                <w:color w:val="auto"/>
              </w:rPr>
              <w:t>Description</w:t>
            </w:r>
          </w:p>
        </w:tc>
        <w:tc>
          <w:tcPr>
            <w:tcW w:w="480" w:type="dxa"/>
            <w:vAlign w:val="bottom"/>
            <w:tcBorders>
              <w:bottom w:val="single" w:sz="8" w:color="D60010"/>
            </w:tcBorders>
          </w:tcPr>
          <w:p>
            <w:pPr>
              <w:spacing w:after="0"/>
              <w:rPr>
                <w:sz w:val="12"/>
                <w:szCs w:val="12"/>
                <w:color w:val="auto"/>
              </w:rPr>
            </w:pPr>
          </w:p>
        </w:tc>
        <w:tc>
          <w:tcPr>
            <w:tcW w:w="1980" w:type="dxa"/>
            <w:vAlign w:val="bottom"/>
          </w:tcPr>
          <w:p>
            <w:pPr>
              <w:spacing w:after="0"/>
              <w:rPr>
                <w:sz w:val="12"/>
                <w:szCs w:val="12"/>
                <w:color w:val="auto"/>
              </w:rPr>
            </w:pPr>
          </w:p>
        </w:tc>
      </w:tr>
      <w:tr>
        <w:trPr>
          <w:trHeight w:val="135"/>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Pay Position</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w w:val="99"/>
              </w:rPr>
              <w:t>The targeted pay position for our outside directors’ compensation program is the median of the retail and general industry</w:t>
            </w:r>
          </w:p>
        </w:tc>
        <w:tc>
          <w:tcPr>
            <w:tcW w:w="1980" w:type="dxa"/>
            <w:vAlign w:val="bottom"/>
          </w:tcPr>
          <w:p>
            <w:pPr>
              <w:spacing w:after="0"/>
              <w:rPr>
                <w:sz w:val="11"/>
                <w:szCs w:val="11"/>
                <w:color w:val="auto"/>
              </w:rPr>
            </w:pPr>
          </w:p>
        </w:tc>
      </w:tr>
      <w:tr>
        <w:trPr>
          <w:trHeight w:val="147"/>
        </w:trPr>
        <w:tc>
          <w:tcPr>
            <w:tcW w:w="1980" w:type="dxa"/>
            <w:vAlign w:val="bottom"/>
          </w:tcPr>
          <w:p>
            <w:pPr>
              <w:spacing w:after="0"/>
              <w:rPr>
                <w:sz w:val="12"/>
                <w:szCs w:val="12"/>
                <w:color w:val="auto"/>
              </w:rPr>
            </w:pPr>
          </w:p>
        </w:tc>
        <w:tc>
          <w:tcPr>
            <w:tcW w:w="1320" w:type="dxa"/>
            <w:vAlign w:val="bottom"/>
            <w:tcBorders>
              <w:bottom w:val="single" w:sz="8" w:color="CCCCCC"/>
            </w:tcBorders>
          </w:tcPr>
          <w:p>
            <w:pPr>
              <w:spacing w:after="0"/>
              <w:rPr>
                <w:sz w:val="12"/>
                <w:szCs w:val="12"/>
                <w:color w:val="auto"/>
              </w:rPr>
            </w:pPr>
          </w:p>
        </w:tc>
        <w:tc>
          <w:tcPr>
            <w:tcW w:w="5540" w:type="dxa"/>
            <w:vAlign w:val="bottom"/>
            <w:tcBorders>
              <w:bottom w:val="single" w:sz="8" w:color="CCCCCC"/>
            </w:tcBorders>
          </w:tcPr>
          <w:p>
            <w:pPr>
              <w:ind w:left="140"/>
              <w:spacing w:after="0"/>
              <w:rPr>
                <w:sz w:val="20"/>
                <w:szCs w:val="20"/>
                <w:color w:val="auto"/>
              </w:rPr>
            </w:pPr>
            <w:r>
              <w:rPr>
                <w:rFonts w:ascii="Arial" w:cs="Arial" w:eastAsia="Arial" w:hAnsi="Arial"/>
                <w:sz w:val="11"/>
                <w:szCs w:val="11"/>
                <w:color w:val="auto"/>
              </w:rPr>
              <w:t>market reference points.</w:t>
            </w:r>
          </w:p>
        </w:tc>
        <w:tc>
          <w:tcPr>
            <w:tcW w:w="480" w:type="dxa"/>
            <w:vAlign w:val="bottom"/>
            <w:tcBorders>
              <w:bottom w:val="single" w:sz="8" w:color="CCCCCC"/>
            </w:tcBorders>
          </w:tcPr>
          <w:p>
            <w:pPr>
              <w:spacing w:after="0"/>
              <w:rPr>
                <w:sz w:val="12"/>
                <w:szCs w:val="12"/>
                <w:color w:val="auto"/>
              </w:rPr>
            </w:pPr>
          </w:p>
        </w:tc>
        <w:tc>
          <w:tcPr>
            <w:tcW w:w="1980" w:type="dxa"/>
            <w:vAlign w:val="bottom"/>
          </w:tcPr>
          <w:p>
            <w:pPr>
              <w:spacing w:after="0"/>
              <w:rPr>
                <w:sz w:val="12"/>
                <w:szCs w:val="12"/>
                <w:color w:val="auto"/>
              </w:rPr>
            </w:pPr>
          </w:p>
        </w:tc>
      </w:tr>
      <w:tr>
        <w:trPr>
          <w:trHeight w:val="130"/>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Peer Groups</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w w:val="99"/>
              </w:rPr>
              <w:t>When establishing reference points for market comparisons of our outside directors’ compensation program, we consider</w:t>
            </w:r>
          </w:p>
        </w:tc>
        <w:tc>
          <w:tcPr>
            <w:tcW w:w="1980" w:type="dxa"/>
            <w:vAlign w:val="bottom"/>
          </w:tcPr>
          <w:p>
            <w:pPr>
              <w:spacing w:after="0"/>
              <w:rPr>
                <w:sz w:val="11"/>
                <w:szCs w:val="11"/>
                <w:color w:val="auto"/>
              </w:rPr>
            </w:pPr>
          </w:p>
        </w:tc>
      </w:tr>
      <w:tr>
        <w:trPr>
          <w:trHeight w:val="126"/>
        </w:trPr>
        <w:tc>
          <w:tcPr>
            <w:tcW w:w="1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540" w:type="dxa"/>
            <w:vAlign w:val="bottom"/>
          </w:tcPr>
          <w:p>
            <w:pPr>
              <w:ind w:left="140"/>
              <w:spacing w:after="0"/>
              <w:rPr>
                <w:sz w:val="20"/>
                <w:szCs w:val="20"/>
                <w:color w:val="auto"/>
              </w:rPr>
            </w:pPr>
            <w:r>
              <w:rPr>
                <w:rFonts w:ascii="Arial" w:cs="Arial" w:eastAsia="Arial" w:hAnsi="Arial"/>
                <w:sz w:val="11"/>
                <w:szCs w:val="11"/>
                <w:color w:val="auto"/>
                <w:w w:val="98"/>
              </w:rPr>
              <w:t>the retail peer group used for our executive compensation purposes and general industry data for similarly-sized</w:t>
            </w:r>
          </w:p>
        </w:tc>
        <w:tc>
          <w:tcPr>
            <w:tcW w:w="48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150"/>
        </w:trPr>
        <w:tc>
          <w:tcPr>
            <w:tcW w:w="1980" w:type="dxa"/>
            <w:vAlign w:val="bottom"/>
          </w:tcPr>
          <w:p>
            <w:pPr>
              <w:spacing w:after="0"/>
              <w:rPr>
                <w:sz w:val="13"/>
                <w:szCs w:val="13"/>
                <w:color w:val="auto"/>
              </w:rPr>
            </w:pPr>
          </w:p>
        </w:tc>
        <w:tc>
          <w:tcPr>
            <w:tcW w:w="1320" w:type="dxa"/>
            <w:vAlign w:val="bottom"/>
            <w:tcBorders>
              <w:bottom w:val="single" w:sz="8" w:color="CCCCCC"/>
            </w:tcBorders>
          </w:tcPr>
          <w:p>
            <w:pPr>
              <w:spacing w:after="0"/>
              <w:rPr>
                <w:sz w:val="13"/>
                <w:szCs w:val="13"/>
                <w:color w:val="auto"/>
              </w:rPr>
            </w:pPr>
          </w:p>
        </w:tc>
        <w:tc>
          <w:tcPr>
            <w:tcW w:w="5540" w:type="dxa"/>
            <w:vAlign w:val="bottom"/>
            <w:tcBorders>
              <w:bottom w:val="single" w:sz="8" w:color="CCCCCC"/>
            </w:tcBorders>
          </w:tcPr>
          <w:p>
            <w:pPr>
              <w:ind w:left="140"/>
              <w:spacing w:after="0"/>
              <w:rPr>
                <w:sz w:val="20"/>
                <w:szCs w:val="20"/>
                <w:color w:val="auto"/>
              </w:rPr>
            </w:pPr>
            <w:r>
              <w:rPr>
                <w:rFonts w:ascii="Arial" w:cs="Arial" w:eastAsia="Arial" w:hAnsi="Arial"/>
                <w:sz w:val="11"/>
                <w:szCs w:val="11"/>
                <w:color w:val="auto"/>
              </w:rPr>
              <w:t xml:space="preserve">companies. See </w:t>
            </w:r>
            <w:r>
              <w:rPr>
                <w:rFonts w:ascii="Arial" w:cs="Arial" w:eastAsia="Arial" w:hAnsi="Arial"/>
                <w:sz w:val="11"/>
                <w:szCs w:val="11"/>
                <w:b w:val="1"/>
                <w:bCs w:val="1"/>
                <w:color w:val="D60011"/>
              </w:rPr>
              <w:t>Benchmarking Approach</w:t>
            </w:r>
            <w:r>
              <w:rPr>
                <w:rFonts w:ascii="Arial" w:cs="Arial" w:eastAsia="Arial" w:hAnsi="Arial"/>
                <w:sz w:val="11"/>
                <w:szCs w:val="11"/>
                <w:color w:val="auto"/>
              </w:rPr>
              <w:t xml:space="preserve"> on page 65 for more information on our peer group.</w:t>
            </w:r>
          </w:p>
        </w:tc>
        <w:tc>
          <w:tcPr>
            <w:tcW w:w="480" w:type="dxa"/>
            <w:vAlign w:val="bottom"/>
            <w:tcBorders>
              <w:bottom w:val="single" w:sz="8" w:color="CCCCCC"/>
            </w:tcBorders>
          </w:tcPr>
          <w:p>
            <w:pPr>
              <w:spacing w:after="0"/>
              <w:rPr>
                <w:sz w:val="13"/>
                <w:szCs w:val="13"/>
                <w:color w:val="auto"/>
              </w:rPr>
            </w:pPr>
          </w:p>
        </w:tc>
        <w:tc>
          <w:tcPr>
            <w:tcW w:w="1980" w:type="dxa"/>
            <w:vAlign w:val="bottom"/>
          </w:tcPr>
          <w:p>
            <w:pPr>
              <w:spacing w:after="0"/>
              <w:rPr>
                <w:sz w:val="13"/>
                <w:szCs w:val="13"/>
                <w:color w:val="auto"/>
              </w:rPr>
            </w:pPr>
          </w:p>
        </w:tc>
      </w:tr>
      <w:tr>
        <w:trPr>
          <w:trHeight w:val="127"/>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Pay Evaluation</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When assessing the competitive position of our outside directors’ compensation program, the primary focus is on total</w:t>
            </w:r>
          </w:p>
        </w:tc>
        <w:tc>
          <w:tcPr>
            <w:tcW w:w="1980" w:type="dxa"/>
            <w:vAlign w:val="bottom"/>
          </w:tcPr>
          <w:p>
            <w:pPr>
              <w:spacing w:after="0"/>
              <w:rPr>
                <w:sz w:val="11"/>
                <w:szCs w:val="11"/>
                <w:color w:val="auto"/>
              </w:rPr>
            </w:pPr>
          </w:p>
        </w:tc>
      </w:tr>
      <w:tr>
        <w:trPr>
          <w:trHeight w:val="150"/>
        </w:trPr>
        <w:tc>
          <w:tcPr>
            <w:tcW w:w="1980" w:type="dxa"/>
            <w:vAlign w:val="bottom"/>
          </w:tcPr>
          <w:p>
            <w:pPr>
              <w:spacing w:after="0"/>
              <w:rPr>
                <w:sz w:val="13"/>
                <w:szCs w:val="13"/>
                <w:color w:val="auto"/>
              </w:rPr>
            </w:pPr>
          </w:p>
        </w:tc>
        <w:tc>
          <w:tcPr>
            <w:tcW w:w="13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Perspective</w:t>
            </w:r>
          </w:p>
        </w:tc>
        <w:tc>
          <w:tcPr>
            <w:tcW w:w="5540" w:type="dxa"/>
            <w:vAlign w:val="bottom"/>
            <w:tcBorders>
              <w:bottom w:val="single" w:sz="8" w:color="CCCCCC"/>
            </w:tcBorders>
          </w:tcPr>
          <w:p>
            <w:pPr>
              <w:ind w:left="140"/>
              <w:spacing w:after="0"/>
              <w:rPr>
                <w:sz w:val="20"/>
                <w:szCs w:val="20"/>
                <w:color w:val="auto"/>
              </w:rPr>
            </w:pPr>
            <w:r>
              <w:rPr>
                <w:rFonts w:ascii="Arial" w:cs="Arial" w:eastAsia="Arial" w:hAnsi="Arial"/>
                <w:sz w:val="11"/>
                <w:szCs w:val="11"/>
                <w:color w:val="auto"/>
              </w:rPr>
              <w:t>targeted compensation opportunity.</w:t>
            </w:r>
          </w:p>
        </w:tc>
        <w:tc>
          <w:tcPr>
            <w:tcW w:w="480" w:type="dxa"/>
            <w:vAlign w:val="bottom"/>
            <w:tcBorders>
              <w:bottom w:val="single" w:sz="8" w:color="CCCCCC"/>
            </w:tcBorders>
          </w:tcPr>
          <w:p>
            <w:pPr>
              <w:spacing w:after="0"/>
              <w:rPr>
                <w:sz w:val="13"/>
                <w:szCs w:val="13"/>
                <w:color w:val="auto"/>
              </w:rPr>
            </w:pPr>
          </w:p>
        </w:tc>
        <w:tc>
          <w:tcPr>
            <w:tcW w:w="1980" w:type="dxa"/>
            <w:vAlign w:val="bottom"/>
          </w:tcPr>
          <w:p>
            <w:pPr>
              <w:spacing w:after="0"/>
              <w:rPr>
                <w:sz w:val="13"/>
                <w:szCs w:val="13"/>
                <w:color w:val="auto"/>
              </w:rPr>
            </w:pPr>
          </w:p>
        </w:tc>
      </w:tr>
      <w:tr>
        <w:trPr>
          <w:trHeight w:val="127"/>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Pay Mix</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Our outside directors’ compensation program consists of a balance of cash and equity, with an emphasis on equity over</w:t>
            </w:r>
          </w:p>
        </w:tc>
        <w:tc>
          <w:tcPr>
            <w:tcW w:w="1980" w:type="dxa"/>
            <w:vAlign w:val="bottom"/>
          </w:tcPr>
          <w:p>
            <w:pPr>
              <w:spacing w:after="0"/>
              <w:rPr>
                <w:sz w:val="11"/>
                <w:szCs w:val="11"/>
                <w:color w:val="auto"/>
              </w:rPr>
            </w:pPr>
          </w:p>
        </w:tc>
      </w:tr>
      <w:tr>
        <w:trPr>
          <w:trHeight w:val="150"/>
        </w:trPr>
        <w:tc>
          <w:tcPr>
            <w:tcW w:w="1980" w:type="dxa"/>
            <w:vAlign w:val="bottom"/>
          </w:tcPr>
          <w:p>
            <w:pPr>
              <w:spacing w:after="0"/>
              <w:rPr>
                <w:sz w:val="13"/>
                <w:szCs w:val="13"/>
                <w:color w:val="auto"/>
              </w:rPr>
            </w:pPr>
          </w:p>
        </w:tc>
        <w:tc>
          <w:tcPr>
            <w:tcW w:w="1320" w:type="dxa"/>
            <w:vAlign w:val="bottom"/>
            <w:tcBorders>
              <w:bottom w:val="single" w:sz="8" w:color="CCCCCC"/>
            </w:tcBorders>
          </w:tcPr>
          <w:p>
            <w:pPr>
              <w:spacing w:after="0"/>
              <w:rPr>
                <w:sz w:val="13"/>
                <w:szCs w:val="13"/>
                <w:color w:val="auto"/>
              </w:rPr>
            </w:pPr>
          </w:p>
        </w:tc>
        <w:tc>
          <w:tcPr>
            <w:tcW w:w="5540" w:type="dxa"/>
            <w:vAlign w:val="bottom"/>
            <w:tcBorders>
              <w:bottom w:val="single" w:sz="8" w:color="CCCCCC"/>
            </w:tcBorders>
          </w:tcPr>
          <w:p>
            <w:pPr>
              <w:ind w:left="140"/>
              <w:spacing w:after="0"/>
              <w:rPr>
                <w:sz w:val="20"/>
                <w:szCs w:val="20"/>
                <w:color w:val="auto"/>
              </w:rPr>
            </w:pPr>
            <w:r>
              <w:rPr>
                <w:rFonts w:ascii="Arial" w:cs="Arial" w:eastAsia="Arial" w:hAnsi="Arial"/>
                <w:sz w:val="11"/>
                <w:szCs w:val="11"/>
                <w:color w:val="auto"/>
              </w:rPr>
              <w:t xml:space="preserve">cash. See </w:t>
            </w:r>
            <w:r>
              <w:rPr>
                <w:rFonts w:ascii="Arial" w:cs="Arial" w:eastAsia="Arial" w:hAnsi="Arial"/>
                <w:sz w:val="11"/>
                <w:szCs w:val="11"/>
                <w:b w:val="1"/>
                <w:bCs w:val="1"/>
                <w:color w:val="D60011"/>
              </w:rPr>
              <w:t>Components of Director Compensation Program</w:t>
            </w:r>
            <w:r>
              <w:rPr>
                <w:rFonts w:ascii="Arial" w:cs="Arial" w:eastAsia="Arial" w:hAnsi="Arial"/>
                <w:sz w:val="11"/>
                <w:szCs w:val="11"/>
                <w:color w:val="auto"/>
              </w:rPr>
              <w:t xml:space="preserve"> on page 44 for further information.</w:t>
            </w:r>
          </w:p>
        </w:tc>
        <w:tc>
          <w:tcPr>
            <w:tcW w:w="480" w:type="dxa"/>
            <w:vAlign w:val="bottom"/>
            <w:tcBorders>
              <w:bottom w:val="single" w:sz="8" w:color="CCCCCC"/>
            </w:tcBorders>
          </w:tcPr>
          <w:p>
            <w:pPr>
              <w:spacing w:after="0"/>
              <w:rPr>
                <w:sz w:val="13"/>
                <w:szCs w:val="13"/>
                <w:color w:val="auto"/>
              </w:rPr>
            </w:pPr>
          </w:p>
        </w:tc>
        <w:tc>
          <w:tcPr>
            <w:tcW w:w="1980" w:type="dxa"/>
            <w:vAlign w:val="bottom"/>
          </w:tcPr>
          <w:p>
            <w:pPr>
              <w:spacing w:after="0"/>
              <w:rPr>
                <w:sz w:val="13"/>
                <w:szCs w:val="13"/>
                <w:color w:val="auto"/>
              </w:rPr>
            </w:pPr>
          </w:p>
        </w:tc>
      </w:tr>
      <w:tr>
        <w:trPr>
          <w:trHeight w:val="127"/>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Differentiation</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The outside directors’ compensation provides additional compensation for leadership positions on the Board, including</w:t>
            </w:r>
          </w:p>
        </w:tc>
        <w:tc>
          <w:tcPr>
            <w:tcW w:w="1980" w:type="dxa"/>
            <w:vAlign w:val="bottom"/>
          </w:tcPr>
          <w:p>
            <w:pPr>
              <w:spacing w:after="0"/>
              <w:rPr>
                <w:sz w:val="11"/>
                <w:szCs w:val="11"/>
                <w:color w:val="auto"/>
              </w:rPr>
            </w:pPr>
          </w:p>
        </w:tc>
      </w:tr>
      <w:tr>
        <w:trPr>
          <w:trHeight w:val="126"/>
        </w:trPr>
        <w:tc>
          <w:tcPr>
            <w:tcW w:w="1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 xml:space="preserve">lead independent director and committee chair roles. See </w:t>
            </w:r>
            <w:r>
              <w:rPr>
                <w:rFonts w:ascii="Arial" w:cs="Arial" w:eastAsia="Arial" w:hAnsi="Arial"/>
                <w:sz w:val="11"/>
                <w:szCs w:val="11"/>
                <w:b w:val="1"/>
                <w:bCs w:val="1"/>
                <w:color w:val="D60011"/>
              </w:rPr>
              <w:t>Components of Director Compensation Program</w:t>
            </w:r>
            <w:r>
              <w:rPr>
                <w:rFonts w:ascii="Arial" w:cs="Arial" w:eastAsia="Arial" w:hAnsi="Arial"/>
                <w:sz w:val="11"/>
                <w:szCs w:val="11"/>
                <w:color w:val="auto"/>
              </w:rPr>
              <w:t xml:space="preserve"> on page</w:t>
            </w:r>
          </w:p>
        </w:tc>
        <w:tc>
          <w:tcPr>
            <w:tcW w:w="1980" w:type="dxa"/>
            <w:vAlign w:val="bottom"/>
          </w:tcPr>
          <w:p>
            <w:pPr>
              <w:spacing w:after="0"/>
              <w:rPr>
                <w:sz w:val="10"/>
                <w:szCs w:val="10"/>
                <w:color w:val="auto"/>
              </w:rPr>
            </w:pPr>
          </w:p>
        </w:tc>
      </w:tr>
      <w:tr>
        <w:trPr>
          <w:trHeight w:val="147"/>
        </w:trPr>
        <w:tc>
          <w:tcPr>
            <w:tcW w:w="1980" w:type="dxa"/>
            <w:vAlign w:val="bottom"/>
          </w:tcPr>
          <w:p>
            <w:pPr>
              <w:spacing w:after="0"/>
              <w:rPr>
                <w:sz w:val="12"/>
                <w:szCs w:val="12"/>
                <w:color w:val="auto"/>
              </w:rPr>
            </w:pPr>
          </w:p>
        </w:tc>
        <w:tc>
          <w:tcPr>
            <w:tcW w:w="1320" w:type="dxa"/>
            <w:vAlign w:val="bottom"/>
            <w:tcBorders>
              <w:bottom w:val="single" w:sz="8" w:color="CCCCCC"/>
            </w:tcBorders>
          </w:tcPr>
          <w:p>
            <w:pPr>
              <w:spacing w:after="0"/>
              <w:rPr>
                <w:sz w:val="12"/>
                <w:szCs w:val="12"/>
                <w:color w:val="auto"/>
              </w:rPr>
            </w:pPr>
          </w:p>
        </w:tc>
        <w:tc>
          <w:tcPr>
            <w:tcW w:w="5540" w:type="dxa"/>
            <w:vAlign w:val="bottom"/>
            <w:tcBorders>
              <w:bottom w:val="single" w:sz="8" w:color="CCCCCC"/>
            </w:tcBorders>
          </w:tcPr>
          <w:p>
            <w:pPr>
              <w:ind w:left="140"/>
              <w:spacing w:after="0"/>
              <w:rPr>
                <w:sz w:val="20"/>
                <w:szCs w:val="20"/>
                <w:color w:val="auto"/>
              </w:rPr>
            </w:pPr>
            <w:r>
              <w:rPr>
                <w:rFonts w:ascii="Arial" w:cs="Arial" w:eastAsia="Arial" w:hAnsi="Arial"/>
                <w:sz w:val="11"/>
                <w:szCs w:val="11"/>
                <w:color w:val="auto"/>
              </w:rPr>
              <w:t>44 for further information.</w:t>
            </w:r>
          </w:p>
        </w:tc>
        <w:tc>
          <w:tcPr>
            <w:tcW w:w="480" w:type="dxa"/>
            <w:vAlign w:val="bottom"/>
            <w:tcBorders>
              <w:bottom w:val="single" w:sz="8" w:color="CCCCCC"/>
            </w:tcBorders>
          </w:tcPr>
          <w:p>
            <w:pPr>
              <w:spacing w:after="0"/>
              <w:rPr>
                <w:sz w:val="12"/>
                <w:szCs w:val="12"/>
                <w:color w:val="auto"/>
              </w:rPr>
            </w:pPr>
          </w:p>
        </w:tc>
        <w:tc>
          <w:tcPr>
            <w:tcW w:w="1980" w:type="dxa"/>
            <w:vAlign w:val="bottom"/>
          </w:tcPr>
          <w:p>
            <w:pPr>
              <w:spacing w:after="0"/>
              <w:rPr>
                <w:sz w:val="12"/>
                <w:szCs w:val="12"/>
                <w:color w:val="auto"/>
              </w:rPr>
            </w:pPr>
          </w:p>
        </w:tc>
      </w:tr>
      <w:tr>
        <w:trPr>
          <w:trHeight w:val="130"/>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Stock Ownership</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Significant stock ownership guidelines established for outside directors encourage better alignment with shareholders’</w:t>
            </w:r>
          </w:p>
        </w:tc>
        <w:tc>
          <w:tcPr>
            <w:tcW w:w="1980" w:type="dxa"/>
            <w:vAlign w:val="bottom"/>
          </w:tcPr>
          <w:p>
            <w:pPr>
              <w:spacing w:after="0"/>
              <w:rPr>
                <w:sz w:val="11"/>
                <w:szCs w:val="11"/>
                <w:color w:val="auto"/>
              </w:rPr>
            </w:pPr>
          </w:p>
        </w:tc>
      </w:tr>
      <w:tr>
        <w:trPr>
          <w:trHeight w:val="126"/>
        </w:trPr>
        <w:tc>
          <w:tcPr>
            <w:tcW w:w="1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 xml:space="preserve">interests, with compliance measured at least annually, as described further in </w:t>
            </w:r>
            <w:r>
              <w:rPr>
                <w:rFonts w:ascii="Arial" w:cs="Arial" w:eastAsia="Arial" w:hAnsi="Arial"/>
                <w:sz w:val="11"/>
                <w:szCs w:val="11"/>
                <w:b w:val="1"/>
                <w:bCs w:val="1"/>
                <w:color w:val="D60011"/>
              </w:rPr>
              <w:t>Stock Ownership Guidelines</w:t>
            </w:r>
            <w:r>
              <w:rPr>
                <w:rFonts w:ascii="Arial" w:cs="Arial" w:eastAsia="Arial" w:hAnsi="Arial"/>
                <w:sz w:val="11"/>
                <w:szCs w:val="11"/>
                <w:color w:val="auto"/>
              </w:rPr>
              <w:t xml:space="preserve"> beginning</w:t>
            </w:r>
          </w:p>
        </w:tc>
        <w:tc>
          <w:tcPr>
            <w:tcW w:w="1980" w:type="dxa"/>
            <w:vAlign w:val="bottom"/>
          </w:tcPr>
          <w:p>
            <w:pPr>
              <w:spacing w:after="0"/>
              <w:rPr>
                <w:sz w:val="10"/>
                <w:szCs w:val="10"/>
                <w:color w:val="auto"/>
              </w:rPr>
            </w:pPr>
          </w:p>
        </w:tc>
      </w:tr>
      <w:tr>
        <w:trPr>
          <w:trHeight w:val="147"/>
        </w:trPr>
        <w:tc>
          <w:tcPr>
            <w:tcW w:w="1980" w:type="dxa"/>
            <w:vAlign w:val="bottom"/>
          </w:tcPr>
          <w:p>
            <w:pPr>
              <w:spacing w:after="0"/>
              <w:rPr>
                <w:sz w:val="12"/>
                <w:szCs w:val="12"/>
                <w:color w:val="auto"/>
              </w:rPr>
            </w:pPr>
          </w:p>
        </w:tc>
        <w:tc>
          <w:tcPr>
            <w:tcW w:w="1320" w:type="dxa"/>
            <w:vAlign w:val="bottom"/>
            <w:tcBorders>
              <w:bottom w:val="single" w:sz="8" w:color="CCCCCC"/>
            </w:tcBorders>
          </w:tcPr>
          <w:p>
            <w:pPr>
              <w:spacing w:after="0"/>
              <w:rPr>
                <w:sz w:val="12"/>
                <w:szCs w:val="12"/>
                <w:color w:val="auto"/>
              </w:rPr>
            </w:pPr>
          </w:p>
        </w:tc>
        <w:tc>
          <w:tcPr>
            <w:tcW w:w="5540" w:type="dxa"/>
            <w:vAlign w:val="bottom"/>
            <w:tcBorders>
              <w:bottom w:val="single" w:sz="8" w:color="CCCCCC"/>
            </w:tcBorders>
          </w:tcPr>
          <w:p>
            <w:pPr>
              <w:ind w:left="140"/>
              <w:spacing w:after="0"/>
              <w:rPr>
                <w:sz w:val="20"/>
                <w:szCs w:val="20"/>
                <w:color w:val="auto"/>
              </w:rPr>
            </w:pPr>
            <w:r>
              <w:rPr>
                <w:rFonts w:ascii="Arial" w:cs="Arial" w:eastAsia="Arial" w:hAnsi="Arial"/>
                <w:sz w:val="11"/>
                <w:szCs w:val="11"/>
                <w:color w:val="auto"/>
              </w:rPr>
              <w:t>on page 32.</w:t>
            </w:r>
          </w:p>
        </w:tc>
        <w:tc>
          <w:tcPr>
            <w:tcW w:w="480" w:type="dxa"/>
            <w:vAlign w:val="bottom"/>
            <w:tcBorders>
              <w:bottom w:val="single" w:sz="8" w:color="CCCCCC"/>
            </w:tcBorders>
          </w:tcPr>
          <w:p>
            <w:pPr>
              <w:spacing w:after="0"/>
              <w:rPr>
                <w:sz w:val="12"/>
                <w:szCs w:val="12"/>
                <w:color w:val="auto"/>
              </w:rPr>
            </w:pPr>
          </w:p>
        </w:tc>
        <w:tc>
          <w:tcPr>
            <w:tcW w:w="1980" w:type="dxa"/>
            <w:vAlign w:val="bottom"/>
          </w:tcPr>
          <w:p>
            <w:pPr>
              <w:spacing w:after="0"/>
              <w:rPr>
                <w:sz w:val="12"/>
                <w:szCs w:val="12"/>
                <w:color w:val="auto"/>
              </w:rPr>
            </w:pPr>
          </w:p>
        </w:tc>
      </w:tr>
      <w:tr>
        <w:trPr>
          <w:trHeight w:val="130"/>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Deferral Opportunities</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Non-employee directors may elect to receive all or a portion of the cash component of their annual retainer fee, including</w:t>
            </w:r>
          </w:p>
        </w:tc>
        <w:tc>
          <w:tcPr>
            <w:tcW w:w="1980" w:type="dxa"/>
            <w:vAlign w:val="bottom"/>
          </w:tcPr>
          <w:p>
            <w:pPr>
              <w:spacing w:after="0"/>
              <w:rPr>
                <w:sz w:val="11"/>
                <w:szCs w:val="11"/>
                <w:color w:val="auto"/>
              </w:rPr>
            </w:pPr>
          </w:p>
        </w:tc>
      </w:tr>
      <w:tr>
        <w:trPr>
          <w:trHeight w:val="126"/>
        </w:trPr>
        <w:tc>
          <w:tcPr>
            <w:tcW w:w="1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committee chair retainers, in the form of DSUs or to have these amounts placed in an interest account. Directors may</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also elect to receive all or a portion of the stock component of their annual retainer fee in the form of DSUs. Beginning in</w:t>
            </w:r>
          </w:p>
        </w:tc>
        <w:tc>
          <w:tcPr>
            <w:tcW w:w="1980" w:type="dxa"/>
            <w:vAlign w:val="bottom"/>
          </w:tcPr>
          <w:p>
            <w:pPr>
              <w:spacing w:after="0"/>
              <w:rPr>
                <w:sz w:val="10"/>
                <w:szCs w:val="10"/>
                <w:color w:val="auto"/>
              </w:rPr>
            </w:pPr>
          </w:p>
        </w:tc>
      </w:tr>
      <w:tr>
        <w:trPr>
          <w:trHeight w:val="147"/>
        </w:trPr>
        <w:tc>
          <w:tcPr>
            <w:tcW w:w="1980" w:type="dxa"/>
            <w:vAlign w:val="bottom"/>
          </w:tcPr>
          <w:p>
            <w:pPr>
              <w:spacing w:after="0"/>
              <w:rPr>
                <w:sz w:val="12"/>
                <w:szCs w:val="12"/>
                <w:color w:val="auto"/>
              </w:rPr>
            </w:pPr>
          </w:p>
        </w:tc>
        <w:tc>
          <w:tcPr>
            <w:tcW w:w="1320" w:type="dxa"/>
            <w:vAlign w:val="bottom"/>
            <w:tcBorders>
              <w:bottom w:val="single" w:sz="8" w:color="CCCCCC"/>
            </w:tcBorders>
          </w:tcPr>
          <w:p>
            <w:pPr>
              <w:spacing w:after="0"/>
              <w:rPr>
                <w:sz w:val="12"/>
                <w:szCs w:val="12"/>
                <w:color w:val="auto"/>
              </w:rPr>
            </w:pPr>
          </w:p>
        </w:tc>
        <w:tc>
          <w:tcPr>
            <w:tcW w:w="5540" w:type="dxa"/>
            <w:vAlign w:val="bottom"/>
            <w:tcBorders>
              <w:bottom w:val="single" w:sz="8" w:color="CCCCCC"/>
            </w:tcBorders>
          </w:tcPr>
          <w:p>
            <w:pPr>
              <w:ind w:left="140"/>
              <w:spacing w:after="0"/>
              <w:rPr>
                <w:sz w:val="20"/>
                <w:szCs w:val="20"/>
                <w:color w:val="auto"/>
              </w:rPr>
            </w:pPr>
            <w:r>
              <w:rPr>
                <w:rFonts w:ascii="Arial" w:cs="Arial" w:eastAsia="Arial" w:hAnsi="Arial"/>
                <w:sz w:val="11"/>
                <w:szCs w:val="11"/>
                <w:color w:val="auto"/>
              </w:rPr>
              <w:t>2022, directors may also elect to receive all or a portion of their RSU awards in the form of DSUs.</w:t>
            </w:r>
          </w:p>
        </w:tc>
        <w:tc>
          <w:tcPr>
            <w:tcW w:w="480" w:type="dxa"/>
            <w:vAlign w:val="bottom"/>
            <w:tcBorders>
              <w:bottom w:val="single" w:sz="8" w:color="CCCCCC"/>
            </w:tcBorders>
          </w:tcPr>
          <w:p>
            <w:pPr>
              <w:spacing w:after="0"/>
              <w:rPr>
                <w:sz w:val="12"/>
                <w:szCs w:val="12"/>
                <w:color w:val="auto"/>
              </w:rPr>
            </w:pPr>
          </w:p>
        </w:tc>
        <w:tc>
          <w:tcPr>
            <w:tcW w:w="1980" w:type="dxa"/>
            <w:vAlign w:val="bottom"/>
          </w:tcPr>
          <w:p>
            <w:pPr>
              <w:spacing w:after="0"/>
              <w:rPr>
                <w:sz w:val="12"/>
                <w:szCs w:val="12"/>
                <w:color w:val="auto"/>
              </w:rPr>
            </w:pPr>
          </w:p>
        </w:tc>
      </w:tr>
      <w:tr>
        <w:trPr>
          <w:trHeight w:val="130"/>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Total Compensation</w:t>
            </w:r>
          </w:p>
        </w:tc>
        <w:tc>
          <w:tcPr>
            <w:tcW w:w="5540" w:type="dxa"/>
            <w:vAlign w:val="bottom"/>
          </w:tcPr>
          <w:p>
            <w:pPr>
              <w:ind w:left="140"/>
              <w:spacing w:after="0"/>
              <w:rPr>
                <w:sz w:val="20"/>
                <w:szCs w:val="20"/>
                <w:color w:val="auto"/>
              </w:rPr>
            </w:pPr>
            <w:r>
              <w:rPr>
                <w:rFonts w:ascii="Arial" w:cs="Arial" w:eastAsia="Arial" w:hAnsi="Arial"/>
                <w:sz w:val="11"/>
                <w:szCs w:val="11"/>
                <w:color w:val="auto"/>
              </w:rPr>
              <w:t>Meaningful limits on outside directors’ compensation have been established to ensure consistency with sound</w:t>
            </w:r>
          </w:p>
        </w:tc>
        <w:tc>
          <w:tcPr>
            <w:tcW w:w="48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50"/>
        </w:trPr>
        <w:tc>
          <w:tcPr>
            <w:tcW w:w="1980" w:type="dxa"/>
            <w:vAlign w:val="bottom"/>
          </w:tcPr>
          <w:p>
            <w:pPr>
              <w:spacing w:after="0"/>
              <w:rPr>
                <w:sz w:val="13"/>
                <w:szCs w:val="13"/>
                <w:color w:val="auto"/>
              </w:rPr>
            </w:pPr>
          </w:p>
        </w:tc>
        <w:tc>
          <w:tcPr>
            <w:tcW w:w="13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Limits</w:t>
            </w:r>
          </w:p>
        </w:tc>
        <w:tc>
          <w:tcPr>
            <w:tcW w:w="6020" w:type="dxa"/>
            <w:vAlign w:val="bottom"/>
            <w:tcBorders>
              <w:bottom w:val="single" w:sz="8" w:color="CCCCCC"/>
            </w:tcBorders>
            <w:gridSpan w:val="2"/>
          </w:tcPr>
          <w:p>
            <w:pPr>
              <w:ind w:left="140"/>
              <w:spacing w:after="0"/>
              <w:rPr>
                <w:sz w:val="20"/>
                <w:szCs w:val="20"/>
                <w:color w:val="auto"/>
              </w:rPr>
            </w:pPr>
            <w:r>
              <w:rPr>
                <w:rFonts w:ascii="Arial" w:cs="Arial" w:eastAsia="Arial" w:hAnsi="Arial"/>
                <w:sz w:val="11"/>
                <w:szCs w:val="11"/>
                <w:color w:val="auto"/>
              </w:rPr>
              <w:t xml:space="preserve">governance practices. See </w:t>
            </w:r>
            <w:r>
              <w:rPr>
                <w:rFonts w:ascii="Arial" w:cs="Arial" w:eastAsia="Arial" w:hAnsi="Arial"/>
                <w:sz w:val="11"/>
                <w:szCs w:val="11"/>
                <w:b w:val="1"/>
                <w:bCs w:val="1"/>
                <w:color w:val="D60011"/>
              </w:rPr>
              <w:t>Components of Director Compensation Program</w:t>
            </w:r>
            <w:r>
              <w:rPr>
                <w:rFonts w:ascii="Arial" w:cs="Arial" w:eastAsia="Arial" w:hAnsi="Arial"/>
                <w:sz w:val="11"/>
                <w:szCs w:val="11"/>
                <w:color w:val="auto"/>
              </w:rPr>
              <w:t xml:space="preserve"> on page 44 for further information.</w:t>
            </w:r>
          </w:p>
        </w:tc>
        <w:tc>
          <w:tcPr>
            <w:tcW w:w="1980" w:type="dxa"/>
            <w:vAlign w:val="bottom"/>
          </w:tcPr>
          <w:p>
            <w:pPr>
              <w:spacing w:after="0"/>
              <w:rPr>
                <w:sz w:val="13"/>
                <w:szCs w:val="13"/>
                <w:color w:val="auto"/>
              </w:rPr>
            </w:pPr>
          </w:p>
        </w:tc>
      </w:tr>
      <w:tr>
        <w:trPr>
          <w:trHeight w:val="127"/>
        </w:trPr>
        <w:tc>
          <w:tcPr>
            <w:tcW w:w="1980" w:type="dxa"/>
            <w:vAlign w:val="bottom"/>
          </w:tcPr>
          <w:p>
            <w:pPr>
              <w:spacing w:after="0"/>
              <w:rPr>
                <w:sz w:val="11"/>
                <w:szCs w:val="11"/>
                <w:color w:val="auto"/>
              </w:rPr>
            </w:pPr>
          </w:p>
        </w:tc>
        <w:tc>
          <w:tcPr>
            <w:tcW w:w="1320" w:type="dxa"/>
            <w:vAlign w:val="bottom"/>
          </w:tcPr>
          <w:p>
            <w:pPr>
              <w:ind w:left="60"/>
              <w:spacing w:after="0"/>
              <w:rPr>
                <w:sz w:val="20"/>
                <w:szCs w:val="20"/>
                <w:color w:val="auto"/>
              </w:rPr>
            </w:pPr>
            <w:r>
              <w:rPr>
                <w:rFonts w:ascii="Arial" w:cs="Arial" w:eastAsia="Arial" w:hAnsi="Arial"/>
                <w:sz w:val="11"/>
                <w:szCs w:val="11"/>
                <w:b w:val="1"/>
                <w:bCs w:val="1"/>
                <w:color w:val="D60011"/>
              </w:rPr>
              <w:t>Regular Review</w:t>
            </w: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w w:val="99"/>
              </w:rPr>
              <w:t>The Responsibility Committee conducts regular reviews of governance practices and trends in directors’ compensation to</w:t>
            </w:r>
          </w:p>
        </w:tc>
        <w:tc>
          <w:tcPr>
            <w:tcW w:w="1980" w:type="dxa"/>
            <w:vAlign w:val="bottom"/>
          </w:tcPr>
          <w:p>
            <w:pPr>
              <w:spacing w:after="0"/>
              <w:rPr>
                <w:sz w:val="11"/>
                <w:szCs w:val="11"/>
                <w:color w:val="auto"/>
              </w:rPr>
            </w:pPr>
          </w:p>
        </w:tc>
      </w:tr>
      <w:tr>
        <w:trPr>
          <w:trHeight w:val="126"/>
        </w:trPr>
        <w:tc>
          <w:tcPr>
            <w:tcW w:w="1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w w:val="99"/>
              </w:rPr>
              <w:t>ensure consistency of our program with sound governance practices and makes recommendations, as appropriate, to the</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20" w:type="dxa"/>
            <w:vAlign w:val="bottom"/>
            <w:gridSpan w:val="2"/>
          </w:tcPr>
          <w:p>
            <w:pPr>
              <w:ind w:left="140"/>
              <w:spacing w:after="0"/>
              <w:rPr>
                <w:sz w:val="20"/>
                <w:szCs w:val="20"/>
                <w:color w:val="auto"/>
              </w:rPr>
            </w:pPr>
            <w:r>
              <w:rPr>
                <w:rFonts w:ascii="Arial" w:cs="Arial" w:eastAsia="Arial" w:hAnsi="Arial"/>
                <w:sz w:val="11"/>
                <w:szCs w:val="11"/>
                <w:color w:val="auto"/>
              </w:rPr>
              <w:t>Board. The Human Capital Committee conducts regular reviews of our outside directors’ compensation program and</w:t>
            </w:r>
          </w:p>
        </w:tc>
        <w:tc>
          <w:tcPr>
            <w:tcW w:w="1980" w:type="dxa"/>
            <w:vAlign w:val="bottom"/>
          </w:tcPr>
          <w:p>
            <w:pPr>
              <w:spacing w:after="0"/>
              <w:rPr>
                <w:sz w:val="10"/>
                <w:szCs w:val="10"/>
                <w:color w:val="auto"/>
              </w:rPr>
            </w:pPr>
          </w:p>
        </w:tc>
      </w:tr>
      <w:tr>
        <w:trPr>
          <w:trHeight w:val="142"/>
        </w:trPr>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540" w:type="dxa"/>
            <w:vAlign w:val="bottom"/>
          </w:tcPr>
          <w:p>
            <w:pPr>
              <w:ind w:left="140"/>
              <w:spacing w:after="0"/>
              <w:rPr>
                <w:sz w:val="20"/>
                <w:szCs w:val="20"/>
                <w:color w:val="auto"/>
              </w:rPr>
            </w:pPr>
            <w:r>
              <w:rPr>
                <w:rFonts w:ascii="Arial" w:cs="Arial" w:eastAsia="Arial" w:hAnsi="Arial"/>
                <w:sz w:val="11"/>
                <w:szCs w:val="11"/>
                <w:color w:val="auto"/>
              </w:rPr>
              <w:t>makes recommendations to the Board regarding the amount and form of directors’ compensation each year.</w:t>
            </w:r>
          </w:p>
        </w:tc>
        <w:tc>
          <w:tcPr>
            <w:tcW w:w="4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9"/>
        </w:trPr>
        <w:tc>
          <w:tcPr>
            <w:tcW w:w="1980" w:type="dxa"/>
            <w:vAlign w:val="bottom"/>
          </w:tcPr>
          <w:p>
            <w:pPr>
              <w:spacing w:after="0"/>
              <w:rPr>
                <w:sz w:val="2"/>
                <w:szCs w:val="2"/>
                <w:color w:val="auto"/>
              </w:rPr>
            </w:pPr>
          </w:p>
        </w:tc>
        <w:tc>
          <w:tcPr>
            <w:tcW w:w="1320" w:type="dxa"/>
            <w:vAlign w:val="bottom"/>
            <w:tcBorders>
              <w:bottom w:val="single" w:sz="8" w:color="D60010"/>
            </w:tcBorders>
          </w:tcPr>
          <w:p>
            <w:pPr>
              <w:spacing w:after="0"/>
              <w:rPr>
                <w:sz w:val="2"/>
                <w:szCs w:val="2"/>
                <w:color w:val="auto"/>
              </w:rPr>
            </w:pPr>
          </w:p>
        </w:tc>
        <w:tc>
          <w:tcPr>
            <w:tcW w:w="5540" w:type="dxa"/>
            <w:vAlign w:val="bottom"/>
            <w:tcBorders>
              <w:bottom w:val="single" w:sz="8" w:color="D60010"/>
            </w:tcBorders>
          </w:tcPr>
          <w:p>
            <w:pPr>
              <w:spacing w:after="0"/>
              <w:rPr>
                <w:sz w:val="2"/>
                <w:szCs w:val="2"/>
                <w:color w:val="auto"/>
              </w:rPr>
            </w:pPr>
          </w:p>
        </w:tc>
        <w:tc>
          <w:tcPr>
            <w:tcW w:w="480" w:type="dxa"/>
            <w:vAlign w:val="bottom"/>
            <w:tcBorders>
              <w:bottom w:val="single" w:sz="8" w:color="D60010"/>
            </w:tcBorders>
          </w:tcPr>
          <w:p>
            <w:pPr>
              <w:spacing w:after="0"/>
              <w:rPr>
                <w:sz w:val="2"/>
                <w:szCs w:val="2"/>
                <w:color w:val="auto"/>
              </w:rPr>
            </w:pPr>
          </w:p>
        </w:tc>
        <w:tc>
          <w:tcPr>
            <w:tcW w:w="1980" w:type="dxa"/>
            <w:vAlign w:val="bottom"/>
          </w:tcPr>
          <w:p>
            <w:pPr>
              <w:spacing w:after="0"/>
              <w:rPr>
                <w:sz w:val="2"/>
                <w:szCs w:val="2"/>
                <w:color w:val="auto"/>
              </w:rPr>
            </w:pPr>
          </w:p>
        </w:tc>
      </w:tr>
      <w:tr>
        <w:trPr>
          <w:trHeight w:val="416"/>
        </w:trPr>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540" w:type="dxa"/>
            <w:vAlign w:val="bottom"/>
          </w:tcPr>
          <w:p>
            <w:pPr>
              <w:ind w:left="41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480" w:type="dxa"/>
            <w:vAlign w:val="bottom"/>
          </w:tcPr>
          <w:p>
            <w:pPr>
              <w:jc w:val="right"/>
              <w:ind w:right="266"/>
              <w:spacing w:after="0"/>
              <w:rPr>
                <w:sz w:val="20"/>
                <w:szCs w:val="20"/>
                <w:color w:val="auto"/>
              </w:rPr>
            </w:pPr>
            <w:r>
              <w:rPr>
                <w:rFonts w:ascii="Arial" w:cs="Arial" w:eastAsia="Arial" w:hAnsi="Arial"/>
                <w:sz w:val="11"/>
                <w:szCs w:val="11"/>
                <w:b w:val="1"/>
                <w:bCs w:val="1"/>
                <w:color w:val="FFFFFF"/>
              </w:rPr>
              <w:t>43</w:t>
            </w:r>
          </w:p>
        </w:tc>
        <w:tc>
          <w:tcPr>
            <w:tcW w:w="1980" w:type="dxa"/>
            <w:vAlign w:val="bottom"/>
          </w:tcPr>
          <w:p>
            <w:pPr>
              <w:spacing w:after="0"/>
              <w:rPr>
                <w:sz w:val="24"/>
                <w:szCs w:val="24"/>
                <w:color w:val="auto"/>
              </w:rPr>
            </w:pPr>
          </w:p>
        </w:tc>
      </w:tr>
      <w:tr>
        <w:trPr>
          <w:trHeight w:val="138"/>
        </w:trPr>
        <w:tc>
          <w:tcPr>
            <w:tcW w:w="19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5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-290830</wp:posOffset>
            </wp:positionV>
            <wp:extent cx="365760"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49" w:name="page50"/>
    <w:bookmarkEnd w:id="49"/>
    <w:p>
      <w:pPr>
        <w:ind w:left="840"/>
        <w:spacing w:after="0"/>
        <w:rPr>
          <w:sz w:val="20"/>
          <w:szCs w:val="20"/>
          <w:color w:val="auto"/>
        </w:rPr>
      </w:pPr>
      <w:r>
        <w:rPr>
          <w:rFonts w:ascii="Arial" w:cs="Arial" w:eastAsia="Arial" w:hAnsi="Arial"/>
          <w:sz w:val="10"/>
          <w:szCs w:val="10"/>
          <w:b w:val="1"/>
          <w:bCs w:val="1"/>
          <w:color w:val="D60011"/>
        </w:rPr>
        <w:t>BOARD OF DIRECTORS</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COMPONENTS OF DIRECTOR COMPENSATION PROGRAM</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Company’s non-employee directors were paid in the following fees in 2021:</w:t>
      </w:r>
    </w:p>
    <w:p>
      <w:pPr>
        <w:spacing w:after="0" w:line="127" w:lineRule="exact"/>
        <w:rPr>
          <w:sz w:val="20"/>
          <w:szCs w:val="20"/>
          <w:color w:val="auto"/>
        </w:rPr>
      </w:pPr>
    </w:p>
    <w:tbl>
      <w:tblPr>
        <w:tblLayout w:type="fixed"/>
        <w:tblInd w:w="840" w:type="dxa"/>
        <w:tblCellMar>
          <w:top w:w="0" w:type="dxa"/>
          <w:left w:w="0" w:type="dxa"/>
          <w:bottom w:w="0" w:type="dxa"/>
          <w:right w:w="0" w:type="dxa"/>
        </w:tblCellMar>
      </w:tblPr>
      <w:tr>
        <w:trPr>
          <w:trHeight w:val="140"/>
        </w:trPr>
        <w:tc>
          <w:tcPr>
            <w:tcW w:w="2080" w:type="dxa"/>
            <w:vAlign w:val="bottom"/>
            <w:tcBorders>
              <w:bottom w:val="single" w:sz="8" w:color="D60010"/>
            </w:tcBorders>
          </w:tcPr>
          <w:p>
            <w:pPr>
              <w:ind w:left="40"/>
              <w:spacing w:after="0"/>
              <w:rPr>
                <w:sz w:val="20"/>
                <w:szCs w:val="20"/>
                <w:color w:val="auto"/>
              </w:rPr>
            </w:pPr>
            <w:r>
              <w:rPr>
                <w:rFonts w:ascii="Arial" w:cs="Arial" w:eastAsia="Arial" w:hAnsi="Arial"/>
                <w:sz w:val="10"/>
                <w:szCs w:val="10"/>
                <w:b w:val="1"/>
                <w:bCs w:val="1"/>
                <w:color w:val="auto"/>
              </w:rPr>
              <w:t>Fee</w:t>
            </w:r>
          </w:p>
        </w:tc>
        <w:tc>
          <w:tcPr>
            <w:tcW w:w="2800" w:type="dxa"/>
            <w:vAlign w:val="bottom"/>
            <w:tcBorders>
              <w:bottom w:val="single" w:sz="8" w:color="D60010"/>
            </w:tcBorders>
          </w:tcPr>
          <w:p>
            <w:pPr>
              <w:ind w:left="460"/>
              <w:spacing w:after="0"/>
              <w:rPr>
                <w:sz w:val="20"/>
                <w:szCs w:val="20"/>
                <w:color w:val="auto"/>
              </w:rPr>
            </w:pPr>
            <w:r>
              <w:rPr>
                <w:rFonts w:ascii="Arial" w:cs="Arial" w:eastAsia="Arial" w:hAnsi="Arial"/>
                <w:sz w:val="10"/>
                <w:szCs w:val="10"/>
                <w:b w:val="1"/>
                <w:bCs w:val="1"/>
                <w:color w:val="auto"/>
              </w:rPr>
              <w:t>Amount</w:t>
            </w:r>
          </w:p>
        </w:tc>
        <w:tc>
          <w:tcPr>
            <w:tcW w:w="2420" w:type="dxa"/>
            <w:vAlign w:val="bottom"/>
            <w:tcBorders>
              <w:bottom w:val="single" w:sz="8" w:color="D60010"/>
            </w:tcBorders>
          </w:tcPr>
          <w:p>
            <w:pPr>
              <w:ind w:left="240"/>
              <w:spacing w:after="0"/>
              <w:rPr>
                <w:sz w:val="20"/>
                <w:szCs w:val="20"/>
                <w:color w:val="auto"/>
              </w:rPr>
            </w:pPr>
            <w:r>
              <w:rPr>
                <w:rFonts w:ascii="Arial" w:cs="Arial" w:eastAsia="Arial" w:hAnsi="Arial"/>
                <w:sz w:val="10"/>
                <w:szCs w:val="10"/>
                <w:b w:val="1"/>
                <w:bCs w:val="1"/>
                <w:color w:val="auto"/>
              </w:rPr>
              <w:t>Form of Payment</w:t>
            </w:r>
          </w:p>
        </w:tc>
        <w:tc>
          <w:tcPr>
            <w:tcW w:w="0" w:type="dxa"/>
            <w:vAlign w:val="bottom"/>
          </w:tcPr>
          <w:p>
            <w:pPr>
              <w:spacing w:after="0"/>
              <w:rPr>
                <w:sz w:val="1"/>
                <w:szCs w:val="1"/>
                <w:color w:val="auto"/>
              </w:rPr>
            </w:pPr>
          </w:p>
        </w:tc>
      </w:tr>
      <w:tr>
        <w:trPr>
          <w:trHeight w:val="143"/>
        </w:trPr>
        <w:tc>
          <w:tcPr>
            <w:tcW w:w="2080" w:type="dxa"/>
            <w:vAlign w:val="bottom"/>
            <w:tcBorders>
              <w:bottom w:val="single" w:sz="8" w:color="CCCCCC"/>
            </w:tcBorders>
          </w:tcPr>
          <w:p>
            <w:pPr>
              <w:ind w:left="40"/>
              <w:spacing w:after="0"/>
              <w:rPr>
                <w:sz w:val="20"/>
                <w:szCs w:val="20"/>
                <w:color w:val="auto"/>
              </w:rPr>
            </w:pPr>
            <w:r>
              <w:rPr>
                <w:rFonts w:ascii="Arial" w:cs="Arial" w:eastAsia="Arial" w:hAnsi="Arial"/>
                <w:sz w:val="10"/>
                <w:szCs w:val="10"/>
                <w:b w:val="1"/>
                <w:bCs w:val="1"/>
                <w:color w:val="D60011"/>
              </w:rPr>
              <w:t>Annual Retainer</w:t>
            </w:r>
          </w:p>
        </w:tc>
        <w:tc>
          <w:tcPr>
            <w:tcW w:w="2800" w:type="dxa"/>
            <w:vAlign w:val="bottom"/>
            <w:tcBorders>
              <w:bottom w:val="single" w:sz="8" w:color="CCCCCC"/>
            </w:tcBorders>
          </w:tcPr>
          <w:p>
            <w:pPr>
              <w:ind w:left="460"/>
              <w:spacing w:after="0"/>
              <w:rPr>
                <w:sz w:val="20"/>
                <w:szCs w:val="20"/>
                <w:color w:val="auto"/>
              </w:rPr>
            </w:pPr>
            <w:r>
              <w:rPr>
                <w:rFonts w:ascii="Arial" w:cs="Arial" w:eastAsia="Arial" w:hAnsi="Arial"/>
                <w:sz w:val="10"/>
                <w:szCs w:val="10"/>
                <w:color w:val="auto"/>
              </w:rPr>
              <w:t>$150,000</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80" w:type="dxa"/>
            <w:vAlign w:val="bottom"/>
            <w:tcBorders>
              <w:bottom w:val="single" w:sz="8" w:color="CCCCCC"/>
            </w:tcBorders>
          </w:tcPr>
          <w:p>
            <w:pPr>
              <w:ind w:left="40"/>
              <w:spacing w:after="0"/>
              <w:rPr>
                <w:sz w:val="20"/>
                <w:szCs w:val="20"/>
                <w:color w:val="auto"/>
              </w:rPr>
            </w:pPr>
            <w:r>
              <w:rPr>
                <w:rFonts w:ascii="Arial" w:cs="Arial" w:eastAsia="Arial" w:hAnsi="Arial"/>
                <w:sz w:val="10"/>
                <w:szCs w:val="10"/>
                <w:b w:val="1"/>
                <w:bCs w:val="1"/>
                <w:color w:val="D60011"/>
              </w:rPr>
              <w:t>Committee Chair Retainer</w:t>
            </w:r>
          </w:p>
        </w:tc>
        <w:tc>
          <w:tcPr>
            <w:tcW w:w="2800" w:type="dxa"/>
            <w:vAlign w:val="bottom"/>
            <w:tcBorders>
              <w:bottom w:val="single" w:sz="8" w:color="CCCCCC"/>
            </w:tcBorders>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80" w:type="dxa"/>
            <w:vAlign w:val="bottom"/>
            <w:tcBorders>
              <w:bottom w:val="single" w:sz="8" w:color="CCCCCC"/>
            </w:tcBorders>
          </w:tcPr>
          <w:p>
            <w:pPr>
              <w:ind w:left="400"/>
              <w:spacing w:after="0"/>
              <w:rPr>
                <w:sz w:val="20"/>
                <w:szCs w:val="20"/>
                <w:color w:val="auto"/>
              </w:rPr>
            </w:pPr>
            <w:r>
              <w:rPr>
                <w:rFonts w:ascii="Arial" w:cs="Arial" w:eastAsia="Arial" w:hAnsi="Arial"/>
                <w:sz w:val="10"/>
                <w:szCs w:val="10"/>
                <w:color w:val="D60011"/>
              </w:rPr>
              <w:t>Audit Committee</w:t>
            </w:r>
          </w:p>
        </w:tc>
        <w:tc>
          <w:tcPr>
            <w:tcW w:w="2800" w:type="dxa"/>
            <w:vAlign w:val="bottom"/>
            <w:tcBorders>
              <w:bottom w:val="single" w:sz="8" w:color="CCCCCC"/>
            </w:tcBorders>
          </w:tcPr>
          <w:p>
            <w:pPr>
              <w:ind w:left="460"/>
              <w:spacing w:after="0"/>
              <w:rPr>
                <w:sz w:val="20"/>
                <w:szCs w:val="20"/>
                <w:color w:val="auto"/>
              </w:rPr>
            </w:pPr>
            <w:r>
              <w:rPr>
                <w:rFonts w:ascii="Arial" w:cs="Arial" w:eastAsia="Arial" w:hAnsi="Arial"/>
                <w:sz w:val="10"/>
                <w:szCs w:val="10"/>
                <w:color w:val="auto"/>
              </w:rPr>
              <w:t>$25,000</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80" w:type="dxa"/>
            <w:vAlign w:val="bottom"/>
            <w:tcBorders>
              <w:bottom w:val="single" w:sz="8" w:color="CCCCCC"/>
            </w:tcBorders>
          </w:tcPr>
          <w:p>
            <w:pPr>
              <w:ind w:left="400"/>
              <w:spacing w:after="0"/>
              <w:rPr>
                <w:sz w:val="20"/>
                <w:szCs w:val="20"/>
                <w:color w:val="auto"/>
              </w:rPr>
            </w:pPr>
            <w:r>
              <w:rPr>
                <w:rFonts w:ascii="Arial" w:cs="Arial" w:eastAsia="Arial" w:hAnsi="Arial"/>
                <w:sz w:val="10"/>
                <w:szCs w:val="10"/>
                <w:color w:val="D60011"/>
              </w:rPr>
              <w:t>Finance Committee</w:t>
            </w:r>
          </w:p>
        </w:tc>
        <w:tc>
          <w:tcPr>
            <w:tcW w:w="2800" w:type="dxa"/>
            <w:vAlign w:val="bottom"/>
            <w:tcBorders>
              <w:bottom w:val="single" w:sz="8" w:color="CCCCCC"/>
            </w:tcBorders>
          </w:tcPr>
          <w:p>
            <w:pPr>
              <w:ind w:left="460"/>
              <w:spacing w:after="0"/>
              <w:rPr>
                <w:sz w:val="20"/>
                <w:szCs w:val="20"/>
                <w:color w:val="auto"/>
              </w:rPr>
            </w:pPr>
            <w:r>
              <w:rPr>
                <w:rFonts w:ascii="Arial" w:cs="Arial" w:eastAsia="Arial" w:hAnsi="Arial"/>
                <w:sz w:val="10"/>
                <w:szCs w:val="10"/>
                <w:color w:val="auto"/>
              </w:rPr>
              <w:t>$15,000</w:t>
            </w:r>
          </w:p>
        </w:tc>
        <w:tc>
          <w:tcPr>
            <w:tcW w:w="2420" w:type="dxa"/>
            <w:vAlign w:val="bottom"/>
          </w:tcPr>
          <w:p>
            <w:pPr>
              <w:ind w:left="240"/>
              <w:spacing w:after="0" w:line="139" w:lineRule="exact"/>
              <w:rPr>
                <w:sz w:val="20"/>
                <w:szCs w:val="20"/>
                <w:color w:val="auto"/>
              </w:rPr>
            </w:pPr>
            <w:r>
              <w:rPr>
                <w:rFonts w:ascii="Arial" w:cs="Arial" w:eastAsia="Arial" w:hAnsi="Arial"/>
                <w:sz w:val="10"/>
                <w:szCs w:val="10"/>
                <w:color w:val="auto"/>
              </w:rPr>
              <w:t>50% cash</w:t>
            </w:r>
            <w:r>
              <w:rPr>
                <w:rFonts w:ascii="Arial" w:cs="Arial" w:eastAsia="Arial" w:hAnsi="Arial"/>
                <w:sz w:val="15"/>
                <w:szCs w:val="15"/>
                <w:color w:val="auto"/>
                <w:vertAlign w:val="superscript"/>
              </w:rPr>
              <w:t>(1)</w:t>
            </w:r>
            <w:r>
              <w:rPr>
                <w:rFonts w:ascii="Arial" w:cs="Arial" w:eastAsia="Arial" w:hAnsi="Arial"/>
                <w:sz w:val="10"/>
                <w:szCs w:val="10"/>
                <w:color w:val="auto"/>
              </w:rPr>
              <w:t xml:space="preserve"> and 50% Common Stock</w:t>
            </w:r>
            <w:r>
              <w:rPr>
                <w:rFonts w:ascii="Arial" w:cs="Arial" w:eastAsia="Arial" w:hAnsi="Arial"/>
                <w:sz w:val="15"/>
                <w:szCs w:val="15"/>
                <w:color w:val="auto"/>
                <w:vertAlign w:val="superscript"/>
              </w:rPr>
              <w:t>(2)</w:t>
            </w:r>
          </w:p>
        </w:tc>
        <w:tc>
          <w:tcPr>
            <w:tcW w:w="0" w:type="dxa"/>
            <w:vAlign w:val="bottom"/>
          </w:tcPr>
          <w:p>
            <w:pPr>
              <w:spacing w:after="0"/>
              <w:rPr>
                <w:sz w:val="1"/>
                <w:szCs w:val="1"/>
                <w:color w:val="auto"/>
              </w:rPr>
            </w:pPr>
          </w:p>
        </w:tc>
      </w:tr>
      <w:tr>
        <w:trPr>
          <w:trHeight w:val="130"/>
        </w:trPr>
        <w:tc>
          <w:tcPr>
            <w:tcW w:w="2080" w:type="dxa"/>
            <w:vAlign w:val="bottom"/>
            <w:tcBorders>
              <w:bottom w:val="single" w:sz="8" w:color="CCCCCC"/>
            </w:tcBorders>
          </w:tcPr>
          <w:p>
            <w:pPr>
              <w:ind w:left="400"/>
              <w:spacing w:after="0"/>
              <w:rPr>
                <w:sz w:val="20"/>
                <w:szCs w:val="20"/>
                <w:color w:val="auto"/>
              </w:rPr>
            </w:pPr>
            <w:r>
              <w:rPr>
                <w:rFonts w:ascii="Arial" w:cs="Arial" w:eastAsia="Arial" w:hAnsi="Arial"/>
                <w:sz w:val="10"/>
                <w:szCs w:val="10"/>
                <w:color w:val="D60011"/>
              </w:rPr>
              <w:t>Human Capital Committee</w:t>
            </w:r>
          </w:p>
        </w:tc>
        <w:tc>
          <w:tcPr>
            <w:tcW w:w="2800" w:type="dxa"/>
            <w:vAlign w:val="bottom"/>
            <w:tcBorders>
              <w:bottom w:val="single" w:sz="8" w:color="CCCCCC"/>
            </w:tcBorders>
          </w:tcPr>
          <w:p>
            <w:pPr>
              <w:ind w:left="460"/>
              <w:spacing w:after="0"/>
              <w:rPr>
                <w:sz w:val="20"/>
                <w:szCs w:val="20"/>
                <w:color w:val="auto"/>
              </w:rPr>
            </w:pPr>
            <w:r>
              <w:rPr>
                <w:rFonts w:ascii="Arial" w:cs="Arial" w:eastAsia="Arial" w:hAnsi="Arial"/>
                <w:sz w:val="10"/>
                <w:szCs w:val="10"/>
                <w:color w:val="auto"/>
              </w:rPr>
              <w:t>$25,000</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Borders>
              <w:bottom w:val="single" w:sz="8" w:color="CCCCCC"/>
            </w:tcBorders>
          </w:tcPr>
          <w:p>
            <w:pPr>
              <w:ind w:left="400"/>
              <w:spacing w:after="0"/>
              <w:rPr>
                <w:sz w:val="20"/>
                <w:szCs w:val="20"/>
                <w:color w:val="auto"/>
              </w:rPr>
            </w:pPr>
            <w:r>
              <w:rPr>
                <w:rFonts w:ascii="Arial" w:cs="Arial" w:eastAsia="Arial" w:hAnsi="Arial"/>
                <w:sz w:val="10"/>
                <w:szCs w:val="10"/>
                <w:color w:val="D60011"/>
              </w:rPr>
              <w:t>Responsibility Committee</w:t>
            </w:r>
          </w:p>
        </w:tc>
        <w:tc>
          <w:tcPr>
            <w:tcW w:w="2800" w:type="dxa"/>
            <w:vAlign w:val="bottom"/>
            <w:tcBorders>
              <w:bottom w:val="single" w:sz="8" w:color="CCCCCC"/>
            </w:tcBorders>
          </w:tcPr>
          <w:p>
            <w:pPr>
              <w:ind w:left="460"/>
              <w:spacing w:after="0"/>
              <w:rPr>
                <w:sz w:val="20"/>
                <w:szCs w:val="20"/>
                <w:color w:val="auto"/>
              </w:rPr>
            </w:pPr>
            <w:r>
              <w:rPr>
                <w:rFonts w:ascii="Arial" w:cs="Arial" w:eastAsia="Arial" w:hAnsi="Arial"/>
                <w:sz w:val="10"/>
                <w:szCs w:val="10"/>
                <w:color w:val="auto"/>
              </w:rPr>
              <w:t>$15,000</w:t>
            </w:r>
          </w:p>
        </w:tc>
        <w:tc>
          <w:tcPr>
            <w:tcW w:w="24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Borders>
              <w:bottom w:val="single" w:sz="8" w:color="CCCCCC"/>
            </w:tcBorders>
          </w:tcPr>
          <w:p>
            <w:pPr>
              <w:spacing w:after="0"/>
              <w:rPr>
                <w:sz w:val="20"/>
                <w:szCs w:val="20"/>
                <w:color w:val="auto"/>
              </w:rPr>
            </w:pPr>
            <w:r>
              <w:rPr>
                <w:rFonts w:ascii="Arial" w:cs="Arial" w:eastAsia="Arial" w:hAnsi="Arial"/>
                <w:sz w:val="10"/>
                <w:szCs w:val="10"/>
                <w:b w:val="1"/>
                <w:bCs w:val="1"/>
                <w:color w:val="D60011"/>
              </w:rPr>
              <w:t>Lead Independent Director Retainer</w:t>
            </w:r>
          </w:p>
        </w:tc>
        <w:tc>
          <w:tcPr>
            <w:tcW w:w="2800" w:type="dxa"/>
            <w:vAlign w:val="bottom"/>
            <w:tcBorders>
              <w:bottom w:val="single" w:sz="8" w:color="CCCCCC"/>
            </w:tcBorders>
          </w:tcPr>
          <w:p>
            <w:pPr>
              <w:ind w:left="460"/>
              <w:spacing w:after="0"/>
              <w:rPr>
                <w:sz w:val="20"/>
                <w:szCs w:val="20"/>
                <w:color w:val="auto"/>
              </w:rPr>
            </w:pPr>
            <w:r>
              <w:rPr>
                <w:rFonts w:ascii="Arial" w:cs="Arial" w:eastAsia="Arial" w:hAnsi="Arial"/>
                <w:sz w:val="10"/>
                <w:szCs w:val="10"/>
                <w:color w:val="auto"/>
              </w:rPr>
              <w:t>$50,000</w:t>
            </w:r>
          </w:p>
        </w:tc>
        <w:tc>
          <w:tcPr>
            <w:tcW w:w="2420" w:type="dxa"/>
            <w:vAlign w:val="bottom"/>
            <w:vMerge w:val="restart"/>
          </w:tcPr>
          <w:p>
            <w:pPr>
              <w:ind w:left="240"/>
              <w:spacing w:after="0"/>
              <w:rPr>
                <w:sz w:val="20"/>
                <w:szCs w:val="20"/>
                <w:color w:val="auto"/>
              </w:rPr>
            </w:pPr>
            <w:r>
              <w:rPr>
                <w:rFonts w:ascii="Arial" w:cs="Arial" w:eastAsia="Arial" w:hAnsi="Arial"/>
                <w:sz w:val="10"/>
                <w:szCs w:val="10"/>
                <w:color w:val="auto"/>
              </w:rPr>
              <w:t>Cash</w:t>
            </w:r>
          </w:p>
        </w:tc>
        <w:tc>
          <w:tcPr>
            <w:tcW w:w="0" w:type="dxa"/>
            <w:vAlign w:val="bottom"/>
          </w:tcPr>
          <w:p>
            <w:pPr>
              <w:spacing w:after="0"/>
              <w:rPr>
                <w:sz w:val="1"/>
                <w:szCs w:val="1"/>
                <w:color w:val="auto"/>
              </w:rPr>
            </w:pPr>
          </w:p>
        </w:tc>
      </w:tr>
      <w:tr>
        <w:trPr>
          <w:trHeight w:val="56"/>
        </w:trPr>
        <w:tc>
          <w:tcPr>
            <w:tcW w:w="2080" w:type="dxa"/>
            <w:vAlign w:val="bottom"/>
            <w:vMerge w:val="restart"/>
          </w:tcPr>
          <w:p>
            <w:pPr>
              <w:spacing w:after="0" w:line="152" w:lineRule="exact"/>
              <w:rPr>
                <w:sz w:val="20"/>
                <w:szCs w:val="20"/>
                <w:color w:val="auto"/>
              </w:rPr>
            </w:pPr>
            <w:r>
              <w:rPr>
                <w:rFonts w:ascii="Arial" w:cs="Arial" w:eastAsia="Arial" w:hAnsi="Arial"/>
                <w:sz w:val="10"/>
                <w:szCs w:val="10"/>
                <w:b w:val="1"/>
                <w:bCs w:val="1"/>
                <w:color w:val="D60011"/>
              </w:rPr>
              <w:t>Meeting Fee</w:t>
            </w:r>
            <w:r>
              <w:rPr>
                <w:rFonts w:ascii="Arial" w:cs="Arial" w:eastAsia="Arial" w:hAnsi="Arial"/>
                <w:sz w:val="15"/>
                <w:szCs w:val="15"/>
                <w:b w:val="1"/>
                <w:bCs w:val="1"/>
                <w:color w:val="D60011"/>
                <w:vertAlign w:val="superscript"/>
              </w:rPr>
              <w:t>(3)</w:t>
            </w:r>
          </w:p>
        </w:tc>
        <w:tc>
          <w:tcPr>
            <w:tcW w:w="2800" w:type="dxa"/>
            <w:vAlign w:val="bottom"/>
            <w:vMerge w:val="restart"/>
          </w:tcPr>
          <w:p>
            <w:pPr>
              <w:ind w:left="460"/>
              <w:spacing w:after="0"/>
              <w:rPr>
                <w:sz w:val="20"/>
                <w:szCs w:val="20"/>
                <w:color w:val="auto"/>
              </w:rPr>
            </w:pPr>
            <w:r>
              <w:rPr>
                <w:rFonts w:ascii="Arial" w:cs="Arial" w:eastAsia="Arial" w:hAnsi="Arial"/>
                <w:sz w:val="10"/>
                <w:szCs w:val="10"/>
                <w:color w:val="auto"/>
              </w:rPr>
              <w:t>$2,000 per Board and committee meeting</w:t>
            </w: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80" w:type="dxa"/>
            <w:vAlign w:val="bottom"/>
            <w:tcBorders>
              <w:bottom w:val="single" w:sz="8" w:color="CCCCCC"/>
            </w:tcBorders>
            <w:vMerge w:val="continue"/>
          </w:tcPr>
          <w:p>
            <w:pPr>
              <w:spacing w:after="0"/>
              <w:rPr>
                <w:sz w:val="8"/>
                <w:szCs w:val="8"/>
                <w:color w:val="auto"/>
              </w:rPr>
            </w:pPr>
          </w:p>
        </w:tc>
        <w:tc>
          <w:tcPr>
            <w:tcW w:w="2800" w:type="dxa"/>
            <w:vAlign w:val="bottom"/>
            <w:tcBorders>
              <w:bottom w:val="single" w:sz="8" w:color="CCCCCC"/>
            </w:tcBorders>
            <w:vMerge w:val="continue"/>
          </w:tcPr>
          <w:p>
            <w:pPr>
              <w:spacing w:after="0"/>
              <w:rPr>
                <w:sz w:val="8"/>
                <w:szCs w:val="8"/>
                <w:color w:val="auto"/>
              </w:rPr>
            </w:pPr>
          </w:p>
        </w:tc>
        <w:tc>
          <w:tcPr>
            <w:tcW w:w="242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D60010"/>
            </w:tcBorders>
          </w:tcPr>
          <w:p>
            <w:pPr>
              <w:spacing w:after="0"/>
              <w:rPr>
                <w:sz w:val="20"/>
                <w:szCs w:val="20"/>
                <w:color w:val="auto"/>
              </w:rPr>
            </w:pPr>
            <w:r>
              <w:rPr>
                <w:rFonts w:ascii="Arial" w:cs="Arial" w:eastAsia="Arial" w:hAnsi="Arial"/>
                <w:sz w:val="10"/>
                <w:szCs w:val="10"/>
                <w:b w:val="1"/>
                <w:bCs w:val="1"/>
                <w:color w:val="D60011"/>
              </w:rPr>
              <w:t>RSU Award</w:t>
            </w:r>
          </w:p>
        </w:tc>
        <w:tc>
          <w:tcPr>
            <w:tcW w:w="2800" w:type="dxa"/>
            <w:vAlign w:val="bottom"/>
            <w:tcBorders>
              <w:bottom w:val="single" w:sz="8" w:color="D60010"/>
            </w:tcBorders>
          </w:tcPr>
          <w:p>
            <w:pPr>
              <w:ind w:left="460"/>
              <w:spacing w:after="0"/>
              <w:rPr>
                <w:sz w:val="20"/>
                <w:szCs w:val="20"/>
                <w:color w:val="auto"/>
              </w:rPr>
            </w:pPr>
            <w:r>
              <w:rPr>
                <w:rFonts w:ascii="Arial" w:cs="Arial" w:eastAsia="Arial" w:hAnsi="Arial"/>
                <w:sz w:val="10"/>
                <w:szCs w:val="10"/>
                <w:color w:val="auto"/>
              </w:rPr>
              <w:t>$70,057</w:t>
            </w:r>
          </w:p>
        </w:tc>
        <w:tc>
          <w:tcPr>
            <w:tcW w:w="2420" w:type="dxa"/>
            <w:vAlign w:val="bottom"/>
            <w:tcBorders>
              <w:bottom w:val="single" w:sz="8" w:color="D60010"/>
            </w:tcBorders>
          </w:tcPr>
          <w:p>
            <w:pPr>
              <w:ind w:left="240"/>
              <w:spacing w:after="0" w:line="169" w:lineRule="exact"/>
              <w:rPr>
                <w:sz w:val="20"/>
                <w:szCs w:val="20"/>
                <w:color w:val="auto"/>
              </w:rPr>
            </w:pPr>
            <w:r>
              <w:rPr>
                <w:rFonts w:ascii="Arial" w:cs="Arial" w:eastAsia="Arial" w:hAnsi="Arial"/>
                <w:sz w:val="10"/>
                <w:szCs w:val="10"/>
                <w:color w:val="auto"/>
              </w:rPr>
              <w:t>RSUs</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-427990</wp:posOffset>
            </wp:positionV>
            <wp:extent cx="1714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24" w:lineRule="exact"/>
        <w:rPr>
          <w:sz w:val="20"/>
          <w:szCs w:val="20"/>
          <w:color w:val="auto"/>
        </w:rPr>
      </w:pPr>
    </w:p>
    <w:p>
      <w:pPr>
        <w:ind w:left="1020" w:hanging="188"/>
        <w:spacing w:after="0"/>
        <w:tabs>
          <w:tab w:leader="none" w:pos="102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Directors may defer all or a portion of the fee in the form of DSUs or have these amounts placed in an Interest Account.</w:t>
      </w:r>
    </w:p>
    <w:p>
      <w:pPr>
        <w:spacing w:after="0" w:line="23" w:lineRule="exact"/>
        <w:rPr>
          <w:rFonts w:ascii="Arial" w:cs="Arial" w:eastAsia="Arial" w:hAnsi="Arial"/>
          <w:sz w:val="16"/>
          <w:szCs w:val="16"/>
          <w:color w:val="auto"/>
          <w:vertAlign w:val="superscript"/>
        </w:rPr>
      </w:pPr>
    </w:p>
    <w:p>
      <w:pPr>
        <w:ind w:left="1020" w:hanging="188"/>
        <w:spacing w:after="0" w:line="209" w:lineRule="auto"/>
        <w:tabs>
          <w:tab w:leader="none" w:pos="1020" w:val="left"/>
        </w:tabs>
        <w:numPr>
          <w:ilvl w:val="0"/>
          <w:numId w:val="69"/>
        </w:numPr>
        <w:rPr>
          <w:rFonts w:ascii="Arial" w:cs="Arial" w:eastAsia="Arial" w:hAnsi="Arial"/>
          <w:sz w:val="12"/>
          <w:szCs w:val="12"/>
          <w:color w:val="auto"/>
          <w:vertAlign w:val="superscript"/>
        </w:rPr>
      </w:pPr>
      <w:r>
        <w:rPr>
          <w:rFonts w:ascii="Arial" w:cs="Arial" w:eastAsia="Arial" w:hAnsi="Arial"/>
          <w:sz w:val="8"/>
          <w:szCs w:val="8"/>
          <w:color w:val="auto"/>
        </w:rPr>
        <w:t>Directors may defer all or a portion of the fee in the form of DSUs.</w:t>
      </w:r>
    </w:p>
    <w:p>
      <w:pPr>
        <w:spacing w:after="0" w:line="27" w:lineRule="exact"/>
        <w:rPr>
          <w:rFonts w:ascii="Arial" w:cs="Arial" w:eastAsia="Arial" w:hAnsi="Arial"/>
          <w:sz w:val="12"/>
          <w:szCs w:val="12"/>
          <w:color w:val="auto"/>
          <w:vertAlign w:val="superscript"/>
        </w:rPr>
      </w:pPr>
    </w:p>
    <w:p>
      <w:pPr>
        <w:ind w:left="1020" w:right="1139" w:hanging="188"/>
        <w:spacing w:after="0" w:line="180" w:lineRule="auto"/>
        <w:tabs>
          <w:tab w:leader="none" w:pos="102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The Company also reimburses reasonable expenses incurred in attending Board and committee meetings, other meetings with management, and continuing education programs, including transportation, hotel accommodations, and meals.</w:t>
      </w:r>
    </w:p>
    <w:p>
      <w:pPr>
        <w:ind w:left="1020" w:hanging="188"/>
        <w:spacing w:after="0" w:line="187" w:lineRule="auto"/>
        <w:tabs>
          <w:tab w:leader="none" w:pos="102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Beginning in 2022, directors may defer all or a portion of the RSU awards in the form of DSUs.</w:t>
      </w:r>
    </w:p>
    <w:p>
      <w:pPr>
        <w:spacing w:after="0" w:line="88" w:lineRule="exact"/>
        <w:rPr>
          <w:sz w:val="20"/>
          <w:szCs w:val="20"/>
          <w:color w:val="auto"/>
        </w:rPr>
      </w:pPr>
    </w:p>
    <w:p>
      <w:pPr>
        <w:ind w:left="840" w:right="839"/>
        <w:spacing w:after="0" w:line="268" w:lineRule="auto"/>
        <w:rPr>
          <w:sz w:val="20"/>
          <w:szCs w:val="20"/>
          <w:color w:val="auto"/>
        </w:rPr>
      </w:pPr>
      <w:r>
        <w:rPr>
          <w:rFonts w:ascii="Arial" w:cs="Arial" w:eastAsia="Arial" w:hAnsi="Arial"/>
          <w:sz w:val="11"/>
          <w:szCs w:val="11"/>
          <w:color w:val="auto"/>
        </w:rPr>
        <w:t>Each non-employee director’s compensation, inclusive of cash and equity, is capped at $600,000 per fiscal year. Directors are eligible to receive the same discount on purchases of merchandise from our stores, catalogs, and websites that is available to team members.</w:t>
      </w:r>
    </w:p>
    <w:p>
      <w:pPr>
        <w:spacing w:after="0" w:line="96" w:lineRule="exact"/>
        <w:rPr>
          <w:sz w:val="20"/>
          <w:szCs w:val="20"/>
          <w:color w:val="auto"/>
        </w:rPr>
      </w:pPr>
    </w:p>
    <w:p>
      <w:pPr>
        <w:ind w:left="840" w:right="879"/>
        <w:spacing w:after="0" w:line="253" w:lineRule="auto"/>
        <w:rPr>
          <w:sz w:val="20"/>
          <w:szCs w:val="20"/>
          <w:color w:val="auto"/>
        </w:rPr>
      </w:pPr>
      <w:r>
        <w:rPr>
          <w:rFonts w:ascii="Arial" w:cs="Arial" w:eastAsia="Arial" w:hAnsi="Arial"/>
          <w:sz w:val="11"/>
          <w:szCs w:val="11"/>
          <w:color w:val="auto"/>
        </w:rPr>
        <w:t>For all compensation periods through and including fiscal 2021, six of our current directors have previously elected to defer all or a portion of one or more of their annual retainers into DSUs, and none of the current directors have elected to place any amount of their annual retainer fees into an interest account.</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GOVERNANCE</w:t>
      </w:r>
    </w:p>
    <w:p>
      <w:pPr>
        <w:spacing w:after="0" w:line="137" w:lineRule="exact"/>
        <w:rPr>
          <w:sz w:val="20"/>
          <w:szCs w:val="20"/>
          <w:color w:val="auto"/>
        </w:rPr>
      </w:pPr>
    </w:p>
    <w:p>
      <w:pPr>
        <w:ind w:left="840" w:right="879"/>
        <w:spacing w:after="0" w:line="281" w:lineRule="auto"/>
        <w:rPr>
          <w:sz w:val="20"/>
          <w:szCs w:val="20"/>
          <w:color w:val="auto"/>
        </w:rPr>
      </w:pPr>
      <w:r>
        <w:rPr>
          <w:rFonts w:ascii="Arial" w:cs="Arial" w:eastAsia="Arial" w:hAnsi="Arial"/>
          <w:sz w:val="10"/>
          <w:szCs w:val="10"/>
          <w:color w:val="auto"/>
        </w:rPr>
        <w:t>The Human Capital Committee and Responsibility Committee jointly oversee our non-employee director compensation program, conduct annual reviews, and make recommendations for adjustments, as appropriate, to the Board. The Responsibility Committee reviews trends and governance with regard to non-employee directors’ compensation. Following consultation with the Responsibility Committee, the Human Capital Committee reviews non-employee directors’ compensation and makes recommendations to the Board concerning the form and amount of non-employee directors’ compensation.</w:t>
      </w:r>
    </w:p>
    <w:p>
      <w:pPr>
        <w:spacing w:after="0" w:line="91" w:lineRule="exact"/>
        <w:rPr>
          <w:sz w:val="20"/>
          <w:szCs w:val="20"/>
          <w:color w:val="auto"/>
        </w:rPr>
      </w:pPr>
    </w:p>
    <w:p>
      <w:pPr>
        <w:ind w:left="840" w:right="879"/>
        <w:spacing w:after="0" w:line="246" w:lineRule="auto"/>
        <w:rPr>
          <w:sz w:val="20"/>
          <w:szCs w:val="20"/>
          <w:color w:val="auto"/>
        </w:rPr>
      </w:pPr>
      <w:r>
        <w:rPr>
          <w:rFonts w:ascii="Arial" w:cs="Arial" w:eastAsia="Arial" w:hAnsi="Arial"/>
          <w:sz w:val="11"/>
          <w:szCs w:val="11"/>
          <w:color w:val="auto"/>
        </w:rPr>
        <w:t>In connection with the review conducted in fiscal year 2021, the outside compensation consultant assessed the compensation paid to our non-employee directors against non-employee director compensation trends and data from our company peer group, including overall trends and governance principles, market competitiveness of our program, and the mix of cash and equity provided under our program. Following this review, no changes were made to the non-employee director compensation program in 2021 because the program was competitive with the Company’s peer group median. Other aspects of the program, including the mix of cash and equity, were found to be aligned with industry norms and best practices.</w:t>
      </w:r>
    </w:p>
    <w:p>
      <w:pPr>
        <w:spacing w:after="0" w:line="112" w:lineRule="exact"/>
        <w:rPr>
          <w:sz w:val="20"/>
          <w:szCs w:val="20"/>
          <w:color w:val="auto"/>
        </w:rPr>
      </w:pPr>
    </w:p>
    <w:p>
      <w:pPr>
        <w:ind w:left="1520" w:hanging="388"/>
        <w:spacing w:after="0"/>
        <w:tabs>
          <w:tab w:leader="none" w:pos="1520" w:val="left"/>
        </w:tabs>
        <w:numPr>
          <w:ilvl w:val="0"/>
          <w:numId w:val="70"/>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116840</wp:posOffset>
            </wp:positionV>
            <wp:extent cx="717804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50" w:name="page51"/>
    <w:bookmarkEnd w:id="50"/>
    <w:p>
      <w:pPr>
        <w:ind w:left="8220"/>
        <w:spacing w:after="0"/>
        <w:rPr>
          <w:sz w:val="20"/>
          <w:szCs w:val="20"/>
          <w:color w:val="auto"/>
        </w:rPr>
      </w:pPr>
      <w:r>
        <w:rPr>
          <w:rFonts w:ascii="Arial" w:cs="Arial" w:eastAsia="Arial" w:hAnsi="Arial"/>
          <w:sz w:val="10"/>
          <w:szCs w:val="10"/>
          <w:b w:val="1"/>
          <w:bCs w:val="1"/>
          <w:color w:val="D60011"/>
        </w:rPr>
        <w:t>BOARD OF DIRECTORS</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FISCAL 2021 DIRECTOR COMPENSATION</w:t>
      </w:r>
    </w:p>
    <w:p>
      <w:pPr>
        <w:spacing w:after="0" w:line="136" w:lineRule="exact"/>
        <w:rPr>
          <w:sz w:val="20"/>
          <w:szCs w:val="20"/>
          <w:color w:val="auto"/>
        </w:rPr>
      </w:pPr>
    </w:p>
    <w:p>
      <w:pPr>
        <w:ind w:left="1980" w:right="2280"/>
        <w:spacing w:after="0" w:line="268" w:lineRule="auto"/>
        <w:rPr>
          <w:sz w:val="20"/>
          <w:szCs w:val="20"/>
          <w:color w:val="auto"/>
        </w:rPr>
      </w:pPr>
      <w:r>
        <w:rPr>
          <w:rFonts w:ascii="Arial" w:cs="Arial" w:eastAsia="Arial" w:hAnsi="Arial"/>
          <w:sz w:val="11"/>
          <w:szCs w:val="11"/>
          <w:color w:val="auto"/>
        </w:rPr>
        <w:t>The amounts paid to each non-employee director for fiscal 2021, including amounts deferred under the Stock Incentive Plan, and the RSUs granted to each director are reported in the tables below:</w:t>
      </w:r>
    </w:p>
    <w:p>
      <w:pPr>
        <w:spacing w:after="0" w:line="97" w:lineRule="exact"/>
        <w:rPr>
          <w:sz w:val="20"/>
          <w:szCs w:val="20"/>
          <w:color w:val="auto"/>
        </w:rPr>
      </w:pPr>
    </w:p>
    <w:tbl>
      <w:tblPr>
        <w:tblLayout w:type="fixed"/>
        <w:tblInd w:w="1980" w:type="dxa"/>
        <w:tblCellMar>
          <w:top w:w="0" w:type="dxa"/>
          <w:left w:w="0" w:type="dxa"/>
          <w:bottom w:w="0" w:type="dxa"/>
          <w:right w:w="0" w:type="dxa"/>
        </w:tblCellMar>
      </w:tblPr>
      <w:tr>
        <w:trPr>
          <w:trHeight w:val="126"/>
        </w:trPr>
        <w:tc>
          <w:tcPr>
            <w:tcW w:w="252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2920" w:type="dxa"/>
            <w:vAlign w:val="bottom"/>
          </w:tcPr>
          <w:p>
            <w:pPr>
              <w:jc w:val="right"/>
              <w:ind w:right="308"/>
              <w:spacing w:after="0"/>
              <w:rPr>
                <w:sz w:val="20"/>
                <w:szCs w:val="20"/>
                <w:color w:val="auto"/>
              </w:rPr>
            </w:pPr>
            <w:r>
              <w:rPr>
                <w:rFonts w:ascii="Arial" w:cs="Arial" w:eastAsia="Arial" w:hAnsi="Arial"/>
                <w:sz w:val="10"/>
                <w:szCs w:val="10"/>
                <w:b w:val="1"/>
                <w:bCs w:val="1"/>
                <w:color w:val="auto"/>
              </w:rPr>
              <w:t>(b)</w:t>
            </w:r>
          </w:p>
        </w:tc>
        <w:tc>
          <w:tcPr>
            <w:tcW w:w="1100" w:type="dxa"/>
            <w:vAlign w:val="bottom"/>
          </w:tcPr>
          <w:p>
            <w:pPr>
              <w:jc w:val="right"/>
              <w:ind w:right="308"/>
              <w:spacing w:after="0"/>
              <w:rPr>
                <w:sz w:val="20"/>
                <w:szCs w:val="20"/>
                <w:color w:val="auto"/>
              </w:rPr>
            </w:pPr>
            <w:r>
              <w:rPr>
                <w:rFonts w:ascii="Arial" w:cs="Arial" w:eastAsia="Arial" w:hAnsi="Arial"/>
                <w:sz w:val="10"/>
                <w:szCs w:val="10"/>
                <w:b w:val="1"/>
                <w:bCs w:val="1"/>
                <w:color w:val="auto"/>
              </w:rPr>
              <w:t>(c)</w:t>
            </w:r>
          </w:p>
        </w:tc>
        <w:tc>
          <w:tcPr>
            <w:tcW w:w="800" w:type="dxa"/>
            <w:vAlign w:val="bottom"/>
          </w:tcPr>
          <w:p>
            <w:pPr>
              <w:jc w:val="right"/>
              <w:ind w:right="7"/>
              <w:spacing w:after="0"/>
              <w:rPr>
                <w:sz w:val="20"/>
                <w:szCs w:val="20"/>
                <w:color w:val="auto"/>
              </w:rPr>
            </w:pPr>
            <w:r>
              <w:rPr>
                <w:rFonts w:ascii="Arial" w:cs="Arial" w:eastAsia="Arial" w:hAnsi="Arial"/>
                <w:sz w:val="10"/>
                <w:szCs w:val="10"/>
                <w:b w:val="1"/>
                <w:bCs w:val="1"/>
                <w:color w:val="auto"/>
              </w:rPr>
              <w:t>(d)</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2920" w:type="dxa"/>
            <w:vAlign w:val="bottom"/>
          </w:tcPr>
          <w:p>
            <w:pPr>
              <w:jc w:val="right"/>
              <w:ind w:right="308"/>
              <w:spacing w:after="0" w:line="108" w:lineRule="exact"/>
              <w:rPr>
                <w:sz w:val="20"/>
                <w:szCs w:val="20"/>
                <w:color w:val="auto"/>
              </w:rPr>
            </w:pPr>
            <w:r>
              <w:rPr>
                <w:rFonts w:ascii="Arial" w:cs="Arial" w:eastAsia="Arial" w:hAnsi="Arial"/>
                <w:sz w:val="10"/>
                <w:szCs w:val="10"/>
                <w:b w:val="1"/>
                <w:bCs w:val="1"/>
                <w:color w:val="auto"/>
              </w:rPr>
              <w:t>Fees Earned</w:t>
            </w:r>
          </w:p>
        </w:tc>
        <w:tc>
          <w:tcPr>
            <w:tcW w:w="1100" w:type="dxa"/>
            <w:vAlign w:val="bottom"/>
            <w:vMerge w:val="restart"/>
          </w:tcPr>
          <w:p>
            <w:pPr>
              <w:jc w:val="right"/>
              <w:ind w:right="308"/>
              <w:spacing w:after="0"/>
              <w:rPr>
                <w:sz w:val="20"/>
                <w:szCs w:val="20"/>
                <w:color w:val="auto"/>
              </w:rPr>
            </w:pPr>
            <w:r>
              <w:rPr>
                <w:rFonts w:ascii="Arial" w:cs="Arial" w:eastAsia="Arial" w:hAnsi="Arial"/>
                <w:sz w:val="10"/>
                <w:szCs w:val="10"/>
                <w:b w:val="1"/>
                <w:bCs w:val="1"/>
                <w:color w:val="auto"/>
              </w:rPr>
              <w:t>Stock</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2920" w:type="dxa"/>
            <w:vAlign w:val="bottom"/>
          </w:tcPr>
          <w:p>
            <w:pPr>
              <w:jc w:val="right"/>
              <w:ind w:right="308"/>
              <w:spacing w:after="0" w:line="97" w:lineRule="exact"/>
              <w:rPr>
                <w:sz w:val="20"/>
                <w:szCs w:val="20"/>
                <w:color w:val="auto"/>
              </w:rPr>
            </w:pPr>
            <w:r>
              <w:rPr>
                <w:rFonts w:ascii="Arial" w:cs="Arial" w:eastAsia="Arial" w:hAnsi="Arial"/>
                <w:sz w:val="10"/>
                <w:szCs w:val="10"/>
                <w:b w:val="1"/>
                <w:bCs w:val="1"/>
                <w:color w:val="auto"/>
              </w:rPr>
              <w:t>or Paid in</w:t>
            </w:r>
          </w:p>
        </w:tc>
        <w:tc>
          <w:tcPr>
            <w:tcW w:w="11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2920" w:type="dxa"/>
            <w:vAlign w:val="bottom"/>
          </w:tcPr>
          <w:p>
            <w:pPr>
              <w:jc w:val="right"/>
              <w:ind w:right="308"/>
              <w:spacing w:after="0" w:line="108" w:lineRule="exact"/>
              <w:rPr>
                <w:sz w:val="20"/>
                <w:szCs w:val="20"/>
                <w:color w:val="auto"/>
              </w:rPr>
            </w:pPr>
            <w:r>
              <w:rPr>
                <w:rFonts w:ascii="Arial" w:cs="Arial" w:eastAsia="Arial" w:hAnsi="Arial"/>
                <w:sz w:val="10"/>
                <w:szCs w:val="10"/>
                <w:b w:val="1"/>
                <w:bCs w:val="1"/>
                <w:color w:val="auto"/>
              </w:rPr>
              <w:t>Cash</w:t>
            </w:r>
          </w:p>
        </w:tc>
        <w:tc>
          <w:tcPr>
            <w:tcW w:w="1100" w:type="dxa"/>
            <w:vAlign w:val="bottom"/>
          </w:tcPr>
          <w:p>
            <w:pPr>
              <w:jc w:val="right"/>
              <w:ind w:right="308"/>
              <w:spacing w:after="0" w:line="108" w:lineRule="exact"/>
              <w:rPr>
                <w:sz w:val="20"/>
                <w:szCs w:val="20"/>
                <w:color w:val="auto"/>
              </w:rPr>
            </w:pPr>
            <w:r>
              <w:rPr>
                <w:rFonts w:ascii="Arial" w:cs="Arial" w:eastAsia="Arial" w:hAnsi="Arial"/>
                <w:sz w:val="10"/>
                <w:szCs w:val="10"/>
                <w:b w:val="1"/>
                <w:bCs w:val="1"/>
                <w:color w:val="auto"/>
              </w:rPr>
              <w:t>Awards</w:t>
            </w:r>
          </w:p>
        </w:tc>
        <w:tc>
          <w:tcPr>
            <w:tcW w:w="800" w:type="dxa"/>
            <w:vAlign w:val="bottom"/>
          </w:tcPr>
          <w:p>
            <w:pPr>
              <w:jc w:val="right"/>
              <w:ind w:right="7"/>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2520" w:type="dxa"/>
            <w:vAlign w:val="bottom"/>
            <w:tcBorders>
              <w:bottom w:val="single" w:sz="8" w:color="D60010"/>
            </w:tcBorders>
          </w:tcPr>
          <w:p>
            <w:pPr>
              <w:ind w:left="60"/>
              <w:spacing w:after="0"/>
              <w:rPr>
                <w:sz w:val="20"/>
                <w:szCs w:val="20"/>
                <w:color w:val="auto"/>
              </w:rPr>
            </w:pPr>
            <w:r>
              <w:rPr>
                <w:rFonts w:ascii="Arial" w:cs="Arial" w:eastAsia="Arial" w:hAnsi="Arial"/>
                <w:sz w:val="10"/>
                <w:szCs w:val="10"/>
                <w:b w:val="1"/>
                <w:bCs w:val="1"/>
                <w:color w:val="auto"/>
              </w:rPr>
              <w:t>Name</w:t>
            </w:r>
          </w:p>
        </w:tc>
        <w:tc>
          <w:tcPr>
            <w:tcW w:w="2920" w:type="dxa"/>
            <w:vAlign w:val="bottom"/>
            <w:tcBorders>
              <w:bottom w:val="single" w:sz="8" w:color="D60010"/>
            </w:tcBorders>
          </w:tcPr>
          <w:p>
            <w:pPr>
              <w:jc w:val="right"/>
              <w:ind w:right="308"/>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D60010"/>
            </w:tcBorders>
          </w:tcPr>
          <w:p>
            <w:pPr>
              <w:jc w:val="right"/>
              <w:ind w:right="308"/>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(1)</w:t>
            </w:r>
          </w:p>
        </w:tc>
        <w:tc>
          <w:tcPr>
            <w:tcW w:w="800" w:type="dxa"/>
            <w:vAlign w:val="bottom"/>
            <w:tcBorders>
              <w:bottom w:val="single" w:sz="8" w:color="D60010"/>
            </w:tcBorders>
          </w:tcPr>
          <w:p>
            <w:pPr>
              <w:jc w:val="right"/>
              <w:ind w:right="7"/>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CCCCCC"/>
            </w:tcBorders>
          </w:tcPr>
          <w:p>
            <w:pPr>
              <w:ind w:left="60"/>
              <w:spacing w:after="0" w:line="187" w:lineRule="exact"/>
              <w:rPr>
                <w:sz w:val="20"/>
                <w:szCs w:val="20"/>
                <w:color w:val="auto"/>
              </w:rPr>
            </w:pPr>
            <w:r>
              <w:rPr>
                <w:rFonts w:ascii="Arial" w:cs="Arial" w:eastAsia="Arial" w:hAnsi="Arial"/>
                <w:sz w:val="11"/>
                <w:szCs w:val="11"/>
                <w:b w:val="1"/>
                <w:bCs w:val="1"/>
                <w:color w:val="D60011"/>
              </w:rPr>
              <w:t>Clark</w:t>
            </w:r>
            <w:r>
              <w:rPr>
                <w:rFonts w:ascii="Arial" w:cs="Arial" w:eastAsia="Arial" w:hAnsi="Arial"/>
                <w:sz w:val="17"/>
                <w:szCs w:val="17"/>
                <w:b w:val="1"/>
                <w:bCs w:val="1"/>
                <w:color w:val="D60011"/>
                <w:vertAlign w:val="superscript"/>
              </w:rPr>
              <w:t>(2)</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41,004</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31,246</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72,250</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Feldman</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111,058</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175,201</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286,259</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Marmol</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131,547</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157,510</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289,057</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McKenna</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124,165</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148,142</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272,307</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Nicosia</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112,808</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163,878</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276,686</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Oakland</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118,500</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158,193</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276,693</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Payne</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124,262</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150,733</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274,995</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Underhill</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121,547</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157,510</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279,057</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Walker</w:t>
            </w:r>
          </w:p>
        </w:tc>
        <w:tc>
          <w:tcPr>
            <w:tcW w:w="292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111,000</w:t>
            </w:r>
          </w:p>
        </w:tc>
        <w:tc>
          <w:tcPr>
            <w:tcW w:w="1100" w:type="dxa"/>
            <w:vAlign w:val="bottom"/>
            <w:tcBorders>
              <w:bottom w:val="single" w:sz="8" w:color="CCCCCC"/>
            </w:tcBorders>
          </w:tcPr>
          <w:p>
            <w:pPr>
              <w:jc w:val="right"/>
              <w:ind w:right="308"/>
              <w:spacing w:after="0"/>
              <w:rPr>
                <w:sz w:val="20"/>
                <w:szCs w:val="20"/>
                <w:color w:val="auto"/>
              </w:rPr>
            </w:pPr>
            <w:r>
              <w:rPr>
                <w:rFonts w:ascii="Arial" w:cs="Arial" w:eastAsia="Arial" w:hAnsi="Arial"/>
                <w:sz w:val="11"/>
                <w:szCs w:val="11"/>
                <w:color w:val="auto"/>
              </w:rPr>
              <w:t>146,035</w:t>
            </w:r>
          </w:p>
        </w:tc>
        <w:tc>
          <w:tcPr>
            <w:tcW w:w="8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257,035</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D60010"/>
            </w:tcBorders>
          </w:tcPr>
          <w:p>
            <w:pPr>
              <w:ind w:left="60"/>
              <w:spacing w:after="0"/>
              <w:rPr>
                <w:sz w:val="20"/>
                <w:szCs w:val="20"/>
                <w:color w:val="auto"/>
              </w:rPr>
            </w:pPr>
            <w:r>
              <w:rPr>
                <w:rFonts w:ascii="Arial" w:cs="Arial" w:eastAsia="Arial" w:hAnsi="Arial"/>
                <w:sz w:val="11"/>
                <w:szCs w:val="11"/>
                <w:b w:val="1"/>
                <w:bCs w:val="1"/>
                <w:color w:val="D60011"/>
              </w:rPr>
              <w:t>Young</w:t>
            </w:r>
          </w:p>
        </w:tc>
        <w:tc>
          <w:tcPr>
            <w:tcW w:w="2920" w:type="dxa"/>
            <w:vAlign w:val="bottom"/>
            <w:tcBorders>
              <w:bottom w:val="single" w:sz="8" w:color="D60010"/>
            </w:tcBorders>
          </w:tcPr>
          <w:p>
            <w:pPr>
              <w:jc w:val="right"/>
              <w:ind w:right="308"/>
              <w:spacing w:after="0"/>
              <w:rPr>
                <w:sz w:val="20"/>
                <w:szCs w:val="20"/>
                <w:color w:val="auto"/>
              </w:rPr>
            </w:pPr>
            <w:r>
              <w:rPr>
                <w:rFonts w:ascii="Arial" w:cs="Arial" w:eastAsia="Arial" w:hAnsi="Arial"/>
                <w:sz w:val="11"/>
                <w:szCs w:val="11"/>
                <w:color w:val="auto"/>
              </w:rPr>
              <w:t>100,250</w:t>
            </w:r>
          </w:p>
        </w:tc>
        <w:tc>
          <w:tcPr>
            <w:tcW w:w="1100" w:type="dxa"/>
            <w:vAlign w:val="bottom"/>
            <w:tcBorders>
              <w:bottom w:val="single" w:sz="8" w:color="D60010"/>
            </w:tcBorders>
          </w:tcPr>
          <w:p>
            <w:pPr>
              <w:jc w:val="right"/>
              <w:ind w:right="308"/>
              <w:spacing w:after="0"/>
              <w:rPr>
                <w:sz w:val="20"/>
                <w:szCs w:val="20"/>
                <w:color w:val="auto"/>
              </w:rPr>
            </w:pPr>
            <w:r>
              <w:rPr>
                <w:rFonts w:ascii="Arial" w:cs="Arial" w:eastAsia="Arial" w:hAnsi="Arial"/>
                <w:sz w:val="11"/>
                <w:szCs w:val="11"/>
                <w:color w:val="auto"/>
              </w:rPr>
              <w:t>275,378</w:t>
            </w:r>
          </w:p>
        </w:tc>
        <w:tc>
          <w:tcPr>
            <w:tcW w:w="800" w:type="dxa"/>
            <w:vAlign w:val="bottom"/>
            <w:tcBorders>
              <w:bottom w:val="single" w:sz="8" w:color="D60010"/>
            </w:tcBorders>
          </w:tcPr>
          <w:p>
            <w:pPr>
              <w:jc w:val="right"/>
              <w:ind w:right="7"/>
              <w:spacing w:after="0"/>
              <w:rPr>
                <w:sz w:val="20"/>
                <w:szCs w:val="20"/>
                <w:color w:val="auto"/>
              </w:rPr>
            </w:pPr>
            <w:r>
              <w:rPr>
                <w:rFonts w:ascii="Arial" w:cs="Arial" w:eastAsia="Arial" w:hAnsi="Arial"/>
                <w:sz w:val="11"/>
                <w:szCs w:val="11"/>
                <w:color w:val="auto"/>
              </w:rPr>
              <w:t>375,628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80" w:hanging="108"/>
        <w:spacing w:after="0"/>
        <w:tabs>
          <w:tab w:leader="none" w:pos="2080" w:val="left"/>
        </w:tabs>
        <w:numPr>
          <w:ilvl w:val="0"/>
          <w:numId w:val="71"/>
        </w:numPr>
        <w:rPr>
          <w:rFonts w:ascii="Arial" w:cs="Arial" w:eastAsia="Arial" w:hAnsi="Arial"/>
          <w:sz w:val="12"/>
          <w:szCs w:val="12"/>
          <w:color w:val="auto"/>
          <w:vertAlign w:val="superscript"/>
        </w:rPr>
      </w:pPr>
      <w:r>
        <w:rPr>
          <w:rFonts w:ascii="Arial" w:cs="Arial" w:eastAsia="Arial" w:hAnsi="Arial"/>
          <w:sz w:val="8"/>
          <w:szCs w:val="8"/>
          <w:color w:val="auto"/>
        </w:rPr>
        <w:t>Column (c) reflects the following three items:</w:t>
      </w:r>
    </w:p>
    <w:p>
      <w:pPr>
        <w:spacing w:after="0" w:line="27" w:lineRule="exact"/>
        <w:rPr>
          <w:rFonts w:ascii="Arial" w:cs="Arial" w:eastAsia="Arial" w:hAnsi="Arial"/>
          <w:sz w:val="12"/>
          <w:szCs w:val="12"/>
          <w:color w:val="auto"/>
          <w:vertAlign w:val="superscript"/>
        </w:rPr>
      </w:pPr>
    </w:p>
    <w:p>
      <w:pPr>
        <w:ind w:left="2260" w:right="2040" w:hanging="171"/>
        <w:spacing w:after="0" w:line="200" w:lineRule="auto"/>
        <w:tabs>
          <w:tab w:leader="none" w:pos="2260" w:val="left"/>
        </w:tabs>
        <w:numPr>
          <w:ilvl w:val="1"/>
          <w:numId w:val="71"/>
        </w:numPr>
        <w:rPr>
          <w:rFonts w:ascii="Arial" w:cs="Arial" w:eastAsia="Arial" w:hAnsi="Arial"/>
          <w:sz w:val="16"/>
          <w:szCs w:val="16"/>
          <w:color w:val="auto"/>
          <w:vertAlign w:val="superscript"/>
        </w:rPr>
      </w:pPr>
      <w:r>
        <w:rPr>
          <w:rFonts w:ascii="Arial" w:cs="Arial" w:eastAsia="Arial" w:hAnsi="Arial"/>
          <w:sz w:val="10"/>
          <w:szCs w:val="10"/>
          <w:color w:val="auto"/>
        </w:rPr>
        <w:t>the grant date fair value determined in accordance with FASB ASC 718 for the portion of a director’s annual retainer fees (including committee chair retainer fees) for fiscal year 2021 paid in shares of Common Stock (including any portions deferred in the form of DSUs under the Stock Incentive Plan) ($61.63 per share representing the closing price of a share of Common Stock on June 30, 2021). Such shares of Common Stock are fully vested on grant, regardless of whether deferred into DSUs.</w:t>
      </w:r>
    </w:p>
    <w:p>
      <w:pPr>
        <w:spacing w:after="0" w:line="19" w:lineRule="exact"/>
        <w:rPr>
          <w:rFonts w:ascii="Arial" w:cs="Arial" w:eastAsia="Arial" w:hAnsi="Arial"/>
          <w:sz w:val="16"/>
          <w:szCs w:val="16"/>
          <w:color w:val="auto"/>
          <w:vertAlign w:val="superscript"/>
        </w:rPr>
      </w:pPr>
    </w:p>
    <w:p>
      <w:pPr>
        <w:ind w:left="2260" w:right="2120" w:hanging="171"/>
        <w:spacing w:after="0" w:line="227" w:lineRule="auto"/>
        <w:tabs>
          <w:tab w:leader="none" w:pos="2260" w:val="left"/>
        </w:tabs>
        <w:numPr>
          <w:ilvl w:val="1"/>
          <w:numId w:val="71"/>
        </w:numPr>
        <w:rPr>
          <w:rFonts w:ascii="Arial" w:cs="Arial" w:eastAsia="Arial" w:hAnsi="Arial"/>
          <w:sz w:val="15"/>
          <w:szCs w:val="15"/>
          <w:color w:val="auto"/>
          <w:vertAlign w:val="superscript"/>
        </w:rPr>
      </w:pPr>
      <w:r>
        <w:rPr>
          <w:rFonts w:ascii="Arial" w:cs="Arial" w:eastAsia="Arial" w:hAnsi="Arial"/>
          <w:sz w:val="9"/>
          <w:szCs w:val="9"/>
          <w:color w:val="auto"/>
        </w:rPr>
        <w:t>the grant date fair value determined in accordance with FASB ASC 718 for RSUs granted in fiscal year 2021 ($61.67 per share representing the closing price of a share of Common Stock on the grant date). In May 2021, each director received an award of 1,136 RSUs. The number of RSUs granted was calculated by dividing $70,000 by the closing price of a share of Common Stock on the grant date. The RSUs will vest in May 2022, provided the director continues to serve on the Board through the vesting date. Each RSU represents the right to receive one share of Common Stock on the vesting date. No dividends are paid or accrued on the RSU awards. The amounts shown exclude the impact of estimated forfeitures related to service-based vesting conditions.</w:t>
      </w:r>
    </w:p>
    <w:p>
      <w:pPr>
        <w:spacing w:after="0" w:line="21" w:lineRule="exact"/>
        <w:rPr>
          <w:rFonts w:ascii="Arial" w:cs="Arial" w:eastAsia="Arial" w:hAnsi="Arial"/>
          <w:sz w:val="15"/>
          <w:szCs w:val="15"/>
          <w:color w:val="auto"/>
          <w:vertAlign w:val="superscript"/>
        </w:rPr>
      </w:pPr>
    </w:p>
    <w:p>
      <w:pPr>
        <w:ind w:left="2260" w:right="2100" w:hanging="171"/>
        <w:spacing w:after="0" w:line="203" w:lineRule="auto"/>
        <w:tabs>
          <w:tab w:leader="none" w:pos="2260" w:val="left"/>
        </w:tabs>
        <w:numPr>
          <w:ilvl w:val="1"/>
          <w:numId w:val="71"/>
        </w:numPr>
        <w:rPr>
          <w:rFonts w:ascii="Arial" w:cs="Arial" w:eastAsia="Arial" w:hAnsi="Arial"/>
          <w:sz w:val="16"/>
          <w:szCs w:val="16"/>
          <w:color w:val="auto"/>
          <w:vertAlign w:val="superscript"/>
        </w:rPr>
      </w:pPr>
      <w:r>
        <w:rPr>
          <w:rFonts w:ascii="Arial" w:cs="Arial" w:eastAsia="Arial" w:hAnsi="Arial"/>
          <w:sz w:val="10"/>
          <w:szCs w:val="10"/>
          <w:color w:val="auto"/>
        </w:rPr>
        <w:t>the grant date fair value, determined in accordance with FASB ASC 718, for dividend equivalents paid on DSUs and credited in the form of additional DSUs, made to Messrs. Feldman, Oakland, Payne, and Walker, and Mses. Nicosia and Young ($58.98 per share for DSUs granted on April 30, 2021, $57.06 per share for DSUs granted on July 30, 2021, $47.67 per share for DSUs granted on October 29, 2021, and $44.43 per share for DSUs granted on January 28, 2022, representing the closing price of a share of Common Stock on the quarterly payment date). Such additional DSUs are fully vested 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95885</wp:posOffset>
            </wp:positionV>
            <wp:extent cx="365760" cy="222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45</w:t>
            </w:r>
          </w:p>
        </w:tc>
      </w:tr>
      <w:tr>
        <w:trPr>
          <w:trHeight w:val="138"/>
        </w:trPr>
        <w:tc>
          <w:tcPr>
            <w:tcW w:w="87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r>
    </w:tbl>
    <w:p>
      <w:pPr>
        <w:sectPr>
          <w:pgSz w:w="11900" w:h="16838" w:orient="portrait"/>
          <w:cols w:equalWidth="0" w:num="1">
            <w:col w:w="11300"/>
          </w:cols>
          <w:pgMar w:left="300" w:top="439" w:right="299" w:bottom="1440" w:gutter="0" w:footer="0" w:header="0"/>
        </w:sectPr>
      </w:pPr>
    </w:p>
    <w:bookmarkStart w:id="51" w:name="page52"/>
    <w:bookmarkEnd w:id="51"/>
    <w:p>
      <w:pPr>
        <w:ind w:left="1980"/>
        <w:spacing w:after="0"/>
        <w:rPr>
          <w:sz w:val="20"/>
          <w:szCs w:val="20"/>
          <w:color w:val="auto"/>
        </w:rPr>
      </w:pPr>
      <w:r>
        <w:rPr>
          <w:rFonts w:ascii="Arial" w:cs="Arial" w:eastAsia="Arial" w:hAnsi="Arial"/>
          <w:sz w:val="10"/>
          <w:szCs w:val="10"/>
          <w:b w:val="1"/>
          <w:bCs w:val="1"/>
          <w:color w:val="D60011"/>
        </w:rPr>
        <w:t>BOARD OF DIRECTORS</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sets forth the grant date fair value of the above stock awards granted to our directors in fiscal year 2021:</w:t>
      </w:r>
    </w:p>
    <w:p>
      <w:pPr>
        <w:spacing w:after="0" w:line="12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2720" w:type="dxa"/>
            <w:vAlign w:val="bottom"/>
          </w:tcPr>
          <w:p>
            <w:pPr>
              <w:jc w:val="right"/>
              <w:ind w:right="147"/>
              <w:spacing w:after="0"/>
              <w:rPr>
                <w:sz w:val="20"/>
                <w:szCs w:val="20"/>
                <w:color w:val="auto"/>
              </w:rPr>
            </w:pPr>
            <w:r>
              <w:rPr>
                <w:rFonts w:ascii="Arial" w:cs="Arial" w:eastAsia="Arial" w:hAnsi="Arial"/>
                <w:sz w:val="10"/>
                <w:szCs w:val="10"/>
                <w:b w:val="1"/>
                <w:bCs w:val="1"/>
                <w:color w:val="auto"/>
              </w:rPr>
              <w:t>Stock Fees</w:t>
            </w:r>
          </w:p>
        </w:tc>
        <w:tc>
          <w:tcPr>
            <w:tcW w:w="740" w:type="dxa"/>
            <w:vAlign w:val="bottom"/>
          </w:tcPr>
          <w:p>
            <w:pPr>
              <w:jc w:val="right"/>
              <w:ind w:right="147"/>
              <w:spacing w:after="0"/>
              <w:rPr>
                <w:sz w:val="20"/>
                <w:szCs w:val="20"/>
                <w:color w:val="auto"/>
              </w:rPr>
            </w:pPr>
            <w:r>
              <w:rPr>
                <w:rFonts w:ascii="Arial" w:cs="Arial" w:eastAsia="Arial" w:hAnsi="Arial"/>
                <w:sz w:val="10"/>
                <w:szCs w:val="10"/>
                <w:b w:val="1"/>
                <w:bCs w:val="1"/>
                <w:color w:val="auto"/>
              </w:rPr>
              <w:t>RSUs</w:t>
            </w:r>
          </w:p>
        </w:tc>
        <w:tc>
          <w:tcPr>
            <w:tcW w:w="700" w:type="dxa"/>
            <w:vAlign w:val="bottom"/>
          </w:tcPr>
          <w:p>
            <w:pPr>
              <w:jc w:val="right"/>
              <w:ind w:right="127"/>
              <w:spacing w:after="0"/>
              <w:rPr>
                <w:sz w:val="20"/>
                <w:szCs w:val="20"/>
                <w:color w:val="auto"/>
              </w:rPr>
            </w:pPr>
            <w:r>
              <w:rPr>
                <w:rFonts w:ascii="Arial" w:cs="Arial" w:eastAsia="Arial" w:hAnsi="Arial"/>
                <w:sz w:val="10"/>
                <w:szCs w:val="10"/>
                <w:b w:val="1"/>
                <w:bCs w:val="1"/>
                <w:color w:val="auto"/>
              </w:rPr>
              <w:t>DSUs</w:t>
            </w:r>
          </w:p>
        </w:tc>
        <w:tc>
          <w:tcPr>
            <w:tcW w:w="620" w:type="dxa"/>
            <w:vAlign w:val="bottom"/>
          </w:tcPr>
          <w:p>
            <w:pPr>
              <w:jc w:val="right"/>
              <w:ind w:right="7"/>
              <w:spacing w:after="0"/>
              <w:rPr>
                <w:sz w:val="20"/>
                <w:szCs w:val="20"/>
                <w:color w:val="auto"/>
              </w:rPr>
            </w:pPr>
            <w:r>
              <w:rPr>
                <w:rFonts w:ascii="Arial" w:cs="Arial" w:eastAsia="Arial" w:hAnsi="Arial"/>
                <w:sz w:val="10"/>
                <w:szCs w:val="10"/>
                <w:b w:val="1"/>
                <w:bCs w:val="1"/>
                <w:color w:val="auto"/>
              </w:rPr>
              <w:t>Total</w:t>
            </w:r>
          </w:p>
        </w:tc>
      </w:tr>
      <w:tr>
        <w:trPr>
          <w:trHeight w:val="115"/>
        </w:trPr>
        <w:tc>
          <w:tcPr>
            <w:tcW w:w="2560" w:type="dxa"/>
            <w:vAlign w:val="bottom"/>
            <w:tcBorders>
              <w:bottom w:val="single" w:sz="8" w:color="D60010"/>
            </w:tcBorders>
          </w:tcPr>
          <w:p>
            <w:pPr>
              <w:ind w:left="60"/>
              <w:spacing w:after="0"/>
              <w:rPr>
                <w:sz w:val="20"/>
                <w:szCs w:val="20"/>
                <w:color w:val="auto"/>
              </w:rPr>
            </w:pPr>
            <w:r>
              <w:rPr>
                <w:rFonts w:ascii="Arial" w:cs="Arial" w:eastAsia="Arial" w:hAnsi="Arial"/>
                <w:sz w:val="10"/>
                <w:szCs w:val="10"/>
                <w:b w:val="1"/>
                <w:bCs w:val="1"/>
                <w:color w:val="auto"/>
              </w:rPr>
              <w:t>Name</w:t>
            </w:r>
          </w:p>
        </w:tc>
        <w:tc>
          <w:tcPr>
            <w:tcW w:w="2720" w:type="dxa"/>
            <w:vAlign w:val="bottom"/>
            <w:tcBorders>
              <w:bottom w:val="single" w:sz="8" w:color="D60010"/>
            </w:tcBorders>
          </w:tcPr>
          <w:p>
            <w:pPr>
              <w:jc w:val="right"/>
              <w:ind w:right="147"/>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60010"/>
            </w:tcBorders>
          </w:tcPr>
          <w:p>
            <w:pPr>
              <w:jc w:val="right"/>
              <w:ind w:right="147"/>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60010"/>
            </w:tcBorders>
          </w:tcPr>
          <w:p>
            <w:pPr>
              <w:jc w:val="right"/>
              <w:ind w:right="127"/>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60010"/>
            </w:tcBorders>
          </w:tcPr>
          <w:p>
            <w:pPr>
              <w:jc w:val="right"/>
              <w:ind w:right="7"/>
              <w:spacing w:after="0"/>
              <w:rPr>
                <w:sz w:val="20"/>
                <w:szCs w:val="20"/>
                <w:color w:val="auto"/>
              </w:rPr>
            </w:pPr>
            <w:r>
              <w:rPr>
                <w:rFonts w:ascii="Arial" w:cs="Arial" w:eastAsia="Arial" w:hAnsi="Arial"/>
                <w:sz w:val="10"/>
                <w:szCs w:val="10"/>
                <w:b w:val="1"/>
                <w:bCs w:val="1"/>
                <w:color w:val="auto"/>
              </w:rPr>
              <w:t>($)</w:t>
            </w:r>
          </w:p>
        </w:tc>
      </w:tr>
      <w:tr>
        <w:trPr>
          <w:trHeight w:val="160"/>
        </w:trPr>
        <w:tc>
          <w:tcPr>
            <w:tcW w:w="2560" w:type="dxa"/>
            <w:vAlign w:val="bottom"/>
            <w:tcBorders>
              <w:bottom w:val="single" w:sz="8" w:color="CCCCCC"/>
            </w:tcBorders>
          </w:tcPr>
          <w:p>
            <w:pPr>
              <w:ind w:left="60"/>
              <w:spacing w:after="0" w:line="160" w:lineRule="exact"/>
              <w:rPr>
                <w:sz w:val="20"/>
                <w:szCs w:val="20"/>
                <w:color w:val="auto"/>
              </w:rPr>
            </w:pPr>
            <w:r>
              <w:rPr>
                <w:rFonts w:ascii="Arial" w:cs="Arial" w:eastAsia="Arial" w:hAnsi="Arial"/>
                <w:sz w:val="11"/>
                <w:szCs w:val="11"/>
                <w:b w:val="1"/>
                <w:bCs w:val="1"/>
                <w:color w:val="D60011"/>
              </w:rPr>
              <w:t>Clark</w:t>
            </w:r>
            <w:r>
              <w:rPr>
                <w:rFonts w:ascii="Arial" w:cs="Arial" w:eastAsia="Arial" w:hAnsi="Arial"/>
                <w:sz w:val="17"/>
                <w:szCs w:val="17"/>
                <w:b w:val="1"/>
                <w:bCs w:val="1"/>
                <w:color w:val="D60011"/>
                <w:vertAlign w:val="superscript"/>
              </w:rPr>
              <w:t>(2)</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31,246</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31,246</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Feldman</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74,942</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30,202</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175,201</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Marmol</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87,453</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157,510</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McKenna</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78,085</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148,142</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Nicosia</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74,942</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18,750</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163,878</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Oakland</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82,500</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5,636</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158,193</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Payne</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79,637</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1,039</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150,733</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Underhill</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87,453</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157,510</w:t>
            </w:r>
          </w:p>
        </w:tc>
      </w:tr>
      <w:tr>
        <w:trPr>
          <w:trHeight w:val="133"/>
        </w:trPr>
        <w:tc>
          <w:tcPr>
            <w:tcW w:w="256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Walker</w:t>
            </w:r>
          </w:p>
        </w:tc>
        <w:tc>
          <w:tcPr>
            <w:tcW w:w="272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75,000</w:t>
            </w:r>
          </w:p>
        </w:tc>
        <w:tc>
          <w:tcPr>
            <w:tcW w:w="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CCCCCC"/>
            </w:tcBorders>
          </w:tcPr>
          <w:p>
            <w:pPr>
              <w:jc w:val="right"/>
              <w:ind w:right="127"/>
              <w:spacing w:after="0"/>
              <w:rPr>
                <w:sz w:val="20"/>
                <w:szCs w:val="20"/>
                <w:color w:val="auto"/>
              </w:rPr>
            </w:pPr>
            <w:r>
              <w:rPr>
                <w:rFonts w:ascii="Arial" w:cs="Arial" w:eastAsia="Arial" w:hAnsi="Arial"/>
                <w:sz w:val="11"/>
                <w:szCs w:val="11"/>
                <w:color w:val="auto"/>
              </w:rPr>
              <w:t>978</w:t>
            </w:r>
          </w:p>
        </w:tc>
        <w:tc>
          <w:tcPr>
            <w:tcW w:w="62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146,035</w:t>
            </w:r>
          </w:p>
        </w:tc>
      </w:tr>
      <w:tr>
        <w:trPr>
          <w:trHeight w:val="133"/>
        </w:trPr>
        <w:tc>
          <w:tcPr>
            <w:tcW w:w="2560" w:type="dxa"/>
            <w:vAlign w:val="bottom"/>
            <w:tcBorders>
              <w:bottom w:val="single" w:sz="8" w:color="D60010"/>
            </w:tcBorders>
          </w:tcPr>
          <w:p>
            <w:pPr>
              <w:ind w:left="60"/>
              <w:spacing w:after="0"/>
              <w:rPr>
                <w:sz w:val="20"/>
                <w:szCs w:val="20"/>
                <w:color w:val="auto"/>
              </w:rPr>
            </w:pPr>
            <w:r>
              <w:rPr>
                <w:rFonts w:ascii="Arial" w:cs="Arial" w:eastAsia="Arial" w:hAnsi="Arial"/>
                <w:sz w:val="11"/>
                <w:szCs w:val="11"/>
                <w:b w:val="1"/>
                <w:bCs w:val="1"/>
                <w:color w:val="D60011"/>
              </w:rPr>
              <w:t>Young</w:t>
            </w:r>
          </w:p>
        </w:tc>
        <w:tc>
          <w:tcPr>
            <w:tcW w:w="2720" w:type="dxa"/>
            <w:vAlign w:val="bottom"/>
            <w:tcBorders>
              <w:bottom w:val="single" w:sz="8" w:color="D60010"/>
            </w:tcBorders>
          </w:tcPr>
          <w:p>
            <w:pPr>
              <w:jc w:val="right"/>
              <w:ind w:right="147"/>
              <w:spacing w:after="0"/>
              <w:rPr>
                <w:sz w:val="20"/>
                <w:szCs w:val="20"/>
                <w:color w:val="auto"/>
              </w:rPr>
            </w:pPr>
            <w:r>
              <w:rPr>
                <w:rFonts w:ascii="Arial" w:cs="Arial" w:eastAsia="Arial" w:hAnsi="Arial"/>
                <w:sz w:val="11"/>
                <w:szCs w:val="11"/>
                <w:color w:val="auto"/>
              </w:rPr>
              <w:t>131,250</w:t>
            </w:r>
          </w:p>
        </w:tc>
        <w:tc>
          <w:tcPr>
            <w:tcW w:w="740" w:type="dxa"/>
            <w:vAlign w:val="bottom"/>
            <w:tcBorders>
              <w:bottom w:val="single" w:sz="8" w:color="D60010"/>
            </w:tcBorders>
          </w:tcPr>
          <w:p>
            <w:pPr>
              <w:jc w:val="right"/>
              <w:ind w:right="147"/>
              <w:spacing w:after="0"/>
              <w:rPr>
                <w:sz w:val="20"/>
                <w:szCs w:val="20"/>
                <w:color w:val="auto"/>
              </w:rPr>
            </w:pPr>
            <w:r>
              <w:rPr>
                <w:rFonts w:ascii="Arial" w:cs="Arial" w:eastAsia="Arial" w:hAnsi="Arial"/>
                <w:sz w:val="11"/>
                <w:szCs w:val="11"/>
                <w:color w:val="auto"/>
              </w:rPr>
              <w:t>70,057</w:t>
            </w:r>
          </w:p>
        </w:tc>
        <w:tc>
          <w:tcPr>
            <w:tcW w:w="700" w:type="dxa"/>
            <w:vAlign w:val="bottom"/>
            <w:tcBorders>
              <w:bottom w:val="single" w:sz="8" w:color="D60010"/>
            </w:tcBorders>
          </w:tcPr>
          <w:p>
            <w:pPr>
              <w:jc w:val="right"/>
              <w:ind w:right="127"/>
              <w:spacing w:after="0"/>
              <w:rPr>
                <w:sz w:val="20"/>
                <w:szCs w:val="20"/>
                <w:color w:val="auto"/>
              </w:rPr>
            </w:pPr>
            <w:r>
              <w:rPr>
                <w:rFonts w:ascii="Arial" w:cs="Arial" w:eastAsia="Arial" w:hAnsi="Arial"/>
                <w:sz w:val="11"/>
                <w:szCs w:val="11"/>
                <w:color w:val="auto"/>
              </w:rPr>
              <w:t>74,071</w:t>
            </w:r>
          </w:p>
        </w:tc>
        <w:tc>
          <w:tcPr>
            <w:tcW w:w="620" w:type="dxa"/>
            <w:vAlign w:val="bottom"/>
            <w:tcBorders>
              <w:bottom w:val="single" w:sz="8" w:color="D60010"/>
            </w:tcBorders>
          </w:tcPr>
          <w:p>
            <w:pPr>
              <w:jc w:val="right"/>
              <w:ind w:right="7"/>
              <w:spacing w:after="0"/>
              <w:rPr>
                <w:sz w:val="20"/>
                <w:szCs w:val="20"/>
                <w:color w:val="auto"/>
              </w:rPr>
            </w:pPr>
            <w:r>
              <w:rPr>
                <w:rFonts w:ascii="Arial" w:cs="Arial" w:eastAsia="Arial" w:hAnsi="Arial"/>
                <w:sz w:val="11"/>
                <w:szCs w:val="11"/>
                <w:color w:val="auto"/>
              </w:rPr>
              <w:t>275,378</w:t>
            </w:r>
          </w:p>
        </w:tc>
      </w:tr>
    </w:tbl>
    <w:p>
      <w:pPr>
        <w:spacing w:after="0" w:line="79" w:lineRule="exact"/>
        <w:rPr>
          <w:sz w:val="20"/>
          <w:szCs w:val="20"/>
          <w:color w:val="auto"/>
        </w:rPr>
      </w:pPr>
    </w:p>
    <w:p>
      <w:pPr>
        <w:ind w:left="2140" w:hanging="168"/>
        <w:spacing w:after="0"/>
        <w:tabs>
          <w:tab w:leader="none" w:pos="2140" w:val="left"/>
        </w:tabs>
        <w:numPr>
          <w:ilvl w:val="0"/>
          <w:numId w:val="72"/>
        </w:numPr>
        <w:rPr>
          <w:rFonts w:ascii="Arial" w:cs="Arial" w:eastAsia="Arial" w:hAnsi="Arial"/>
          <w:sz w:val="18"/>
          <w:szCs w:val="18"/>
          <w:color w:val="auto"/>
          <w:vertAlign w:val="superscript"/>
        </w:rPr>
      </w:pPr>
      <w:r>
        <w:rPr>
          <w:rFonts w:ascii="Arial" w:cs="Arial" w:eastAsia="Arial" w:hAnsi="Arial"/>
          <w:sz w:val="11"/>
          <w:szCs w:val="11"/>
          <w:color w:val="auto"/>
        </w:rPr>
        <w:t>Ms. Clark served as a director during 2021 until her retirement from the Board in May 2021.</w:t>
      </w:r>
    </w:p>
    <w:p>
      <w:pPr>
        <w:spacing w:after="0" w:line="110" w:lineRule="exact"/>
        <w:rPr>
          <w:sz w:val="20"/>
          <w:szCs w:val="20"/>
          <w:color w:val="auto"/>
        </w:rPr>
      </w:pPr>
    </w:p>
    <w:p>
      <w:pPr>
        <w:ind w:left="1980" w:right="2100"/>
        <w:spacing w:after="0" w:line="279" w:lineRule="auto"/>
        <w:rPr>
          <w:sz w:val="20"/>
          <w:szCs w:val="20"/>
          <w:color w:val="auto"/>
        </w:rPr>
      </w:pPr>
      <w:r>
        <w:rPr>
          <w:rFonts w:ascii="Arial" w:cs="Arial" w:eastAsia="Arial" w:hAnsi="Arial"/>
          <w:sz w:val="11"/>
          <w:szCs w:val="11"/>
          <w:color w:val="auto"/>
        </w:rPr>
        <w:t xml:space="preserve">For additional information on the valuation assumptions, refer to Note 21 to the Company’s financial statements in our Annual Report, which is available at </w:t>
      </w:r>
      <w:r>
        <w:rPr>
          <w:rFonts w:ascii="Arial" w:cs="Arial" w:eastAsia="Arial" w:hAnsi="Arial"/>
          <w:sz w:val="11"/>
          <w:szCs w:val="11"/>
          <w:b w:val="1"/>
          <w:bCs w:val="1"/>
          <w:color w:val="D60011"/>
        </w:rPr>
        <w:t>investors. footlocker-inc.com/ar</w:t>
      </w:r>
      <w:r>
        <w:rPr>
          <w:rFonts w:ascii="Arial" w:cs="Arial" w:eastAsia="Arial" w:hAnsi="Arial"/>
          <w:sz w:val="11"/>
          <w:szCs w:val="11"/>
          <w:color w:val="auto"/>
        </w:rPr>
        <w:t>.</w:t>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 of the end of fiscal year 2021, the number of RSUs and DSUs held by our directors were as follows:</w:t>
      </w:r>
    </w:p>
    <w:p>
      <w:pPr>
        <w:spacing w:after="0" w:line="12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2740" w:type="dxa"/>
            <w:vAlign w:val="bottom"/>
          </w:tcPr>
          <w:p>
            <w:pPr>
              <w:jc w:val="right"/>
              <w:ind w:right="147"/>
              <w:spacing w:after="0"/>
              <w:rPr>
                <w:sz w:val="20"/>
                <w:szCs w:val="20"/>
                <w:color w:val="auto"/>
              </w:rPr>
            </w:pPr>
            <w:r>
              <w:rPr>
                <w:rFonts w:ascii="Arial" w:cs="Arial" w:eastAsia="Arial" w:hAnsi="Arial"/>
                <w:sz w:val="10"/>
                <w:szCs w:val="10"/>
                <w:b w:val="1"/>
                <w:bCs w:val="1"/>
                <w:color w:val="auto"/>
              </w:rPr>
              <w:t>RSUs</w:t>
            </w:r>
          </w:p>
        </w:tc>
        <w:tc>
          <w:tcPr>
            <w:tcW w:w="600" w:type="dxa"/>
            <w:vAlign w:val="bottom"/>
          </w:tcPr>
          <w:p>
            <w:pPr>
              <w:jc w:val="right"/>
              <w:ind w:right="7"/>
              <w:spacing w:after="0"/>
              <w:rPr>
                <w:sz w:val="20"/>
                <w:szCs w:val="20"/>
                <w:color w:val="auto"/>
              </w:rPr>
            </w:pPr>
            <w:r>
              <w:rPr>
                <w:rFonts w:ascii="Arial" w:cs="Arial" w:eastAsia="Arial" w:hAnsi="Arial"/>
                <w:sz w:val="10"/>
                <w:szCs w:val="10"/>
                <w:b w:val="1"/>
                <w:bCs w:val="1"/>
                <w:color w:val="auto"/>
              </w:rPr>
              <w:t>DSUs</w:t>
            </w:r>
          </w:p>
        </w:tc>
      </w:tr>
      <w:tr>
        <w:trPr>
          <w:trHeight w:val="115"/>
        </w:trPr>
        <w:tc>
          <w:tcPr>
            <w:tcW w:w="4000" w:type="dxa"/>
            <w:vAlign w:val="bottom"/>
            <w:tcBorders>
              <w:bottom w:val="single" w:sz="8" w:color="D60010"/>
            </w:tcBorders>
          </w:tcPr>
          <w:p>
            <w:pPr>
              <w:ind w:left="60"/>
              <w:spacing w:after="0"/>
              <w:rPr>
                <w:sz w:val="20"/>
                <w:szCs w:val="20"/>
                <w:color w:val="auto"/>
              </w:rPr>
            </w:pPr>
            <w:r>
              <w:rPr>
                <w:rFonts w:ascii="Arial" w:cs="Arial" w:eastAsia="Arial" w:hAnsi="Arial"/>
                <w:sz w:val="10"/>
                <w:szCs w:val="10"/>
                <w:b w:val="1"/>
                <w:bCs w:val="1"/>
                <w:color w:val="auto"/>
              </w:rPr>
              <w:t>Name</w:t>
            </w:r>
          </w:p>
        </w:tc>
        <w:tc>
          <w:tcPr>
            <w:tcW w:w="2740" w:type="dxa"/>
            <w:vAlign w:val="bottom"/>
            <w:tcBorders>
              <w:bottom w:val="single" w:sz="8" w:color="D60010"/>
            </w:tcBorders>
          </w:tcPr>
          <w:p>
            <w:pPr>
              <w:jc w:val="right"/>
              <w:ind w:right="147"/>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60010"/>
            </w:tcBorders>
          </w:tcPr>
          <w:p>
            <w:pPr>
              <w:jc w:val="right"/>
              <w:ind w:right="7"/>
              <w:spacing w:after="0"/>
              <w:rPr>
                <w:sz w:val="20"/>
                <w:szCs w:val="20"/>
                <w:color w:val="auto"/>
              </w:rPr>
            </w:pPr>
            <w:r>
              <w:rPr>
                <w:rFonts w:ascii="Arial" w:cs="Arial" w:eastAsia="Arial" w:hAnsi="Arial"/>
                <w:sz w:val="10"/>
                <w:szCs w:val="10"/>
                <w:b w:val="1"/>
                <w:bCs w:val="1"/>
                <w:color w:val="auto"/>
              </w:rPr>
              <w:t>(#)</w:t>
            </w:r>
          </w:p>
        </w:tc>
      </w:tr>
      <w:tr>
        <w:trPr>
          <w:trHeight w:val="133"/>
        </w:trPr>
        <w:tc>
          <w:tcPr>
            <w:tcW w:w="400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Feldman</w:t>
            </w:r>
          </w:p>
        </w:tc>
        <w:tc>
          <w:tcPr>
            <w:tcW w:w="2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1,136</w:t>
            </w:r>
          </w:p>
        </w:tc>
        <w:tc>
          <w:tcPr>
            <w:tcW w:w="6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30,603</w:t>
            </w:r>
          </w:p>
        </w:tc>
      </w:tr>
      <w:tr>
        <w:trPr>
          <w:trHeight w:val="133"/>
        </w:trPr>
        <w:tc>
          <w:tcPr>
            <w:tcW w:w="400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Marmol, McKenna, and Underhill</w:t>
            </w:r>
          </w:p>
        </w:tc>
        <w:tc>
          <w:tcPr>
            <w:tcW w:w="2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1,136</w:t>
            </w:r>
          </w:p>
        </w:tc>
        <w:tc>
          <w:tcPr>
            <w:tcW w:w="6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w:t>
            </w:r>
          </w:p>
        </w:tc>
      </w:tr>
      <w:tr>
        <w:trPr>
          <w:trHeight w:val="133"/>
        </w:trPr>
        <w:tc>
          <w:tcPr>
            <w:tcW w:w="400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Nicosia</w:t>
            </w:r>
          </w:p>
        </w:tc>
        <w:tc>
          <w:tcPr>
            <w:tcW w:w="2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1,136</w:t>
            </w:r>
          </w:p>
        </w:tc>
        <w:tc>
          <w:tcPr>
            <w:tcW w:w="6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433</w:t>
            </w:r>
          </w:p>
        </w:tc>
      </w:tr>
      <w:tr>
        <w:trPr>
          <w:trHeight w:val="133"/>
        </w:trPr>
        <w:tc>
          <w:tcPr>
            <w:tcW w:w="400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Oakland</w:t>
            </w:r>
          </w:p>
        </w:tc>
        <w:tc>
          <w:tcPr>
            <w:tcW w:w="2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1,136</w:t>
            </w:r>
          </w:p>
        </w:tc>
        <w:tc>
          <w:tcPr>
            <w:tcW w:w="6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5,981</w:t>
            </w:r>
          </w:p>
        </w:tc>
      </w:tr>
      <w:tr>
        <w:trPr>
          <w:trHeight w:val="133"/>
        </w:trPr>
        <w:tc>
          <w:tcPr>
            <w:tcW w:w="400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Payne</w:t>
            </w:r>
          </w:p>
        </w:tc>
        <w:tc>
          <w:tcPr>
            <w:tcW w:w="2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1,136</w:t>
            </w:r>
          </w:p>
        </w:tc>
        <w:tc>
          <w:tcPr>
            <w:tcW w:w="6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1,314</w:t>
            </w:r>
          </w:p>
        </w:tc>
      </w:tr>
      <w:tr>
        <w:trPr>
          <w:trHeight w:val="133"/>
        </w:trPr>
        <w:tc>
          <w:tcPr>
            <w:tcW w:w="4000" w:type="dxa"/>
            <w:vAlign w:val="bottom"/>
            <w:tcBorders>
              <w:bottom w:val="single" w:sz="8" w:color="CCCCCC"/>
            </w:tcBorders>
          </w:tcPr>
          <w:p>
            <w:pPr>
              <w:ind w:left="60"/>
              <w:spacing w:after="0"/>
              <w:rPr>
                <w:sz w:val="20"/>
                <w:szCs w:val="20"/>
                <w:color w:val="auto"/>
              </w:rPr>
            </w:pPr>
            <w:r>
              <w:rPr>
                <w:rFonts w:ascii="Arial" w:cs="Arial" w:eastAsia="Arial" w:hAnsi="Arial"/>
                <w:sz w:val="11"/>
                <w:szCs w:val="11"/>
                <w:b w:val="1"/>
                <w:bCs w:val="1"/>
                <w:color w:val="D60011"/>
              </w:rPr>
              <w:t>Walker</w:t>
            </w:r>
          </w:p>
        </w:tc>
        <w:tc>
          <w:tcPr>
            <w:tcW w:w="2740" w:type="dxa"/>
            <w:vAlign w:val="bottom"/>
            <w:tcBorders>
              <w:bottom w:val="single" w:sz="8" w:color="CCCCCC"/>
            </w:tcBorders>
          </w:tcPr>
          <w:p>
            <w:pPr>
              <w:jc w:val="right"/>
              <w:ind w:right="147"/>
              <w:spacing w:after="0"/>
              <w:rPr>
                <w:sz w:val="20"/>
                <w:szCs w:val="20"/>
                <w:color w:val="auto"/>
              </w:rPr>
            </w:pPr>
            <w:r>
              <w:rPr>
                <w:rFonts w:ascii="Arial" w:cs="Arial" w:eastAsia="Arial" w:hAnsi="Arial"/>
                <w:sz w:val="11"/>
                <w:szCs w:val="11"/>
                <w:color w:val="auto"/>
              </w:rPr>
              <w:t>1,136</w:t>
            </w:r>
          </w:p>
        </w:tc>
        <w:tc>
          <w:tcPr>
            <w:tcW w:w="600" w:type="dxa"/>
            <w:vAlign w:val="bottom"/>
            <w:tcBorders>
              <w:bottom w:val="single" w:sz="8" w:color="CCCCCC"/>
            </w:tcBorders>
          </w:tcPr>
          <w:p>
            <w:pPr>
              <w:jc w:val="right"/>
              <w:ind w:right="7"/>
              <w:spacing w:after="0"/>
              <w:rPr>
                <w:sz w:val="20"/>
                <w:szCs w:val="20"/>
                <w:color w:val="auto"/>
              </w:rPr>
            </w:pPr>
            <w:r>
              <w:rPr>
                <w:rFonts w:ascii="Arial" w:cs="Arial" w:eastAsia="Arial" w:hAnsi="Arial"/>
                <w:sz w:val="11"/>
                <w:szCs w:val="11"/>
                <w:color w:val="auto"/>
              </w:rPr>
              <w:t>1,237</w:t>
            </w:r>
          </w:p>
        </w:tc>
      </w:tr>
      <w:tr>
        <w:trPr>
          <w:trHeight w:val="133"/>
        </w:trPr>
        <w:tc>
          <w:tcPr>
            <w:tcW w:w="4000" w:type="dxa"/>
            <w:vAlign w:val="bottom"/>
            <w:tcBorders>
              <w:bottom w:val="single" w:sz="8" w:color="D60010"/>
            </w:tcBorders>
          </w:tcPr>
          <w:p>
            <w:pPr>
              <w:ind w:left="60"/>
              <w:spacing w:after="0"/>
              <w:rPr>
                <w:sz w:val="20"/>
                <w:szCs w:val="20"/>
                <w:color w:val="auto"/>
              </w:rPr>
            </w:pPr>
            <w:r>
              <w:rPr>
                <w:rFonts w:ascii="Arial" w:cs="Arial" w:eastAsia="Arial" w:hAnsi="Arial"/>
                <w:sz w:val="11"/>
                <w:szCs w:val="11"/>
                <w:b w:val="1"/>
                <w:bCs w:val="1"/>
                <w:color w:val="D60011"/>
              </w:rPr>
              <w:t>Young</w:t>
            </w:r>
          </w:p>
        </w:tc>
        <w:tc>
          <w:tcPr>
            <w:tcW w:w="2740" w:type="dxa"/>
            <w:vAlign w:val="bottom"/>
            <w:tcBorders>
              <w:bottom w:val="single" w:sz="8" w:color="D60010"/>
            </w:tcBorders>
          </w:tcPr>
          <w:p>
            <w:pPr>
              <w:jc w:val="right"/>
              <w:ind w:right="147"/>
              <w:spacing w:after="0"/>
              <w:rPr>
                <w:sz w:val="20"/>
                <w:szCs w:val="20"/>
                <w:color w:val="auto"/>
              </w:rPr>
            </w:pPr>
            <w:r>
              <w:rPr>
                <w:rFonts w:ascii="Arial" w:cs="Arial" w:eastAsia="Arial" w:hAnsi="Arial"/>
                <w:sz w:val="11"/>
                <w:szCs w:val="11"/>
                <w:color w:val="auto"/>
              </w:rPr>
              <w:t>1,136</w:t>
            </w:r>
          </w:p>
        </w:tc>
        <w:tc>
          <w:tcPr>
            <w:tcW w:w="600" w:type="dxa"/>
            <w:vAlign w:val="bottom"/>
            <w:tcBorders>
              <w:bottom w:val="single" w:sz="8" w:color="D60010"/>
            </w:tcBorders>
          </w:tcPr>
          <w:p>
            <w:pPr>
              <w:jc w:val="right"/>
              <w:ind w:right="7"/>
              <w:spacing w:after="0"/>
              <w:rPr>
                <w:sz w:val="20"/>
                <w:szCs w:val="20"/>
                <w:color w:val="auto"/>
              </w:rPr>
            </w:pPr>
            <w:r>
              <w:rPr>
                <w:rFonts w:ascii="Arial" w:cs="Arial" w:eastAsia="Arial" w:hAnsi="Arial"/>
                <w:sz w:val="11"/>
                <w:szCs w:val="11"/>
                <w:color w:val="auto"/>
              </w:rPr>
              <w:t>75,523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80010</wp:posOffset>
            </wp:positionV>
            <wp:extent cx="365760" cy="2171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FFFFFF"/>
              </w:rPr>
              <w:t>46</w:t>
            </w:r>
          </w:p>
        </w:tc>
        <w:tc>
          <w:tcPr>
            <w:tcW w:w="8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3"/>
        </w:trPr>
        <w:tc>
          <w:tcPr>
            <w:tcW w:w="2540" w:type="dxa"/>
            <w:vAlign w:val="bottom"/>
            <w:vMerge w:val="continue"/>
          </w:tcPr>
          <w:p>
            <w:pPr>
              <w:spacing w:after="0"/>
              <w:rPr>
                <w:sz w:val="4"/>
                <w:szCs w:val="4"/>
                <w:color w:val="auto"/>
              </w:rPr>
            </w:pPr>
          </w:p>
        </w:tc>
        <w:tc>
          <w:tcPr>
            <w:tcW w:w="8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540" w:type="dxa"/>
            <w:vAlign w:val="bottom"/>
            <w:tcBorders>
              <w:bottom w:val="single" w:sz="8" w:color="auto"/>
            </w:tcBorders>
          </w:tcPr>
          <w:p>
            <w:pPr>
              <w:spacing w:after="0"/>
              <w:rPr>
                <w:sz w:val="12"/>
                <w:szCs w:val="12"/>
                <w:color w:val="auto"/>
              </w:rPr>
            </w:pPr>
          </w:p>
        </w:tc>
        <w:tc>
          <w:tcPr>
            <w:tcW w:w="8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39" w:right="299" w:bottom="1440" w:gutter="0" w:footer="0" w:header="0"/>
        </w:sectPr>
      </w:pPr>
    </w:p>
    <w:bookmarkStart w:id="52" w:name="page53"/>
    <w:bookmarkEnd w:id="52"/>
    <w:p>
      <w:pPr>
        <w:ind w:left="8220"/>
        <w:spacing w:after="0"/>
        <w:rPr>
          <w:sz w:val="20"/>
          <w:szCs w:val="20"/>
          <w:color w:val="auto"/>
        </w:rPr>
      </w:pPr>
      <w:r>
        <w:rPr>
          <w:rFonts w:ascii="Arial" w:cs="Arial" w:eastAsia="Arial" w:hAnsi="Arial"/>
          <w:sz w:val="10"/>
          <w:szCs w:val="10"/>
          <w:b w:val="1"/>
          <w:bCs w:val="1"/>
          <w:color w:val="D60011"/>
        </w:rPr>
        <w:t>BOARD OF DIRECTORS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DIRECTORS AND OFFICERS INDEMNIFICATION AND INSURANCE</w:t>
      </w:r>
    </w:p>
    <w:p>
      <w:pPr>
        <w:spacing w:after="0" w:line="136" w:lineRule="exact"/>
        <w:rPr>
          <w:sz w:val="20"/>
          <w:szCs w:val="20"/>
          <w:color w:val="auto"/>
        </w:rPr>
      </w:pPr>
    </w:p>
    <w:p>
      <w:pPr>
        <w:ind w:left="1980" w:right="2720"/>
        <w:spacing w:after="0" w:line="268" w:lineRule="auto"/>
        <w:rPr>
          <w:sz w:val="20"/>
          <w:szCs w:val="20"/>
          <w:color w:val="auto"/>
        </w:rPr>
      </w:pPr>
      <w:r>
        <w:rPr>
          <w:rFonts w:ascii="Arial" w:cs="Arial" w:eastAsia="Arial" w:hAnsi="Arial"/>
          <w:sz w:val="11"/>
          <w:szCs w:val="11"/>
          <w:color w:val="auto"/>
        </w:rPr>
        <w:t>The Company has entered into indemnification agreements with its directors and officers, as approved by shareholders at the 1987 annual meeting.</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 have purchased directors and officers liability and corporation reimbursement insurance from the following group of 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85090</wp:posOffset>
            </wp:positionV>
            <wp:extent cx="46634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14"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216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ACE American Insurance Co. (Chubb)</w:t>
            </w:r>
          </w:p>
        </w:tc>
        <w:tc>
          <w:tcPr>
            <w:tcW w:w="2640" w:type="dxa"/>
            <w:vAlign w:val="bottom"/>
          </w:tcPr>
          <w:p>
            <w:pPr>
              <w:ind w:left="20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Chubb Bermuda Insurance Ltd. (Chubb)</w:t>
            </w:r>
          </w:p>
        </w:tc>
        <w:tc>
          <w:tcPr>
            <w:tcW w:w="2540" w:type="dxa"/>
            <w:vAlign w:val="bottom"/>
          </w:tcPr>
          <w:p>
            <w:pPr>
              <w:ind w:left="4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Hartford Accident &amp; Indemnity (The Hartford)</w:t>
            </w:r>
          </w:p>
        </w:tc>
      </w:tr>
      <w:tr>
        <w:trPr>
          <w:trHeight w:val="144"/>
        </w:trPr>
        <w:tc>
          <w:tcPr>
            <w:tcW w:w="216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American International Group (AIG)</w:t>
            </w:r>
          </w:p>
        </w:tc>
        <w:tc>
          <w:tcPr>
            <w:tcW w:w="2640" w:type="dxa"/>
            <w:vAlign w:val="bottom"/>
          </w:tcPr>
          <w:p>
            <w:pPr>
              <w:ind w:left="20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Continental Casualty Co. (CNA)</w:t>
            </w:r>
          </w:p>
        </w:tc>
        <w:tc>
          <w:tcPr>
            <w:tcW w:w="2540" w:type="dxa"/>
            <w:vAlign w:val="bottom"/>
          </w:tcPr>
          <w:p>
            <w:pPr>
              <w:ind w:left="4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Markel Insurance Co.</w:t>
            </w:r>
          </w:p>
        </w:tc>
      </w:tr>
      <w:tr>
        <w:trPr>
          <w:trHeight w:val="137"/>
        </w:trPr>
        <w:tc>
          <w:tcPr>
            <w:tcW w:w="216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Arch Insurance Co.</w:t>
            </w:r>
          </w:p>
        </w:tc>
        <w:tc>
          <w:tcPr>
            <w:tcW w:w="2640" w:type="dxa"/>
            <w:vAlign w:val="bottom"/>
          </w:tcPr>
          <w:p>
            <w:pPr>
              <w:ind w:left="20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Endurance American Insurance Co. (Sompo</w:t>
            </w:r>
          </w:p>
        </w:tc>
        <w:tc>
          <w:tcPr>
            <w:tcW w:w="2540" w:type="dxa"/>
            <w:vAlign w:val="bottom"/>
          </w:tcPr>
          <w:p>
            <w:pPr>
              <w:ind w:left="4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North American Specialty Insurance Co. (Swiss</w:t>
            </w:r>
          </w:p>
        </w:tc>
      </w:tr>
      <w:tr>
        <w:trPr>
          <w:trHeight w:val="153"/>
        </w:trPr>
        <w:tc>
          <w:tcPr>
            <w:tcW w:w="216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Argonaut Insurance Co. (Argo RE)</w:t>
            </w:r>
          </w:p>
        </w:tc>
        <w:tc>
          <w:tcPr>
            <w:tcW w:w="2640" w:type="dxa"/>
            <w:vAlign w:val="bottom"/>
          </w:tcPr>
          <w:p>
            <w:pPr>
              <w:ind w:left="380"/>
              <w:spacing w:after="0"/>
              <w:rPr>
                <w:sz w:val="20"/>
                <w:szCs w:val="20"/>
                <w:color w:val="auto"/>
              </w:rPr>
            </w:pPr>
            <w:r>
              <w:rPr>
                <w:rFonts w:ascii="Arial" w:cs="Arial" w:eastAsia="Arial" w:hAnsi="Arial"/>
                <w:sz w:val="11"/>
                <w:szCs w:val="11"/>
                <w:color w:val="auto"/>
              </w:rPr>
              <w:t>International)</w:t>
            </w:r>
          </w:p>
        </w:tc>
        <w:tc>
          <w:tcPr>
            <w:tcW w:w="2540" w:type="dxa"/>
            <w:vAlign w:val="bottom"/>
          </w:tcPr>
          <w:p>
            <w:pPr>
              <w:ind w:left="220"/>
              <w:spacing w:after="0"/>
              <w:rPr>
                <w:sz w:val="20"/>
                <w:szCs w:val="20"/>
                <w:color w:val="auto"/>
              </w:rPr>
            </w:pPr>
            <w:r>
              <w:rPr>
                <w:rFonts w:ascii="Arial" w:cs="Arial" w:eastAsia="Arial" w:hAnsi="Arial"/>
                <w:sz w:val="11"/>
                <w:szCs w:val="11"/>
                <w:color w:val="auto"/>
              </w:rPr>
              <w:t>Re)</w:t>
            </w:r>
          </w:p>
        </w:tc>
      </w:tr>
      <w:tr>
        <w:trPr>
          <w:trHeight w:val="160"/>
        </w:trPr>
        <w:tc>
          <w:tcPr>
            <w:tcW w:w="216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Beazley Insurance Co.</w:t>
            </w:r>
          </w:p>
        </w:tc>
        <w:tc>
          <w:tcPr>
            <w:tcW w:w="2640" w:type="dxa"/>
            <w:vAlign w:val="bottom"/>
          </w:tcPr>
          <w:p>
            <w:pPr>
              <w:ind w:left="20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Freedom Specialty Insurance Co. (Nationwide)</w:t>
            </w:r>
          </w:p>
        </w:tc>
        <w:tc>
          <w:tcPr>
            <w:tcW w:w="2540" w:type="dxa"/>
            <w:vAlign w:val="bottom"/>
          </w:tcPr>
          <w:p>
            <w:pPr>
              <w:ind w:left="4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Zurich American Insurance Company</w:t>
            </w:r>
          </w:p>
        </w:tc>
      </w:tr>
      <w:tr>
        <w:trPr>
          <w:trHeight w:val="153"/>
        </w:trPr>
        <w:tc>
          <w:tcPr>
            <w:tcW w:w="2160" w:type="dxa"/>
            <w:vAlign w:val="bottom"/>
          </w:tcPr>
          <w:p>
            <w:pPr>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Berkley Insurance Co. (W.R. Berkley)</w:t>
            </w:r>
          </w:p>
        </w:tc>
        <w:tc>
          <w:tcPr>
            <w:tcW w:w="264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92"/>
        </w:trPr>
        <w:tc>
          <w:tcPr>
            <w:tcW w:w="2160" w:type="dxa"/>
            <w:vAlign w:val="bottom"/>
            <w:tcBorders>
              <w:bottom w:val="single" w:sz="8" w:color="D60010"/>
            </w:tcBorders>
          </w:tcPr>
          <w:p>
            <w:pPr>
              <w:spacing w:after="0"/>
              <w:rPr>
                <w:sz w:val="8"/>
                <w:szCs w:val="8"/>
                <w:color w:val="auto"/>
              </w:rPr>
            </w:pPr>
          </w:p>
        </w:tc>
        <w:tc>
          <w:tcPr>
            <w:tcW w:w="2640" w:type="dxa"/>
            <w:vAlign w:val="bottom"/>
            <w:tcBorders>
              <w:bottom w:val="single" w:sz="8" w:color="D60010"/>
            </w:tcBorders>
          </w:tcPr>
          <w:p>
            <w:pPr>
              <w:spacing w:after="0"/>
              <w:rPr>
                <w:sz w:val="8"/>
                <w:szCs w:val="8"/>
                <w:color w:val="auto"/>
              </w:rPr>
            </w:pPr>
          </w:p>
        </w:tc>
        <w:tc>
          <w:tcPr>
            <w:tcW w:w="2540" w:type="dxa"/>
            <w:vAlign w:val="bottom"/>
            <w:tcBorders>
              <w:bottom w:val="single" w:sz="8" w:color="D60010"/>
            </w:tcBorders>
          </w:tcPr>
          <w:p>
            <w:pPr>
              <w:spacing w:after="0"/>
              <w:rPr>
                <w:sz w:val="8"/>
                <w:szCs w:val="8"/>
                <w:color w:val="auto"/>
              </w:rPr>
            </w:pPr>
          </w:p>
        </w:tc>
      </w:tr>
    </w:tbl>
    <w:p>
      <w:pPr>
        <w:spacing w:after="0" w:line="126" w:lineRule="exact"/>
        <w:rPr>
          <w:sz w:val="20"/>
          <w:szCs w:val="20"/>
          <w:color w:val="auto"/>
        </w:rPr>
      </w:pPr>
    </w:p>
    <w:p>
      <w:pPr>
        <w:jc w:val="both"/>
        <w:ind w:left="1980" w:right="2180"/>
        <w:spacing w:after="0" w:line="253" w:lineRule="auto"/>
        <w:rPr>
          <w:sz w:val="20"/>
          <w:szCs w:val="20"/>
          <w:color w:val="auto"/>
        </w:rPr>
      </w:pPr>
      <w:r>
        <w:rPr>
          <w:rFonts w:ascii="Arial" w:cs="Arial" w:eastAsia="Arial" w:hAnsi="Arial"/>
          <w:sz w:val="11"/>
          <w:szCs w:val="11"/>
          <w:color w:val="auto"/>
        </w:rPr>
        <w:t>These policies insure all of the directors and officers of the Company and its covered subsidiaries, as well as the Company and all of its wholly-owned subsidiaries. The policies were written for a 12-month term, expiring October 12, 2022. The total annual premium for these policies, including fees and taxes, is $1,553,815.</w:t>
      </w:r>
    </w:p>
    <w:p>
      <w:pPr>
        <w:spacing w:after="0" w:line="104" w:lineRule="exact"/>
        <w:rPr>
          <w:sz w:val="20"/>
          <w:szCs w:val="20"/>
          <w:color w:val="auto"/>
        </w:rPr>
      </w:pPr>
    </w:p>
    <w:p>
      <w:pPr>
        <w:ind w:left="1980" w:right="2140"/>
        <w:spacing w:after="0" w:line="268" w:lineRule="auto"/>
        <w:rPr>
          <w:sz w:val="20"/>
          <w:szCs w:val="20"/>
          <w:color w:val="auto"/>
        </w:rPr>
      </w:pPr>
      <w:r>
        <w:rPr>
          <w:rFonts w:ascii="Arial" w:cs="Arial" w:eastAsia="Arial" w:hAnsi="Arial"/>
          <w:sz w:val="11"/>
          <w:szCs w:val="11"/>
          <w:color w:val="auto"/>
        </w:rPr>
        <w:t>Directors and officers of the Company, as well as all other team members with fiduciary responsibilities under ERISA, are insured under policies issued by the following group of 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66040</wp:posOffset>
            </wp:positionV>
            <wp:extent cx="46634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26"/>
        </w:trPr>
        <w:tc>
          <w:tcPr>
            <w:tcW w:w="120" w:type="dxa"/>
            <w:vAlign w:val="bottom"/>
          </w:tcPr>
          <w:p>
            <w:pPr>
              <w:spacing w:after="0"/>
              <w:rPr>
                <w:sz w:val="20"/>
                <w:szCs w:val="20"/>
                <w:color w:val="auto"/>
              </w:rPr>
            </w:pPr>
            <w:r>
              <w:rPr>
                <w:rFonts w:ascii="Arial" w:cs="Arial" w:eastAsia="Arial" w:hAnsi="Arial"/>
                <w:sz w:val="8"/>
                <w:szCs w:val="8"/>
                <w:color w:val="D60011"/>
              </w:rPr>
              <w:t>►</w:t>
            </w:r>
          </w:p>
        </w:tc>
        <w:tc>
          <w:tcPr>
            <w:tcW w:w="2040" w:type="dxa"/>
            <w:vAlign w:val="bottom"/>
          </w:tcPr>
          <w:p>
            <w:pPr>
              <w:ind w:left="20"/>
              <w:spacing w:after="0"/>
              <w:rPr>
                <w:sz w:val="20"/>
                <w:szCs w:val="20"/>
                <w:color w:val="auto"/>
              </w:rPr>
            </w:pPr>
            <w:r>
              <w:rPr>
                <w:rFonts w:ascii="Arial" w:cs="Arial" w:eastAsia="Arial" w:hAnsi="Arial"/>
                <w:sz w:val="11"/>
                <w:szCs w:val="11"/>
                <w:color w:val="auto"/>
              </w:rPr>
              <w:t>ACE American Insurance Co. (Chubb)</w:t>
            </w:r>
          </w:p>
        </w:tc>
        <w:tc>
          <w:tcPr>
            <w:tcW w:w="2600" w:type="dxa"/>
            <w:vAlign w:val="bottom"/>
          </w:tcPr>
          <w:p>
            <w:pPr>
              <w:ind w:left="200"/>
              <w:spacing w:after="0"/>
              <w:rPr>
                <w:sz w:val="20"/>
                <w:szCs w:val="20"/>
                <w:color w:val="auto"/>
              </w:rPr>
            </w:pPr>
            <w:r>
              <w:rPr>
                <w:rFonts w:ascii="Arial" w:cs="Arial" w:eastAsia="Arial" w:hAnsi="Arial"/>
                <w:sz w:val="8"/>
                <w:szCs w:val="8"/>
                <w:color w:val="D60011"/>
              </w:rPr>
              <w:t xml:space="preserve">►   </w:t>
            </w:r>
            <w:r>
              <w:rPr>
                <w:rFonts w:ascii="Arial" w:cs="Arial" w:eastAsia="Arial" w:hAnsi="Arial"/>
                <w:sz w:val="10"/>
                <w:szCs w:val="10"/>
                <w:color w:val="000000"/>
              </w:rPr>
              <w:t>Endurance American Insurance Co. (Sompo</w:t>
            </w:r>
          </w:p>
        </w:tc>
        <w:tc>
          <w:tcPr>
            <w:tcW w:w="200" w:type="dxa"/>
            <w:vAlign w:val="bottom"/>
          </w:tcPr>
          <w:p>
            <w:pPr>
              <w:ind w:left="80"/>
              <w:spacing w:after="0"/>
              <w:rPr>
                <w:sz w:val="20"/>
                <w:szCs w:val="20"/>
                <w:color w:val="auto"/>
              </w:rPr>
            </w:pPr>
            <w:r>
              <w:rPr>
                <w:rFonts w:ascii="Arial" w:cs="Arial" w:eastAsia="Arial" w:hAnsi="Arial"/>
                <w:sz w:val="8"/>
                <w:szCs w:val="8"/>
                <w:color w:val="D60011"/>
              </w:rPr>
              <w:t>►</w:t>
            </w:r>
          </w:p>
        </w:tc>
        <w:tc>
          <w:tcPr>
            <w:tcW w:w="2380" w:type="dxa"/>
            <w:vAlign w:val="bottom"/>
          </w:tcPr>
          <w:p>
            <w:pPr>
              <w:ind w:left="40"/>
              <w:spacing w:after="0"/>
              <w:rPr>
                <w:sz w:val="20"/>
                <w:szCs w:val="20"/>
                <w:color w:val="auto"/>
              </w:rPr>
            </w:pPr>
            <w:r>
              <w:rPr>
                <w:rFonts w:ascii="Arial" w:cs="Arial" w:eastAsia="Arial" w:hAnsi="Arial"/>
                <w:sz w:val="11"/>
                <w:szCs w:val="11"/>
                <w:color w:val="auto"/>
              </w:rPr>
              <w:t>Hudson Insurance Co. (Euclid)</w:t>
            </w:r>
          </w:p>
        </w:tc>
      </w:tr>
      <w:tr>
        <w:trPr>
          <w:trHeight w:val="142"/>
        </w:trPr>
        <w:tc>
          <w:tcPr>
            <w:tcW w:w="120" w:type="dxa"/>
            <w:vAlign w:val="bottom"/>
          </w:tcPr>
          <w:p>
            <w:pPr>
              <w:spacing w:after="0"/>
              <w:rPr>
                <w:sz w:val="20"/>
                <w:szCs w:val="20"/>
                <w:color w:val="auto"/>
              </w:rPr>
            </w:pPr>
            <w:r>
              <w:rPr>
                <w:rFonts w:ascii="Arial" w:cs="Arial" w:eastAsia="Arial" w:hAnsi="Arial"/>
                <w:sz w:val="8"/>
                <w:szCs w:val="8"/>
                <w:color w:val="D60011"/>
              </w:rPr>
              <w:t>►</w:t>
            </w:r>
          </w:p>
        </w:tc>
        <w:tc>
          <w:tcPr>
            <w:tcW w:w="2040" w:type="dxa"/>
            <w:vAlign w:val="bottom"/>
          </w:tcPr>
          <w:p>
            <w:pPr>
              <w:ind w:left="20"/>
              <w:spacing w:after="0"/>
              <w:rPr>
                <w:sz w:val="20"/>
                <w:szCs w:val="20"/>
                <w:color w:val="auto"/>
              </w:rPr>
            </w:pPr>
            <w:r>
              <w:rPr>
                <w:rFonts w:ascii="Arial" w:cs="Arial" w:eastAsia="Arial" w:hAnsi="Arial"/>
                <w:sz w:val="11"/>
                <w:szCs w:val="11"/>
                <w:color w:val="auto"/>
              </w:rPr>
              <w:t>Continental asualty Co. (CNA)</w:t>
            </w:r>
          </w:p>
        </w:tc>
        <w:tc>
          <w:tcPr>
            <w:tcW w:w="2600" w:type="dxa"/>
            <w:vAlign w:val="bottom"/>
          </w:tcPr>
          <w:p>
            <w:pPr>
              <w:ind w:left="380"/>
              <w:spacing w:after="0"/>
              <w:rPr>
                <w:sz w:val="20"/>
                <w:szCs w:val="20"/>
                <w:color w:val="auto"/>
              </w:rPr>
            </w:pPr>
            <w:r>
              <w:rPr>
                <w:rFonts w:ascii="Arial" w:cs="Arial" w:eastAsia="Arial" w:hAnsi="Arial"/>
                <w:sz w:val="11"/>
                <w:szCs w:val="11"/>
                <w:color w:val="auto"/>
              </w:rPr>
              <w:t>International)</w:t>
            </w:r>
          </w:p>
        </w:tc>
        <w:tc>
          <w:tcPr>
            <w:tcW w:w="200" w:type="dxa"/>
            <w:vAlign w:val="bottom"/>
          </w:tcPr>
          <w:p>
            <w:pPr>
              <w:ind w:left="80"/>
              <w:spacing w:after="0"/>
              <w:rPr>
                <w:sz w:val="20"/>
                <w:szCs w:val="20"/>
                <w:color w:val="auto"/>
              </w:rPr>
            </w:pPr>
            <w:r>
              <w:rPr>
                <w:rFonts w:ascii="Arial" w:cs="Arial" w:eastAsia="Arial" w:hAnsi="Arial"/>
                <w:sz w:val="8"/>
                <w:szCs w:val="8"/>
                <w:color w:val="D60011"/>
              </w:rPr>
              <w:t>►</w:t>
            </w:r>
          </w:p>
        </w:tc>
        <w:tc>
          <w:tcPr>
            <w:tcW w:w="2380" w:type="dxa"/>
            <w:vAlign w:val="bottom"/>
          </w:tcPr>
          <w:p>
            <w:pPr>
              <w:ind w:left="40"/>
              <w:spacing w:after="0"/>
              <w:rPr>
                <w:sz w:val="20"/>
                <w:szCs w:val="20"/>
                <w:color w:val="auto"/>
              </w:rPr>
            </w:pPr>
            <w:r>
              <w:rPr>
                <w:rFonts w:ascii="Arial" w:cs="Arial" w:eastAsia="Arial" w:hAnsi="Arial"/>
                <w:sz w:val="11"/>
                <w:szCs w:val="11"/>
                <w:color w:val="auto"/>
              </w:rPr>
              <w:t>Zurich American Insurance Co.</w:t>
            </w:r>
          </w:p>
        </w:tc>
      </w:tr>
      <w:tr>
        <w:trPr>
          <w:trHeight w:val="47"/>
        </w:trPr>
        <w:tc>
          <w:tcPr>
            <w:tcW w:w="120" w:type="dxa"/>
            <w:vAlign w:val="bottom"/>
            <w:tcBorders>
              <w:bottom w:val="single" w:sz="8" w:color="D60010"/>
            </w:tcBorders>
          </w:tcPr>
          <w:p>
            <w:pPr>
              <w:spacing w:after="0"/>
              <w:rPr>
                <w:sz w:val="4"/>
                <w:szCs w:val="4"/>
                <w:color w:val="auto"/>
              </w:rPr>
            </w:pPr>
          </w:p>
        </w:tc>
        <w:tc>
          <w:tcPr>
            <w:tcW w:w="2040" w:type="dxa"/>
            <w:vAlign w:val="bottom"/>
            <w:tcBorders>
              <w:bottom w:val="single" w:sz="8" w:color="D60010"/>
            </w:tcBorders>
          </w:tcPr>
          <w:p>
            <w:pPr>
              <w:spacing w:after="0"/>
              <w:rPr>
                <w:sz w:val="4"/>
                <w:szCs w:val="4"/>
                <w:color w:val="auto"/>
              </w:rPr>
            </w:pPr>
          </w:p>
        </w:tc>
        <w:tc>
          <w:tcPr>
            <w:tcW w:w="2600" w:type="dxa"/>
            <w:vAlign w:val="bottom"/>
            <w:tcBorders>
              <w:bottom w:val="single" w:sz="8" w:color="D60010"/>
            </w:tcBorders>
          </w:tcPr>
          <w:p>
            <w:pPr>
              <w:spacing w:after="0"/>
              <w:rPr>
                <w:sz w:val="4"/>
                <w:szCs w:val="4"/>
                <w:color w:val="auto"/>
              </w:rPr>
            </w:pPr>
          </w:p>
        </w:tc>
        <w:tc>
          <w:tcPr>
            <w:tcW w:w="200" w:type="dxa"/>
            <w:vAlign w:val="bottom"/>
            <w:tcBorders>
              <w:bottom w:val="single" w:sz="8" w:color="D60010"/>
            </w:tcBorders>
          </w:tcPr>
          <w:p>
            <w:pPr>
              <w:spacing w:after="0"/>
              <w:rPr>
                <w:sz w:val="4"/>
                <w:szCs w:val="4"/>
                <w:color w:val="auto"/>
              </w:rPr>
            </w:pPr>
          </w:p>
        </w:tc>
        <w:tc>
          <w:tcPr>
            <w:tcW w:w="2380" w:type="dxa"/>
            <w:vAlign w:val="bottom"/>
            <w:tcBorders>
              <w:bottom w:val="single" w:sz="8" w:color="D60010"/>
            </w:tcBorders>
          </w:tcPr>
          <w:p>
            <w:pPr>
              <w:spacing w:after="0"/>
              <w:rPr>
                <w:sz w:val="4"/>
                <w:szCs w:val="4"/>
                <w:color w:val="auto"/>
              </w:rPr>
            </w:pPr>
          </w:p>
        </w:tc>
      </w:tr>
    </w:tbl>
    <w:p>
      <w:pPr>
        <w:spacing w:after="0" w:line="117" w:lineRule="exact"/>
        <w:rPr>
          <w:sz w:val="20"/>
          <w:szCs w:val="20"/>
          <w:color w:val="auto"/>
        </w:rPr>
      </w:pPr>
    </w:p>
    <w:p>
      <w:pPr>
        <w:ind w:left="1980" w:right="2380"/>
        <w:spacing w:after="0" w:line="268" w:lineRule="auto"/>
        <w:rPr>
          <w:sz w:val="20"/>
          <w:szCs w:val="20"/>
          <w:color w:val="auto"/>
        </w:rPr>
      </w:pPr>
      <w:r>
        <w:rPr>
          <w:rFonts w:ascii="Arial" w:cs="Arial" w:eastAsia="Arial" w:hAnsi="Arial"/>
          <w:sz w:val="11"/>
          <w:szCs w:val="11"/>
          <w:color w:val="auto"/>
        </w:rPr>
        <w:t>The policies were written for a 12-month term, expiring October 12, 2022. The total annual premium for these policies, including fees and taxes, is $251,168.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71755</wp:posOffset>
            </wp:positionV>
            <wp:extent cx="365760" cy="2228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47</w:t>
            </w:r>
          </w:p>
        </w:tc>
      </w:tr>
      <w:tr>
        <w:trPr>
          <w:trHeight w:val="138"/>
        </w:trPr>
        <w:tc>
          <w:tcPr>
            <w:tcW w:w="87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r>
    </w:tbl>
    <w:p>
      <w:pPr>
        <w:sectPr>
          <w:pgSz w:w="11900" w:h="16838" w:orient="portrait"/>
          <w:cols w:equalWidth="0" w:num="1">
            <w:col w:w="11300"/>
          </w:cols>
          <w:pgMar w:left="300" w:top="439" w:right="299" w:bottom="1440"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178040" cy="53263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326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1477010</wp:posOffset>
            </wp:positionH>
            <wp:positionV relativeFrom="page">
              <wp:posOffset>386080</wp:posOffset>
            </wp:positionV>
            <wp:extent cx="4572000" cy="18802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4572000" cy="188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980" w:right="2220"/>
        <w:spacing w:after="0" w:line="253" w:lineRule="auto"/>
        <w:rPr>
          <w:sz w:val="20"/>
          <w:szCs w:val="20"/>
          <w:color w:val="auto"/>
        </w:rPr>
      </w:pPr>
      <w:r>
        <w:rPr>
          <w:rFonts w:ascii="Arial" w:cs="Arial" w:eastAsia="Arial" w:hAnsi="Arial"/>
          <w:sz w:val="11"/>
          <w:szCs w:val="11"/>
          <w:color w:val="auto"/>
        </w:rPr>
        <w:t>In accordance with the requirements of Section 14A of the Exchange Act and the related SEC rules, our shareholders have the opportunity to cast an annual non-binding, advisory vote to approve the compensation of our NEOs, as disclosed beginning on page 50 (a “Say-on-Pay” vote). We currently hold our “Say-on-Pay” vote every year.</w:t>
      </w:r>
    </w:p>
    <w:p>
      <w:pPr>
        <w:spacing w:after="0" w:line="104" w:lineRule="exact"/>
        <w:rPr>
          <w:sz w:val="20"/>
          <w:szCs w:val="20"/>
          <w:color w:val="auto"/>
        </w:rPr>
      </w:pPr>
    </w:p>
    <w:p>
      <w:pPr>
        <w:ind w:left="1980" w:right="2020"/>
        <w:spacing w:after="0" w:line="246" w:lineRule="auto"/>
        <w:rPr>
          <w:sz w:val="20"/>
          <w:szCs w:val="20"/>
          <w:color w:val="auto"/>
        </w:rPr>
      </w:pPr>
      <w:r>
        <w:rPr>
          <w:rFonts w:ascii="Arial" w:cs="Arial" w:eastAsia="Arial" w:hAnsi="Arial"/>
          <w:sz w:val="11"/>
          <w:szCs w:val="11"/>
          <w:color w:val="auto"/>
        </w:rPr>
        <w:t>As described in detail in the CD&amp;A beginning on page 50, our compensation program is designed to attract, motivate, and retain talented executives responsible for leading our strategic priorities and, in turn, deliver value to our shareholders. Our executive compensation program ties pay closely to performance. A significant portion of the compensation provided to the NEOs is based upon the Company’s performance or the performance of our share price, and we believe this compensation structure closely aligns the interests of our executives with the interests of our shareholders. The higher an executive’s position, the greater percentage of their compensation is tied to performance.</w:t>
      </w:r>
    </w:p>
    <w:p>
      <w:pPr>
        <w:spacing w:after="0" w:line="108" w:lineRule="exact"/>
        <w:rPr>
          <w:sz w:val="20"/>
          <w:szCs w:val="20"/>
          <w:color w:val="auto"/>
        </w:rPr>
      </w:pPr>
    </w:p>
    <w:p>
      <w:pPr>
        <w:ind w:left="1980" w:right="2020"/>
        <w:spacing w:after="0" w:line="246" w:lineRule="auto"/>
        <w:rPr>
          <w:sz w:val="20"/>
          <w:szCs w:val="20"/>
          <w:color w:val="auto"/>
        </w:rPr>
      </w:pPr>
      <w:r>
        <w:rPr>
          <w:rFonts w:ascii="Arial" w:cs="Arial" w:eastAsia="Arial" w:hAnsi="Arial"/>
          <w:sz w:val="11"/>
          <w:szCs w:val="11"/>
          <w:color w:val="auto"/>
        </w:rPr>
        <w:t>“Say-on-Pay” received nearly 96% support at last year’s annual meeting. The Human Capital Committee believes this affirms our shareholders’ support for the Company’s approach to executive compensation. We also have discussions with many of our shareholders on an ongoing basis regarding various corporate governance topics, including executive compensation, and take into account the views of shareholders regarding the design and effectiveness of our executive compensation program. We believe you should read the CD&amp;A, beginning on page 50, and the compensation tables beginning on page 70, in determining whether to vote in favor of this proposal.</w:t>
      </w:r>
    </w:p>
    <w:p>
      <w:pPr>
        <w:spacing w:after="0" w:line="10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are being asked to approve the following resolution at the Annual Meeting:</w:t>
      </w:r>
    </w:p>
    <w:p>
      <w:pPr>
        <w:spacing w:after="0" w:line="126" w:lineRule="exact"/>
        <w:rPr>
          <w:sz w:val="20"/>
          <w:szCs w:val="20"/>
          <w:color w:val="auto"/>
        </w:rPr>
      </w:pPr>
    </w:p>
    <w:p>
      <w:pPr>
        <w:jc w:val="both"/>
        <w:ind w:left="2120" w:right="2100"/>
        <w:spacing w:after="0" w:line="253" w:lineRule="auto"/>
        <w:rPr>
          <w:sz w:val="20"/>
          <w:szCs w:val="20"/>
          <w:color w:val="auto"/>
        </w:rPr>
      </w:pPr>
      <w:r>
        <w:rPr>
          <w:rFonts w:ascii="Arial" w:cs="Arial" w:eastAsia="Arial" w:hAnsi="Arial"/>
          <w:sz w:val="11"/>
          <w:szCs w:val="11"/>
          <w:color w:val="auto"/>
        </w:rPr>
        <w:t>“RESOLVED, that the Company’s shareholders approve, on an advisory basis, the compensation of our NEOs, as disclosed in the Company’s Proxy Statement for the Annual Meeting pursuant to the SEC’s compensation disclosure rules, including the CD&amp;A, the 2021 Summary Compensation Table, and the other related tables and disclosures.”</w:t>
      </w:r>
    </w:p>
    <w:p>
      <w:pPr>
        <w:spacing w:after="0" w:line="104" w:lineRule="exact"/>
        <w:rPr>
          <w:sz w:val="20"/>
          <w:szCs w:val="20"/>
          <w:color w:val="auto"/>
        </w:rPr>
      </w:pPr>
    </w:p>
    <w:p>
      <w:pPr>
        <w:ind w:left="1980" w:right="2160"/>
        <w:spacing w:after="0" w:line="253" w:lineRule="auto"/>
        <w:rPr>
          <w:sz w:val="20"/>
          <w:szCs w:val="20"/>
          <w:color w:val="auto"/>
        </w:rPr>
      </w:pPr>
      <w:r>
        <w:rPr>
          <w:rFonts w:ascii="Arial" w:cs="Arial" w:eastAsia="Arial" w:hAnsi="Arial"/>
          <w:sz w:val="11"/>
          <w:szCs w:val="11"/>
          <w:color w:val="auto"/>
        </w:rPr>
        <w:t>As an advisory vote, this proposal is not binding on the Company, the Human Capital Committee, or the Board. However, the Human Capital Committee and the Board value the opinions expressed by shareholders in their votes on this proposal and will consider the outcome of the vote when making future compensation decisions regarding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71755</wp:posOffset>
            </wp:positionV>
            <wp:extent cx="365760" cy="222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49</w:t>
            </w:r>
          </w:p>
        </w:tc>
      </w:tr>
      <w:tr>
        <w:trPr>
          <w:trHeight w:val="228"/>
        </w:trPr>
        <w:tc>
          <w:tcPr>
            <w:tcW w:w="87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r>
    </w:tbl>
    <w:p>
      <w:pPr>
        <w:sectPr>
          <w:pgSz w:w="11900" w:h="16838" w:orient="portrait"/>
          <w:cols w:equalWidth="0" w:num="1">
            <w:col w:w="11300"/>
          </w:cols>
          <w:pgMar w:left="300" w:top="1440" w:right="29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1471295</wp:posOffset>
            </wp:positionH>
            <wp:positionV relativeFrom="page">
              <wp:posOffset>443230</wp:posOffset>
            </wp:positionV>
            <wp:extent cx="4572000" cy="1263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4572000" cy="126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COMPENSATION DISCUSSION AND ANALYSIS</w:t>
      </w:r>
    </w:p>
    <w:p>
      <w:pPr>
        <w:spacing w:after="0" w:line="145" w:lineRule="exact"/>
        <w:rPr>
          <w:sz w:val="20"/>
          <w:szCs w:val="20"/>
          <w:color w:val="auto"/>
        </w:rPr>
      </w:pPr>
    </w:p>
    <w:p>
      <w:pPr>
        <w:ind w:left="840" w:right="1019"/>
        <w:spacing w:after="0" w:line="268" w:lineRule="auto"/>
        <w:rPr>
          <w:sz w:val="20"/>
          <w:szCs w:val="20"/>
          <w:color w:val="auto"/>
        </w:rPr>
      </w:pPr>
      <w:r>
        <w:rPr>
          <w:rFonts w:ascii="Arial" w:cs="Arial" w:eastAsia="Arial" w:hAnsi="Arial"/>
          <w:sz w:val="11"/>
          <w:szCs w:val="11"/>
          <w:color w:val="auto"/>
        </w:rPr>
        <w:t>This CD&amp;A describes our compensation philosophy and objectives, provides context for compensation decisions for our NEOs, and describes how our 2021 compensation is linked to performance against the goals that were established for the Annual Incentive Plan and LTI.</w:t>
      </w:r>
    </w:p>
    <w:p>
      <w:pPr>
        <w:sectPr>
          <w:pgSz w:w="11900" w:h="16838" w:orient="portrait"/>
          <w:cols w:equalWidth="0" w:num="1">
            <w:col w:w="9019"/>
          </w:cols>
          <w:pgMar w:left="1440" w:top="1440" w:right="1440" w:bottom="1440" w:gutter="0" w:footer="0" w:header="0"/>
        </w:sectPr>
      </w:pPr>
    </w:p>
    <w:p>
      <w:pPr>
        <w:spacing w:after="0" w:line="9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For 2021, our NEOs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90805</wp:posOffset>
            </wp:positionV>
            <wp:extent cx="531495" cy="651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1495" cy="65151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90805</wp:posOffset>
            </wp:positionV>
            <wp:extent cx="1120140" cy="651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201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840" w:type="dxa"/>
        <w:tblCellMar>
          <w:top w:w="0" w:type="dxa"/>
          <w:left w:w="0" w:type="dxa"/>
          <w:bottom w:w="0" w:type="dxa"/>
          <w:right w:w="0" w:type="dxa"/>
        </w:tblCellMar>
      </w:tblPr>
      <w:tr>
        <w:trPr>
          <w:trHeight w:val="138"/>
        </w:trPr>
        <w:tc>
          <w:tcPr>
            <w:tcW w:w="820" w:type="dxa"/>
            <w:vAlign w:val="bottom"/>
          </w:tcPr>
          <w:p>
            <w:pPr>
              <w:spacing w:after="0"/>
              <w:rPr>
                <w:sz w:val="20"/>
                <w:szCs w:val="20"/>
                <w:color w:val="auto"/>
              </w:rPr>
            </w:pPr>
            <w:r>
              <w:rPr>
                <w:rFonts w:ascii="Arial" w:cs="Arial" w:eastAsia="Arial" w:hAnsi="Arial"/>
                <w:sz w:val="12"/>
                <w:szCs w:val="12"/>
                <w:b w:val="1"/>
                <w:bCs w:val="1"/>
                <w:color w:val="auto"/>
              </w:rPr>
              <w:t>RICHARD A.</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ANDREW E.</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FRANKLIN R.</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W. SCOTT</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w w:val="96"/>
              </w:rPr>
              <w:t>ANDREW I.</w:t>
            </w:r>
          </w:p>
        </w:tc>
      </w:tr>
      <w:tr>
        <w:trPr>
          <w:trHeight w:val="272"/>
        </w:trPr>
        <w:tc>
          <w:tcPr>
            <w:tcW w:w="820" w:type="dxa"/>
            <w:vAlign w:val="bottom"/>
          </w:tcPr>
          <w:p>
            <w:pPr>
              <w:spacing w:after="0"/>
              <w:rPr>
                <w:sz w:val="20"/>
                <w:szCs w:val="20"/>
                <w:color w:val="auto"/>
              </w:rPr>
            </w:pPr>
            <w:r>
              <w:rPr>
                <w:rFonts w:ascii="Arial" w:cs="Arial" w:eastAsia="Arial" w:hAnsi="Arial"/>
                <w:sz w:val="12"/>
                <w:szCs w:val="12"/>
                <w:b w:val="1"/>
                <w:bCs w:val="1"/>
                <w:color w:val="auto"/>
              </w:rPr>
              <w:t>JOHNSON</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PAGE</w:t>
            </w:r>
            <w:r>
              <w:rPr>
                <w:rFonts w:ascii="Arial" w:cs="Arial" w:eastAsia="Arial" w:hAnsi="Arial"/>
                <w:sz w:val="19"/>
                <w:szCs w:val="19"/>
                <w:b w:val="1"/>
                <w:bCs w:val="1"/>
                <w:color w:val="auto"/>
                <w:vertAlign w:val="superscript"/>
              </w:rPr>
              <w:t>(1)</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BRACKEN</w:t>
            </w:r>
            <w:r>
              <w:rPr>
                <w:rFonts w:ascii="Arial" w:cs="Arial" w:eastAsia="Arial" w:hAnsi="Arial"/>
                <w:sz w:val="19"/>
                <w:szCs w:val="19"/>
                <w:b w:val="1"/>
                <w:bCs w:val="1"/>
                <w:color w:val="auto"/>
                <w:vertAlign w:val="superscript"/>
              </w:rPr>
              <w:t>(2)</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MARTIN</w:t>
            </w:r>
            <w:r>
              <w:rPr>
                <w:rFonts w:ascii="Arial" w:cs="Arial" w:eastAsia="Arial" w:hAnsi="Arial"/>
                <w:sz w:val="19"/>
                <w:szCs w:val="19"/>
                <w:b w:val="1"/>
                <w:bCs w:val="1"/>
                <w:color w:val="auto"/>
                <w:vertAlign w:val="superscript"/>
              </w:rPr>
              <w:t>(3)</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GRAY</w:t>
            </w:r>
          </w:p>
        </w:tc>
      </w:tr>
      <w:tr>
        <w:trPr>
          <w:trHeight w:val="120"/>
        </w:trPr>
        <w:tc>
          <w:tcPr>
            <w:tcW w:w="820" w:type="dxa"/>
            <w:vAlign w:val="bottom"/>
          </w:tcPr>
          <w:p>
            <w:pPr>
              <w:spacing w:after="0"/>
              <w:rPr>
                <w:sz w:val="20"/>
                <w:szCs w:val="20"/>
                <w:color w:val="auto"/>
              </w:rPr>
            </w:pPr>
            <w:r>
              <w:rPr>
                <w:rFonts w:ascii="Arial" w:cs="Arial" w:eastAsia="Arial" w:hAnsi="Arial"/>
                <w:sz w:val="10"/>
                <w:szCs w:val="10"/>
                <w:color w:val="auto"/>
              </w:rPr>
              <w:t>Chairman,</w:t>
            </w:r>
          </w:p>
        </w:tc>
        <w:tc>
          <w:tcPr>
            <w:tcW w:w="940" w:type="dxa"/>
            <w:vAlign w:val="bottom"/>
          </w:tcPr>
          <w:p>
            <w:pPr>
              <w:ind w:left="120"/>
              <w:spacing w:after="0"/>
              <w:rPr>
                <w:sz w:val="20"/>
                <w:szCs w:val="20"/>
                <w:color w:val="auto"/>
              </w:rPr>
            </w:pPr>
            <w:r>
              <w:rPr>
                <w:rFonts w:ascii="Arial" w:cs="Arial" w:eastAsia="Arial" w:hAnsi="Arial"/>
                <w:sz w:val="10"/>
                <w:szCs w:val="10"/>
                <w:color w:val="auto"/>
              </w:rPr>
              <w:t>Executive Vice</w:t>
            </w:r>
          </w:p>
        </w:tc>
        <w:tc>
          <w:tcPr>
            <w:tcW w:w="980" w:type="dxa"/>
            <w:vAlign w:val="bottom"/>
          </w:tcPr>
          <w:p>
            <w:pPr>
              <w:ind w:left="120"/>
              <w:spacing w:after="0"/>
              <w:rPr>
                <w:sz w:val="20"/>
                <w:szCs w:val="20"/>
                <w:color w:val="auto"/>
              </w:rPr>
            </w:pPr>
            <w:r>
              <w:rPr>
                <w:rFonts w:ascii="Arial" w:cs="Arial" w:eastAsia="Arial" w:hAnsi="Arial"/>
                <w:sz w:val="10"/>
                <w:szCs w:val="10"/>
                <w:color w:val="auto"/>
              </w:rPr>
              <w:t>Executive Vice</w:t>
            </w:r>
          </w:p>
        </w:tc>
        <w:tc>
          <w:tcPr>
            <w:tcW w:w="860" w:type="dxa"/>
            <w:vAlign w:val="bottom"/>
          </w:tcPr>
          <w:p>
            <w:pPr>
              <w:ind w:left="80"/>
              <w:spacing w:after="0"/>
              <w:rPr>
                <w:sz w:val="20"/>
                <w:szCs w:val="20"/>
                <w:color w:val="auto"/>
              </w:rPr>
            </w:pPr>
            <w:r>
              <w:rPr>
                <w:rFonts w:ascii="Arial" w:cs="Arial" w:eastAsia="Arial" w:hAnsi="Arial"/>
                <w:sz w:val="10"/>
                <w:szCs w:val="10"/>
                <w:color w:val="auto"/>
              </w:rPr>
              <w:t>Executive Vice</w:t>
            </w:r>
          </w:p>
        </w:tc>
        <w:tc>
          <w:tcPr>
            <w:tcW w:w="800" w:type="dxa"/>
            <w:vAlign w:val="bottom"/>
          </w:tcPr>
          <w:p>
            <w:pPr>
              <w:ind w:left="160"/>
              <w:spacing w:after="0"/>
              <w:rPr>
                <w:sz w:val="20"/>
                <w:szCs w:val="20"/>
                <w:color w:val="auto"/>
              </w:rPr>
            </w:pPr>
            <w:r>
              <w:rPr>
                <w:rFonts w:ascii="Arial" w:cs="Arial" w:eastAsia="Arial" w:hAnsi="Arial"/>
                <w:sz w:val="10"/>
                <w:szCs w:val="10"/>
                <w:color w:val="auto"/>
              </w:rPr>
              <w:t>Executive</w:t>
            </w:r>
          </w:p>
        </w:tc>
      </w:tr>
      <w:tr>
        <w:trPr>
          <w:trHeight w:val="108"/>
        </w:trPr>
        <w:tc>
          <w:tcPr>
            <w:tcW w:w="820" w:type="dxa"/>
            <w:vAlign w:val="bottom"/>
          </w:tcPr>
          <w:p>
            <w:pPr>
              <w:spacing w:after="0" w:line="108" w:lineRule="exact"/>
              <w:rPr>
                <w:sz w:val="20"/>
                <w:szCs w:val="20"/>
                <w:color w:val="auto"/>
              </w:rPr>
            </w:pPr>
            <w:r>
              <w:rPr>
                <w:rFonts w:ascii="Arial" w:cs="Arial" w:eastAsia="Arial" w:hAnsi="Arial"/>
                <w:sz w:val="10"/>
                <w:szCs w:val="10"/>
                <w:color w:val="auto"/>
              </w:rPr>
              <w:t>President and</w:t>
            </w:r>
          </w:p>
        </w:tc>
        <w:tc>
          <w:tcPr>
            <w:tcW w:w="940" w:type="dxa"/>
            <w:vAlign w:val="bottom"/>
          </w:tcPr>
          <w:p>
            <w:pPr>
              <w:ind w:left="120"/>
              <w:spacing w:after="0" w:line="108" w:lineRule="exact"/>
              <w:rPr>
                <w:sz w:val="20"/>
                <w:szCs w:val="20"/>
                <w:color w:val="auto"/>
              </w:rPr>
            </w:pPr>
            <w:r>
              <w:rPr>
                <w:rFonts w:ascii="Arial" w:cs="Arial" w:eastAsia="Arial" w:hAnsi="Arial"/>
                <w:sz w:val="10"/>
                <w:szCs w:val="10"/>
                <w:color w:val="auto"/>
              </w:rPr>
              <w:t>President and</w:t>
            </w:r>
          </w:p>
        </w:tc>
        <w:tc>
          <w:tcPr>
            <w:tcW w:w="980" w:type="dxa"/>
            <w:vAlign w:val="bottom"/>
          </w:tcPr>
          <w:p>
            <w:pPr>
              <w:ind w:left="120"/>
              <w:spacing w:after="0" w:line="108" w:lineRule="exact"/>
              <w:rPr>
                <w:sz w:val="20"/>
                <w:szCs w:val="20"/>
                <w:color w:val="auto"/>
              </w:rPr>
            </w:pPr>
            <w:r>
              <w:rPr>
                <w:rFonts w:ascii="Arial" w:cs="Arial" w:eastAsia="Arial" w:hAnsi="Arial"/>
                <w:sz w:val="10"/>
                <w:szCs w:val="10"/>
                <w:color w:val="auto"/>
              </w:rPr>
              <w:t>President and</w:t>
            </w:r>
          </w:p>
        </w:tc>
        <w:tc>
          <w:tcPr>
            <w:tcW w:w="860" w:type="dxa"/>
            <w:vAlign w:val="bottom"/>
          </w:tcPr>
          <w:p>
            <w:pPr>
              <w:ind w:left="80"/>
              <w:spacing w:after="0" w:line="108" w:lineRule="exact"/>
              <w:rPr>
                <w:sz w:val="20"/>
                <w:szCs w:val="20"/>
                <w:color w:val="auto"/>
              </w:rPr>
            </w:pPr>
            <w:r>
              <w:rPr>
                <w:rFonts w:ascii="Arial" w:cs="Arial" w:eastAsia="Arial" w:hAnsi="Arial"/>
                <w:sz w:val="10"/>
                <w:szCs w:val="10"/>
                <w:color w:val="auto"/>
              </w:rPr>
              <w:t>President,</w:t>
            </w:r>
          </w:p>
        </w:tc>
        <w:tc>
          <w:tcPr>
            <w:tcW w:w="800" w:type="dxa"/>
            <w:vAlign w:val="bottom"/>
          </w:tcPr>
          <w:p>
            <w:pPr>
              <w:ind w:left="160"/>
              <w:spacing w:after="0" w:line="108" w:lineRule="exact"/>
              <w:rPr>
                <w:sz w:val="20"/>
                <w:szCs w:val="20"/>
                <w:color w:val="auto"/>
              </w:rPr>
            </w:pPr>
            <w:r>
              <w:rPr>
                <w:rFonts w:ascii="Arial" w:cs="Arial" w:eastAsia="Arial" w:hAnsi="Arial"/>
                <w:sz w:val="10"/>
                <w:szCs w:val="10"/>
                <w:color w:val="auto"/>
                <w:w w:val="96"/>
              </w:rPr>
              <w:t>Vice President</w:t>
            </w:r>
          </w:p>
        </w:tc>
      </w:tr>
      <w:tr>
        <w:trPr>
          <w:trHeight w:val="108"/>
        </w:trPr>
        <w:tc>
          <w:tcPr>
            <w:tcW w:w="820" w:type="dxa"/>
            <w:vAlign w:val="bottom"/>
          </w:tcPr>
          <w:p>
            <w:pPr>
              <w:spacing w:after="0" w:line="108" w:lineRule="exact"/>
              <w:rPr>
                <w:sz w:val="20"/>
                <w:szCs w:val="20"/>
                <w:color w:val="auto"/>
              </w:rPr>
            </w:pPr>
            <w:r>
              <w:rPr>
                <w:rFonts w:ascii="Arial" w:cs="Arial" w:eastAsia="Arial" w:hAnsi="Arial"/>
                <w:sz w:val="10"/>
                <w:szCs w:val="10"/>
                <w:color w:val="auto"/>
              </w:rPr>
              <w:t>Chief Executive</w:t>
            </w:r>
          </w:p>
        </w:tc>
        <w:tc>
          <w:tcPr>
            <w:tcW w:w="940" w:type="dxa"/>
            <w:vAlign w:val="bottom"/>
          </w:tcPr>
          <w:p>
            <w:pPr>
              <w:ind w:left="120"/>
              <w:spacing w:after="0" w:line="108" w:lineRule="exact"/>
              <w:rPr>
                <w:sz w:val="20"/>
                <w:szCs w:val="20"/>
                <w:color w:val="auto"/>
              </w:rPr>
            </w:pPr>
            <w:r>
              <w:rPr>
                <w:rFonts w:ascii="Arial" w:cs="Arial" w:eastAsia="Arial" w:hAnsi="Arial"/>
                <w:sz w:val="10"/>
                <w:szCs w:val="10"/>
                <w:color w:val="auto"/>
              </w:rPr>
              <w:t>Chief Financial</w:t>
            </w:r>
          </w:p>
        </w:tc>
        <w:tc>
          <w:tcPr>
            <w:tcW w:w="980" w:type="dxa"/>
            <w:vAlign w:val="bottom"/>
          </w:tcPr>
          <w:p>
            <w:pPr>
              <w:ind w:left="120"/>
              <w:spacing w:after="0" w:line="108" w:lineRule="exact"/>
              <w:rPr>
                <w:sz w:val="20"/>
                <w:szCs w:val="20"/>
                <w:color w:val="auto"/>
              </w:rPr>
            </w:pPr>
            <w:r>
              <w:rPr>
                <w:rFonts w:ascii="Arial" w:cs="Arial" w:eastAsia="Arial" w:hAnsi="Arial"/>
                <w:sz w:val="10"/>
                <w:szCs w:val="10"/>
                <w:color w:val="auto"/>
              </w:rPr>
              <w:t>Chief Operating</w:t>
            </w:r>
          </w:p>
        </w:tc>
        <w:tc>
          <w:tcPr>
            <w:tcW w:w="860" w:type="dxa"/>
            <w:vAlign w:val="bottom"/>
          </w:tcPr>
          <w:p>
            <w:pPr>
              <w:ind w:left="80"/>
              <w:spacing w:after="0" w:line="108" w:lineRule="exact"/>
              <w:rPr>
                <w:sz w:val="20"/>
                <w:szCs w:val="20"/>
                <w:color w:val="auto"/>
              </w:rPr>
            </w:pPr>
            <w:r>
              <w:rPr>
                <w:rFonts w:ascii="Arial" w:cs="Arial" w:eastAsia="Arial" w:hAnsi="Arial"/>
                <w:sz w:val="10"/>
                <w:szCs w:val="10"/>
                <w:color w:val="auto"/>
              </w:rPr>
              <w:t>Chief Strategy</w:t>
            </w:r>
          </w:p>
        </w:tc>
        <w:tc>
          <w:tcPr>
            <w:tcW w:w="800" w:type="dxa"/>
            <w:vAlign w:val="bottom"/>
          </w:tcPr>
          <w:p>
            <w:pPr>
              <w:ind w:left="160"/>
              <w:spacing w:after="0" w:line="108" w:lineRule="exact"/>
              <w:rPr>
                <w:sz w:val="20"/>
                <w:szCs w:val="20"/>
                <w:color w:val="auto"/>
              </w:rPr>
            </w:pPr>
            <w:r>
              <w:rPr>
                <w:rFonts w:ascii="Arial" w:cs="Arial" w:eastAsia="Arial" w:hAnsi="Arial"/>
                <w:sz w:val="10"/>
                <w:szCs w:val="10"/>
                <w:color w:val="auto"/>
              </w:rPr>
              <w:t>and Chief</w:t>
            </w:r>
          </w:p>
        </w:tc>
      </w:tr>
      <w:tr>
        <w:trPr>
          <w:trHeight w:val="108"/>
        </w:trPr>
        <w:tc>
          <w:tcPr>
            <w:tcW w:w="820" w:type="dxa"/>
            <w:vAlign w:val="bottom"/>
          </w:tcPr>
          <w:p>
            <w:pPr>
              <w:spacing w:after="0" w:line="108" w:lineRule="exact"/>
              <w:rPr>
                <w:sz w:val="20"/>
                <w:szCs w:val="20"/>
                <w:color w:val="auto"/>
              </w:rPr>
            </w:pPr>
            <w:r>
              <w:rPr>
                <w:rFonts w:ascii="Arial" w:cs="Arial" w:eastAsia="Arial" w:hAnsi="Arial"/>
                <w:sz w:val="10"/>
                <w:szCs w:val="10"/>
                <w:color w:val="auto"/>
              </w:rPr>
              <w:t>Officer</w:t>
            </w:r>
          </w:p>
        </w:tc>
        <w:tc>
          <w:tcPr>
            <w:tcW w:w="940" w:type="dxa"/>
            <w:vAlign w:val="bottom"/>
          </w:tcPr>
          <w:p>
            <w:pPr>
              <w:ind w:left="120"/>
              <w:spacing w:after="0" w:line="108" w:lineRule="exact"/>
              <w:rPr>
                <w:sz w:val="20"/>
                <w:szCs w:val="20"/>
                <w:color w:val="auto"/>
              </w:rPr>
            </w:pPr>
            <w:r>
              <w:rPr>
                <w:rFonts w:ascii="Arial" w:cs="Arial" w:eastAsia="Arial" w:hAnsi="Arial"/>
                <w:sz w:val="10"/>
                <w:szCs w:val="10"/>
                <w:color w:val="auto"/>
              </w:rPr>
              <w:t>Officer</w:t>
            </w:r>
          </w:p>
        </w:tc>
        <w:tc>
          <w:tcPr>
            <w:tcW w:w="980" w:type="dxa"/>
            <w:vAlign w:val="bottom"/>
          </w:tcPr>
          <w:p>
            <w:pPr>
              <w:ind w:left="120"/>
              <w:spacing w:after="0" w:line="108" w:lineRule="exact"/>
              <w:rPr>
                <w:sz w:val="20"/>
                <w:szCs w:val="20"/>
                <w:color w:val="auto"/>
              </w:rPr>
            </w:pPr>
            <w:r>
              <w:rPr>
                <w:rFonts w:ascii="Arial" w:cs="Arial" w:eastAsia="Arial" w:hAnsi="Arial"/>
                <w:sz w:val="10"/>
                <w:szCs w:val="10"/>
                <w:color w:val="auto"/>
              </w:rPr>
              <w:t>Officer</w:t>
            </w:r>
          </w:p>
        </w:tc>
        <w:tc>
          <w:tcPr>
            <w:tcW w:w="860" w:type="dxa"/>
            <w:vAlign w:val="bottom"/>
          </w:tcPr>
          <w:p>
            <w:pPr>
              <w:ind w:left="80"/>
              <w:spacing w:after="0" w:line="108" w:lineRule="exact"/>
              <w:rPr>
                <w:sz w:val="20"/>
                <w:szCs w:val="20"/>
                <w:color w:val="auto"/>
              </w:rPr>
            </w:pPr>
            <w:r>
              <w:rPr>
                <w:rFonts w:ascii="Arial" w:cs="Arial" w:eastAsia="Arial" w:hAnsi="Arial"/>
                <w:sz w:val="10"/>
                <w:szCs w:val="10"/>
                <w:color w:val="auto"/>
              </w:rPr>
              <w:t>and Corporate</w:t>
            </w:r>
          </w:p>
        </w:tc>
        <w:tc>
          <w:tcPr>
            <w:tcW w:w="800" w:type="dxa"/>
            <w:vAlign w:val="bottom"/>
          </w:tcPr>
          <w:p>
            <w:pPr>
              <w:ind w:left="160"/>
              <w:spacing w:after="0" w:line="108" w:lineRule="exact"/>
              <w:rPr>
                <w:sz w:val="20"/>
                <w:szCs w:val="20"/>
                <w:color w:val="auto"/>
              </w:rPr>
            </w:pPr>
            <w:r>
              <w:rPr>
                <w:rFonts w:ascii="Arial" w:cs="Arial" w:eastAsia="Arial" w:hAnsi="Arial"/>
                <w:sz w:val="10"/>
                <w:szCs w:val="10"/>
                <w:color w:val="auto"/>
              </w:rPr>
              <w:t>Commercial</w:t>
            </w:r>
          </w:p>
        </w:tc>
      </w:tr>
      <w:tr>
        <w:trPr>
          <w:trHeight w:val="108"/>
        </w:trPr>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60" w:type="dxa"/>
            <w:vAlign w:val="bottom"/>
          </w:tcPr>
          <w:p>
            <w:pPr>
              <w:ind w:left="80"/>
              <w:spacing w:after="0" w:line="108" w:lineRule="exact"/>
              <w:rPr>
                <w:sz w:val="20"/>
                <w:szCs w:val="20"/>
                <w:color w:val="auto"/>
              </w:rPr>
            </w:pPr>
            <w:r>
              <w:rPr>
                <w:rFonts w:ascii="Arial" w:cs="Arial" w:eastAsia="Arial" w:hAnsi="Arial"/>
                <w:sz w:val="10"/>
                <w:szCs w:val="10"/>
                <w:color w:val="auto"/>
              </w:rPr>
              <w:t>Development</w:t>
            </w:r>
          </w:p>
        </w:tc>
        <w:tc>
          <w:tcPr>
            <w:tcW w:w="800" w:type="dxa"/>
            <w:vAlign w:val="bottom"/>
          </w:tcPr>
          <w:p>
            <w:pPr>
              <w:ind w:left="160"/>
              <w:spacing w:after="0" w:line="108" w:lineRule="exact"/>
              <w:rPr>
                <w:sz w:val="20"/>
                <w:szCs w:val="20"/>
                <w:color w:val="auto"/>
              </w:rPr>
            </w:pPr>
            <w:r>
              <w:rPr>
                <w:rFonts w:ascii="Arial" w:cs="Arial" w:eastAsia="Arial" w:hAnsi="Arial"/>
                <w:sz w:val="10"/>
                <w:szCs w:val="10"/>
                <w:color w:val="auto"/>
              </w:rPr>
              <w:t>Officer</w:t>
            </w:r>
          </w:p>
        </w:tc>
      </w:tr>
      <w:tr>
        <w:trPr>
          <w:trHeight w:val="125"/>
        </w:trPr>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0"/>
                <w:szCs w:val="10"/>
                <w:color w:val="auto"/>
              </w:rPr>
              <w:t>Officer</w:t>
            </w:r>
          </w:p>
        </w:tc>
        <w:tc>
          <w:tcPr>
            <w:tcW w:w="800" w:type="dxa"/>
            <w:vAlign w:val="bottom"/>
          </w:tcPr>
          <w:p>
            <w:pPr>
              <w:spacing w:after="0"/>
              <w:rPr>
                <w:sz w:val="10"/>
                <w:szCs w:val="10"/>
                <w:color w:val="auto"/>
              </w:rPr>
            </w:pPr>
          </w:p>
        </w:tc>
      </w:tr>
    </w:tbl>
    <w:p>
      <w:pPr>
        <w:spacing w:after="0" w:line="44" w:lineRule="exact"/>
        <w:rPr>
          <w:sz w:val="20"/>
          <w:szCs w:val="20"/>
          <w:color w:val="auto"/>
        </w:rPr>
      </w:pPr>
    </w:p>
    <w:p>
      <w:pPr>
        <w:ind w:left="1040" w:hanging="208"/>
        <w:spacing w:after="0"/>
        <w:tabs>
          <w:tab w:leader="none" w:pos="1040" w:val="left"/>
        </w:tabs>
        <w:numPr>
          <w:ilvl w:val="0"/>
          <w:numId w:val="73"/>
        </w:numPr>
        <w:rPr>
          <w:rFonts w:ascii="Arial" w:cs="Arial" w:eastAsia="Arial" w:hAnsi="Arial"/>
          <w:sz w:val="15"/>
          <w:szCs w:val="15"/>
          <w:color w:val="auto"/>
          <w:vertAlign w:val="superscript"/>
        </w:rPr>
      </w:pPr>
      <w:r>
        <w:rPr>
          <w:rFonts w:ascii="Arial" w:cs="Arial" w:eastAsia="Arial" w:hAnsi="Arial"/>
          <w:sz w:val="9"/>
          <w:szCs w:val="9"/>
          <w:color w:val="auto"/>
        </w:rPr>
        <w:t>Mr. Page joined the Company as Executive Vice President and Chief Financial Officer on April 12, 2021.</w:t>
      </w:r>
    </w:p>
    <w:p>
      <w:pPr>
        <w:spacing w:after="0" w:line="27" w:lineRule="exact"/>
        <w:rPr>
          <w:rFonts w:ascii="Arial" w:cs="Arial" w:eastAsia="Arial" w:hAnsi="Arial"/>
          <w:sz w:val="15"/>
          <w:szCs w:val="15"/>
          <w:color w:val="auto"/>
          <w:vertAlign w:val="superscript"/>
        </w:rPr>
      </w:pPr>
    </w:p>
    <w:p>
      <w:pPr>
        <w:ind w:left="1040" w:hanging="208"/>
        <w:spacing w:after="0" w:line="192" w:lineRule="auto"/>
        <w:tabs>
          <w:tab w:leader="none" w:pos="1040" w:val="left"/>
        </w:tabs>
        <w:numPr>
          <w:ilvl w:val="0"/>
          <w:numId w:val="73"/>
        </w:numPr>
        <w:rPr>
          <w:rFonts w:ascii="Arial" w:cs="Arial" w:eastAsia="Arial" w:hAnsi="Arial"/>
          <w:sz w:val="16"/>
          <w:szCs w:val="16"/>
          <w:color w:val="auto"/>
          <w:vertAlign w:val="superscript"/>
        </w:rPr>
      </w:pPr>
      <w:r>
        <w:rPr>
          <w:rFonts w:ascii="Arial" w:cs="Arial" w:eastAsia="Arial" w:hAnsi="Arial"/>
          <w:sz w:val="10"/>
          <w:szCs w:val="10"/>
          <w:color w:val="auto"/>
        </w:rPr>
        <w:t>Mr. Bracken served as Executive Vice President and Chief Executive Officer—North America until November 15, 2021, and was promoted to Executive Vice President and Chief Operating Officer, effective November 16, 2021.</w:t>
      </w:r>
    </w:p>
    <w:p>
      <w:pPr>
        <w:spacing w:after="0" w:line="20" w:lineRule="exact"/>
        <w:rPr>
          <w:rFonts w:ascii="Arial" w:cs="Arial" w:eastAsia="Arial" w:hAnsi="Arial"/>
          <w:sz w:val="16"/>
          <w:szCs w:val="16"/>
          <w:color w:val="auto"/>
          <w:vertAlign w:val="superscript"/>
        </w:rPr>
      </w:pPr>
    </w:p>
    <w:p>
      <w:pPr>
        <w:ind w:left="1040" w:right="20" w:hanging="208"/>
        <w:spacing w:after="0" w:line="203" w:lineRule="auto"/>
        <w:tabs>
          <w:tab w:leader="none" w:pos="1040" w:val="left"/>
        </w:tabs>
        <w:numPr>
          <w:ilvl w:val="0"/>
          <w:numId w:val="73"/>
        </w:numPr>
        <w:rPr>
          <w:rFonts w:ascii="Arial" w:cs="Arial" w:eastAsia="Arial" w:hAnsi="Arial"/>
          <w:sz w:val="16"/>
          <w:szCs w:val="16"/>
          <w:color w:val="auto"/>
          <w:vertAlign w:val="superscript"/>
        </w:rPr>
      </w:pPr>
      <w:r>
        <w:rPr>
          <w:rFonts w:ascii="Arial" w:cs="Arial" w:eastAsia="Arial" w:hAnsi="Arial"/>
          <w:sz w:val="10"/>
          <w:szCs w:val="10"/>
          <w:color w:val="auto"/>
        </w:rPr>
        <w:t>W. Scott Martin served as Executive Vice President and Chief Executive Officer—Asia Pacific and Chief Strategy and Development Officer until November 15, 2021, President—Asia Pacific from November 16, 2021 through March 17, 2022, and Executive Vice President, Chief Strategy and Corporate Development Officer, effective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61595</wp:posOffset>
            </wp:positionV>
            <wp:extent cx="298323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83230" cy="5715"/>
                    </a:xfrm>
                    <a:prstGeom prst="rect">
                      <a:avLst/>
                    </a:prstGeom>
                    <a:noFill/>
                  </pic:spPr>
                </pic:pic>
              </a:graphicData>
            </a:graphic>
          </wp:anchor>
        </w:drawing>
      </w:r>
    </w:p>
    <w:p>
      <w:pPr>
        <w:spacing w:after="0" w:line="112" w:lineRule="exact"/>
        <w:rPr>
          <w:sz w:val="20"/>
          <w:szCs w:val="20"/>
          <w:color w:val="auto"/>
        </w:rPr>
      </w:pPr>
    </w:p>
    <w:tbl>
      <w:tblPr>
        <w:tblLayout w:type="fixed"/>
        <w:tblInd w:w="84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Arial" w:cs="Arial" w:eastAsia="Arial" w:hAnsi="Arial"/>
                <w:sz w:val="12"/>
                <w:szCs w:val="12"/>
                <w:b w:val="1"/>
                <w:bCs w:val="1"/>
                <w:color w:val="auto"/>
              </w:rPr>
              <w:t>LAUREN B. PETERS</w:t>
            </w:r>
            <w:r>
              <w:rPr>
                <w:rFonts w:ascii="Arial" w:cs="Arial" w:eastAsia="Arial" w:hAnsi="Arial"/>
                <w:sz w:val="19"/>
                <w:szCs w:val="19"/>
                <w:b w:val="1"/>
                <w:bCs w:val="1"/>
                <w:color w:val="auto"/>
                <w:vertAlign w:val="superscript"/>
              </w:rPr>
              <w:t>(4)</w:t>
            </w:r>
          </w:p>
        </w:tc>
        <w:tc>
          <w:tcPr>
            <w:tcW w:w="2020" w:type="dxa"/>
            <w:vAlign w:val="bottom"/>
          </w:tcPr>
          <w:p>
            <w:pPr>
              <w:ind w:left="440"/>
              <w:spacing w:after="0"/>
              <w:rPr>
                <w:sz w:val="20"/>
                <w:szCs w:val="20"/>
                <w:color w:val="auto"/>
              </w:rPr>
            </w:pPr>
            <w:r>
              <w:rPr>
                <w:rFonts w:ascii="Arial" w:cs="Arial" w:eastAsia="Arial" w:hAnsi="Arial"/>
                <w:sz w:val="12"/>
                <w:szCs w:val="12"/>
                <w:b w:val="1"/>
                <w:bCs w:val="1"/>
                <w:color w:val="auto"/>
              </w:rPr>
              <w:t>VIJAY TALWAR</w:t>
            </w:r>
            <w:r>
              <w:rPr>
                <w:rFonts w:ascii="Arial" w:cs="Arial" w:eastAsia="Arial" w:hAnsi="Arial"/>
                <w:sz w:val="19"/>
                <w:szCs w:val="19"/>
                <w:b w:val="1"/>
                <w:bCs w:val="1"/>
                <w:color w:val="auto"/>
                <w:vertAlign w:val="superscript"/>
              </w:rPr>
              <w:t>(5)</w:t>
            </w:r>
          </w:p>
        </w:tc>
      </w:tr>
      <w:tr>
        <w:trPr>
          <w:trHeight w:val="147"/>
        </w:trPr>
        <w:tc>
          <w:tcPr>
            <w:tcW w:w="2000" w:type="dxa"/>
            <w:vAlign w:val="bottom"/>
          </w:tcPr>
          <w:p>
            <w:pPr>
              <w:spacing w:after="0"/>
              <w:rPr>
                <w:sz w:val="20"/>
                <w:szCs w:val="20"/>
                <w:color w:val="auto"/>
              </w:rPr>
            </w:pPr>
            <w:r>
              <w:rPr>
                <w:rFonts w:ascii="Arial" w:cs="Arial" w:eastAsia="Arial" w:hAnsi="Arial"/>
                <w:sz w:val="10"/>
                <w:szCs w:val="10"/>
                <w:color w:val="auto"/>
              </w:rPr>
              <w:t>Former Executive Vice President and</w:t>
            </w:r>
          </w:p>
        </w:tc>
        <w:tc>
          <w:tcPr>
            <w:tcW w:w="2020" w:type="dxa"/>
            <w:vAlign w:val="bottom"/>
          </w:tcPr>
          <w:p>
            <w:pPr>
              <w:ind w:left="440"/>
              <w:spacing w:after="0"/>
              <w:rPr>
                <w:sz w:val="20"/>
                <w:szCs w:val="20"/>
                <w:color w:val="auto"/>
              </w:rPr>
            </w:pPr>
            <w:r>
              <w:rPr>
                <w:rFonts w:ascii="Arial" w:cs="Arial" w:eastAsia="Arial" w:hAnsi="Arial"/>
                <w:sz w:val="10"/>
                <w:szCs w:val="10"/>
                <w:color w:val="auto"/>
                <w:w w:val="94"/>
              </w:rPr>
              <w:t>Former Executive Vice President and</w:t>
            </w:r>
          </w:p>
        </w:tc>
      </w:tr>
      <w:tr>
        <w:trPr>
          <w:trHeight w:val="125"/>
        </w:trPr>
        <w:tc>
          <w:tcPr>
            <w:tcW w:w="2000" w:type="dxa"/>
            <w:vAlign w:val="bottom"/>
          </w:tcPr>
          <w:p>
            <w:pPr>
              <w:spacing w:after="0"/>
              <w:rPr>
                <w:sz w:val="20"/>
                <w:szCs w:val="20"/>
                <w:color w:val="auto"/>
              </w:rPr>
            </w:pPr>
            <w:r>
              <w:rPr>
                <w:rFonts w:ascii="Arial" w:cs="Arial" w:eastAsia="Arial" w:hAnsi="Arial"/>
                <w:sz w:val="10"/>
                <w:szCs w:val="10"/>
                <w:color w:val="auto"/>
              </w:rPr>
              <w:t>Chief Financial Officer</w:t>
            </w:r>
          </w:p>
        </w:tc>
        <w:tc>
          <w:tcPr>
            <w:tcW w:w="2020" w:type="dxa"/>
            <w:vAlign w:val="bottom"/>
          </w:tcPr>
          <w:p>
            <w:pPr>
              <w:ind w:left="440"/>
              <w:spacing w:after="0"/>
              <w:rPr>
                <w:sz w:val="20"/>
                <w:szCs w:val="20"/>
                <w:color w:val="auto"/>
              </w:rPr>
            </w:pPr>
            <w:r>
              <w:rPr>
                <w:rFonts w:ascii="Arial" w:cs="Arial" w:eastAsia="Arial" w:hAnsi="Arial"/>
                <w:sz w:val="10"/>
                <w:szCs w:val="10"/>
                <w:color w:val="auto"/>
              </w:rPr>
              <w:t>Chief Executive Officer─EMEA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83820</wp:posOffset>
            </wp:positionV>
            <wp:extent cx="298323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83230" cy="5715"/>
                    </a:xfrm>
                    <a:prstGeom prst="rect">
                      <a:avLst/>
                    </a:prstGeom>
                    <a:noFill/>
                  </pic:spPr>
                </pic:pic>
              </a:graphicData>
            </a:graphic>
          </wp:anchor>
        </w:drawing>
      </w:r>
    </w:p>
    <w:p>
      <w:pPr>
        <w:spacing w:after="0" w:line="224" w:lineRule="exact"/>
        <w:rPr>
          <w:sz w:val="20"/>
          <w:szCs w:val="20"/>
          <w:color w:val="auto"/>
        </w:rPr>
      </w:pPr>
    </w:p>
    <w:p>
      <w:pPr>
        <w:ind w:left="1040" w:right="20" w:hanging="208"/>
        <w:spacing w:after="0" w:line="186" w:lineRule="auto"/>
        <w:tabs>
          <w:tab w:leader="none" w:pos="1040" w:val="left"/>
        </w:tabs>
        <w:numPr>
          <w:ilvl w:val="0"/>
          <w:numId w:val="74"/>
        </w:numPr>
        <w:rPr>
          <w:rFonts w:ascii="Arial" w:cs="Arial" w:eastAsia="Arial" w:hAnsi="Arial"/>
          <w:sz w:val="16"/>
          <w:szCs w:val="16"/>
          <w:color w:val="auto"/>
          <w:vertAlign w:val="superscript"/>
        </w:rPr>
      </w:pPr>
      <w:r>
        <w:rPr>
          <w:rFonts w:ascii="Arial" w:cs="Arial" w:eastAsia="Arial" w:hAnsi="Arial"/>
          <w:sz w:val="10"/>
          <w:szCs w:val="10"/>
          <w:color w:val="auto"/>
        </w:rPr>
        <w:t>Ms. Peters served as Executive Vice President and Chief Financial Officer until April 12, 2021, and retired from the Company on May 1, 2021.</w:t>
      </w:r>
    </w:p>
    <w:p>
      <w:pPr>
        <w:spacing w:after="0" w:line="29" w:lineRule="exact"/>
        <w:rPr>
          <w:rFonts w:ascii="Arial" w:cs="Arial" w:eastAsia="Arial" w:hAnsi="Arial"/>
          <w:sz w:val="16"/>
          <w:szCs w:val="16"/>
          <w:color w:val="auto"/>
          <w:vertAlign w:val="superscript"/>
        </w:rPr>
      </w:pPr>
    </w:p>
    <w:p>
      <w:pPr>
        <w:ind w:left="1040" w:right="120" w:hanging="208"/>
        <w:spacing w:after="0" w:line="186" w:lineRule="auto"/>
        <w:tabs>
          <w:tab w:leader="none" w:pos="1040" w:val="left"/>
        </w:tabs>
        <w:numPr>
          <w:ilvl w:val="0"/>
          <w:numId w:val="74"/>
        </w:numPr>
        <w:rPr>
          <w:rFonts w:ascii="Arial" w:cs="Arial" w:eastAsia="Arial" w:hAnsi="Arial"/>
          <w:sz w:val="16"/>
          <w:szCs w:val="16"/>
          <w:color w:val="auto"/>
          <w:vertAlign w:val="superscript"/>
        </w:rPr>
      </w:pPr>
      <w:r>
        <w:rPr>
          <w:rFonts w:ascii="Arial" w:cs="Arial" w:eastAsia="Arial" w:hAnsi="Arial"/>
          <w:sz w:val="10"/>
          <w:szCs w:val="10"/>
          <w:color w:val="auto"/>
        </w:rPr>
        <w:t>Mr. Talwar served as Executive Vice President and Chief Executive Officer—EMEA until November 17, 2021, and departed from the Company on December 16, 2021.</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auto"/>
        </w:rPr>
        <w:t>TABLE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-204470</wp:posOffset>
            </wp:positionV>
            <wp:extent cx="1583055" cy="3571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83055" cy="3571875"/>
                    </a:xfrm>
                    <a:prstGeom prst="rect">
                      <a:avLst/>
                    </a:prstGeom>
                    <a:noFill/>
                  </pic:spPr>
                </pic:pic>
              </a:graphicData>
            </a:graphic>
          </wp:anchor>
        </w:drawing>
      </w:r>
    </w:p>
    <w:p>
      <w:pPr>
        <w:spacing w:after="0" w:line="7"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auto"/>
        </w:rPr>
        <w:t>CONTENTS</w:t>
      </w:r>
    </w:p>
    <w:p>
      <w:pPr>
        <w:spacing w:after="0" w:line="94" w:lineRule="exact"/>
        <w:rPr>
          <w:sz w:val="20"/>
          <w:szCs w:val="20"/>
          <w:color w:val="auto"/>
        </w:rPr>
      </w:pPr>
    </w:p>
    <w:p>
      <w:pPr>
        <w:ind w:left="246" w:hanging="246"/>
        <w:spacing w:after="0"/>
        <w:tabs>
          <w:tab w:leader="none" w:pos="246" w:val="left"/>
        </w:tabs>
        <w:numPr>
          <w:ilvl w:val="0"/>
          <w:numId w:val="75"/>
        </w:numPr>
        <w:rPr>
          <w:rFonts w:ascii="Arial" w:cs="Arial" w:eastAsia="Arial" w:hAnsi="Arial"/>
          <w:sz w:val="11"/>
          <w:szCs w:val="11"/>
          <w:b w:val="1"/>
          <w:bCs w:val="1"/>
          <w:color w:val="E31F26"/>
        </w:rPr>
      </w:pPr>
      <w:hyperlink w:anchor="page57">
        <w:r>
          <w:rPr>
            <w:rFonts w:ascii="Arial" w:cs="Arial" w:eastAsia="Arial" w:hAnsi="Arial"/>
            <w:sz w:val="11"/>
            <w:szCs w:val="11"/>
            <w:b w:val="1"/>
            <w:bCs w:val="1"/>
            <w:color w:val="E31F26"/>
          </w:rPr>
          <w:t>Fiscal 2021 Highlights</w:t>
        </w:r>
      </w:hyperlink>
    </w:p>
    <w:p>
      <w:pPr>
        <w:spacing w:after="0" w:line="9" w:lineRule="exact"/>
        <w:rPr>
          <w:rFonts w:ascii="Arial" w:cs="Arial" w:eastAsia="Arial" w:hAnsi="Arial"/>
          <w:sz w:val="11"/>
          <w:szCs w:val="11"/>
          <w:b w:val="1"/>
          <w:bCs w:val="1"/>
          <w:color w:val="E31F26"/>
        </w:rPr>
      </w:pPr>
    </w:p>
    <w:p>
      <w:pPr>
        <w:ind w:left="246" w:hanging="246"/>
        <w:spacing w:after="0"/>
        <w:tabs>
          <w:tab w:leader="none" w:pos="246" w:val="left"/>
        </w:tabs>
        <w:numPr>
          <w:ilvl w:val="0"/>
          <w:numId w:val="76"/>
        </w:numPr>
        <w:rPr>
          <w:rFonts w:ascii="Arial" w:cs="Arial" w:eastAsia="Arial" w:hAnsi="Arial"/>
          <w:sz w:val="11"/>
          <w:szCs w:val="11"/>
          <w:color w:val="auto"/>
        </w:rPr>
      </w:pPr>
      <w:hyperlink w:anchor="page57">
        <w:r>
          <w:rPr>
            <w:rFonts w:ascii="Arial" w:cs="Arial" w:eastAsia="Arial" w:hAnsi="Arial"/>
            <w:sz w:val="11"/>
            <w:szCs w:val="11"/>
            <w:color w:val="auto"/>
          </w:rPr>
          <w:t>Financial Performance</w:t>
        </w:r>
      </w:hyperlink>
    </w:p>
    <w:p>
      <w:pPr>
        <w:ind w:left="246" w:hanging="246"/>
        <w:spacing w:after="0"/>
        <w:tabs>
          <w:tab w:leader="none" w:pos="246" w:val="left"/>
        </w:tabs>
        <w:numPr>
          <w:ilvl w:val="0"/>
          <w:numId w:val="77"/>
        </w:numPr>
        <w:rPr>
          <w:rFonts w:ascii="Arial" w:cs="Arial" w:eastAsia="Arial" w:hAnsi="Arial"/>
          <w:sz w:val="11"/>
          <w:szCs w:val="11"/>
          <w:color w:val="auto"/>
        </w:rPr>
      </w:pPr>
      <w:hyperlink w:anchor="page57">
        <w:r>
          <w:rPr>
            <w:rFonts w:ascii="Arial" w:cs="Arial" w:eastAsia="Arial" w:hAnsi="Arial"/>
            <w:sz w:val="11"/>
            <w:szCs w:val="11"/>
            <w:color w:val="auto"/>
          </w:rPr>
          <w:t>Leadership Appointments</w:t>
        </w:r>
      </w:hyperlink>
    </w:p>
    <w:p>
      <w:pPr>
        <w:ind w:left="246" w:hanging="246"/>
        <w:spacing w:after="0"/>
        <w:tabs>
          <w:tab w:leader="none" w:pos="246" w:val="left"/>
        </w:tabs>
        <w:numPr>
          <w:ilvl w:val="0"/>
          <w:numId w:val="77"/>
        </w:numPr>
        <w:rPr>
          <w:rFonts w:ascii="Arial" w:cs="Arial" w:eastAsia="Arial" w:hAnsi="Arial"/>
          <w:sz w:val="11"/>
          <w:szCs w:val="11"/>
          <w:color w:val="auto"/>
        </w:rPr>
      </w:pPr>
      <w:hyperlink w:anchor="page58">
        <w:r>
          <w:rPr>
            <w:rFonts w:ascii="Arial" w:cs="Arial" w:eastAsia="Arial" w:hAnsi="Arial"/>
            <w:sz w:val="11"/>
            <w:szCs w:val="11"/>
            <w:color w:val="auto"/>
          </w:rPr>
          <w:t>Say-on-Pay Shareholder Vote</w:t>
        </w:r>
      </w:hyperlink>
    </w:p>
    <w:p>
      <w:pPr>
        <w:spacing w:after="0" w:line="125" w:lineRule="exact"/>
        <w:rPr>
          <w:rFonts w:ascii="Arial" w:cs="Arial" w:eastAsia="Arial" w:hAnsi="Arial"/>
          <w:sz w:val="11"/>
          <w:szCs w:val="11"/>
          <w:color w:val="auto"/>
        </w:rPr>
      </w:pPr>
    </w:p>
    <w:p>
      <w:pPr>
        <w:ind w:left="246" w:right="1179" w:hanging="246"/>
        <w:spacing w:after="0" w:line="248" w:lineRule="auto"/>
        <w:tabs>
          <w:tab w:leader="none" w:pos="246" w:val="left"/>
        </w:tabs>
        <w:numPr>
          <w:ilvl w:val="0"/>
          <w:numId w:val="78"/>
        </w:numPr>
        <w:rPr>
          <w:rFonts w:ascii="Arial" w:cs="Arial" w:eastAsia="Arial" w:hAnsi="Arial"/>
          <w:sz w:val="11"/>
          <w:szCs w:val="11"/>
          <w:b w:val="1"/>
          <w:bCs w:val="1"/>
          <w:color w:val="E31F26"/>
        </w:rPr>
      </w:pPr>
      <w:hyperlink w:anchor="page58">
        <w:r>
          <w:rPr>
            <w:rFonts w:ascii="Arial" w:cs="Arial" w:eastAsia="Arial" w:hAnsi="Arial"/>
            <w:sz w:val="11"/>
            <w:szCs w:val="11"/>
            <w:b w:val="1"/>
            <w:bCs w:val="1"/>
            <w:color w:val="E31F26"/>
          </w:rPr>
          <w:t>Compensation Program Design and</w:t>
        </w:r>
      </w:hyperlink>
      <w:r>
        <w:rPr>
          <w:rFonts w:ascii="Arial" w:cs="Arial" w:eastAsia="Arial" w:hAnsi="Arial"/>
          <w:sz w:val="11"/>
          <w:szCs w:val="11"/>
          <w:b w:val="1"/>
          <w:bCs w:val="1"/>
          <w:color w:val="E31F26"/>
        </w:rPr>
        <w:t xml:space="preserve"> </w:t>
      </w:r>
      <w:hyperlink w:anchor="page58">
        <w:r>
          <w:rPr>
            <w:rFonts w:ascii="Arial" w:cs="Arial" w:eastAsia="Arial" w:hAnsi="Arial"/>
            <w:sz w:val="11"/>
            <w:szCs w:val="11"/>
            <w:b w:val="1"/>
            <w:bCs w:val="1"/>
            <w:color w:val="E31F26"/>
          </w:rPr>
          <w:t>Structure</w:t>
        </w:r>
      </w:hyperlink>
    </w:p>
    <w:p>
      <w:pPr>
        <w:ind w:left="6"/>
        <w:spacing w:after="0"/>
        <w:tabs>
          <w:tab w:leader="none" w:pos="225" w:val="left"/>
        </w:tabs>
        <w:rPr>
          <w:rFonts w:ascii="Arial" w:cs="Arial" w:eastAsia="Arial" w:hAnsi="Arial"/>
          <w:sz w:val="11"/>
          <w:szCs w:val="11"/>
          <w:color w:val="auto"/>
        </w:rPr>
      </w:pPr>
      <w:r>
        <w:rPr>
          <w:rFonts w:ascii="Arial" w:cs="Arial" w:eastAsia="Arial" w:hAnsi="Arial"/>
          <w:sz w:val="11"/>
          <w:szCs w:val="11"/>
          <w:color w:val="auto"/>
        </w:rPr>
        <w:t>52</w:t>
        <w:tab/>
      </w:r>
      <w:hyperlink w:anchor="page58">
        <w:r>
          <w:rPr>
            <w:rFonts w:ascii="Arial" w:cs="Arial" w:eastAsia="Arial" w:hAnsi="Arial"/>
            <w:sz w:val="11"/>
            <w:szCs w:val="11"/>
            <w:color w:val="auto"/>
          </w:rPr>
          <w:t>Pay-for-Performance</w:t>
        </w:r>
      </w:hyperlink>
    </w:p>
    <w:p>
      <w:pPr>
        <w:ind w:left="246" w:right="1059" w:hanging="246"/>
        <w:spacing w:after="0" w:line="239" w:lineRule="auto"/>
        <w:tabs>
          <w:tab w:leader="none" w:pos="246" w:val="left"/>
        </w:tabs>
        <w:numPr>
          <w:ilvl w:val="0"/>
          <w:numId w:val="79"/>
        </w:numPr>
        <w:rPr>
          <w:rFonts w:ascii="Arial" w:cs="Arial" w:eastAsia="Arial" w:hAnsi="Arial"/>
          <w:sz w:val="11"/>
          <w:szCs w:val="11"/>
          <w:color w:val="auto"/>
        </w:rPr>
      </w:pPr>
      <w:hyperlink w:anchor="page60">
        <w:r>
          <w:rPr>
            <w:rFonts w:ascii="Arial" w:cs="Arial" w:eastAsia="Arial" w:hAnsi="Arial"/>
            <w:sz w:val="11"/>
            <w:szCs w:val="11"/>
            <w:color w:val="auto"/>
          </w:rPr>
          <w:t>Components of Executive Compensation</w:t>
        </w:r>
      </w:hyperlink>
      <w:r>
        <w:rPr>
          <w:rFonts w:ascii="Arial" w:cs="Arial" w:eastAsia="Arial" w:hAnsi="Arial"/>
          <w:sz w:val="11"/>
          <w:szCs w:val="11"/>
          <w:color w:val="auto"/>
        </w:rPr>
        <w:t xml:space="preserve"> </w:t>
      </w:r>
      <w:hyperlink w:anchor="page60">
        <w:r>
          <w:rPr>
            <w:rFonts w:ascii="Arial" w:cs="Arial" w:eastAsia="Arial" w:hAnsi="Arial"/>
            <w:sz w:val="11"/>
            <w:szCs w:val="11"/>
            <w:color w:val="auto"/>
          </w:rPr>
          <w:t>Program</w:t>
        </w:r>
      </w:hyperlink>
    </w:p>
    <w:p>
      <w:pPr>
        <w:ind w:left="246" w:hanging="246"/>
        <w:spacing w:after="0"/>
        <w:tabs>
          <w:tab w:leader="none" w:pos="246" w:val="left"/>
        </w:tabs>
        <w:numPr>
          <w:ilvl w:val="0"/>
          <w:numId w:val="79"/>
        </w:numPr>
        <w:rPr>
          <w:rFonts w:ascii="Arial" w:cs="Arial" w:eastAsia="Arial" w:hAnsi="Arial"/>
          <w:sz w:val="11"/>
          <w:szCs w:val="11"/>
          <w:color w:val="auto"/>
        </w:rPr>
      </w:pPr>
      <w:hyperlink w:anchor="page61">
        <w:r>
          <w:rPr>
            <w:rFonts w:ascii="Arial" w:cs="Arial" w:eastAsia="Arial" w:hAnsi="Arial"/>
            <w:sz w:val="11"/>
            <w:szCs w:val="11"/>
            <w:color w:val="auto"/>
          </w:rPr>
          <w:t>Base Salary</w:t>
        </w:r>
      </w:hyperlink>
    </w:p>
    <w:p>
      <w:pPr>
        <w:ind w:left="246" w:hanging="246"/>
        <w:spacing w:after="0"/>
        <w:tabs>
          <w:tab w:leader="none" w:pos="246" w:val="left"/>
        </w:tabs>
        <w:numPr>
          <w:ilvl w:val="0"/>
          <w:numId w:val="79"/>
        </w:numPr>
        <w:rPr>
          <w:rFonts w:ascii="Arial" w:cs="Arial" w:eastAsia="Arial" w:hAnsi="Arial"/>
          <w:sz w:val="11"/>
          <w:szCs w:val="11"/>
          <w:color w:val="auto"/>
        </w:rPr>
      </w:pPr>
      <w:hyperlink w:anchor="page62">
        <w:r>
          <w:rPr>
            <w:rFonts w:ascii="Arial" w:cs="Arial" w:eastAsia="Arial" w:hAnsi="Arial"/>
            <w:sz w:val="11"/>
            <w:szCs w:val="11"/>
            <w:color w:val="auto"/>
          </w:rPr>
          <w:t>Annual Incentive Plan</w:t>
        </w:r>
      </w:hyperlink>
    </w:p>
    <w:p>
      <w:pPr>
        <w:ind w:left="6"/>
        <w:spacing w:after="0"/>
        <w:tabs>
          <w:tab w:leader="none" w:pos="225" w:val="left"/>
        </w:tabs>
        <w:rPr>
          <w:rFonts w:ascii="Arial" w:cs="Arial" w:eastAsia="Arial" w:hAnsi="Arial"/>
          <w:sz w:val="11"/>
          <w:szCs w:val="11"/>
          <w:color w:val="auto"/>
        </w:rPr>
      </w:pPr>
      <w:r>
        <w:rPr>
          <w:rFonts w:ascii="Arial" w:cs="Arial" w:eastAsia="Arial" w:hAnsi="Arial"/>
          <w:sz w:val="11"/>
          <w:szCs w:val="11"/>
          <w:color w:val="auto"/>
        </w:rPr>
        <w:t>59</w:t>
        <w:tab/>
      </w:r>
      <w:hyperlink w:anchor="page65">
        <w:r>
          <w:rPr>
            <w:rFonts w:ascii="Arial" w:cs="Arial" w:eastAsia="Arial" w:hAnsi="Arial"/>
            <w:sz w:val="11"/>
            <w:szCs w:val="11"/>
            <w:color w:val="auto"/>
          </w:rPr>
          <w:t>LTI Awards</w:t>
        </w:r>
      </w:hyperlink>
    </w:p>
    <w:p>
      <w:pPr>
        <w:ind w:left="246" w:hanging="246"/>
        <w:spacing w:after="0"/>
        <w:tabs>
          <w:tab w:leader="none" w:pos="246" w:val="left"/>
        </w:tabs>
        <w:numPr>
          <w:ilvl w:val="0"/>
          <w:numId w:val="80"/>
        </w:numPr>
        <w:rPr>
          <w:rFonts w:ascii="Arial" w:cs="Arial" w:eastAsia="Arial" w:hAnsi="Arial"/>
          <w:sz w:val="11"/>
          <w:szCs w:val="11"/>
          <w:color w:val="auto"/>
        </w:rPr>
      </w:pPr>
      <w:hyperlink w:anchor="page69">
        <w:r>
          <w:rPr>
            <w:rFonts w:ascii="Arial" w:cs="Arial" w:eastAsia="Arial" w:hAnsi="Arial"/>
            <w:sz w:val="11"/>
            <w:szCs w:val="11"/>
            <w:color w:val="auto"/>
          </w:rPr>
          <w:t>Retirement Plan and Excess Cash Plan</w:t>
        </w:r>
      </w:hyperlink>
    </w:p>
    <w:p>
      <w:pPr>
        <w:ind w:left="246" w:hanging="246"/>
        <w:spacing w:after="0"/>
        <w:tabs>
          <w:tab w:leader="none" w:pos="246" w:val="left"/>
        </w:tabs>
        <w:numPr>
          <w:ilvl w:val="0"/>
          <w:numId w:val="81"/>
        </w:numPr>
        <w:rPr>
          <w:rFonts w:ascii="Arial" w:cs="Arial" w:eastAsia="Arial" w:hAnsi="Arial"/>
          <w:sz w:val="11"/>
          <w:szCs w:val="11"/>
          <w:color w:val="auto"/>
        </w:rPr>
      </w:pPr>
      <w:hyperlink w:anchor="page69">
        <w:r>
          <w:rPr>
            <w:rFonts w:ascii="Arial" w:cs="Arial" w:eastAsia="Arial" w:hAnsi="Arial"/>
            <w:sz w:val="11"/>
            <w:szCs w:val="11"/>
            <w:color w:val="auto"/>
          </w:rPr>
          <w:t>401(k) Plan and Excess Savings Plan</w:t>
        </w:r>
      </w:hyperlink>
    </w:p>
    <w:p>
      <w:pPr>
        <w:ind w:left="246" w:hanging="246"/>
        <w:spacing w:after="0"/>
        <w:tabs>
          <w:tab w:leader="none" w:pos="246" w:val="left"/>
        </w:tabs>
        <w:numPr>
          <w:ilvl w:val="0"/>
          <w:numId w:val="82"/>
        </w:numPr>
        <w:rPr>
          <w:rFonts w:ascii="Arial" w:cs="Arial" w:eastAsia="Arial" w:hAnsi="Arial"/>
          <w:sz w:val="11"/>
          <w:szCs w:val="11"/>
          <w:color w:val="auto"/>
        </w:rPr>
      </w:pPr>
      <w:hyperlink w:anchor="page69">
        <w:r>
          <w:rPr>
            <w:rFonts w:ascii="Arial" w:cs="Arial" w:eastAsia="Arial" w:hAnsi="Arial"/>
            <w:sz w:val="11"/>
            <w:szCs w:val="11"/>
            <w:color w:val="auto"/>
          </w:rPr>
          <w:t>Supplemental Executive Retirement Plan</w:t>
        </w:r>
      </w:hyperlink>
    </w:p>
    <w:p>
      <w:pPr>
        <w:ind w:left="246" w:hanging="246"/>
        <w:spacing w:after="0"/>
        <w:tabs>
          <w:tab w:leader="none" w:pos="246" w:val="left"/>
        </w:tabs>
        <w:numPr>
          <w:ilvl w:val="0"/>
          <w:numId w:val="83"/>
        </w:numPr>
        <w:rPr>
          <w:rFonts w:ascii="Arial" w:cs="Arial" w:eastAsia="Arial" w:hAnsi="Arial"/>
          <w:sz w:val="11"/>
          <w:szCs w:val="11"/>
          <w:color w:val="auto"/>
        </w:rPr>
      </w:pPr>
      <w:hyperlink w:anchor="page69">
        <w:r>
          <w:rPr>
            <w:rFonts w:ascii="Arial" w:cs="Arial" w:eastAsia="Arial" w:hAnsi="Arial"/>
            <w:sz w:val="11"/>
            <w:szCs w:val="11"/>
            <w:color w:val="auto"/>
          </w:rPr>
          <w:t>International Assignment Compensation</w:t>
        </w:r>
      </w:hyperlink>
    </w:p>
    <w:p>
      <w:pPr>
        <w:ind w:left="246" w:hanging="246"/>
        <w:spacing w:after="0"/>
        <w:tabs>
          <w:tab w:leader="none" w:pos="246" w:val="left"/>
        </w:tabs>
        <w:numPr>
          <w:ilvl w:val="0"/>
          <w:numId w:val="83"/>
        </w:numPr>
        <w:rPr>
          <w:rFonts w:ascii="Arial" w:cs="Arial" w:eastAsia="Arial" w:hAnsi="Arial"/>
          <w:sz w:val="11"/>
          <w:szCs w:val="11"/>
          <w:color w:val="auto"/>
        </w:rPr>
      </w:pPr>
      <w:hyperlink w:anchor="page70">
        <w:r>
          <w:rPr>
            <w:rFonts w:ascii="Arial" w:cs="Arial" w:eastAsia="Arial" w:hAnsi="Arial"/>
            <w:sz w:val="11"/>
            <w:szCs w:val="11"/>
            <w:color w:val="auto"/>
          </w:rPr>
          <w:t>Perquisites</w:t>
        </w:r>
      </w:hyperlink>
    </w:p>
    <w:p>
      <w:pPr>
        <w:ind w:left="246" w:right="1299" w:hanging="246"/>
        <w:spacing w:after="0" w:line="249" w:lineRule="auto"/>
        <w:tabs>
          <w:tab w:leader="none" w:pos="246" w:val="left"/>
        </w:tabs>
        <w:numPr>
          <w:ilvl w:val="0"/>
          <w:numId w:val="84"/>
        </w:numPr>
        <w:rPr>
          <w:rFonts w:ascii="Arial" w:cs="Arial" w:eastAsia="Arial" w:hAnsi="Arial"/>
          <w:sz w:val="11"/>
          <w:szCs w:val="11"/>
          <w:color w:val="auto"/>
        </w:rPr>
      </w:pPr>
      <w:hyperlink w:anchor="page70">
        <w:r>
          <w:rPr>
            <w:rFonts w:ascii="Arial" w:cs="Arial" w:eastAsia="Arial" w:hAnsi="Arial"/>
            <w:sz w:val="11"/>
            <w:szCs w:val="11"/>
            <w:color w:val="auto"/>
          </w:rPr>
          <w:t>Employment Agreements and Other</w:t>
        </w:r>
      </w:hyperlink>
      <w:r>
        <w:rPr>
          <w:rFonts w:ascii="Arial" w:cs="Arial" w:eastAsia="Arial" w:hAnsi="Arial"/>
          <w:sz w:val="11"/>
          <w:szCs w:val="11"/>
          <w:color w:val="auto"/>
        </w:rPr>
        <w:t xml:space="preserve"> </w:t>
      </w:r>
      <w:hyperlink w:anchor="page70">
        <w:r>
          <w:rPr>
            <w:rFonts w:ascii="Arial" w:cs="Arial" w:eastAsia="Arial" w:hAnsi="Arial"/>
            <w:sz w:val="11"/>
            <w:szCs w:val="11"/>
            <w:color w:val="auto"/>
          </w:rPr>
          <w:t>Arrangements</w:t>
        </w:r>
      </w:hyperlink>
    </w:p>
    <w:p>
      <w:pPr>
        <w:spacing w:after="0" w:line="115" w:lineRule="exact"/>
        <w:rPr>
          <w:rFonts w:ascii="Arial" w:cs="Arial" w:eastAsia="Arial" w:hAnsi="Arial"/>
          <w:sz w:val="11"/>
          <w:szCs w:val="11"/>
          <w:color w:val="auto"/>
        </w:rPr>
      </w:pPr>
    </w:p>
    <w:p>
      <w:pPr>
        <w:ind w:left="246" w:right="1599" w:hanging="246"/>
        <w:spacing w:after="0" w:line="273" w:lineRule="auto"/>
        <w:tabs>
          <w:tab w:leader="none" w:pos="246" w:val="left"/>
        </w:tabs>
        <w:numPr>
          <w:ilvl w:val="0"/>
          <w:numId w:val="85"/>
        </w:numPr>
        <w:rPr>
          <w:rFonts w:ascii="Arial" w:cs="Arial" w:eastAsia="Arial" w:hAnsi="Arial"/>
          <w:sz w:val="10"/>
          <w:szCs w:val="10"/>
          <w:b w:val="1"/>
          <w:bCs w:val="1"/>
          <w:color w:val="E31F26"/>
        </w:rPr>
      </w:pPr>
      <w:hyperlink w:anchor="page70">
        <w:r>
          <w:rPr>
            <w:rFonts w:ascii="Arial" w:cs="Arial" w:eastAsia="Arial" w:hAnsi="Arial"/>
            <w:sz w:val="10"/>
            <w:szCs w:val="10"/>
            <w:b w:val="1"/>
            <w:bCs w:val="1"/>
            <w:color w:val="E31F26"/>
          </w:rPr>
          <w:t>Procedures for Determining</w:t>
        </w:r>
      </w:hyperlink>
      <w:r>
        <w:rPr>
          <w:rFonts w:ascii="Arial" w:cs="Arial" w:eastAsia="Arial" w:hAnsi="Arial"/>
          <w:sz w:val="10"/>
          <w:szCs w:val="10"/>
          <w:b w:val="1"/>
          <w:bCs w:val="1"/>
          <w:color w:val="E31F26"/>
        </w:rPr>
        <w:t xml:space="preserve"> </w:t>
      </w:r>
      <w:hyperlink w:anchor="page70">
        <w:r>
          <w:rPr>
            <w:rFonts w:ascii="Arial" w:cs="Arial" w:eastAsia="Arial" w:hAnsi="Arial"/>
            <w:sz w:val="10"/>
            <w:szCs w:val="10"/>
            <w:b w:val="1"/>
            <w:bCs w:val="1"/>
            <w:color w:val="E31F26"/>
          </w:rPr>
          <w:t>Compensation</w:t>
        </w:r>
      </w:hyperlink>
    </w:p>
    <w:p>
      <w:pPr>
        <w:ind w:left="246" w:right="979" w:hanging="246"/>
        <w:spacing w:after="0" w:line="239" w:lineRule="auto"/>
        <w:tabs>
          <w:tab w:leader="none" w:pos="246" w:val="left"/>
        </w:tabs>
        <w:numPr>
          <w:ilvl w:val="0"/>
          <w:numId w:val="86"/>
        </w:numPr>
        <w:rPr>
          <w:rFonts w:ascii="Arial" w:cs="Arial" w:eastAsia="Arial" w:hAnsi="Arial"/>
          <w:sz w:val="11"/>
          <w:szCs w:val="11"/>
          <w:color w:val="auto"/>
        </w:rPr>
      </w:pPr>
      <w:hyperlink w:anchor="page70">
        <w:r>
          <w:rPr>
            <w:rFonts w:ascii="Arial" w:cs="Arial" w:eastAsia="Arial" w:hAnsi="Arial"/>
            <w:sz w:val="11"/>
            <w:szCs w:val="11"/>
            <w:color w:val="auto"/>
          </w:rPr>
          <w:t>Setting Compensation, Establishing Goals,</w:t>
        </w:r>
      </w:hyperlink>
      <w:r>
        <w:rPr>
          <w:rFonts w:ascii="Arial" w:cs="Arial" w:eastAsia="Arial" w:hAnsi="Arial"/>
          <w:sz w:val="11"/>
          <w:szCs w:val="11"/>
          <w:color w:val="auto"/>
        </w:rPr>
        <w:t xml:space="preserve"> </w:t>
      </w:r>
      <w:hyperlink w:anchor="page70">
        <w:r>
          <w:rPr>
            <w:rFonts w:ascii="Arial" w:cs="Arial" w:eastAsia="Arial" w:hAnsi="Arial"/>
            <w:sz w:val="11"/>
            <w:szCs w:val="11"/>
            <w:color w:val="auto"/>
          </w:rPr>
          <w:t>and Evaluating Performance</w:t>
        </w:r>
      </w:hyperlink>
    </w:p>
    <w:p>
      <w:pPr>
        <w:ind w:left="246" w:hanging="246"/>
        <w:spacing w:after="0"/>
        <w:tabs>
          <w:tab w:leader="none" w:pos="246" w:val="left"/>
        </w:tabs>
        <w:numPr>
          <w:ilvl w:val="0"/>
          <w:numId w:val="86"/>
        </w:numPr>
        <w:rPr>
          <w:rFonts w:ascii="Arial" w:cs="Arial" w:eastAsia="Arial" w:hAnsi="Arial"/>
          <w:sz w:val="11"/>
          <w:szCs w:val="11"/>
          <w:color w:val="auto"/>
        </w:rPr>
      </w:pPr>
      <w:hyperlink w:anchor="page71">
        <w:r>
          <w:rPr>
            <w:rFonts w:ascii="Arial" w:cs="Arial" w:eastAsia="Arial" w:hAnsi="Arial"/>
            <w:sz w:val="11"/>
            <w:szCs w:val="11"/>
            <w:color w:val="auto"/>
          </w:rPr>
          <w:t>Benchmarking Approach</w:t>
        </w:r>
      </w:hyperlink>
    </w:p>
    <w:p>
      <w:pPr>
        <w:ind w:left="246" w:hanging="246"/>
        <w:spacing w:after="0"/>
        <w:tabs>
          <w:tab w:leader="none" w:pos="246" w:val="left"/>
        </w:tabs>
        <w:numPr>
          <w:ilvl w:val="0"/>
          <w:numId w:val="86"/>
        </w:numPr>
        <w:rPr>
          <w:rFonts w:ascii="Arial" w:cs="Arial" w:eastAsia="Arial" w:hAnsi="Arial"/>
          <w:sz w:val="11"/>
          <w:szCs w:val="11"/>
          <w:color w:val="auto"/>
        </w:rPr>
      </w:pPr>
      <w:hyperlink w:anchor="page72">
        <w:r>
          <w:rPr>
            <w:rFonts w:ascii="Arial" w:cs="Arial" w:eastAsia="Arial" w:hAnsi="Arial"/>
            <w:sz w:val="11"/>
            <w:szCs w:val="11"/>
            <w:color w:val="auto"/>
          </w:rPr>
          <w:t>Use of Compensation Consultants</w:t>
        </w:r>
      </w:hyperlink>
    </w:p>
    <w:p>
      <w:pPr>
        <w:ind w:left="246" w:right="1099" w:hanging="246"/>
        <w:spacing w:after="0" w:line="297" w:lineRule="auto"/>
        <w:tabs>
          <w:tab w:leader="none" w:pos="246" w:val="left"/>
        </w:tabs>
        <w:numPr>
          <w:ilvl w:val="0"/>
          <w:numId w:val="87"/>
        </w:numPr>
        <w:rPr>
          <w:rFonts w:ascii="Arial" w:cs="Arial" w:eastAsia="Arial" w:hAnsi="Arial"/>
          <w:sz w:val="10"/>
          <w:szCs w:val="10"/>
          <w:color w:val="auto"/>
        </w:rPr>
      </w:pPr>
      <w:hyperlink w:anchor="page72">
        <w:r>
          <w:rPr>
            <w:rFonts w:ascii="Arial" w:cs="Arial" w:eastAsia="Arial" w:hAnsi="Arial"/>
            <w:sz w:val="10"/>
            <w:szCs w:val="10"/>
            <w:color w:val="auto"/>
          </w:rPr>
          <w:t>Management Involvement in Developing</w:t>
        </w:r>
      </w:hyperlink>
      <w:r>
        <w:rPr>
          <w:rFonts w:ascii="Arial" w:cs="Arial" w:eastAsia="Arial" w:hAnsi="Arial"/>
          <w:sz w:val="10"/>
          <w:szCs w:val="10"/>
          <w:color w:val="auto"/>
        </w:rPr>
        <w:t xml:space="preserve"> </w:t>
      </w:r>
      <w:hyperlink w:anchor="page72">
        <w:r>
          <w:rPr>
            <w:rFonts w:ascii="Arial" w:cs="Arial" w:eastAsia="Arial" w:hAnsi="Arial"/>
            <w:sz w:val="10"/>
            <w:szCs w:val="10"/>
            <w:color w:val="auto"/>
          </w:rPr>
          <w:t>the Compensation Program</w:t>
        </w:r>
      </w:hyperlink>
    </w:p>
    <w:p>
      <w:pPr>
        <w:spacing w:after="0" w:line="92" w:lineRule="exact"/>
        <w:rPr>
          <w:rFonts w:ascii="Arial" w:cs="Arial" w:eastAsia="Arial" w:hAnsi="Arial"/>
          <w:sz w:val="10"/>
          <w:szCs w:val="10"/>
          <w:color w:val="auto"/>
        </w:rPr>
      </w:pPr>
    </w:p>
    <w:p>
      <w:pPr>
        <w:ind w:left="246" w:hanging="246"/>
        <w:spacing w:after="0"/>
        <w:tabs>
          <w:tab w:leader="none" w:pos="246" w:val="left"/>
        </w:tabs>
        <w:numPr>
          <w:ilvl w:val="0"/>
          <w:numId w:val="87"/>
        </w:numPr>
        <w:rPr>
          <w:rFonts w:ascii="Arial" w:cs="Arial" w:eastAsia="Arial" w:hAnsi="Arial"/>
          <w:sz w:val="11"/>
          <w:szCs w:val="11"/>
          <w:b w:val="1"/>
          <w:bCs w:val="1"/>
          <w:color w:val="E31F26"/>
        </w:rPr>
      </w:pPr>
      <w:hyperlink w:anchor="page73">
        <w:r>
          <w:rPr>
            <w:rFonts w:ascii="Arial" w:cs="Arial" w:eastAsia="Arial" w:hAnsi="Arial"/>
            <w:sz w:val="11"/>
            <w:szCs w:val="11"/>
            <w:b w:val="1"/>
            <w:bCs w:val="1"/>
            <w:color w:val="E31F26"/>
          </w:rPr>
          <w:t>Additional Information</w:t>
        </w:r>
      </w:hyperlink>
    </w:p>
    <w:p>
      <w:pPr>
        <w:spacing w:after="0" w:line="9" w:lineRule="exact"/>
        <w:rPr>
          <w:rFonts w:ascii="Arial" w:cs="Arial" w:eastAsia="Arial" w:hAnsi="Arial"/>
          <w:sz w:val="10"/>
          <w:szCs w:val="10"/>
          <w:color w:val="auto"/>
        </w:rPr>
      </w:pPr>
    </w:p>
    <w:p>
      <w:pPr>
        <w:ind w:left="246" w:hanging="246"/>
        <w:spacing w:after="0"/>
        <w:tabs>
          <w:tab w:leader="none" w:pos="246" w:val="left"/>
        </w:tabs>
        <w:numPr>
          <w:ilvl w:val="0"/>
          <w:numId w:val="88"/>
        </w:numPr>
        <w:rPr>
          <w:rFonts w:ascii="Arial" w:cs="Arial" w:eastAsia="Arial" w:hAnsi="Arial"/>
          <w:sz w:val="11"/>
          <w:szCs w:val="11"/>
          <w:color w:val="auto"/>
        </w:rPr>
      </w:pPr>
      <w:hyperlink w:anchor="page73">
        <w:r>
          <w:rPr>
            <w:rFonts w:ascii="Arial" w:cs="Arial" w:eastAsia="Arial" w:hAnsi="Arial"/>
            <w:sz w:val="11"/>
            <w:szCs w:val="11"/>
            <w:color w:val="auto"/>
          </w:rPr>
          <w:t>Key Compensation Governance Policies</w:t>
        </w:r>
      </w:hyperlink>
    </w:p>
    <w:p>
      <w:pPr>
        <w:ind w:left="246" w:hanging="246"/>
        <w:spacing w:after="0"/>
        <w:tabs>
          <w:tab w:leader="none" w:pos="246" w:val="left"/>
        </w:tabs>
        <w:numPr>
          <w:ilvl w:val="0"/>
          <w:numId w:val="89"/>
        </w:numPr>
        <w:rPr>
          <w:rFonts w:ascii="Arial" w:cs="Arial" w:eastAsia="Arial" w:hAnsi="Arial"/>
          <w:sz w:val="11"/>
          <w:szCs w:val="11"/>
          <w:color w:val="auto"/>
        </w:rPr>
      </w:pPr>
      <w:hyperlink w:anchor="page73">
        <w:r>
          <w:rPr>
            <w:rFonts w:ascii="Arial" w:cs="Arial" w:eastAsia="Arial" w:hAnsi="Arial"/>
            <w:sz w:val="11"/>
            <w:szCs w:val="11"/>
            <w:color w:val="auto"/>
          </w:rPr>
          <w:t>Compensation Program and Risk</w:t>
        </w:r>
      </w:hyperlink>
    </w:p>
    <w:p>
      <w:pPr>
        <w:ind w:left="246" w:hanging="246"/>
        <w:spacing w:after="0"/>
        <w:tabs>
          <w:tab w:leader="none" w:pos="246" w:val="left"/>
        </w:tabs>
        <w:numPr>
          <w:ilvl w:val="0"/>
          <w:numId w:val="89"/>
        </w:numPr>
        <w:rPr>
          <w:rFonts w:ascii="Arial" w:cs="Arial" w:eastAsia="Arial" w:hAnsi="Arial"/>
          <w:sz w:val="11"/>
          <w:szCs w:val="11"/>
          <w:color w:val="auto"/>
        </w:rPr>
      </w:pPr>
      <w:hyperlink w:anchor="page74">
        <w:r>
          <w:rPr>
            <w:rFonts w:ascii="Arial" w:cs="Arial" w:eastAsia="Arial" w:hAnsi="Arial"/>
            <w:sz w:val="11"/>
            <w:szCs w:val="11"/>
            <w:color w:val="auto"/>
          </w:rPr>
          <w:t>Delegation of Authority</w:t>
        </w:r>
      </w:hyperlink>
    </w:p>
    <w:p>
      <w:pPr>
        <w:ind w:left="6"/>
        <w:spacing w:after="0"/>
        <w:tabs>
          <w:tab w:leader="none" w:pos="225" w:val="left"/>
        </w:tabs>
        <w:rPr>
          <w:rFonts w:ascii="Arial" w:cs="Arial" w:eastAsia="Arial" w:hAnsi="Arial"/>
          <w:sz w:val="11"/>
          <w:szCs w:val="11"/>
          <w:color w:val="auto"/>
        </w:rPr>
      </w:pPr>
      <w:r>
        <w:rPr>
          <w:rFonts w:ascii="Arial" w:cs="Arial" w:eastAsia="Arial" w:hAnsi="Arial"/>
          <w:sz w:val="11"/>
          <w:szCs w:val="11"/>
          <w:color w:val="auto"/>
        </w:rPr>
        <w:t>68</w:t>
        <w:tab/>
      </w:r>
      <w:hyperlink w:anchor="page74">
        <w:r>
          <w:rPr>
            <w:rFonts w:ascii="Arial" w:cs="Arial" w:eastAsia="Arial" w:hAnsi="Arial"/>
            <w:sz w:val="11"/>
            <w:szCs w:val="11"/>
            <w:color w:val="auto"/>
          </w:rPr>
          <w:t>Accounting and Tax Considerations</w:t>
        </w:r>
      </w:hyperlink>
    </w:p>
    <w:p>
      <w:pPr>
        <w:spacing w:after="0" w:line="125" w:lineRule="exact"/>
        <w:rPr>
          <w:rFonts w:ascii="Arial" w:cs="Arial" w:eastAsia="Arial" w:hAnsi="Arial"/>
          <w:sz w:val="11"/>
          <w:szCs w:val="11"/>
          <w:color w:val="auto"/>
        </w:rPr>
      </w:pPr>
    </w:p>
    <w:p>
      <w:pPr>
        <w:ind w:left="246" w:right="1139" w:hanging="246"/>
        <w:spacing w:after="0" w:line="279" w:lineRule="auto"/>
        <w:tabs>
          <w:tab w:leader="none" w:pos="246" w:val="left"/>
        </w:tabs>
        <w:numPr>
          <w:ilvl w:val="0"/>
          <w:numId w:val="90"/>
        </w:numPr>
        <w:rPr>
          <w:rFonts w:ascii="Arial" w:cs="Arial" w:eastAsia="Arial" w:hAnsi="Arial"/>
          <w:sz w:val="11"/>
          <w:szCs w:val="11"/>
          <w:b w:val="1"/>
          <w:bCs w:val="1"/>
          <w:color w:val="E31F26"/>
        </w:rPr>
      </w:pPr>
      <w:hyperlink w:anchor="page74">
        <w:r>
          <w:rPr>
            <w:rFonts w:ascii="Arial" w:cs="Arial" w:eastAsia="Arial" w:hAnsi="Arial"/>
            <w:sz w:val="11"/>
            <w:szCs w:val="11"/>
            <w:b w:val="1"/>
            <w:bCs w:val="1"/>
            <w:color w:val="E31F26"/>
          </w:rPr>
          <w:t>2022 Compensation Program Design</w:t>
        </w:r>
      </w:hyperlink>
      <w:r>
        <w:rPr>
          <w:rFonts w:ascii="Arial" w:cs="Arial" w:eastAsia="Arial" w:hAnsi="Arial"/>
          <w:sz w:val="11"/>
          <w:szCs w:val="11"/>
          <w:b w:val="1"/>
          <w:bCs w:val="1"/>
          <w:color w:val="E31F26"/>
        </w:rPr>
        <w:t xml:space="preserve"> </w:t>
      </w:r>
      <w:hyperlink w:anchor="page74">
        <w:r>
          <w:rPr>
            <w:rFonts w:ascii="Arial" w:cs="Arial" w:eastAsia="Arial" w:hAnsi="Arial"/>
            <w:sz w:val="11"/>
            <w:szCs w:val="11"/>
            <w:b w:val="1"/>
            <w:bCs w:val="1"/>
            <w:color w:val="E31F26"/>
          </w:rPr>
          <w:t>Changes</w:t>
        </w:r>
      </w:hyperlink>
    </w:p>
    <w:p>
      <w:pPr>
        <w:spacing w:after="0" w:line="169" w:lineRule="exact"/>
        <w:rPr>
          <w:rFonts w:ascii="Arial" w:cs="Arial" w:eastAsia="Arial" w:hAnsi="Arial"/>
          <w:sz w:val="11"/>
          <w:szCs w:val="11"/>
          <w:b w:val="1"/>
          <w:bCs w:val="1"/>
          <w:color w:val="E31F26"/>
        </w:rPr>
      </w:pPr>
    </w:p>
    <w:p>
      <w:pPr>
        <w:sectPr>
          <w:pgSz w:w="11900" w:h="16838" w:orient="portrait"/>
          <w:cols w:equalWidth="0" w:num="2">
            <w:col w:w="5520" w:space="234"/>
            <w:col w:w="3265"/>
          </w:cols>
          <w:pgMar w:left="1440" w:top="1440" w:right="1440" w:bottom="1440" w:gutter="0" w:footer="0" w:header="0"/>
          <w:type w:val="continuous"/>
        </w:sectPr>
      </w:pPr>
    </w:p>
    <w:p>
      <w:pPr>
        <w:ind w:left="1520" w:hanging="388"/>
        <w:spacing w:after="0"/>
        <w:tabs>
          <w:tab w:leader="none" w:pos="1520" w:val="left"/>
        </w:tabs>
        <w:numPr>
          <w:ilvl w:val="0"/>
          <w:numId w:val="91"/>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rFonts w:ascii="Arial" w:cs="Arial" w:eastAsia="Arial" w:hAnsi="Arial"/>
          <w:sz w:val="11"/>
          <w:szCs w:val="11"/>
          <w:b w:val="1"/>
          <w:bCs w:val="1"/>
          <w:color w:val="E31F26"/>
        </w:rPr>
      </w:pPr>
      <w:r>
        <w:rPr>
          <w:rFonts w:ascii="Arial" w:cs="Arial" w:eastAsia="Arial" w:hAnsi="Arial"/>
          <w:sz w:val="11"/>
          <w:szCs w:val="11"/>
          <w:b w:val="1"/>
          <w:bCs w:val="1"/>
          <w:color w:val="E31F26"/>
        </w:rPr>
        <w:drawing>
          <wp:anchor simplePos="0" relativeHeight="251657728" behindDoc="1" locked="0" layoutInCell="0" allowOverlap="1">
            <wp:simplePos x="0" y="0"/>
            <wp:positionH relativeFrom="column">
              <wp:posOffset>-728345</wp:posOffset>
            </wp:positionH>
            <wp:positionV relativeFrom="paragraph">
              <wp:posOffset>173990</wp:posOffset>
            </wp:positionV>
            <wp:extent cx="717804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6" w:name="page57"/>
    <w:bookmarkEnd w:id="56"/>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1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FISCAL 2021 HIGHLIGHTS</w:t>
      </w:r>
    </w:p>
    <w:p>
      <w:pPr>
        <w:spacing w:after="0" w:line="13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FINANCIAL PERFORMANCE</w:t>
      </w:r>
    </w:p>
    <w:p>
      <w:pPr>
        <w:spacing w:after="0" w:line="142" w:lineRule="exact"/>
        <w:rPr>
          <w:sz w:val="20"/>
          <w:szCs w:val="20"/>
          <w:color w:val="auto"/>
        </w:rPr>
      </w:pPr>
    </w:p>
    <w:p>
      <w:pPr>
        <w:ind w:left="1980" w:right="2080"/>
        <w:spacing w:after="0" w:line="252" w:lineRule="auto"/>
        <w:rPr>
          <w:sz w:val="20"/>
          <w:szCs w:val="20"/>
          <w:color w:val="auto"/>
        </w:rPr>
      </w:pPr>
      <w:r>
        <w:rPr>
          <w:rFonts w:ascii="Arial" w:cs="Arial" w:eastAsia="Arial" w:hAnsi="Arial"/>
          <w:sz w:val="12"/>
          <w:szCs w:val="12"/>
          <w:color w:val="auto"/>
        </w:rPr>
        <w:t>Despite the many challenges we confronted and are continuing to experience—including the COVID-19 pandemic, supply chain disruption, inflationary pressures, and an evolving geopolitical environment—we delivered record performance in 2021, which reflects the ongoing momentum we have built in our business. Highlights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74930</wp:posOffset>
            </wp:positionV>
            <wp:extent cx="3949065" cy="19716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4906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60" w:hanging="288"/>
        <w:spacing w:after="0"/>
        <w:tabs>
          <w:tab w:leader="none" w:pos="2260" w:val="left"/>
        </w:tabs>
        <w:numPr>
          <w:ilvl w:val="0"/>
          <w:numId w:val="92"/>
        </w:numPr>
        <w:rPr>
          <w:rFonts w:ascii="Arial" w:cs="Arial" w:eastAsia="Arial" w:hAnsi="Arial"/>
          <w:sz w:val="16"/>
          <w:szCs w:val="16"/>
          <w:color w:val="auto"/>
          <w:vertAlign w:val="superscript"/>
        </w:rPr>
      </w:pPr>
      <w:r>
        <w:rPr>
          <w:rFonts w:ascii="Arial" w:cs="Arial" w:eastAsia="Arial" w:hAnsi="Arial"/>
          <w:sz w:val="10"/>
          <w:szCs w:val="10"/>
          <w:color w:val="auto"/>
        </w:rPr>
        <w:t xml:space="preserve">A reconciliation to GAAP is provided beginning on page 21 of our Annual Report, which is available at </w:t>
      </w:r>
      <w:r>
        <w:rPr>
          <w:rFonts w:ascii="Arial" w:cs="Arial" w:eastAsia="Arial" w:hAnsi="Arial"/>
          <w:sz w:val="10"/>
          <w:szCs w:val="10"/>
          <w:b w:val="1"/>
          <w:bCs w:val="1"/>
          <w:color w:val="E31F26"/>
        </w:rPr>
        <w:t>investors.footlocker-inc.com/ar</w:t>
      </w:r>
      <w:r>
        <w:rPr>
          <w:rFonts w:ascii="Arial" w:cs="Arial" w:eastAsia="Arial" w:hAnsi="Arial"/>
          <w:sz w:val="10"/>
          <w:szCs w:val="10"/>
          <w:color w:val="auto"/>
        </w:rPr>
        <w:t>.</w:t>
      </w:r>
    </w:p>
    <w:p>
      <w:pPr>
        <w:spacing w:after="0" w:line="119" w:lineRule="exact"/>
        <w:rPr>
          <w:sz w:val="20"/>
          <w:szCs w:val="20"/>
          <w:color w:val="auto"/>
        </w:rPr>
      </w:pPr>
    </w:p>
    <w:p>
      <w:pPr>
        <w:ind w:left="1980" w:right="2400"/>
        <w:spacing w:after="0" w:line="268" w:lineRule="auto"/>
        <w:rPr>
          <w:sz w:val="20"/>
          <w:szCs w:val="20"/>
          <w:color w:val="auto"/>
        </w:rPr>
      </w:pPr>
      <w:r>
        <w:rPr>
          <w:rFonts w:ascii="Arial" w:cs="Arial" w:eastAsia="Arial" w:hAnsi="Arial"/>
          <w:sz w:val="11"/>
          <w:szCs w:val="11"/>
          <w:color w:val="auto"/>
        </w:rPr>
        <w:t>Our 2021 compensation program, as outlined in detail in the following pages, was tied to our key objectives, demonstrating our strong connection between pay and performance.</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LEADERSHIP APPOINTMENTS</w:t>
      </w:r>
    </w:p>
    <w:p>
      <w:pPr>
        <w:spacing w:after="0" w:line="146" w:lineRule="exact"/>
        <w:rPr>
          <w:sz w:val="20"/>
          <w:szCs w:val="20"/>
          <w:color w:val="auto"/>
        </w:rPr>
      </w:pPr>
    </w:p>
    <w:p>
      <w:pPr>
        <w:ind w:left="1980" w:right="2080"/>
        <w:spacing w:after="0" w:line="244" w:lineRule="auto"/>
        <w:rPr>
          <w:sz w:val="20"/>
          <w:szCs w:val="20"/>
          <w:color w:val="auto"/>
        </w:rPr>
      </w:pPr>
      <w:r>
        <w:rPr>
          <w:rFonts w:ascii="Arial" w:cs="Arial" w:eastAsia="Arial" w:hAnsi="Arial"/>
          <w:sz w:val="11"/>
          <w:szCs w:val="11"/>
          <w:color w:val="auto"/>
        </w:rPr>
        <w:t>As part of a planned succession strategy, in 2021, we recruited Mr. Page from outside the Company to serve as Executive Vice President and Chief Financial Officer, replacing Ms. Peters, who retired from the Company. Also, in 2021, we made certain organizational enhancements, including elevating Mr. Bracken to the new role of Executive Vice President and Chief Operating Officer, to advance our long-term global growth and power our omni-channel ecosystem. The addition of a Chief Operating Officer creates a more streamlined and agile organizational structure that builds on the success of our geo-focused growth strategy. Both of these organizational enhancements underscore our focus on enhancing our finance and operations teams to drive organizational productivity.</w:t>
      </w:r>
    </w:p>
    <w:p>
      <w:pPr>
        <w:spacing w:after="0" w:line="11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31F26"/>
        </w:rPr>
        <w:t>CHIEF FINANCIAL OFFICER</w:t>
      </w:r>
    </w:p>
    <w:p>
      <w:pPr>
        <w:spacing w:after="0" w:line="11" w:lineRule="exact"/>
        <w:rPr>
          <w:sz w:val="20"/>
          <w:szCs w:val="20"/>
          <w:color w:val="auto"/>
        </w:rPr>
      </w:pPr>
    </w:p>
    <w:p>
      <w:pPr>
        <w:ind w:left="1980" w:right="2000"/>
        <w:spacing w:after="0"/>
        <w:rPr>
          <w:sz w:val="20"/>
          <w:szCs w:val="20"/>
          <w:color w:val="auto"/>
        </w:rPr>
      </w:pPr>
      <w:r>
        <w:rPr>
          <w:rFonts w:ascii="Arial" w:cs="Arial" w:eastAsia="Arial" w:hAnsi="Arial"/>
          <w:sz w:val="11"/>
          <w:szCs w:val="11"/>
          <w:color w:val="auto"/>
        </w:rPr>
        <w:t>In connection with Mr. Page’s employment, the Human Capital Committee approved a compensation package that reflects the competition for talented senior finance executives, particularly in retail companies. The Human Capital Committee set his annual base salary at $615,000. Mr. Page was (1) granted a sign-on equity award in the form of RSUs having a value on the grant date of $750,000, and (2) granted a sign-on cash payment in the amount of $500,000 (repayable if termination occurs within two years of hire). The sign-on awards were intended to replace certain stock-based awards and other compensation that Mr. Page forfeited from prior employment in connection with his recruitment to the Company. Mr. Page is also eligible to receive Annual Incentive Plan (prorated) and LTI awards (prorated) at target of 75% and 150%, respectively, of base salary. The RSU award vests one third on each of the first three anniversaries of grant subject to continued employment with the Company through the vesting dates. Mr. Page also participated in our regular annual LTI grants commensurate with his job level.</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31F26"/>
        </w:rPr>
        <w:t>CHIEF OPERATING OFFICER</w:t>
      </w:r>
    </w:p>
    <w:p>
      <w:pPr>
        <w:spacing w:after="0" w:line="11" w:lineRule="exact"/>
        <w:rPr>
          <w:sz w:val="20"/>
          <w:szCs w:val="20"/>
          <w:color w:val="auto"/>
        </w:rPr>
      </w:pPr>
    </w:p>
    <w:p>
      <w:pPr>
        <w:ind w:left="1980" w:right="2040"/>
        <w:spacing w:after="0" w:line="241" w:lineRule="auto"/>
        <w:rPr>
          <w:sz w:val="20"/>
          <w:szCs w:val="20"/>
          <w:color w:val="auto"/>
        </w:rPr>
      </w:pPr>
      <w:r>
        <w:rPr>
          <w:rFonts w:ascii="Arial" w:cs="Arial" w:eastAsia="Arial" w:hAnsi="Arial"/>
          <w:sz w:val="11"/>
          <w:szCs w:val="11"/>
          <w:color w:val="auto"/>
        </w:rPr>
        <w:t>In connection with Mr. Bracken’s promotion, the Human Capital Committee approved a compensation package that reflects the increased responsibilities of his new role as well as the competition for talented senior operating executives, particularly in our industry. The Human Capital Committee set his annual base salary at $800,000 effective November 2021. Mr. Bracken was (1) granted an equity award in the form of RSUs having a value on the grant date of $600,000, and (2) eligible to receive Annual Incentive Plan (prorated) and LTI awards at target of 100% and 200%, respectively, of base salary and prorated between these targets. The RSU award vests in full on the third anniversary of grant subject to continued employment with the Company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81280</wp:posOffset>
            </wp:positionV>
            <wp:extent cx="365760" cy="2228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51</w:t>
            </w:r>
          </w:p>
        </w:tc>
      </w:tr>
      <w:tr>
        <w:trPr>
          <w:trHeight w:val="228"/>
        </w:trPr>
        <w:tc>
          <w:tcPr>
            <w:tcW w:w="87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r>
    </w:tbl>
    <w:p>
      <w:pPr>
        <w:sectPr>
          <w:pgSz w:w="11900" w:h="16838" w:orient="portrait"/>
          <w:cols w:equalWidth="0" w:num="1">
            <w:col w:w="11300"/>
          </w:cols>
          <w:pgMar w:left="300" w:top="439" w:right="299" w:bottom="1440" w:gutter="0" w:footer="0" w:header="0"/>
        </w:sectPr>
      </w:pPr>
    </w:p>
    <w:bookmarkStart w:id="57" w:name="page58"/>
    <w:bookmarkEnd w:id="57"/>
    <w:p>
      <w:pPr>
        <w:ind w:left="1980"/>
        <w:spacing w:after="0"/>
        <w:rPr>
          <w:sz w:val="20"/>
          <w:szCs w:val="20"/>
          <w:color w:val="auto"/>
        </w:rPr>
      </w:pPr>
      <w:r>
        <w:rPr>
          <w:rFonts w:ascii="Arial" w:cs="Arial" w:eastAsia="Arial" w:hAnsi="Arial"/>
          <w:sz w:val="10"/>
          <w:szCs w:val="10"/>
          <w:b w:val="1"/>
          <w:bCs w:val="1"/>
          <w:color w:val="D60011"/>
        </w:rPr>
        <w:t>EXECUTIVE COMPENSATION</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SAY-ON-PAY SHAREHOLDER VOTE</w:t>
      </w:r>
    </w:p>
    <w:p>
      <w:pPr>
        <w:spacing w:after="0" w:line="146" w:lineRule="exact"/>
        <w:rPr>
          <w:sz w:val="20"/>
          <w:szCs w:val="20"/>
          <w:color w:val="auto"/>
        </w:rPr>
      </w:pPr>
    </w:p>
    <w:p>
      <w:pPr>
        <w:ind w:left="3800" w:right="2020"/>
        <w:spacing w:after="0" w:line="242" w:lineRule="auto"/>
        <w:rPr>
          <w:sz w:val="20"/>
          <w:szCs w:val="20"/>
          <w:color w:val="auto"/>
        </w:rPr>
      </w:pPr>
      <w:r>
        <w:rPr>
          <w:rFonts w:ascii="Arial" w:cs="Arial" w:eastAsia="Arial" w:hAnsi="Arial"/>
          <w:sz w:val="11"/>
          <w:szCs w:val="11"/>
          <w:color w:val="auto"/>
        </w:rPr>
        <w:t>At our 2021 annual meeting, nearly 96% of shares voted on the advisory vote on executive compensation supported the executive compensation program. The Human Capital Committee considered the results of the 2021 Say-on-Pay vote and our shareholders’ support of our executive compensation program in reviewing the program for 2022. See page 38 for more details on our shareholder engagement program. In light of this support, the Human Capital Committee decided to retain the general program design. Beginning in 2021, the Human Capital Committee adopted a consistent mix of LTI awards. In the future, the Human Capital Committee will continue to assess the executive compensation program against changing business conditions and shareholder feedback. Our Say-on-Pay vote is currently held every year, consistent with the preference expressed by a majority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-722630</wp:posOffset>
            </wp:positionV>
            <wp:extent cx="880110" cy="8801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0110" cy="880110"/>
                    </a:xfrm>
                    <a:prstGeom prst="rect">
                      <a:avLst/>
                    </a:prstGeom>
                    <a:noFill/>
                  </pic:spPr>
                </pic:pic>
              </a:graphicData>
            </a:graphic>
          </wp:anchor>
        </w:drawing>
      </w:r>
    </w:p>
    <w:p>
      <w:pPr>
        <w:spacing w:after="0" w:line="34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E31F26"/>
        </w:rPr>
        <w:t>COMPENSATION PROGRAM DESIGN AND STRUCTURE</w:t>
      </w:r>
    </w:p>
    <w:p>
      <w:pPr>
        <w:spacing w:after="0" w:line="13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PAY-FOR-PERFORMANCE</w:t>
      </w:r>
    </w:p>
    <w:p>
      <w:pPr>
        <w:spacing w:after="0" w:line="146" w:lineRule="exact"/>
        <w:rPr>
          <w:sz w:val="20"/>
          <w:szCs w:val="20"/>
          <w:color w:val="auto"/>
        </w:rPr>
      </w:pPr>
    </w:p>
    <w:p>
      <w:pPr>
        <w:ind w:left="1980" w:right="2100"/>
        <w:spacing w:after="0" w:line="290" w:lineRule="auto"/>
        <w:rPr>
          <w:sz w:val="20"/>
          <w:szCs w:val="20"/>
          <w:color w:val="auto"/>
        </w:rPr>
      </w:pPr>
      <w:r>
        <w:rPr>
          <w:rFonts w:ascii="Arial" w:cs="Arial" w:eastAsia="Arial" w:hAnsi="Arial"/>
          <w:sz w:val="10"/>
          <w:szCs w:val="10"/>
          <w:color w:val="auto"/>
        </w:rPr>
        <w:t>The centerpiece of our compensation program is our pay-for-performance philosophy that aligns compensation payouts with the achievements of our annual operating plan and long-term strategy, and consequently shareholder value. This is showcased at senior levels of the Company—particularly the CEO—for which most compensation is tied to the achievement of metrics driving the Company’s operating and stock performance, as described below.</w:t>
      </w:r>
    </w:p>
    <w:p>
      <w:pPr>
        <w:spacing w:after="0" w:line="98" w:lineRule="exact"/>
        <w:rPr>
          <w:sz w:val="20"/>
          <w:szCs w:val="20"/>
          <w:color w:val="auto"/>
        </w:rPr>
      </w:pPr>
    </w:p>
    <w:tbl>
      <w:tblPr>
        <w:tblLayout w:type="fixed"/>
        <w:tblInd w:w="1980" w:type="dxa"/>
        <w:tblCellMar>
          <w:top w:w="0" w:type="dxa"/>
          <w:left w:w="0" w:type="dxa"/>
          <w:bottom w:w="0" w:type="dxa"/>
          <w:right w:w="0" w:type="dxa"/>
        </w:tblCellMar>
      </w:tblPr>
      <w:tr>
        <w:trPr>
          <w:trHeight w:val="124"/>
        </w:trPr>
        <w:tc>
          <w:tcPr>
            <w:tcW w:w="1900" w:type="dxa"/>
            <w:vAlign w:val="bottom"/>
            <w:tcBorders>
              <w:bottom w:val="single" w:sz="8" w:color="E31F25"/>
            </w:tcBorders>
          </w:tcPr>
          <w:p>
            <w:pPr>
              <w:spacing w:after="0"/>
              <w:rPr>
                <w:sz w:val="20"/>
                <w:szCs w:val="20"/>
                <w:color w:val="auto"/>
              </w:rPr>
            </w:pPr>
            <w:r>
              <w:rPr>
                <w:rFonts w:ascii="Arial" w:cs="Arial" w:eastAsia="Arial" w:hAnsi="Arial"/>
                <w:sz w:val="10"/>
                <w:szCs w:val="10"/>
                <w:b w:val="1"/>
                <w:bCs w:val="1"/>
                <w:color w:val="auto"/>
              </w:rPr>
              <w:t>Factor</w:t>
            </w:r>
          </w:p>
        </w:tc>
        <w:tc>
          <w:tcPr>
            <w:tcW w:w="5440" w:type="dxa"/>
            <w:vAlign w:val="bottom"/>
            <w:tcBorders>
              <w:bottom w:val="single" w:sz="8" w:color="E31F25"/>
            </w:tcBorders>
          </w:tcPr>
          <w:p>
            <w:pPr>
              <w:ind w:left="30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0"/>
                <w:szCs w:val="20"/>
                <w:color w:val="auto"/>
              </w:rPr>
            </w:pPr>
            <w:r>
              <w:rPr>
                <w:rFonts w:ascii="Arial" w:cs="Arial" w:eastAsia="Arial" w:hAnsi="Arial"/>
                <w:sz w:val="11"/>
                <w:szCs w:val="11"/>
                <w:b w:val="1"/>
                <w:bCs w:val="1"/>
                <w:color w:val="E31F26"/>
              </w:rPr>
              <w:t>Performance-Based</w:t>
            </w:r>
          </w:p>
        </w:tc>
        <w:tc>
          <w:tcPr>
            <w:tcW w:w="5440" w:type="dxa"/>
            <w:vAlign w:val="bottom"/>
          </w:tcPr>
          <w:p>
            <w:pPr>
              <w:ind w:left="300"/>
              <w:spacing w:after="0"/>
              <w:rPr>
                <w:sz w:val="20"/>
                <w:szCs w:val="20"/>
                <w:color w:val="auto"/>
              </w:rPr>
            </w:pPr>
            <w:r>
              <w:rPr>
                <w:rFonts w:ascii="Arial" w:cs="Arial" w:eastAsia="Arial" w:hAnsi="Arial"/>
                <w:sz w:val="11"/>
                <w:szCs w:val="11"/>
                <w:color w:val="auto"/>
              </w:rPr>
              <w:t>A significant proportion of the CEO’s compensation is performance-based.</w:t>
            </w:r>
          </w:p>
        </w:tc>
        <w:tc>
          <w:tcPr>
            <w:tcW w:w="0" w:type="dxa"/>
            <w:vAlign w:val="bottom"/>
          </w:tcPr>
          <w:p>
            <w:pPr>
              <w:spacing w:after="0"/>
              <w:rPr>
                <w:sz w:val="1"/>
                <w:szCs w:val="1"/>
                <w:color w:val="auto"/>
              </w:rPr>
            </w:pPr>
          </w:p>
        </w:tc>
      </w:tr>
      <w:tr>
        <w:trPr>
          <w:trHeight w:val="113"/>
        </w:trPr>
        <w:tc>
          <w:tcPr>
            <w:tcW w:w="1900" w:type="dxa"/>
            <w:vAlign w:val="bottom"/>
            <w:tcBorders>
              <w:bottom w:val="single" w:sz="8" w:color="D1D2D4"/>
            </w:tcBorders>
          </w:tcPr>
          <w:p>
            <w:pPr>
              <w:spacing w:after="0"/>
              <w:rPr>
                <w:sz w:val="9"/>
                <w:szCs w:val="9"/>
                <w:color w:val="auto"/>
              </w:rPr>
            </w:pPr>
          </w:p>
        </w:tc>
        <w:tc>
          <w:tcPr>
            <w:tcW w:w="54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p>
        </w:tc>
        <w:tc>
          <w:tcPr>
            <w:tcW w:w="5440" w:type="dxa"/>
            <w:vAlign w:val="bottom"/>
          </w:tcPr>
          <w:p>
            <w:pPr>
              <w:ind w:left="300"/>
              <w:spacing w:after="0"/>
              <w:rPr>
                <w:sz w:val="20"/>
                <w:szCs w:val="20"/>
                <w:color w:val="auto"/>
              </w:rPr>
            </w:pPr>
            <w:r>
              <w:rPr>
                <w:rFonts w:ascii="Arial" w:cs="Arial" w:eastAsia="Arial" w:hAnsi="Arial"/>
                <w:sz w:val="11"/>
                <w:szCs w:val="11"/>
                <w:color w:val="auto"/>
                <w:w w:val="98"/>
              </w:rPr>
              <w:t>Recent Annual Incentive Plan and PSU payouts underscore our pay-for-performance culture. For example,</w:t>
            </w:r>
          </w:p>
        </w:tc>
        <w:tc>
          <w:tcPr>
            <w:tcW w:w="0" w:type="dxa"/>
            <w:vAlign w:val="bottom"/>
          </w:tcPr>
          <w:p>
            <w:pPr>
              <w:spacing w:after="0"/>
              <w:rPr>
                <w:sz w:val="1"/>
                <w:szCs w:val="1"/>
                <w:color w:val="auto"/>
              </w:rPr>
            </w:pPr>
          </w:p>
        </w:tc>
      </w:tr>
      <w:tr>
        <w:trPr>
          <w:trHeight w:val="126"/>
        </w:trPr>
        <w:tc>
          <w:tcPr>
            <w:tcW w:w="1900" w:type="dxa"/>
            <w:vAlign w:val="bottom"/>
          </w:tcPr>
          <w:p>
            <w:pPr>
              <w:spacing w:after="0"/>
              <w:rPr>
                <w:sz w:val="20"/>
                <w:szCs w:val="20"/>
                <w:color w:val="auto"/>
              </w:rPr>
            </w:pPr>
            <w:r>
              <w:rPr>
                <w:rFonts w:ascii="Arial" w:cs="Arial" w:eastAsia="Arial" w:hAnsi="Arial"/>
                <w:sz w:val="11"/>
                <w:szCs w:val="11"/>
                <w:b w:val="1"/>
                <w:bCs w:val="1"/>
                <w:color w:val="E31F26"/>
              </w:rPr>
              <w:t>Challenging Goals</w:t>
            </w:r>
          </w:p>
        </w:tc>
        <w:tc>
          <w:tcPr>
            <w:tcW w:w="5440" w:type="dxa"/>
            <w:vAlign w:val="bottom"/>
          </w:tcPr>
          <w:p>
            <w:pPr>
              <w:ind w:left="300"/>
              <w:spacing w:after="0"/>
              <w:rPr>
                <w:sz w:val="20"/>
                <w:szCs w:val="20"/>
                <w:color w:val="auto"/>
              </w:rPr>
            </w:pPr>
            <w:r>
              <w:rPr>
                <w:rFonts w:ascii="Arial" w:cs="Arial" w:eastAsia="Arial" w:hAnsi="Arial"/>
                <w:sz w:val="11"/>
                <w:szCs w:val="11"/>
                <w:color w:val="auto"/>
                <w:w w:val="99"/>
              </w:rPr>
              <w:t>only twice in the past five years has the Annual Incentive Plan paid out greater than target and three of the</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5440" w:type="dxa"/>
            <w:vAlign w:val="bottom"/>
          </w:tcPr>
          <w:p>
            <w:pPr>
              <w:ind w:left="300"/>
              <w:spacing w:after="0"/>
              <w:rPr>
                <w:sz w:val="20"/>
                <w:szCs w:val="20"/>
                <w:color w:val="auto"/>
              </w:rPr>
            </w:pPr>
            <w:r>
              <w:rPr>
                <w:rFonts w:ascii="Arial" w:cs="Arial" w:eastAsia="Arial" w:hAnsi="Arial"/>
                <w:sz w:val="11"/>
                <w:szCs w:val="11"/>
                <w:color w:val="auto"/>
              </w:rPr>
              <w:t>past five PSU awards were not earned and paid out at 0%.</w:t>
            </w:r>
          </w:p>
        </w:tc>
        <w:tc>
          <w:tcPr>
            <w:tcW w:w="0" w:type="dxa"/>
            <w:vAlign w:val="bottom"/>
          </w:tcPr>
          <w:p>
            <w:pPr>
              <w:spacing w:after="0"/>
              <w:rPr>
                <w:sz w:val="1"/>
                <w:szCs w:val="1"/>
                <w:color w:val="auto"/>
              </w:rPr>
            </w:pPr>
          </w:p>
        </w:tc>
      </w:tr>
      <w:tr>
        <w:trPr>
          <w:trHeight w:val="119"/>
        </w:trPr>
        <w:tc>
          <w:tcPr>
            <w:tcW w:w="1900" w:type="dxa"/>
            <w:vAlign w:val="bottom"/>
            <w:tcBorders>
              <w:bottom w:val="single" w:sz="8" w:color="D1D2D4"/>
            </w:tcBorders>
          </w:tcPr>
          <w:p>
            <w:pPr>
              <w:spacing w:after="0"/>
              <w:rPr>
                <w:sz w:val="10"/>
                <w:szCs w:val="10"/>
                <w:color w:val="auto"/>
              </w:rPr>
            </w:pPr>
          </w:p>
        </w:tc>
        <w:tc>
          <w:tcPr>
            <w:tcW w:w="5440" w:type="dxa"/>
            <w:vAlign w:val="bottom"/>
            <w:tcBorders>
              <w:bottom w:val="single" w:sz="8" w:color="D1D2D4"/>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1900" w:type="dxa"/>
            <w:vAlign w:val="bottom"/>
            <w:vMerge w:val="restart"/>
          </w:tcPr>
          <w:p>
            <w:pPr>
              <w:spacing w:after="0"/>
              <w:rPr>
                <w:sz w:val="20"/>
                <w:szCs w:val="20"/>
                <w:color w:val="auto"/>
              </w:rPr>
            </w:pPr>
            <w:r>
              <w:rPr>
                <w:rFonts w:ascii="Arial" w:cs="Arial" w:eastAsia="Arial" w:hAnsi="Arial"/>
                <w:sz w:val="11"/>
                <w:szCs w:val="11"/>
                <w:b w:val="1"/>
                <w:bCs w:val="1"/>
                <w:color w:val="E31F26"/>
              </w:rPr>
              <w:t>Formulaic</w:t>
            </w:r>
          </w:p>
        </w:tc>
        <w:tc>
          <w:tcPr>
            <w:tcW w:w="5440" w:type="dxa"/>
            <w:vAlign w:val="bottom"/>
          </w:tcPr>
          <w:p>
            <w:pPr>
              <w:ind w:left="300"/>
              <w:spacing w:after="0"/>
              <w:rPr>
                <w:sz w:val="20"/>
                <w:szCs w:val="20"/>
                <w:color w:val="auto"/>
              </w:rPr>
            </w:pPr>
            <w:r>
              <w:rPr>
                <w:rFonts w:ascii="Arial" w:cs="Arial" w:eastAsia="Arial" w:hAnsi="Arial"/>
                <w:sz w:val="11"/>
                <w:szCs w:val="11"/>
                <w:color w:val="auto"/>
              </w:rPr>
              <w:t>Our Annual Incentive Plan and PSU payouts are formulaically determined based on performance against</w:t>
            </w:r>
          </w:p>
        </w:tc>
        <w:tc>
          <w:tcPr>
            <w:tcW w:w="0" w:type="dxa"/>
            <w:vAlign w:val="bottom"/>
          </w:tcPr>
          <w:p>
            <w:pPr>
              <w:spacing w:after="0"/>
              <w:rPr>
                <w:sz w:val="1"/>
                <w:szCs w:val="1"/>
                <w:color w:val="auto"/>
              </w:rPr>
            </w:pPr>
          </w:p>
        </w:tc>
      </w:tr>
      <w:tr>
        <w:trPr>
          <w:trHeight w:val="85"/>
        </w:trPr>
        <w:tc>
          <w:tcPr>
            <w:tcW w:w="1900" w:type="dxa"/>
            <w:vAlign w:val="bottom"/>
            <w:vMerge w:val="continue"/>
          </w:tcPr>
          <w:p>
            <w:pPr>
              <w:spacing w:after="0"/>
              <w:rPr>
                <w:sz w:val="7"/>
                <w:szCs w:val="7"/>
                <w:color w:val="auto"/>
              </w:rPr>
            </w:pPr>
          </w:p>
        </w:tc>
        <w:tc>
          <w:tcPr>
            <w:tcW w:w="5440" w:type="dxa"/>
            <w:vAlign w:val="bottom"/>
            <w:vMerge w:val="restart"/>
          </w:tcPr>
          <w:p>
            <w:pPr>
              <w:ind w:left="300"/>
              <w:spacing w:after="0"/>
              <w:rPr>
                <w:sz w:val="20"/>
                <w:szCs w:val="20"/>
                <w:color w:val="auto"/>
              </w:rPr>
            </w:pPr>
            <w:r>
              <w:rPr>
                <w:rFonts w:ascii="Arial" w:cs="Arial" w:eastAsia="Arial" w:hAnsi="Arial"/>
                <w:sz w:val="11"/>
                <w:szCs w:val="11"/>
                <w:color w:val="auto"/>
              </w:rPr>
              <w:t>challenging financial and operating goals.</w:t>
            </w:r>
          </w:p>
        </w:tc>
        <w:tc>
          <w:tcPr>
            <w:tcW w:w="0" w:type="dxa"/>
            <w:vAlign w:val="bottom"/>
          </w:tcPr>
          <w:p>
            <w:pPr>
              <w:spacing w:after="0"/>
              <w:rPr>
                <w:sz w:val="1"/>
                <w:szCs w:val="1"/>
                <w:color w:val="auto"/>
              </w:rPr>
            </w:pPr>
          </w:p>
        </w:tc>
      </w:tr>
      <w:tr>
        <w:trPr>
          <w:trHeight w:val="57"/>
        </w:trPr>
        <w:tc>
          <w:tcPr>
            <w:tcW w:w="1900" w:type="dxa"/>
            <w:vAlign w:val="bottom"/>
          </w:tcPr>
          <w:p>
            <w:pPr>
              <w:spacing w:after="0"/>
              <w:rPr>
                <w:sz w:val="4"/>
                <w:szCs w:val="4"/>
                <w:color w:val="auto"/>
              </w:rPr>
            </w:pPr>
          </w:p>
        </w:tc>
        <w:tc>
          <w:tcPr>
            <w:tcW w:w="5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900" w:type="dxa"/>
            <w:vAlign w:val="bottom"/>
            <w:tcBorders>
              <w:bottom w:val="single" w:sz="8" w:color="D1D2D4"/>
            </w:tcBorders>
          </w:tcPr>
          <w:p>
            <w:pPr>
              <w:spacing w:after="0"/>
              <w:rPr>
                <w:sz w:val="10"/>
                <w:szCs w:val="10"/>
                <w:color w:val="auto"/>
              </w:rPr>
            </w:pPr>
          </w:p>
        </w:tc>
        <w:tc>
          <w:tcPr>
            <w:tcW w:w="5440" w:type="dxa"/>
            <w:vAlign w:val="bottom"/>
            <w:tcBorders>
              <w:bottom w:val="single" w:sz="8" w:color="D1D2D4"/>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0"/>
                <w:szCs w:val="20"/>
                <w:color w:val="auto"/>
              </w:rPr>
            </w:pPr>
            <w:r>
              <w:rPr>
                <w:rFonts w:ascii="Arial" w:cs="Arial" w:eastAsia="Arial" w:hAnsi="Arial"/>
                <w:sz w:val="11"/>
                <w:szCs w:val="11"/>
                <w:b w:val="1"/>
                <w:bCs w:val="1"/>
                <w:color w:val="E31F26"/>
              </w:rPr>
              <w:t>Lower Realized Pay</w:t>
            </w:r>
          </w:p>
        </w:tc>
        <w:tc>
          <w:tcPr>
            <w:tcW w:w="5440" w:type="dxa"/>
            <w:vAlign w:val="bottom"/>
          </w:tcPr>
          <w:p>
            <w:pPr>
              <w:ind w:left="300"/>
              <w:spacing w:after="0"/>
              <w:rPr>
                <w:sz w:val="20"/>
                <w:szCs w:val="20"/>
                <w:color w:val="auto"/>
              </w:rPr>
            </w:pPr>
            <w:r>
              <w:rPr>
                <w:rFonts w:ascii="Arial" w:cs="Arial" w:eastAsia="Arial" w:hAnsi="Arial"/>
                <w:sz w:val="11"/>
                <w:szCs w:val="11"/>
                <w:color w:val="auto"/>
              </w:rPr>
              <w:t>The CEO’s five-year realized pay is expected to be lower than his five-year target compensation.</w:t>
            </w:r>
          </w:p>
        </w:tc>
        <w:tc>
          <w:tcPr>
            <w:tcW w:w="0" w:type="dxa"/>
            <w:vAlign w:val="bottom"/>
          </w:tcPr>
          <w:p>
            <w:pPr>
              <w:spacing w:after="0"/>
              <w:rPr>
                <w:sz w:val="1"/>
                <w:szCs w:val="1"/>
                <w:color w:val="auto"/>
              </w:rPr>
            </w:pPr>
          </w:p>
        </w:tc>
      </w:tr>
      <w:tr>
        <w:trPr>
          <w:trHeight w:val="113"/>
        </w:trPr>
        <w:tc>
          <w:tcPr>
            <w:tcW w:w="1900" w:type="dxa"/>
            <w:vAlign w:val="bottom"/>
            <w:tcBorders>
              <w:bottom w:val="single" w:sz="8" w:color="D1D2D4"/>
            </w:tcBorders>
          </w:tcPr>
          <w:p>
            <w:pPr>
              <w:spacing w:after="0"/>
              <w:rPr>
                <w:sz w:val="9"/>
                <w:szCs w:val="9"/>
                <w:color w:val="auto"/>
              </w:rPr>
            </w:pPr>
          </w:p>
        </w:tc>
        <w:tc>
          <w:tcPr>
            <w:tcW w:w="54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900" w:type="dxa"/>
            <w:vAlign w:val="bottom"/>
            <w:vMerge w:val="restart"/>
          </w:tcPr>
          <w:p>
            <w:pPr>
              <w:spacing w:after="0"/>
              <w:rPr>
                <w:sz w:val="20"/>
                <w:szCs w:val="20"/>
                <w:color w:val="auto"/>
              </w:rPr>
            </w:pPr>
            <w:r>
              <w:rPr>
                <w:rFonts w:ascii="Arial" w:cs="Arial" w:eastAsia="Arial" w:hAnsi="Arial"/>
                <w:sz w:val="11"/>
                <w:szCs w:val="11"/>
                <w:b w:val="1"/>
                <w:bCs w:val="1"/>
                <w:color w:val="E31F26"/>
              </w:rPr>
              <w:t>Peer Benchmarked</w:t>
            </w:r>
          </w:p>
        </w:tc>
        <w:tc>
          <w:tcPr>
            <w:tcW w:w="5440" w:type="dxa"/>
            <w:vAlign w:val="bottom"/>
          </w:tcPr>
          <w:p>
            <w:pPr>
              <w:ind w:left="300"/>
              <w:spacing w:after="0"/>
              <w:rPr>
                <w:sz w:val="20"/>
                <w:szCs w:val="20"/>
                <w:color w:val="auto"/>
              </w:rPr>
            </w:pPr>
            <w:r>
              <w:rPr>
                <w:rFonts w:ascii="Arial" w:cs="Arial" w:eastAsia="Arial" w:hAnsi="Arial"/>
                <w:sz w:val="11"/>
                <w:szCs w:val="11"/>
                <w:color w:val="auto"/>
                <w:w w:val="98"/>
              </w:rPr>
              <w:t>We utilize an objective set of criteria to determine peer companies and position CEO pay at the peer group</w:t>
            </w:r>
          </w:p>
        </w:tc>
        <w:tc>
          <w:tcPr>
            <w:tcW w:w="0" w:type="dxa"/>
            <w:vAlign w:val="bottom"/>
          </w:tcPr>
          <w:p>
            <w:pPr>
              <w:spacing w:after="0"/>
              <w:rPr>
                <w:sz w:val="1"/>
                <w:szCs w:val="1"/>
                <w:color w:val="auto"/>
              </w:rPr>
            </w:pPr>
          </w:p>
        </w:tc>
      </w:tr>
      <w:tr>
        <w:trPr>
          <w:trHeight w:val="85"/>
        </w:trPr>
        <w:tc>
          <w:tcPr>
            <w:tcW w:w="1900" w:type="dxa"/>
            <w:vAlign w:val="bottom"/>
            <w:vMerge w:val="continue"/>
          </w:tcPr>
          <w:p>
            <w:pPr>
              <w:spacing w:after="0"/>
              <w:rPr>
                <w:sz w:val="7"/>
                <w:szCs w:val="7"/>
                <w:color w:val="auto"/>
              </w:rPr>
            </w:pPr>
          </w:p>
        </w:tc>
        <w:tc>
          <w:tcPr>
            <w:tcW w:w="5440" w:type="dxa"/>
            <w:vAlign w:val="bottom"/>
            <w:vMerge w:val="restart"/>
          </w:tcPr>
          <w:p>
            <w:pPr>
              <w:ind w:left="300"/>
              <w:spacing w:after="0"/>
              <w:rPr>
                <w:sz w:val="20"/>
                <w:szCs w:val="20"/>
                <w:color w:val="auto"/>
              </w:rPr>
            </w:pPr>
            <w:r>
              <w:rPr>
                <w:rFonts w:ascii="Arial" w:cs="Arial" w:eastAsia="Arial" w:hAnsi="Arial"/>
                <w:sz w:val="11"/>
                <w:szCs w:val="11"/>
                <w:color w:val="auto"/>
              </w:rPr>
              <w:t>median.</w:t>
            </w:r>
          </w:p>
        </w:tc>
        <w:tc>
          <w:tcPr>
            <w:tcW w:w="0" w:type="dxa"/>
            <w:vAlign w:val="bottom"/>
          </w:tcPr>
          <w:p>
            <w:pPr>
              <w:spacing w:after="0"/>
              <w:rPr>
                <w:sz w:val="1"/>
                <w:szCs w:val="1"/>
                <w:color w:val="auto"/>
              </w:rPr>
            </w:pPr>
          </w:p>
        </w:tc>
      </w:tr>
      <w:tr>
        <w:trPr>
          <w:trHeight w:val="57"/>
        </w:trPr>
        <w:tc>
          <w:tcPr>
            <w:tcW w:w="1900" w:type="dxa"/>
            <w:vAlign w:val="bottom"/>
          </w:tcPr>
          <w:p>
            <w:pPr>
              <w:spacing w:after="0"/>
              <w:rPr>
                <w:sz w:val="4"/>
                <w:szCs w:val="4"/>
                <w:color w:val="auto"/>
              </w:rPr>
            </w:pPr>
          </w:p>
        </w:tc>
        <w:tc>
          <w:tcPr>
            <w:tcW w:w="5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900" w:type="dxa"/>
            <w:vAlign w:val="bottom"/>
            <w:tcBorders>
              <w:bottom w:val="single" w:sz="8" w:color="D1D2D4"/>
            </w:tcBorders>
          </w:tcPr>
          <w:p>
            <w:pPr>
              <w:spacing w:after="0"/>
              <w:rPr>
                <w:sz w:val="10"/>
                <w:szCs w:val="10"/>
                <w:color w:val="auto"/>
              </w:rPr>
            </w:pPr>
          </w:p>
        </w:tc>
        <w:tc>
          <w:tcPr>
            <w:tcW w:w="5440" w:type="dxa"/>
            <w:vAlign w:val="bottom"/>
            <w:tcBorders>
              <w:bottom w:val="single" w:sz="8" w:color="D1D2D4"/>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0"/>
                <w:szCs w:val="20"/>
                <w:color w:val="auto"/>
              </w:rPr>
            </w:pPr>
            <w:r>
              <w:rPr>
                <w:rFonts w:ascii="Arial" w:cs="Arial" w:eastAsia="Arial" w:hAnsi="Arial"/>
                <w:sz w:val="11"/>
                <w:szCs w:val="11"/>
                <w:b w:val="1"/>
                <w:bCs w:val="1"/>
                <w:color w:val="E31F26"/>
              </w:rPr>
              <w:t>Reasonable</w:t>
            </w:r>
          </w:p>
        </w:tc>
        <w:tc>
          <w:tcPr>
            <w:tcW w:w="5440" w:type="dxa"/>
            <w:vAlign w:val="bottom"/>
          </w:tcPr>
          <w:p>
            <w:pPr>
              <w:ind w:left="300"/>
              <w:spacing w:after="0"/>
              <w:rPr>
                <w:sz w:val="20"/>
                <w:szCs w:val="20"/>
                <w:color w:val="auto"/>
              </w:rPr>
            </w:pPr>
            <w:r>
              <w:rPr>
                <w:rFonts w:ascii="Arial" w:cs="Arial" w:eastAsia="Arial" w:hAnsi="Arial"/>
                <w:sz w:val="11"/>
                <w:szCs w:val="11"/>
                <w:color w:val="auto"/>
              </w:rPr>
              <w:t>2021 compensation for newly-appointed and outgoing executives was determined to be reasonable.</w:t>
            </w:r>
          </w:p>
        </w:tc>
        <w:tc>
          <w:tcPr>
            <w:tcW w:w="0" w:type="dxa"/>
            <w:vAlign w:val="bottom"/>
          </w:tcPr>
          <w:p>
            <w:pPr>
              <w:spacing w:after="0"/>
              <w:rPr>
                <w:sz w:val="1"/>
                <w:szCs w:val="1"/>
                <w:color w:val="auto"/>
              </w:rPr>
            </w:pPr>
          </w:p>
        </w:tc>
      </w:tr>
      <w:tr>
        <w:trPr>
          <w:trHeight w:val="113"/>
        </w:trPr>
        <w:tc>
          <w:tcPr>
            <w:tcW w:w="1900" w:type="dxa"/>
            <w:vAlign w:val="bottom"/>
            <w:tcBorders>
              <w:bottom w:val="single" w:sz="8" w:color="D1D2D4"/>
            </w:tcBorders>
          </w:tcPr>
          <w:p>
            <w:pPr>
              <w:spacing w:after="0"/>
              <w:rPr>
                <w:sz w:val="9"/>
                <w:szCs w:val="9"/>
                <w:color w:val="auto"/>
              </w:rPr>
            </w:pPr>
          </w:p>
        </w:tc>
        <w:tc>
          <w:tcPr>
            <w:tcW w:w="54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0"/>
                <w:szCs w:val="20"/>
                <w:color w:val="auto"/>
              </w:rPr>
            </w:pPr>
            <w:r>
              <w:rPr>
                <w:rFonts w:ascii="Arial" w:cs="Arial" w:eastAsia="Arial" w:hAnsi="Arial"/>
                <w:sz w:val="11"/>
                <w:szCs w:val="11"/>
                <w:b w:val="1"/>
                <w:bCs w:val="1"/>
                <w:color w:val="E31F26"/>
              </w:rPr>
              <w:t>Responsive to Say-on-Pay Vote</w:t>
            </w:r>
          </w:p>
        </w:tc>
        <w:tc>
          <w:tcPr>
            <w:tcW w:w="5440" w:type="dxa"/>
            <w:vAlign w:val="bottom"/>
          </w:tcPr>
          <w:p>
            <w:pPr>
              <w:ind w:left="300"/>
              <w:spacing w:after="0"/>
              <w:rPr>
                <w:sz w:val="20"/>
                <w:szCs w:val="20"/>
                <w:color w:val="auto"/>
              </w:rPr>
            </w:pPr>
            <w:r>
              <w:rPr>
                <w:rFonts w:ascii="Arial" w:cs="Arial" w:eastAsia="Arial" w:hAnsi="Arial"/>
                <w:sz w:val="11"/>
                <w:szCs w:val="11"/>
                <w:color w:val="auto"/>
              </w:rPr>
              <w:t>Our Say-on-Pay support has been strong in recent years.</w:t>
            </w:r>
          </w:p>
        </w:tc>
        <w:tc>
          <w:tcPr>
            <w:tcW w:w="0" w:type="dxa"/>
            <w:vAlign w:val="bottom"/>
          </w:tcPr>
          <w:p>
            <w:pPr>
              <w:spacing w:after="0"/>
              <w:rPr>
                <w:sz w:val="1"/>
                <w:szCs w:val="1"/>
                <w:color w:val="auto"/>
              </w:rPr>
            </w:pPr>
          </w:p>
        </w:tc>
      </w:tr>
      <w:tr>
        <w:trPr>
          <w:trHeight w:val="113"/>
        </w:trPr>
        <w:tc>
          <w:tcPr>
            <w:tcW w:w="1900" w:type="dxa"/>
            <w:vAlign w:val="bottom"/>
            <w:tcBorders>
              <w:bottom w:val="single" w:sz="8" w:color="D1D2D4"/>
            </w:tcBorders>
          </w:tcPr>
          <w:p>
            <w:pPr>
              <w:spacing w:after="0"/>
              <w:rPr>
                <w:sz w:val="9"/>
                <w:szCs w:val="9"/>
                <w:color w:val="auto"/>
              </w:rPr>
            </w:pPr>
          </w:p>
        </w:tc>
        <w:tc>
          <w:tcPr>
            <w:tcW w:w="5440" w:type="dxa"/>
            <w:vAlign w:val="bottom"/>
            <w:tcBorders>
              <w:bottom w:val="single" w:sz="8" w:color="D1D2D4"/>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900" w:type="dxa"/>
            <w:vAlign w:val="bottom"/>
            <w:vMerge w:val="restart"/>
          </w:tcPr>
          <w:p>
            <w:pPr>
              <w:spacing w:after="0"/>
              <w:rPr>
                <w:sz w:val="20"/>
                <w:szCs w:val="20"/>
                <w:color w:val="auto"/>
              </w:rPr>
            </w:pPr>
            <w:r>
              <w:rPr>
                <w:rFonts w:ascii="Arial" w:cs="Arial" w:eastAsia="Arial" w:hAnsi="Arial"/>
                <w:sz w:val="11"/>
                <w:szCs w:val="11"/>
                <w:b w:val="1"/>
                <w:bCs w:val="1"/>
                <w:color w:val="E31F26"/>
              </w:rPr>
              <w:t>Compensation Mix</w:t>
            </w:r>
          </w:p>
        </w:tc>
        <w:tc>
          <w:tcPr>
            <w:tcW w:w="5440" w:type="dxa"/>
            <w:vAlign w:val="bottom"/>
          </w:tcPr>
          <w:p>
            <w:pPr>
              <w:ind w:left="300"/>
              <w:spacing w:after="0"/>
              <w:rPr>
                <w:sz w:val="20"/>
                <w:szCs w:val="20"/>
                <w:color w:val="auto"/>
              </w:rPr>
            </w:pPr>
            <w:r>
              <w:rPr>
                <w:rFonts w:ascii="Arial" w:cs="Arial" w:eastAsia="Arial" w:hAnsi="Arial"/>
                <w:sz w:val="11"/>
                <w:szCs w:val="11"/>
                <w:color w:val="auto"/>
              </w:rPr>
              <w:t>Beginning with LTI awards granted in 2021, we adopted a consistent mix of PSU awards (60%), stock</w:t>
            </w:r>
          </w:p>
        </w:tc>
        <w:tc>
          <w:tcPr>
            <w:tcW w:w="0" w:type="dxa"/>
            <w:vAlign w:val="bottom"/>
          </w:tcPr>
          <w:p>
            <w:pPr>
              <w:spacing w:after="0"/>
              <w:rPr>
                <w:sz w:val="1"/>
                <w:szCs w:val="1"/>
                <w:color w:val="auto"/>
              </w:rPr>
            </w:pPr>
          </w:p>
        </w:tc>
      </w:tr>
      <w:tr>
        <w:trPr>
          <w:trHeight w:val="85"/>
        </w:trPr>
        <w:tc>
          <w:tcPr>
            <w:tcW w:w="1900" w:type="dxa"/>
            <w:vAlign w:val="bottom"/>
            <w:vMerge w:val="continue"/>
          </w:tcPr>
          <w:p>
            <w:pPr>
              <w:spacing w:after="0"/>
              <w:rPr>
                <w:sz w:val="7"/>
                <w:szCs w:val="7"/>
                <w:color w:val="auto"/>
              </w:rPr>
            </w:pPr>
          </w:p>
        </w:tc>
        <w:tc>
          <w:tcPr>
            <w:tcW w:w="5440" w:type="dxa"/>
            <w:vAlign w:val="bottom"/>
            <w:vMerge w:val="restart"/>
          </w:tcPr>
          <w:p>
            <w:pPr>
              <w:ind w:left="300"/>
              <w:spacing w:after="0"/>
              <w:rPr>
                <w:sz w:val="20"/>
                <w:szCs w:val="20"/>
                <w:color w:val="auto"/>
              </w:rPr>
            </w:pPr>
            <w:r>
              <w:rPr>
                <w:rFonts w:ascii="Arial" w:cs="Arial" w:eastAsia="Arial" w:hAnsi="Arial"/>
                <w:sz w:val="11"/>
                <w:szCs w:val="11"/>
                <w:color w:val="auto"/>
              </w:rPr>
              <w:t>option awards (20%), and RSU awards (20%).</w:t>
            </w:r>
          </w:p>
        </w:tc>
        <w:tc>
          <w:tcPr>
            <w:tcW w:w="0" w:type="dxa"/>
            <w:vAlign w:val="bottom"/>
          </w:tcPr>
          <w:p>
            <w:pPr>
              <w:spacing w:after="0"/>
              <w:rPr>
                <w:sz w:val="1"/>
                <w:szCs w:val="1"/>
                <w:color w:val="auto"/>
              </w:rPr>
            </w:pPr>
          </w:p>
        </w:tc>
      </w:tr>
      <w:tr>
        <w:trPr>
          <w:trHeight w:val="57"/>
        </w:trPr>
        <w:tc>
          <w:tcPr>
            <w:tcW w:w="1900" w:type="dxa"/>
            <w:vAlign w:val="bottom"/>
          </w:tcPr>
          <w:p>
            <w:pPr>
              <w:spacing w:after="0"/>
              <w:rPr>
                <w:sz w:val="4"/>
                <w:szCs w:val="4"/>
                <w:color w:val="auto"/>
              </w:rPr>
            </w:pPr>
          </w:p>
        </w:tc>
        <w:tc>
          <w:tcPr>
            <w:tcW w:w="5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900" w:type="dxa"/>
            <w:vAlign w:val="bottom"/>
            <w:tcBorders>
              <w:bottom w:val="single" w:sz="8" w:color="E31F25"/>
            </w:tcBorders>
          </w:tcPr>
          <w:p>
            <w:pPr>
              <w:spacing w:after="0"/>
              <w:rPr>
                <w:sz w:val="10"/>
                <w:szCs w:val="10"/>
                <w:color w:val="auto"/>
              </w:rPr>
            </w:pPr>
          </w:p>
        </w:tc>
        <w:tc>
          <w:tcPr>
            <w:tcW w:w="5440" w:type="dxa"/>
            <w:vAlign w:val="bottom"/>
            <w:tcBorders>
              <w:bottom w:val="single" w:sz="8" w:color="E31F25"/>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80010</wp:posOffset>
            </wp:positionV>
            <wp:extent cx="365760" cy="2171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5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FFFFFF"/>
              </w:rPr>
              <w:t>52</w:t>
            </w:r>
          </w:p>
        </w:tc>
        <w:tc>
          <w:tcPr>
            <w:tcW w:w="8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53"/>
        </w:trPr>
        <w:tc>
          <w:tcPr>
            <w:tcW w:w="2540" w:type="dxa"/>
            <w:vAlign w:val="bottom"/>
            <w:vMerge w:val="continue"/>
          </w:tcPr>
          <w:p>
            <w:pPr>
              <w:spacing w:after="0"/>
              <w:rPr>
                <w:sz w:val="4"/>
                <w:szCs w:val="4"/>
                <w:color w:val="auto"/>
              </w:rPr>
            </w:pPr>
          </w:p>
        </w:tc>
        <w:tc>
          <w:tcPr>
            <w:tcW w:w="8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540" w:type="dxa"/>
            <w:vAlign w:val="bottom"/>
            <w:tcBorders>
              <w:bottom w:val="single" w:sz="8" w:color="auto"/>
            </w:tcBorders>
          </w:tcPr>
          <w:p>
            <w:pPr>
              <w:spacing w:after="0"/>
              <w:rPr>
                <w:sz w:val="19"/>
                <w:szCs w:val="19"/>
                <w:color w:val="auto"/>
              </w:rPr>
            </w:pPr>
          </w:p>
        </w:tc>
        <w:tc>
          <w:tcPr>
            <w:tcW w:w="8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83" w:right="299" w:bottom="1440" w:gutter="0" w:footer="0" w:header="0"/>
        </w:sectPr>
      </w:pPr>
    </w:p>
    <w:bookmarkStart w:id="58" w:name="page59"/>
    <w:bookmarkEnd w:id="58"/>
    <w:p>
      <w:pPr>
        <w:ind w:left="7960"/>
        <w:spacing w:after="0"/>
        <w:rPr>
          <w:sz w:val="20"/>
          <w:szCs w:val="20"/>
          <w:color w:val="auto"/>
        </w:rPr>
      </w:pPr>
      <w:r>
        <w:rPr>
          <w:rFonts w:ascii="Arial" w:cs="Arial" w:eastAsia="Arial" w:hAnsi="Arial"/>
          <w:sz w:val="10"/>
          <w:szCs w:val="10"/>
          <w:b w:val="1"/>
          <w:bCs w:val="1"/>
          <w:color w:val="D60011"/>
        </w:rPr>
        <w:t>EXECUTIVE COMPENSATION</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Recent Annual Incentive Plan and LTI payouts underscore our pay-for-performance culture:</w:t>
      </w:r>
    </w:p>
    <w:p>
      <w:pPr>
        <w:spacing w:after="0" w:line="132" w:lineRule="exact"/>
        <w:rPr>
          <w:sz w:val="20"/>
          <w:szCs w:val="20"/>
          <w:color w:val="auto"/>
        </w:rPr>
      </w:pPr>
    </w:p>
    <w:p>
      <w:pPr>
        <w:ind w:left="1980"/>
        <w:spacing w:after="0"/>
        <w:tabs>
          <w:tab w:leader="none" w:pos="5620" w:val="left"/>
        </w:tabs>
        <w:rPr>
          <w:sz w:val="20"/>
          <w:szCs w:val="20"/>
          <w:color w:val="auto"/>
        </w:rPr>
      </w:pPr>
      <w:r>
        <w:rPr>
          <w:rFonts w:ascii="Arial" w:cs="Arial" w:eastAsia="Arial" w:hAnsi="Arial"/>
          <w:sz w:val="12"/>
          <w:szCs w:val="12"/>
          <w:b w:val="1"/>
          <w:bCs w:val="1"/>
          <w:color w:val="auto"/>
        </w:rPr>
        <w:t>ANNUAL INCENTIVE PLAN</w:t>
      </w:r>
      <w:r>
        <w:rPr>
          <w:sz w:val="20"/>
          <w:szCs w:val="20"/>
          <w:color w:val="auto"/>
        </w:rPr>
        <w:tab/>
      </w:r>
      <w:r>
        <w:rPr>
          <w:rFonts w:ascii="Arial" w:cs="Arial" w:eastAsia="Arial" w:hAnsi="Arial"/>
          <w:sz w:val="11"/>
          <w:szCs w:val="11"/>
          <w:b w:val="1"/>
          <w:bCs w:val="1"/>
          <w:color w:val="auto"/>
        </w:rPr>
        <w:t>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92075</wp:posOffset>
            </wp:positionV>
            <wp:extent cx="4509135" cy="12230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09135"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31F26"/>
        </w:rPr>
        <w:t>TARGET COMPENSATION VS. REALIZED PAY</w:t>
      </w:r>
      <w:r>
        <w:rPr>
          <w:rFonts w:ascii="Arial" w:cs="Arial" w:eastAsia="Arial" w:hAnsi="Arial"/>
          <w:sz w:val="19"/>
          <w:szCs w:val="19"/>
          <w:color w:val="E31F26"/>
          <w:vertAlign w:val="superscript"/>
        </w:rPr>
        <w:t>(1)</w:t>
      </w:r>
    </w:p>
    <w:p>
      <w:pPr>
        <w:ind w:left="1980" w:right="1980"/>
        <w:spacing w:after="0" w:line="268" w:lineRule="auto"/>
        <w:rPr>
          <w:sz w:val="20"/>
          <w:szCs w:val="20"/>
          <w:color w:val="auto"/>
        </w:rPr>
      </w:pPr>
      <w:r>
        <w:rPr>
          <w:rFonts w:ascii="Arial" w:cs="Arial" w:eastAsia="Arial" w:hAnsi="Arial"/>
          <w:sz w:val="10"/>
          <w:szCs w:val="10"/>
          <w:color w:val="auto"/>
        </w:rPr>
        <w:t>Our executives’ realized pay over the past five years further evidences our pay-for-performance philosophy. Failure to achieve the challenging threshold performance goals set for our Annual Incentive Plan awards and PSU awards results in no payout earned. Also, a decrease in the Company’s stock price results in a decrease in the value of previously-awarded stock option awards—potentially to $0— and no dilution to shareholders, as well as a decrease in the value of previously-awarded RSU awards. When our stock price increases and generates positive returns for our shareholders, the increase impacts an executive’s realized pay during the present fiscal year and for prior fiscal years during which the executive received equity awards that are held or remain subject to vesting requirements. Accordingly, a significant portion of our NEOs’ compensation is closely linked to the performance of our stock over time, motivating our executives to generate positive returns for shareholders and aligning interests.</w:t>
      </w:r>
    </w:p>
    <w:p>
      <w:pPr>
        <w:spacing w:after="0" w:line="10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chart demonstrates the relationship between the target and realized values of our CEO’s compensation for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90805</wp:posOffset>
            </wp:positionV>
            <wp:extent cx="3343275" cy="1554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43275" cy="155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180" w:right="2120" w:hanging="208"/>
        <w:spacing w:after="0" w:line="197" w:lineRule="auto"/>
        <w:tabs>
          <w:tab w:leader="none" w:pos="2180" w:val="left"/>
        </w:tabs>
        <w:numPr>
          <w:ilvl w:val="0"/>
          <w:numId w:val="93"/>
        </w:numPr>
        <w:rPr>
          <w:rFonts w:ascii="Arial" w:cs="Arial" w:eastAsia="Arial" w:hAnsi="Arial"/>
          <w:sz w:val="16"/>
          <w:szCs w:val="16"/>
          <w:color w:val="auto"/>
          <w:vertAlign w:val="superscript"/>
        </w:rPr>
      </w:pPr>
      <w:r>
        <w:rPr>
          <w:rFonts w:ascii="Arial" w:cs="Arial" w:eastAsia="Arial" w:hAnsi="Arial"/>
          <w:sz w:val="10"/>
          <w:szCs w:val="10"/>
          <w:color w:val="auto"/>
        </w:rPr>
        <w:t>For each year, these amounts reflect the CEO’s base salary paid, Annual Incentive Plan payouts paid, values of PSU awards earned, stock option award tranches vesting during the year, and RSU awards vesting during the year. For 2020, the CEO’s realized pay includes the value of a one-time Accelerate Future Growth award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84455</wp:posOffset>
            </wp:positionV>
            <wp:extent cx="365760" cy="2228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53</w:t>
            </w:r>
          </w:p>
        </w:tc>
      </w:tr>
      <w:tr>
        <w:trPr>
          <w:trHeight w:val="228"/>
        </w:trPr>
        <w:tc>
          <w:tcPr>
            <w:tcW w:w="87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r>
    </w:tbl>
    <w:p>
      <w:pPr>
        <w:sectPr>
          <w:pgSz w:w="11900" w:h="16838" w:orient="portrait"/>
          <w:cols w:equalWidth="0" w:num="1">
            <w:col w:w="11300"/>
          </w:cols>
          <w:pgMar w:left="300" w:top="583" w:right="299" w:bottom="1440" w:gutter="0" w:footer="0" w:header="0"/>
        </w:sectPr>
      </w:pPr>
    </w:p>
    <w:bookmarkStart w:id="59" w:name="page60"/>
    <w:bookmarkEnd w:id="59"/>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E31F26"/>
        </w:rPr>
        <w:t>COMPENSATION MIX</w:t>
      </w:r>
    </w:p>
    <w:p>
      <w:pPr>
        <w:spacing w:after="0" w:line="11" w:lineRule="exact"/>
        <w:rPr>
          <w:sz w:val="20"/>
          <w:szCs w:val="20"/>
          <w:color w:val="auto"/>
        </w:rPr>
      </w:pPr>
    </w:p>
    <w:p>
      <w:pPr>
        <w:ind w:left="840" w:right="939"/>
        <w:spacing w:after="0" w:line="242" w:lineRule="auto"/>
        <w:rPr>
          <w:sz w:val="20"/>
          <w:szCs w:val="20"/>
          <w:color w:val="auto"/>
        </w:rPr>
      </w:pPr>
      <w:r>
        <w:rPr>
          <w:rFonts w:ascii="Arial" w:cs="Arial" w:eastAsia="Arial" w:hAnsi="Arial"/>
          <w:sz w:val="11"/>
          <w:szCs w:val="11"/>
          <w:color w:val="auto"/>
        </w:rPr>
        <w:t>The Human Capital Committee seeks to align the compensation program with both our business strategy and our shareholders’ interests. In order to achieve these objectives, our executive compensation program includes both a mix of annual and long-term, as well as cash and equity, compensation. As shown in the charts below, for 2021, 90% of the CEO’s target compensation mix, and 72%, on average, of the remaining NEOs’ target compensation mix, was variable based on performance.</w:t>
      </w:r>
    </w:p>
    <w:p>
      <w:pPr>
        <w:sectPr>
          <w:pgSz w:w="11900" w:h="16838" w:orient="portrait"/>
          <w:cols w:equalWidth="0" w:num="1">
            <w:col w:w="9019"/>
          </w:cols>
          <w:pgMar w:left="1440" w:top="565" w:right="1440" w:bottom="1440" w:gutter="0" w:footer="0" w:header="0"/>
        </w:sectPr>
      </w:pPr>
    </w:p>
    <w:p>
      <w:pPr>
        <w:spacing w:after="0" w:line="11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CEO’s 2021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190500</wp:posOffset>
            </wp:positionV>
            <wp:extent cx="2057400" cy="1051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7400" cy="1051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AVERAGE OF REMAINING NEOs’ 2021 TARGET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90170</wp:posOffset>
            </wp:positionV>
            <wp:extent cx="2040255" cy="1085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40255" cy="1085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4139"/>
          </w:cols>
          <w:pgMar w:left="1440" w:top="5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40"/>
        <w:spacing w:after="0"/>
        <w:tabs>
          <w:tab w:leader="none" w:pos="4860" w:val="left"/>
        </w:tabs>
        <w:rPr>
          <w:sz w:val="20"/>
          <w:szCs w:val="20"/>
          <w:color w:val="auto"/>
        </w:rPr>
      </w:pPr>
      <w:r>
        <w:rPr>
          <w:rFonts w:ascii="Arial" w:cs="Arial" w:eastAsia="Arial" w:hAnsi="Arial"/>
          <w:sz w:val="12"/>
          <w:szCs w:val="12"/>
          <w:b w:val="1"/>
          <w:bCs w:val="1"/>
          <w:color w:val="auto"/>
        </w:rPr>
        <w:t>ANNUAL INCENTIVE PLAN PERFORMANCE METRICS</w:t>
      </w:r>
      <w:r>
        <w:rPr>
          <w:sz w:val="20"/>
          <w:szCs w:val="20"/>
          <w:color w:val="auto"/>
        </w:rPr>
        <w:tab/>
      </w:r>
      <w:r>
        <w:rPr>
          <w:rFonts w:ascii="Arial" w:cs="Arial" w:eastAsia="Arial" w:hAnsi="Arial"/>
          <w:sz w:val="11"/>
          <w:szCs w:val="11"/>
          <w:b w:val="1"/>
          <w:bCs w:val="1"/>
          <w:color w:val="auto"/>
        </w:rPr>
        <w:t>LTI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103505</wp:posOffset>
            </wp:positionV>
            <wp:extent cx="4291965" cy="5715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91965"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COMPONENTS OF EXECUTIVE COMPENSATION PROGRAM</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key components of our executive compensation program are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90805</wp:posOffset>
            </wp:positionV>
            <wp:extent cx="4411980" cy="26060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41198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520" w:hanging="388"/>
        <w:spacing w:after="0"/>
        <w:tabs>
          <w:tab w:leader="none" w:pos="1520" w:val="left"/>
        </w:tabs>
        <w:numPr>
          <w:ilvl w:val="0"/>
          <w:numId w:val="94"/>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173990</wp:posOffset>
            </wp:positionV>
            <wp:extent cx="717804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type w:val="continuous"/>
        </w:sectPr>
      </w:pPr>
    </w:p>
    <w:bookmarkStart w:id="60" w:name="page61"/>
    <w:bookmarkEnd w:id="60"/>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108"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BASE SALARY</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 part of its annual review of compensation, the Human Capital Committee approved base salary increases effective May 1, 2021, for Messrs.</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Bracken, Martin, Gray, and Talwar, as shown below, based on each NEO’s performance and a position-oriented analysis of market salaries.</w:t>
      </w:r>
    </w:p>
    <w:p>
      <w:pPr>
        <w:spacing w:after="0" w:line="11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Beginning in fiscal 2021, individual performance goals are aligned around the Company’s four strategic imperatives: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85090</wp:posOffset>
            </wp:positionV>
            <wp:extent cx="4686300" cy="1543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68630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80" w:right="2040"/>
        <w:spacing w:after="0" w:line="253" w:lineRule="auto"/>
        <w:rPr>
          <w:sz w:val="20"/>
          <w:szCs w:val="20"/>
          <w:color w:val="auto"/>
        </w:rPr>
      </w:pPr>
      <w:r>
        <w:rPr>
          <w:rFonts w:ascii="Arial" w:cs="Arial" w:eastAsia="Arial" w:hAnsi="Arial"/>
          <w:sz w:val="11"/>
          <w:szCs w:val="11"/>
          <w:color w:val="auto"/>
        </w:rPr>
        <w:t>The Company strives for DIBs to be ingrained in our culture to ensure the Company is a world-class organization according to our customers, community leadership, and team members. To achieve this goal, all team members, including the NEOs, need to play a key role in our DIBs strategy, which is centered on five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71755</wp:posOffset>
            </wp:positionV>
            <wp:extent cx="4686300" cy="12001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6863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Within the Leverage the Power of Our People performance objective, all team members are measured against a DIBs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85090</wp:posOffset>
            </wp:positionV>
            <wp:extent cx="4686300" cy="1697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68630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55</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61" w:name="page62"/>
    <w:bookmarkEnd w:id="61"/>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31"/>
        </w:trPr>
        <w:tc>
          <w:tcPr>
            <w:tcW w:w="2820" w:type="dxa"/>
            <w:vAlign w:val="bottom"/>
          </w:tcPr>
          <w:p>
            <w:pPr>
              <w:spacing w:after="0"/>
              <w:rPr>
                <w:sz w:val="20"/>
                <w:szCs w:val="20"/>
                <w:color w:val="auto"/>
              </w:rPr>
            </w:pPr>
            <w:r>
              <w:rPr>
                <w:rFonts w:ascii="Arial" w:cs="Arial" w:eastAsia="Arial" w:hAnsi="Arial"/>
                <w:sz w:val="10"/>
                <w:szCs w:val="10"/>
                <w:b w:val="1"/>
                <w:bCs w:val="1"/>
                <w:color w:val="D60011"/>
              </w:rPr>
              <w:t>EXECUTIVE COMPENSATION</w:t>
            </w:r>
          </w:p>
        </w:tc>
        <w:tc>
          <w:tcPr>
            <w:tcW w:w="2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1"/>
        </w:trPr>
        <w:tc>
          <w:tcPr>
            <w:tcW w:w="2820" w:type="dxa"/>
            <w:vAlign w:val="bottom"/>
          </w:tcPr>
          <w:p>
            <w:pPr>
              <w:spacing w:after="0"/>
              <w:rPr>
                <w:sz w:val="18"/>
                <w:szCs w:val="18"/>
                <w:color w:val="auto"/>
              </w:rPr>
            </w:pPr>
          </w:p>
        </w:tc>
        <w:tc>
          <w:tcPr>
            <w:tcW w:w="2420" w:type="dxa"/>
            <w:vAlign w:val="bottom"/>
          </w:tcPr>
          <w:p>
            <w:pPr>
              <w:jc w:val="right"/>
              <w:ind w:right="112"/>
              <w:spacing w:after="0"/>
              <w:rPr>
                <w:sz w:val="20"/>
                <w:szCs w:val="20"/>
                <w:color w:val="auto"/>
              </w:rPr>
            </w:pPr>
            <w:r>
              <w:rPr>
                <w:rFonts w:ascii="Arial" w:cs="Arial" w:eastAsia="Arial" w:hAnsi="Arial"/>
                <w:sz w:val="10"/>
                <w:szCs w:val="10"/>
                <w:b w:val="1"/>
                <w:bCs w:val="1"/>
                <w:color w:val="auto"/>
              </w:rPr>
              <w:t>Year-End 2020</w:t>
            </w:r>
          </w:p>
        </w:tc>
        <w:tc>
          <w:tcPr>
            <w:tcW w:w="1180" w:type="dxa"/>
            <w:vAlign w:val="bottom"/>
          </w:tcPr>
          <w:p>
            <w:pPr>
              <w:jc w:val="right"/>
              <w:ind w:right="193"/>
              <w:spacing w:after="0"/>
              <w:rPr>
                <w:sz w:val="20"/>
                <w:szCs w:val="20"/>
                <w:color w:val="auto"/>
              </w:rPr>
            </w:pPr>
            <w:r>
              <w:rPr>
                <w:rFonts w:ascii="Arial" w:cs="Arial" w:eastAsia="Arial" w:hAnsi="Arial"/>
                <w:sz w:val="10"/>
                <w:szCs w:val="10"/>
                <w:b w:val="1"/>
                <w:bCs w:val="1"/>
                <w:color w:val="auto"/>
              </w:rPr>
              <w:t>Year-End 2021</w:t>
            </w:r>
          </w:p>
        </w:tc>
        <w:tc>
          <w:tcPr>
            <w:tcW w:w="920" w:type="dxa"/>
            <w:vAlign w:val="bottom"/>
          </w:tcPr>
          <w:p>
            <w:pPr>
              <w:jc w:val="right"/>
              <w:ind w:right="12"/>
              <w:spacing w:after="0"/>
              <w:rPr>
                <w:sz w:val="20"/>
                <w:szCs w:val="20"/>
                <w:color w:val="auto"/>
              </w:rPr>
            </w:pPr>
            <w:r>
              <w:rPr>
                <w:rFonts w:ascii="Arial" w:cs="Arial" w:eastAsia="Arial" w:hAnsi="Arial"/>
                <w:sz w:val="10"/>
                <w:szCs w:val="10"/>
                <w:b w:val="1"/>
                <w:bCs w:val="1"/>
                <w:color w:val="auto"/>
              </w:rPr>
              <w:t>Base Salary</w:t>
            </w:r>
          </w:p>
        </w:tc>
      </w:tr>
      <w:tr>
        <w:trPr>
          <w:trHeight w:val="108"/>
        </w:trPr>
        <w:tc>
          <w:tcPr>
            <w:tcW w:w="2820" w:type="dxa"/>
            <w:vAlign w:val="bottom"/>
          </w:tcPr>
          <w:p>
            <w:pPr>
              <w:spacing w:after="0"/>
              <w:rPr>
                <w:sz w:val="9"/>
                <w:szCs w:val="9"/>
                <w:color w:val="auto"/>
              </w:rPr>
            </w:pPr>
          </w:p>
        </w:tc>
        <w:tc>
          <w:tcPr>
            <w:tcW w:w="242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Base Salary Rate</w:t>
            </w:r>
          </w:p>
        </w:tc>
        <w:tc>
          <w:tcPr>
            <w:tcW w:w="1180" w:type="dxa"/>
            <w:vAlign w:val="bottom"/>
          </w:tcPr>
          <w:p>
            <w:pPr>
              <w:jc w:val="right"/>
              <w:ind w:right="193"/>
              <w:spacing w:after="0" w:line="108" w:lineRule="exact"/>
              <w:rPr>
                <w:sz w:val="20"/>
                <w:szCs w:val="20"/>
                <w:color w:val="auto"/>
              </w:rPr>
            </w:pPr>
            <w:r>
              <w:rPr>
                <w:rFonts w:ascii="Arial" w:cs="Arial" w:eastAsia="Arial" w:hAnsi="Arial"/>
                <w:sz w:val="10"/>
                <w:szCs w:val="10"/>
                <w:b w:val="1"/>
                <w:bCs w:val="1"/>
                <w:color w:val="auto"/>
              </w:rPr>
              <w:t>Base Salary Rate</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Rate Increase</w:t>
            </w:r>
          </w:p>
        </w:tc>
      </w:tr>
      <w:tr>
        <w:trPr>
          <w:trHeight w:val="115"/>
        </w:trPr>
        <w:tc>
          <w:tcPr>
            <w:tcW w:w="282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242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1180" w:type="dxa"/>
            <w:vAlign w:val="bottom"/>
            <w:tcBorders>
              <w:bottom w:val="single" w:sz="8" w:color="E31F25"/>
            </w:tcBorders>
          </w:tcPr>
          <w:p>
            <w:pPr>
              <w:jc w:val="right"/>
              <w:ind w:right="193"/>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15"/>
        </w:trPr>
        <w:tc>
          <w:tcPr>
            <w:tcW w:w="2820" w:type="dxa"/>
            <w:vAlign w:val="bottom"/>
            <w:tcBorders>
              <w:bottom w:val="single" w:sz="8" w:color="CCCCCC"/>
            </w:tcBorders>
          </w:tcPr>
          <w:p>
            <w:pPr>
              <w:ind w:left="60"/>
              <w:spacing w:after="0" w:line="115" w:lineRule="exact"/>
              <w:rPr>
                <w:sz w:val="20"/>
                <w:szCs w:val="20"/>
                <w:color w:val="auto"/>
              </w:rPr>
            </w:pPr>
            <w:r>
              <w:rPr>
                <w:rFonts w:ascii="Arial" w:cs="Arial" w:eastAsia="Arial" w:hAnsi="Arial"/>
                <w:sz w:val="8"/>
                <w:szCs w:val="8"/>
                <w:b w:val="1"/>
                <w:bCs w:val="1"/>
                <w:color w:val="D60011"/>
              </w:rPr>
              <w:t>Bracken</w:t>
            </w:r>
            <w:r>
              <w:rPr>
                <w:rFonts w:ascii="Arial" w:cs="Arial" w:eastAsia="Arial" w:hAnsi="Arial"/>
                <w:sz w:val="13"/>
                <w:szCs w:val="13"/>
                <w:color w:val="D60011"/>
                <w:vertAlign w:val="superscript"/>
              </w:rPr>
              <w:t>(1)</w:t>
            </w:r>
          </w:p>
        </w:tc>
        <w:tc>
          <w:tcPr>
            <w:tcW w:w="242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575,000</w:t>
            </w:r>
          </w:p>
        </w:tc>
        <w:tc>
          <w:tcPr>
            <w:tcW w:w="1180" w:type="dxa"/>
            <w:vAlign w:val="bottom"/>
            <w:tcBorders>
              <w:bottom w:val="single" w:sz="8" w:color="CCCCCC"/>
            </w:tcBorders>
          </w:tcPr>
          <w:p>
            <w:pPr>
              <w:jc w:val="right"/>
              <w:ind w:right="193"/>
              <w:spacing w:after="0" w:line="115" w:lineRule="exact"/>
              <w:rPr>
                <w:sz w:val="20"/>
                <w:szCs w:val="20"/>
                <w:color w:val="auto"/>
              </w:rPr>
            </w:pPr>
            <w:r>
              <w:rPr>
                <w:rFonts w:ascii="Arial" w:cs="Arial" w:eastAsia="Arial" w:hAnsi="Arial"/>
                <w:sz w:val="8"/>
                <w:szCs w:val="8"/>
                <w:color w:val="auto"/>
              </w:rPr>
              <w:t>800,000</w:t>
            </w:r>
            <w:r>
              <w:rPr>
                <w:rFonts w:ascii="Arial" w:cs="Arial" w:eastAsia="Arial" w:hAnsi="Arial"/>
                <w:sz w:val="13"/>
                <w:szCs w:val="13"/>
                <w:color w:val="auto"/>
                <w:vertAlign w:val="superscript"/>
              </w:rPr>
              <w:t>(1)</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39.1</w:t>
            </w:r>
          </w:p>
        </w:tc>
      </w:tr>
      <w:tr>
        <w:trPr>
          <w:trHeight w:val="97"/>
        </w:trPr>
        <w:tc>
          <w:tcPr>
            <w:tcW w:w="2820" w:type="dxa"/>
            <w:vAlign w:val="bottom"/>
            <w:tcBorders>
              <w:bottom w:val="single" w:sz="8" w:color="CCCCCC"/>
            </w:tcBorders>
          </w:tcPr>
          <w:p>
            <w:pPr>
              <w:ind w:left="60"/>
              <w:spacing w:after="0" w:line="97" w:lineRule="exact"/>
              <w:rPr>
                <w:sz w:val="20"/>
                <w:szCs w:val="20"/>
                <w:color w:val="auto"/>
              </w:rPr>
            </w:pPr>
            <w:r>
              <w:rPr>
                <w:rFonts w:ascii="Arial" w:cs="Arial" w:eastAsia="Arial" w:hAnsi="Arial"/>
                <w:sz w:val="10"/>
                <w:szCs w:val="10"/>
                <w:b w:val="1"/>
                <w:bCs w:val="1"/>
                <w:color w:val="D60011"/>
              </w:rPr>
              <w:t>Martin and Gray</w:t>
            </w:r>
          </w:p>
        </w:tc>
        <w:tc>
          <w:tcPr>
            <w:tcW w:w="2420" w:type="dxa"/>
            <w:vAlign w:val="bottom"/>
            <w:tcBorders>
              <w:bottom w:val="single" w:sz="8" w:color="CCCCCC"/>
            </w:tcBorders>
          </w:tcPr>
          <w:p>
            <w:pPr>
              <w:jc w:val="right"/>
              <w:ind w:right="112"/>
              <w:spacing w:after="0" w:line="97" w:lineRule="exact"/>
              <w:rPr>
                <w:sz w:val="20"/>
                <w:szCs w:val="20"/>
                <w:color w:val="auto"/>
              </w:rPr>
            </w:pPr>
            <w:r>
              <w:rPr>
                <w:rFonts w:ascii="Arial" w:cs="Arial" w:eastAsia="Arial" w:hAnsi="Arial"/>
                <w:sz w:val="10"/>
                <w:szCs w:val="10"/>
                <w:color w:val="auto"/>
              </w:rPr>
              <w:t>600,000</w:t>
            </w:r>
          </w:p>
        </w:tc>
        <w:tc>
          <w:tcPr>
            <w:tcW w:w="1180" w:type="dxa"/>
            <w:vAlign w:val="bottom"/>
            <w:tcBorders>
              <w:bottom w:val="single" w:sz="8" w:color="CCCCCC"/>
            </w:tcBorders>
          </w:tcPr>
          <w:p>
            <w:pPr>
              <w:jc w:val="right"/>
              <w:ind w:right="293"/>
              <w:spacing w:after="0" w:line="97" w:lineRule="exact"/>
              <w:rPr>
                <w:sz w:val="20"/>
                <w:szCs w:val="20"/>
                <w:color w:val="auto"/>
              </w:rPr>
            </w:pPr>
            <w:r>
              <w:rPr>
                <w:rFonts w:ascii="Arial" w:cs="Arial" w:eastAsia="Arial" w:hAnsi="Arial"/>
                <w:sz w:val="10"/>
                <w:szCs w:val="10"/>
                <w:color w:val="auto"/>
              </w:rPr>
              <w:t>615,000</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2.5</w:t>
            </w:r>
          </w:p>
        </w:tc>
      </w:tr>
      <w:tr>
        <w:trPr>
          <w:trHeight w:val="97"/>
        </w:trPr>
        <w:tc>
          <w:tcPr>
            <w:tcW w:w="2820" w:type="dxa"/>
            <w:vAlign w:val="bottom"/>
            <w:tcBorders>
              <w:bottom w:val="single" w:sz="8" w:color="E31F25"/>
            </w:tcBorders>
          </w:tcPr>
          <w:p>
            <w:pPr>
              <w:ind w:left="60"/>
              <w:spacing w:after="0" w:line="97" w:lineRule="exact"/>
              <w:rPr>
                <w:sz w:val="20"/>
                <w:szCs w:val="20"/>
                <w:color w:val="auto"/>
              </w:rPr>
            </w:pPr>
            <w:r>
              <w:rPr>
                <w:rFonts w:ascii="Arial" w:cs="Arial" w:eastAsia="Arial" w:hAnsi="Arial"/>
                <w:sz w:val="10"/>
                <w:szCs w:val="10"/>
                <w:b w:val="1"/>
                <w:bCs w:val="1"/>
                <w:color w:val="D60011"/>
              </w:rPr>
              <w:t>Talwar</w:t>
            </w:r>
          </w:p>
        </w:tc>
        <w:tc>
          <w:tcPr>
            <w:tcW w:w="2420" w:type="dxa"/>
            <w:vAlign w:val="bottom"/>
            <w:tcBorders>
              <w:bottom w:val="single" w:sz="8" w:color="E31F25"/>
            </w:tcBorders>
          </w:tcPr>
          <w:p>
            <w:pPr>
              <w:jc w:val="right"/>
              <w:ind w:right="112"/>
              <w:spacing w:after="0" w:line="97" w:lineRule="exact"/>
              <w:rPr>
                <w:sz w:val="20"/>
                <w:szCs w:val="20"/>
                <w:color w:val="auto"/>
              </w:rPr>
            </w:pPr>
            <w:r>
              <w:rPr>
                <w:rFonts w:ascii="Arial" w:cs="Arial" w:eastAsia="Arial" w:hAnsi="Arial"/>
                <w:sz w:val="10"/>
                <w:szCs w:val="10"/>
                <w:color w:val="auto"/>
              </w:rPr>
              <w:t>650,000</w:t>
            </w:r>
          </w:p>
        </w:tc>
        <w:tc>
          <w:tcPr>
            <w:tcW w:w="1180" w:type="dxa"/>
            <w:vAlign w:val="bottom"/>
            <w:tcBorders>
              <w:bottom w:val="single" w:sz="8" w:color="E31F25"/>
            </w:tcBorders>
          </w:tcPr>
          <w:p>
            <w:pPr>
              <w:jc w:val="right"/>
              <w:ind w:right="293"/>
              <w:spacing w:after="0" w:line="97" w:lineRule="exact"/>
              <w:rPr>
                <w:sz w:val="20"/>
                <w:szCs w:val="20"/>
                <w:color w:val="auto"/>
              </w:rPr>
            </w:pPr>
            <w:r>
              <w:rPr>
                <w:rFonts w:ascii="Arial" w:cs="Arial" w:eastAsia="Arial" w:hAnsi="Arial"/>
                <w:sz w:val="10"/>
                <w:szCs w:val="10"/>
                <w:color w:val="auto"/>
              </w:rPr>
              <w:t>665,000</w:t>
            </w:r>
          </w:p>
        </w:tc>
        <w:tc>
          <w:tcPr>
            <w:tcW w:w="920" w:type="dxa"/>
            <w:vAlign w:val="bottom"/>
            <w:tcBorders>
              <w:bottom w:val="single" w:sz="8" w:color="E31F25"/>
            </w:tcBorders>
          </w:tcPr>
          <w:p>
            <w:pPr>
              <w:jc w:val="right"/>
              <w:ind w:right="12"/>
              <w:spacing w:after="0" w:line="97" w:lineRule="exact"/>
              <w:rPr>
                <w:sz w:val="20"/>
                <w:szCs w:val="20"/>
                <w:color w:val="auto"/>
              </w:rPr>
            </w:pPr>
            <w:r>
              <w:rPr>
                <w:rFonts w:ascii="Arial" w:cs="Arial" w:eastAsia="Arial" w:hAnsi="Arial"/>
                <w:sz w:val="10"/>
                <w:szCs w:val="10"/>
                <w:color w:val="auto"/>
              </w:rPr>
              <w:t>2.3</w:t>
            </w:r>
          </w:p>
        </w:tc>
      </w:tr>
    </w:tbl>
    <w:p>
      <w:pPr>
        <w:spacing w:after="0" w:line="157" w:lineRule="exact"/>
        <w:rPr>
          <w:sz w:val="20"/>
          <w:szCs w:val="20"/>
          <w:color w:val="auto"/>
        </w:rPr>
      </w:pPr>
    </w:p>
    <w:p>
      <w:pPr>
        <w:ind w:left="1040" w:right="859" w:hanging="208"/>
        <w:spacing w:after="0" w:line="202" w:lineRule="auto"/>
        <w:tabs>
          <w:tab w:leader="none" w:pos="1040" w:val="left"/>
        </w:tabs>
        <w:numPr>
          <w:ilvl w:val="0"/>
          <w:numId w:val="95"/>
        </w:numPr>
        <w:rPr>
          <w:rFonts w:ascii="Arial" w:cs="Arial" w:eastAsia="Arial" w:hAnsi="Arial"/>
          <w:sz w:val="15"/>
          <w:szCs w:val="15"/>
          <w:color w:val="auto"/>
          <w:vertAlign w:val="superscript"/>
        </w:rPr>
      </w:pPr>
      <w:r>
        <w:rPr>
          <w:rFonts w:ascii="Arial" w:cs="Arial" w:eastAsia="Arial" w:hAnsi="Arial"/>
          <w:sz w:val="9"/>
          <w:szCs w:val="9"/>
          <w:color w:val="auto"/>
        </w:rPr>
        <w:t>Mr. Bracken received an increase in his annual base salary to $615,000, effective May 2021, based on his performance and a position-oriented analysis of market salary. Mr. Bracken was promoted to Executive Vice President and Chief Operating Officer in November 2021 and received a salary increase to $800,000.</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92075</wp:posOffset>
            </wp:positionV>
            <wp:extent cx="4406265" cy="400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406265"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40" w:right="879"/>
        <w:spacing w:after="0" w:line="248" w:lineRule="auto"/>
        <w:rPr>
          <w:sz w:val="20"/>
          <w:szCs w:val="20"/>
          <w:color w:val="auto"/>
        </w:rPr>
      </w:pPr>
      <w:r>
        <w:rPr>
          <w:rFonts w:ascii="Arial" w:cs="Arial" w:eastAsia="Arial" w:hAnsi="Arial"/>
          <w:sz w:val="11"/>
          <w:szCs w:val="11"/>
          <w:color w:val="auto"/>
        </w:rPr>
        <w:t>Consistent with our pay-for-performance culture, the Human Capital Committee established rigorous Adjusted Pre-Tax Income and NPS targets for 2021. The targets the Human Capital Committee established were based on the Company achieving Adjusted Pre-Tax Income of $668.4 million (which accounts for 80% of the payout), and a certain NPS score (which accounts for 20% of the payout), each as illustrated below. We drove strong Adjusted Pre-Tax Income in 2021, particularly given the COVID-19 pandemic and supply chain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73660</wp:posOffset>
            </wp:positionV>
            <wp:extent cx="4406265" cy="18516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40626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40" w:right="859"/>
        <w:spacing w:after="0" w:line="244" w:lineRule="auto"/>
        <w:rPr>
          <w:sz w:val="20"/>
          <w:szCs w:val="20"/>
          <w:color w:val="auto"/>
        </w:rPr>
      </w:pPr>
      <w:r>
        <w:rPr>
          <w:rFonts w:ascii="Arial" w:cs="Arial" w:eastAsia="Arial" w:hAnsi="Arial"/>
          <w:sz w:val="11"/>
          <w:szCs w:val="11"/>
          <w:color w:val="auto"/>
        </w:rPr>
        <w:t>The Human Capital Committee established Adjusted Pre-Tax Income as one of the performance targets in connection with the Annual Incentive Plan in 2021. This was a return to our long-standing practice after the disruptions caused by COVID-19 pandemic and social unrest in 2020, which had resulted in store closures. In 2020, sales had been established as a performance metric under the Annual Incentive Plan to allow for measurement based on when stores were open. The Annual Incentive Plan Adjusted Pre-Tax Income metric is calculated by deducting the following items from our non-GAAP income: the income related to completed acquisitions ($18 million), the income associated with minority investments ($69 million), and the effect of COVID-19 on our results ($85 million).</w:t>
      </w:r>
    </w:p>
    <w:p>
      <w:pPr>
        <w:spacing w:after="0" w:line="105" w:lineRule="exact"/>
        <w:rPr>
          <w:sz w:val="20"/>
          <w:szCs w:val="20"/>
          <w:color w:val="auto"/>
        </w:rPr>
      </w:pPr>
    </w:p>
    <w:p>
      <w:pPr>
        <w:ind w:left="1520" w:hanging="388"/>
        <w:spacing w:after="0"/>
        <w:tabs>
          <w:tab w:leader="none" w:pos="1520" w:val="left"/>
        </w:tabs>
        <w:numPr>
          <w:ilvl w:val="0"/>
          <w:numId w:val="96"/>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62" w:name="page63"/>
    <w:bookmarkEnd w:id="62"/>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FINANCIAL PERFORMANCE</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ADJUSTED PRE-TAX INCOME</w:t>
      </w:r>
    </w:p>
    <w:p>
      <w:pPr>
        <w:ind w:left="1980" w:right="2360"/>
        <w:spacing w:after="0" w:line="262" w:lineRule="auto"/>
        <w:rPr>
          <w:sz w:val="20"/>
          <w:szCs w:val="20"/>
          <w:color w:val="auto"/>
        </w:rPr>
      </w:pPr>
      <w:r>
        <w:rPr>
          <w:rFonts w:ascii="Arial" w:cs="Arial" w:eastAsia="Arial" w:hAnsi="Arial"/>
          <w:sz w:val="10"/>
          <w:szCs w:val="10"/>
          <w:color w:val="auto"/>
        </w:rPr>
        <w:t>The Human Capital Committee established the 2021 Adjusted Pre-Tax Income target of $668.4 million based upon the business plan and budget reviewed each year by our Finance Committee and approved by the Board. Messrs. Johnson, Page, and Gray earned annual incentive payouts of</w:t>
      </w:r>
    </w:p>
    <w:p>
      <w:pPr>
        <w:spacing w:after="0" w:line="1" w:lineRule="exact"/>
        <w:rPr>
          <w:sz w:val="20"/>
          <w:szCs w:val="20"/>
          <w:color w:val="auto"/>
        </w:rPr>
      </w:pPr>
    </w:p>
    <w:p>
      <w:pPr>
        <w:ind w:left="1980" w:right="2060"/>
        <w:spacing w:after="0" w:line="249" w:lineRule="auto"/>
        <w:rPr>
          <w:sz w:val="20"/>
          <w:szCs w:val="20"/>
          <w:color w:val="auto"/>
        </w:rPr>
      </w:pPr>
      <w:r>
        <w:rPr>
          <w:rFonts w:ascii="Arial" w:cs="Arial" w:eastAsia="Arial" w:hAnsi="Arial"/>
          <w:sz w:val="11"/>
          <w:szCs w:val="11"/>
          <w:color w:val="auto"/>
        </w:rPr>
        <w:t>181.3% of their respective target awards based on strong performance against the goal. Mr. Page was appointed in 2021, so his payout was prorated for the 2021 performance period.</w:t>
      </w:r>
    </w:p>
    <w:p>
      <w:pPr>
        <w:spacing w:after="0" w:line="106" w:lineRule="exact"/>
        <w:rPr>
          <w:sz w:val="20"/>
          <w:szCs w:val="20"/>
          <w:color w:val="auto"/>
        </w:rPr>
      </w:pPr>
    </w:p>
    <w:p>
      <w:pPr>
        <w:ind w:left="1980" w:right="2240"/>
        <w:spacing w:after="0" w:line="253" w:lineRule="auto"/>
        <w:rPr>
          <w:sz w:val="20"/>
          <w:szCs w:val="20"/>
          <w:color w:val="auto"/>
        </w:rPr>
      </w:pPr>
      <w:r>
        <w:rPr>
          <w:rFonts w:ascii="Arial" w:cs="Arial" w:eastAsia="Arial" w:hAnsi="Arial"/>
          <w:sz w:val="11"/>
          <w:szCs w:val="11"/>
          <w:color w:val="auto"/>
        </w:rPr>
        <w:t>As a division executive, Mr. Martin’s annual incentive awards were based on the Company’s Adjusted Pre-Tax Income (weighted 20%), division profit (weighted 60%), and division NPS (weighted 20%). Mr. Martin earned an annual incentive payout of 186.7% of his target award based on strong performance against these goals.</w:t>
      </w:r>
    </w:p>
    <w:p>
      <w:pPr>
        <w:spacing w:after="0" w:line="104" w:lineRule="exact"/>
        <w:rPr>
          <w:sz w:val="20"/>
          <w:szCs w:val="20"/>
          <w:color w:val="auto"/>
        </w:rPr>
      </w:pPr>
    </w:p>
    <w:p>
      <w:pPr>
        <w:ind w:left="1980" w:right="2300"/>
        <w:spacing w:after="0" w:line="290" w:lineRule="auto"/>
        <w:rPr>
          <w:sz w:val="20"/>
          <w:szCs w:val="20"/>
          <w:color w:val="auto"/>
        </w:rPr>
      </w:pPr>
      <w:r>
        <w:rPr>
          <w:rFonts w:ascii="Arial" w:cs="Arial" w:eastAsia="Arial" w:hAnsi="Arial"/>
          <w:sz w:val="10"/>
          <w:szCs w:val="10"/>
          <w:color w:val="auto"/>
        </w:rPr>
        <w:t>During 2021, Mr. Bracken served as Executive Vice President and Chief Executive Officer—North America until November 15, 2021, and then as Executive Vice President and Chief Operating Officer, so his annual incentive award was prorated between division and corporate performance. Mr. Bracken earned annual incentive payouts of 178.7% and 181.3% of his prorated target awards for his division and corporate roles, respectively.</w:t>
      </w:r>
    </w:p>
    <w:p>
      <w:pPr>
        <w:spacing w:after="0" w:line="87" w:lineRule="exact"/>
        <w:rPr>
          <w:sz w:val="20"/>
          <w:szCs w:val="20"/>
          <w:color w:val="auto"/>
        </w:rPr>
      </w:pPr>
    </w:p>
    <w:p>
      <w:pPr>
        <w:ind w:left="1980" w:right="2440"/>
        <w:spacing w:after="0" w:line="268" w:lineRule="auto"/>
        <w:rPr>
          <w:sz w:val="20"/>
          <w:szCs w:val="20"/>
          <w:color w:val="auto"/>
        </w:rPr>
      </w:pPr>
      <w:r>
        <w:rPr>
          <w:rFonts w:ascii="Arial" w:cs="Arial" w:eastAsia="Arial" w:hAnsi="Arial"/>
          <w:sz w:val="11"/>
          <w:szCs w:val="11"/>
          <w:color w:val="auto"/>
        </w:rPr>
        <w:t>Ms. Peters and Mr. Talwar’s employment with the Company terminated prior to the end of 2021; they were, therefore, ineligible to receive annual incentive payouts.</w:t>
      </w:r>
    </w:p>
    <w:p>
      <w:pPr>
        <w:spacing w:after="0" w:line="96" w:lineRule="exact"/>
        <w:rPr>
          <w:sz w:val="20"/>
          <w:szCs w:val="20"/>
          <w:color w:val="auto"/>
        </w:rPr>
      </w:pPr>
    </w:p>
    <w:p>
      <w:pPr>
        <w:ind w:left="1980" w:right="2580"/>
        <w:spacing w:after="0" w:line="268" w:lineRule="auto"/>
        <w:rPr>
          <w:sz w:val="20"/>
          <w:szCs w:val="20"/>
          <w:color w:val="auto"/>
        </w:rPr>
      </w:pPr>
      <w:r>
        <w:rPr>
          <w:rFonts w:ascii="Arial" w:cs="Arial" w:eastAsia="Arial" w:hAnsi="Arial"/>
          <w:sz w:val="11"/>
          <w:szCs w:val="11"/>
          <w:color w:val="auto"/>
        </w:rPr>
        <w:t>In 2021, the Company’s Adjusted Pre-Tax Income was based on the following banners for each of the North America, EMEA, and Asia Pacific 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66040</wp:posOffset>
            </wp:positionV>
            <wp:extent cx="4406265" cy="1028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40626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60" w:right="2300" w:hanging="188"/>
        <w:spacing w:after="0" w:line="186" w:lineRule="auto"/>
        <w:tabs>
          <w:tab w:leader="none" w:pos="2160" w:val="left"/>
        </w:tabs>
        <w:numPr>
          <w:ilvl w:val="0"/>
          <w:numId w:val="97"/>
        </w:numPr>
        <w:rPr>
          <w:rFonts w:ascii="Arial" w:cs="Arial" w:eastAsia="Arial" w:hAnsi="Arial"/>
          <w:sz w:val="16"/>
          <w:szCs w:val="16"/>
          <w:color w:val="auto"/>
          <w:vertAlign w:val="superscript"/>
        </w:rPr>
      </w:pPr>
      <w:r>
        <w:rPr>
          <w:rFonts w:ascii="Arial" w:cs="Arial" w:eastAsia="Arial" w:hAnsi="Arial"/>
          <w:sz w:val="10"/>
          <w:szCs w:val="10"/>
          <w:color w:val="auto"/>
        </w:rPr>
        <w:t>For 2021, atmos was excluded from the Company’s Adjusted Pre-Tax Income because this banner was acquired in November 2021 and was, therefore, not included in the Company’s targets at the time they were set by the Human Capital Committee.</w:t>
      </w:r>
    </w:p>
    <w:p>
      <w:pPr>
        <w:spacing w:after="0" w:line="20" w:lineRule="exact"/>
        <w:rPr>
          <w:rFonts w:ascii="Arial" w:cs="Arial" w:eastAsia="Arial" w:hAnsi="Arial"/>
          <w:sz w:val="16"/>
          <w:szCs w:val="16"/>
          <w:color w:val="auto"/>
          <w:vertAlign w:val="superscript"/>
        </w:rPr>
      </w:pPr>
    </w:p>
    <w:p>
      <w:pPr>
        <w:ind w:left="2160" w:right="2000" w:hanging="188"/>
        <w:spacing w:after="0" w:line="186" w:lineRule="auto"/>
        <w:tabs>
          <w:tab w:leader="none" w:pos="2160" w:val="left"/>
        </w:tabs>
        <w:numPr>
          <w:ilvl w:val="0"/>
          <w:numId w:val="97"/>
        </w:numPr>
        <w:rPr>
          <w:rFonts w:ascii="Arial" w:cs="Arial" w:eastAsia="Arial" w:hAnsi="Arial"/>
          <w:sz w:val="16"/>
          <w:szCs w:val="16"/>
          <w:color w:val="auto"/>
          <w:vertAlign w:val="superscript"/>
        </w:rPr>
      </w:pPr>
      <w:r>
        <w:rPr>
          <w:rFonts w:ascii="Arial" w:cs="Arial" w:eastAsia="Arial" w:hAnsi="Arial"/>
          <w:sz w:val="10"/>
          <w:szCs w:val="10"/>
          <w:color w:val="auto"/>
        </w:rPr>
        <w:t>For 2021, WSS was excluded from the Company’s Adjusted Pre-Tax Income because this banner was acquired in September 2021 and was, therefore, not included in the Company’s targets at the time they were set by the Human Capital Committee.</w:t>
      </w:r>
    </w:p>
    <w:p>
      <w:pPr>
        <w:spacing w:after="0" w:line="106" w:lineRule="exact"/>
        <w:rPr>
          <w:sz w:val="20"/>
          <w:szCs w:val="20"/>
          <w:color w:val="auto"/>
        </w:rPr>
      </w:pPr>
    </w:p>
    <w:p>
      <w:pPr>
        <w:ind w:left="1980" w:right="2080"/>
        <w:spacing w:after="0" w:line="248" w:lineRule="auto"/>
        <w:rPr>
          <w:sz w:val="20"/>
          <w:szCs w:val="20"/>
          <w:color w:val="auto"/>
        </w:rPr>
      </w:pPr>
      <w:r>
        <w:rPr>
          <w:rFonts w:ascii="Arial" w:cs="Arial" w:eastAsia="Arial" w:hAnsi="Arial"/>
          <w:sz w:val="11"/>
          <w:szCs w:val="11"/>
          <w:color w:val="auto"/>
        </w:rPr>
        <w:t>For competitive reasons, we do not disclose the Adjusted Pre-Tax Income targets for the North America, EMEA, or Asia Pacific divisions, as we do not publicly disclose results of these divisions on a separate basis, and we consider it competitively harmful to make that information public. Our objective is to set challenging performance goals throughout the Company. We believe that achieving these challenging performance goals for these divisions is demanding.</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NPS</w:t>
      </w:r>
    </w:p>
    <w:p>
      <w:pPr>
        <w:spacing w:after="0" w:line="10" w:lineRule="exact"/>
        <w:rPr>
          <w:sz w:val="20"/>
          <w:szCs w:val="20"/>
          <w:color w:val="auto"/>
        </w:rPr>
      </w:pPr>
    </w:p>
    <w:p>
      <w:pPr>
        <w:ind w:left="1980" w:right="2040"/>
        <w:spacing w:after="0" w:line="249" w:lineRule="auto"/>
        <w:rPr>
          <w:sz w:val="20"/>
          <w:szCs w:val="20"/>
          <w:color w:val="auto"/>
        </w:rPr>
      </w:pPr>
      <w:r>
        <w:rPr>
          <w:rFonts w:ascii="Arial" w:cs="Arial" w:eastAsia="Arial" w:hAnsi="Arial"/>
          <w:sz w:val="11"/>
          <w:szCs w:val="11"/>
          <w:color w:val="auto"/>
        </w:rPr>
        <w:t>The Human Capital Committee established NPS targets for the NEOs. NPS is a metric used to measure customer experience and predict future business growth. NPS is calculated using the answers to questions posed to customers scored on a 0-10 scale. Respondents are grouped as follows:</w:t>
      </w:r>
    </w:p>
    <w:p>
      <w:pPr>
        <w:spacing w:after="0" w:line="106" w:lineRule="exact"/>
        <w:rPr>
          <w:sz w:val="20"/>
          <w:szCs w:val="20"/>
          <w:color w:val="auto"/>
        </w:rPr>
      </w:pPr>
    </w:p>
    <w:p>
      <w:pPr>
        <w:ind w:left="2180" w:hanging="208"/>
        <w:spacing w:after="0"/>
        <w:tabs>
          <w:tab w:leader="none" w:pos="2180" w:val="left"/>
        </w:tabs>
        <w:numPr>
          <w:ilvl w:val="0"/>
          <w:numId w:val="98"/>
        </w:numPr>
        <w:rPr>
          <w:rFonts w:ascii="Arial" w:cs="Arial" w:eastAsia="Arial" w:hAnsi="Arial"/>
          <w:sz w:val="11"/>
          <w:szCs w:val="11"/>
          <w:color w:val="D60011"/>
        </w:rPr>
      </w:pPr>
      <w:r>
        <w:rPr>
          <w:rFonts w:ascii="Arial" w:cs="Arial" w:eastAsia="Arial" w:hAnsi="Arial"/>
          <w:sz w:val="11"/>
          <w:szCs w:val="11"/>
          <w:b w:val="1"/>
          <w:bCs w:val="1"/>
          <w:color w:val="D60011"/>
        </w:rPr>
        <w:t xml:space="preserve">Promoters </w:t>
      </w:r>
      <w:r>
        <w:rPr>
          <w:rFonts w:ascii="Arial" w:cs="Arial" w:eastAsia="Arial" w:hAnsi="Arial"/>
          <w:sz w:val="11"/>
          <w:szCs w:val="11"/>
          <w:color w:val="000000"/>
        </w:rPr>
        <w:t>(score 9-10) are loyal enthusiasts who will keep buying and refer others, fueling growth.</w:t>
      </w:r>
    </w:p>
    <w:p>
      <w:pPr>
        <w:spacing w:after="0" w:line="125" w:lineRule="exact"/>
        <w:rPr>
          <w:rFonts w:ascii="Arial" w:cs="Arial" w:eastAsia="Arial" w:hAnsi="Arial"/>
          <w:sz w:val="11"/>
          <w:szCs w:val="11"/>
          <w:color w:val="D60011"/>
        </w:rPr>
      </w:pPr>
    </w:p>
    <w:p>
      <w:pPr>
        <w:ind w:left="2180" w:hanging="208"/>
        <w:spacing w:after="0"/>
        <w:tabs>
          <w:tab w:leader="none" w:pos="2180" w:val="left"/>
        </w:tabs>
        <w:numPr>
          <w:ilvl w:val="0"/>
          <w:numId w:val="98"/>
        </w:numPr>
        <w:rPr>
          <w:rFonts w:ascii="Arial" w:cs="Arial" w:eastAsia="Arial" w:hAnsi="Arial"/>
          <w:sz w:val="11"/>
          <w:szCs w:val="11"/>
          <w:color w:val="D60011"/>
        </w:rPr>
      </w:pPr>
      <w:r>
        <w:rPr>
          <w:rFonts w:ascii="Arial" w:cs="Arial" w:eastAsia="Arial" w:hAnsi="Arial"/>
          <w:sz w:val="11"/>
          <w:szCs w:val="11"/>
          <w:b w:val="1"/>
          <w:bCs w:val="1"/>
          <w:color w:val="D60011"/>
        </w:rPr>
        <w:t xml:space="preserve">Passives </w:t>
      </w:r>
      <w:r>
        <w:rPr>
          <w:rFonts w:ascii="Arial" w:cs="Arial" w:eastAsia="Arial" w:hAnsi="Arial"/>
          <w:sz w:val="11"/>
          <w:szCs w:val="11"/>
          <w:color w:val="000000"/>
        </w:rPr>
        <w:t>(score 7-8) are satisfied but unenthusiastic customers who are vulnerable to competitive offerings.</w:t>
      </w:r>
    </w:p>
    <w:p>
      <w:pPr>
        <w:spacing w:after="0" w:line="125" w:lineRule="exact"/>
        <w:rPr>
          <w:rFonts w:ascii="Arial" w:cs="Arial" w:eastAsia="Arial" w:hAnsi="Arial"/>
          <w:sz w:val="11"/>
          <w:szCs w:val="11"/>
          <w:color w:val="D60011"/>
        </w:rPr>
      </w:pPr>
    </w:p>
    <w:p>
      <w:pPr>
        <w:ind w:left="2180" w:hanging="208"/>
        <w:spacing w:after="0"/>
        <w:tabs>
          <w:tab w:leader="none" w:pos="2180" w:val="left"/>
        </w:tabs>
        <w:numPr>
          <w:ilvl w:val="0"/>
          <w:numId w:val="98"/>
        </w:numPr>
        <w:rPr>
          <w:rFonts w:ascii="Arial" w:cs="Arial" w:eastAsia="Arial" w:hAnsi="Arial"/>
          <w:sz w:val="11"/>
          <w:szCs w:val="11"/>
          <w:color w:val="D60011"/>
        </w:rPr>
      </w:pPr>
      <w:r>
        <w:rPr>
          <w:rFonts w:ascii="Arial" w:cs="Arial" w:eastAsia="Arial" w:hAnsi="Arial"/>
          <w:sz w:val="11"/>
          <w:szCs w:val="11"/>
          <w:b w:val="1"/>
          <w:bCs w:val="1"/>
          <w:color w:val="D60011"/>
        </w:rPr>
        <w:t xml:space="preserve">Detractors </w:t>
      </w:r>
      <w:r>
        <w:rPr>
          <w:rFonts w:ascii="Arial" w:cs="Arial" w:eastAsia="Arial" w:hAnsi="Arial"/>
          <w:sz w:val="11"/>
          <w:szCs w:val="11"/>
          <w:color w:val="000000"/>
        </w:rPr>
        <w:t>(score 0-6) are unhappy customers who can damage the brand and impede growth through negative word-of-mouth.</w:t>
      </w:r>
    </w:p>
    <w:p>
      <w:pPr>
        <w:spacing w:after="0" w:line="126" w:lineRule="exact"/>
        <w:rPr>
          <w:sz w:val="20"/>
          <w:szCs w:val="20"/>
          <w:color w:val="auto"/>
        </w:rPr>
      </w:pPr>
    </w:p>
    <w:p>
      <w:pPr>
        <w:ind w:left="1980" w:right="2060"/>
        <w:spacing w:after="0" w:line="243" w:lineRule="auto"/>
        <w:rPr>
          <w:sz w:val="20"/>
          <w:szCs w:val="20"/>
          <w:color w:val="auto"/>
        </w:rPr>
      </w:pPr>
      <w:r>
        <w:rPr>
          <w:rFonts w:ascii="Arial" w:cs="Arial" w:eastAsia="Arial" w:hAnsi="Arial"/>
          <w:sz w:val="11"/>
          <w:szCs w:val="11"/>
          <w:color w:val="auto"/>
        </w:rPr>
        <w:t>Subtracting the percentage of Detractors from the percentage of Promoters yields the NPS, which can range from a low of -100% (if every customer is a Detractor) to a high of 100% (if every customer is a Promoter). The Human Capital Committee established three touchpoints for measuring NPS by each geographic region, each of which is assessed as a stand-alone performance to allow for balanced focus on each area of opportunity to improve an “omni-” customer experience: Store Post-Purchase, Digital Post-Purchase, and Post-Fulfillment. The survey responses are aggregated by region (North America, EMEA, and Asia Pacific) and are scored individually by touchpoint. Each customer touchpoint has its own threshold, target, and maximum, but they ultimately roll up into one payout percentage. The evaluation of full-year NPS utilizes the Company’s global performance management rating scale, in which performance can range from 25% to 200% based on the relative achievement of the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76200</wp:posOffset>
            </wp:positionV>
            <wp:extent cx="365760" cy="222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57</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63" w:name="page64"/>
    <w:bookmarkEnd w:id="63"/>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ESG</w:t>
      </w:r>
    </w:p>
    <w:p>
      <w:pPr>
        <w:spacing w:after="0" w:line="10" w:lineRule="exact"/>
        <w:rPr>
          <w:sz w:val="20"/>
          <w:szCs w:val="20"/>
          <w:color w:val="auto"/>
        </w:rPr>
      </w:pPr>
    </w:p>
    <w:p>
      <w:pPr>
        <w:ind w:left="840" w:right="939"/>
        <w:spacing w:after="0" w:line="249" w:lineRule="auto"/>
        <w:rPr>
          <w:sz w:val="20"/>
          <w:szCs w:val="20"/>
          <w:color w:val="auto"/>
        </w:rPr>
      </w:pPr>
      <w:r>
        <w:rPr>
          <w:rFonts w:ascii="Arial" w:cs="Arial" w:eastAsia="Arial" w:hAnsi="Arial"/>
          <w:sz w:val="11"/>
          <w:szCs w:val="11"/>
          <w:color w:val="auto"/>
        </w:rPr>
        <w:t>NPS is an ESG metric because it measures customer satisfaction and brand perception, which are dependent on factors that include ESG. Key features of NPS are:</w:t>
      </w:r>
    </w:p>
    <w:p>
      <w:pPr>
        <w:spacing w:after="0" w:line="124" w:lineRule="exact"/>
        <w:rPr>
          <w:sz w:val="20"/>
          <w:szCs w:val="20"/>
          <w:color w:val="auto"/>
        </w:rPr>
      </w:pPr>
    </w:p>
    <w:tbl>
      <w:tblPr>
        <w:tblLayout w:type="fixed"/>
        <w:tblInd w:w="840" w:type="dxa"/>
        <w:tblCellMar>
          <w:top w:w="0" w:type="dxa"/>
          <w:left w:w="0" w:type="dxa"/>
          <w:bottom w:w="0" w:type="dxa"/>
          <w:right w:w="0" w:type="dxa"/>
        </w:tblCellMar>
      </w:tblPr>
      <w:tr>
        <w:trPr>
          <w:trHeight w:val="150"/>
        </w:trPr>
        <w:tc>
          <w:tcPr>
            <w:tcW w:w="960" w:type="dxa"/>
            <w:vAlign w:val="bottom"/>
            <w:tcBorders>
              <w:bottom w:val="single" w:sz="8" w:color="E31F25"/>
            </w:tcBorders>
          </w:tcPr>
          <w:p>
            <w:pPr>
              <w:spacing w:after="0"/>
              <w:rPr>
                <w:sz w:val="20"/>
                <w:szCs w:val="20"/>
                <w:color w:val="auto"/>
              </w:rPr>
            </w:pPr>
            <w:r>
              <w:rPr>
                <w:rFonts w:ascii="Arial" w:cs="Arial" w:eastAsia="Arial" w:hAnsi="Arial"/>
                <w:sz w:val="11"/>
                <w:szCs w:val="11"/>
                <w:b w:val="1"/>
                <w:bCs w:val="1"/>
                <w:color w:val="auto"/>
              </w:rPr>
              <w:t>Feature</w:t>
            </w:r>
          </w:p>
        </w:tc>
        <w:tc>
          <w:tcPr>
            <w:tcW w:w="6380" w:type="dxa"/>
            <w:vAlign w:val="bottom"/>
            <w:tcBorders>
              <w:bottom w:val="single" w:sz="8" w:color="E31F25"/>
            </w:tcBorders>
          </w:tcPr>
          <w:p>
            <w:pPr>
              <w:ind w:left="22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27"/>
        </w:trPr>
        <w:tc>
          <w:tcPr>
            <w:tcW w:w="960" w:type="dxa"/>
            <w:vAlign w:val="bottom"/>
            <w:vMerge w:val="restart"/>
          </w:tcPr>
          <w:p>
            <w:pPr>
              <w:spacing w:after="0"/>
              <w:rPr>
                <w:sz w:val="20"/>
                <w:szCs w:val="20"/>
                <w:color w:val="auto"/>
              </w:rPr>
            </w:pPr>
            <w:r>
              <w:rPr>
                <w:rFonts w:ascii="Arial" w:cs="Arial" w:eastAsia="Arial" w:hAnsi="Arial"/>
                <w:sz w:val="11"/>
                <w:szCs w:val="11"/>
                <w:b w:val="1"/>
                <w:bCs w:val="1"/>
                <w:color w:val="D60011"/>
              </w:rPr>
              <w:t>Linked to ESG</w:t>
            </w:r>
          </w:p>
        </w:tc>
        <w:tc>
          <w:tcPr>
            <w:tcW w:w="6380" w:type="dxa"/>
            <w:vAlign w:val="bottom"/>
          </w:tcPr>
          <w:p>
            <w:pPr>
              <w:ind w:left="220"/>
              <w:spacing w:after="0"/>
              <w:rPr>
                <w:sz w:val="20"/>
                <w:szCs w:val="20"/>
                <w:color w:val="auto"/>
              </w:rPr>
            </w:pPr>
            <w:r>
              <w:rPr>
                <w:rFonts w:ascii="Arial" w:cs="Arial" w:eastAsia="Arial" w:hAnsi="Arial"/>
                <w:sz w:val="11"/>
                <w:szCs w:val="11"/>
                <w:color w:val="auto"/>
                <w:w w:val="97"/>
              </w:rPr>
              <w:t>“Leveraging the Power of Our People and Communities” is one of the four pillars of our global ESG program focused on ensuring</w:t>
            </w:r>
          </w:p>
        </w:tc>
        <w:tc>
          <w:tcPr>
            <w:tcW w:w="0" w:type="dxa"/>
            <w:vAlign w:val="bottom"/>
          </w:tcPr>
          <w:p>
            <w:pPr>
              <w:spacing w:after="0"/>
              <w:rPr>
                <w:sz w:val="1"/>
                <w:szCs w:val="1"/>
                <w:color w:val="auto"/>
              </w:rPr>
            </w:pPr>
          </w:p>
        </w:tc>
      </w:tr>
      <w:tr>
        <w:trPr>
          <w:trHeight w:val="63"/>
        </w:trPr>
        <w:tc>
          <w:tcPr>
            <w:tcW w:w="960" w:type="dxa"/>
            <w:vAlign w:val="bottom"/>
            <w:vMerge w:val="continue"/>
          </w:tcPr>
          <w:p>
            <w:pPr>
              <w:spacing w:after="0"/>
              <w:rPr>
                <w:sz w:val="5"/>
                <w:szCs w:val="5"/>
                <w:color w:val="auto"/>
              </w:rPr>
            </w:pPr>
          </w:p>
        </w:tc>
        <w:tc>
          <w:tcPr>
            <w:tcW w:w="6380" w:type="dxa"/>
            <w:vAlign w:val="bottom"/>
            <w:vMerge w:val="restart"/>
          </w:tcPr>
          <w:p>
            <w:pPr>
              <w:ind w:left="220"/>
              <w:spacing w:after="0"/>
              <w:rPr>
                <w:sz w:val="20"/>
                <w:szCs w:val="20"/>
                <w:color w:val="auto"/>
              </w:rPr>
            </w:pPr>
            <w:r>
              <w:rPr>
                <w:rFonts w:ascii="Arial" w:cs="Arial" w:eastAsia="Arial" w:hAnsi="Arial"/>
                <w:sz w:val="11"/>
                <w:szCs w:val="11"/>
                <w:color w:val="auto"/>
              </w:rPr>
              <w:t>that our customers enjoy world-class engagement and an environment that encourages the pursuit of excellence every day in</w:t>
            </w:r>
          </w:p>
        </w:tc>
        <w:tc>
          <w:tcPr>
            <w:tcW w:w="0" w:type="dxa"/>
            <w:vAlign w:val="bottom"/>
          </w:tcPr>
          <w:p>
            <w:pPr>
              <w:spacing w:after="0"/>
              <w:rPr>
                <w:sz w:val="1"/>
                <w:szCs w:val="1"/>
                <w:color w:val="auto"/>
              </w:rPr>
            </w:pPr>
          </w:p>
        </w:tc>
      </w:tr>
      <w:tr>
        <w:trPr>
          <w:trHeight w:val="63"/>
        </w:trPr>
        <w:tc>
          <w:tcPr>
            <w:tcW w:w="960" w:type="dxa"/>
            <w:vAlign w:val="bottom"/>
            <w:vMerge w:val="restart"/>
          </w:tcPr>
          <w:p>
            <w:pPr>
              <w:spacing w:after="0"/>
              <w:rPr>
                <w:sz w:val="20"/>
                <w:szCs w:val="20"/>
                <w:color w:val="auto"/>
              </w:rPr>
            </w:pPr>
            <w:r>
              <w:rPr>
                <w:rFonts w:ascii="Arial" w:cs="Arial" w:eastAsia="Arial" w:hAnsi="Arial"/>
                <w:sz w:val="11"/>
                <w:szCs w:val="11"/>
                <w:b w:val="1"/>
                <w:bCs w:val="1"/>
                <w:color w:val="D60011"/>
              </w:rPr>
              <w:t>Program</w:t>
            </w:r>
          </w:p>
        </w:tc>
        <w:tc>
          <w:tcPr>
            <w:tcW w:w="6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960" w:type="dxa"/>
            <w:vAlign w:val="bottom"/>
            <w:vMerge w:val="continue"/>
          </w:tcPr>
          <w:p>
            <w:pPr>
              <w:spacing w:after="0"/>
              <w:rPr>
                <w:sz w:val="7"/>
                <w:szCs w:val="7"/>
                <w:color w:val="auto"/>
              </w:rPr>
            </w:pPr>
          </w:p>
        </w:tc>
        <w:tc>
          <w:tcPr>
            <w:tcW w:w="6380" w:type="dxa"/>
            <w:vAlign w:val="bottom"/>
            <w:vMerge w:val="restart"/>
          </w:tcPr>
          <w:p>
            <w:pPr>
              <w:ind w:left="220"/>
              <w:spacing w:after="0"/>
              <w:rPr>
                <w:sz w:val="20"/>
                <w:szCs w:val="20"/>
                <w:color w:val="auto"/>
              </w:rPr>
            </w:pPr>
            <w:r>
              <w:rPr>
                <w:rFonts w:ascii="Arial" w:cs="Arial" w:eastAsia="Arial" w:hAnsi="Arial"/>
                <w:sz w:val="11"/>
                <w:szCs w:val="11"/>
                <w:color w:val="auto"/>
              </w:rPr>
              <w:t xml:space="preserve">our purpose to </w:t>
            </w:r>
            <w:r>
              <w:rPr>
                <w:rFonts w:ascii="Arial" w:cs="Arial" w:eastAsia="Arial" w:hAnsi="Arial"/>
                <w:sz w:val="11"/>
                <w:szCs w:val="11"/>
                <w:b w:val="1"/>
                <w:bCs w:val="1"/>
                <w:color w:val="D60011"/>
              </w:rPr>
              <w:t>inspire and empower youth culture.</w:t>
            </w:r>
          </w:p>
        </w:tc>
        <w:tc>
          <w:tcPr>
            <w:tcW w:w="0" w:type="dxa"/>
            <w:vAlign w:val="bottom"/>
          </w:tcPr>
          <w:p>
            <w:pPr>
              <w:spacing w:after="0"/>
              <w:rPr>
                <w:sz w:val="1"/>
                <w:szCs w:val="1"/>
                <w:color w:val="auto"/>
              </w:rPr>
            </w:pPr>
          </w:p>
        </w:tc>
      </w:tr>
      <w:tr>
        <w:trPr>
          <w:trHeight w:val="66"/>
        </w:trPr>
        <w:tc>
          <w:tcPr>
            <w:tcW w:w="960" w:type="dxa"/>
            <w:vAlign w:val="bottom"/>
            <w:tcBorders>
              <w:bottom w:val="single" w:sz="8" w:color="CCCCCC"/>
            </w:tcBorders>
          </w:tcPr>
          <w:p>
            <w:pPr>
              <w:spacing w:after="0"/>
              <w:rPr>
                <w:sz w:val="5"/>
                <w:szCs w:val="5"/>
                <w:color w:val="auto"/>
              </w:rPr>
            </w:pPr>
          </w:p>
        </w:tc>
        <w:tc>
          <w:tcPr>
            <w:tcW w:w="6380" w:type="dxa"/>
            <w:vAlign w:val="bottom"/>
            <w:tcBorders>
              <w:bottom w:val="single" w:sz="8" w:color="CCCC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960" w:type="dxa"/>
            <w:vAlign w:val="bottom"/>
            <w:vMerge w:val="restart"/>
          </w:tcPr>
          <w:p>
            <w:pPr>
              <w:spacing w:after="0"/>
              <w:rPr>
                <w:sz w:val="20"/>
                <w:szCs w:val="20"/>
                <w:color w:val="auto"/>
              </w:rPr>
            </w:pPr>
            <w:r>
              <w:rPr>
                <w:rFonts w:ascii="Arial" w:cs="Arial" w:eastAsia="Arial" w:hAnsi="Arial"/>
                <w:sz w:val="11"/>
                <w:szCs w:val="11"/>
                <w:b w:val="1"/>
                <w:bCs w:val="1"/>
                <w:color w:val="D60011"/>
              </w:rPr>
              <w:t>Reputational</w:t>
            </w:r>
          </w:p>
        </w:tc>
        <w:tc>
          <w:tcPr>
            <w:tcW w:w="6380" w:type="dxa"/>
            <w:vAlign w:val="bottom"/>
          </w:tcPr>
          <w:p>
            <w:pPr>
              <w:ind w:left="220"/>
              <w:spacing w:after="0"/>
              <w:rPr>
                <w:sz w:val="20"/>
                <w:szCs w:val="20"/>
                <w:color w:val="auto"/>
              </w:rPr>
            </w:pPr>
            <w:r>
              <w:rPr>
                <w:rFonts w:ascii="Arial" w:cs="Arial" w:eastAsia="Arial" w:hAnsi="Arial"/>
                <w:sz w:val="11"/>
                <w:szCs w:val="11"/>
                <w:color w:val="auto"/>
              </w:rPr>
              <w:t>NPS measures customer satisfaction and brand perception, which are influenced by customers’ sentiments concerning the</w:t>
            </w:r>
          </w:p>
        </w:tc>
        <w:tc>
          <w:tcPr>
            <w:tcW w:w="0" w:type="dxa"/>
            <w:vAlign w:val="bottom"/>
          </w:tcPr>
          <w:p>
            <w:pPr>
              <w:spacing w:after="0"/>
              <w:rPr>
                <w:sz w:val="1"/>
                <w:szCs w:val="1"/>
                <w:color w:val="auto"/>
              </w:rPr>
            </w:pPr>
          </w:p>
        </w:tc>
      </w:tr>
      <w:tr>
        <w:trPr>
          <w:trHeight w:val="85"/>
        </w:trPr>
        <w:tc>
          <w:tcPr>
            <w:tcW w:w="960" w:type="dxa"/>
            <w:vAlign w:val="bottom"/>
            <w:vMerge w:val="continue"/>
          </w:tcPr>
          <w:p>
            <w:pPr>
              <w:spacing w:after="0"/>
              <w:rPr>
                <w:sz w:val="7"/>
                <w:szCs w:val="7"/>
                <w:color w:val="auto"/>
              </w:rPr>
            </w:pPr>
          </w:p>
        </w:tc>
        <w:tc>
          <w:tcPr>
            <w:tcW w:w="6380" w:type="dxa"/>
            <w:vAlign w:val="bottom"/>
            <w:vMerge w:val="restart"/>
          </w:tcPr>
          <w:p>
            <w:pPr>
              <w:ind w:left="220"/>
              <w:spacing w:after="0"/>
              <w:rPr>
                <w:sz w:val="20"/>
                <w:szCs w:val="20"/>
                <w:color w:val="auto"/>
              </w:rPr>
            </w:pPr>
            <w:r>
              <w:rPr>
                <w:rFonts w:ascii="Arial" w:cs="Arial" w:eastAsia="Arial" w:hAnsi="Arial"/>
                <w:sz w:val="11"/>
                <w:szCs w:val="11"/>
                <w:color w:val="auto"/>
              </w:rPr>
              <w:t>Company’s ESG program.</w:t>
            </w:r>
          </w:p>
        </w:tc>
        <w:tc>
          <w:tcPr>
            <w:tcW w:w="0" w:type="dxa"/>
            <w:vAlign w:val="bottom"/>
          </w:tcPr>
          <w:p>
            <w:pPr>
              <w:spacing w:after="0"/>
              <w:rPr>
                <w:sz w:val="1"/>
                <w:szCs w:val="1"/>
                <w:color w:val="auto"/>
              </w:rPr>
            </w:pPr>
          </w:p>
        </w:tc>
      </w:tr>
      <w:tr>
        <w:trPr>
          <w:trHeight w:val="63"/>
        </w:trPr>
        <w:tc>
          <w:tcPr>
            <w:tcW w:w="960" w:type="dxa"/>
            <w:vAlign w:val="bottom"/>
            <w:tcBorders>
              <w:bottom w:val="single" w:sz="8" w:color="CCCCCC"/>
            </w:tcBorders>
          </w:tcPr>
          <w:p>
            <w:pPr>
              <w:spacing w:after="0"/>
              <w:rPr>
                <w:sz w:val="5"/>
                <w:szCs w:val="5"/>
                <w:color w:val="auto"/>
              </w:rPr>
            </w:pPr>
          </w:p>
        </w:tc>
        <w:tc>
          <w:tcPr>
            <w:tcW w:w="6380" w:type="dxa"/>
            <w:vAlign w:val="bottom"/>
            <w:tcBorders>
              <w:bottom w:val="single" w:sz="8" w:color="CCCC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6380" w:type="dxa"/>
            <w:vAlign w:val="bottom"/>
          </w:tcPr>
          <w:p>
            <w:pPr>
              <w:ind w:left="220"/>
              <w:spacing w:after="0"/>
              <w:rPr>
                <w:sz w:val="20"/>
                <w:szCs w:val="20"/>
                <w:color w:val="auto"/>
              </w:rPr>
            </w:pPr>
            <w:r>
              <w:rPr>
                <w:rFonts w:ascii="Arial" w:cs="Arial" w:eastAsia="Arial" w:hAnsi="Arial"/>
                <w:sz w:val="11"/>
                <w:szCs w:val="11"/>
                <w:color w:val="auto"/>
                <w:w w:val="99"/>
              </w:rPr>
              <w:t>NPS measures loyal enthusiasts who will keep buying and refer others, fueling long-term and sustainable future growth. Strong</w:t>
            </w:r>
          </w:p>
        </w:tc>
        <w:tc>
          <w:tcPr>
            <w:tcW w:w="0" w:type="dxa"/>
            <w:vAlign w:val="bottom"/>
          </w:tcPr>
          <w:p>
            <w:pPr>
              <w:spacing w:after="0"/>
              <w:rPr>
                <w:sz w:val="1"/>
                <w:szCs w:val="1"/>
                <w:color w:val="auto"/>
              </w:rPr>
            </w:pPr>
          </w:p>
        </w:tc>
      </w:tr>
      <w:tr>
        <w:trPr>
          <w:trHeight w:val="126"/>
        </w:trPr>
        <w:tc>
          <w:tcPr>
            <w:tcW w:w="960" w:type="dxa"/>
            <w:vAlign w:val="bottom"/>
          </w:tcPr>
          <w:p>
            <w:pPr>
              <w:spacing w:after="0"/>
              <w:rPr>
                <w:sz w:val="20"/>
                <w:szCs w:val="20"/>
                <w:color w:val="auto"/>
              </w:rPr>
            </w:pPr>
            <w:r>
              <w:rPr>
                <w:rFonts w:ascii="Arial" w:cs="Arial" w:eastAsia="Arial" w:hAnsi="Arial"/>
                <w:sz w:val="11"/>
                <w:szCs w:val="11"/>
                <w:b w:val="1"/>
                <w:bCs w:val="1"/>
                <w:color w:val="D60011"/>
              </w:rPr>
              <w:t>Long Term</w:t>
            </w:r>
          </w:p>
        </w:tc>
        <w:tc>
          <w:tcPr>
            <w:tcW w:w="6380" w:type="dxa"/>
            <w:vAlign w:val="bottom"/>
          </w:tcPr>
          <w:p>
            <w:pPr>
              <w:ind w:left="220"/>
              <w:spacing w:after="0"/>
              <w:rPr>
                <w:sz w:val="20"/>
                <w:szCs w:val="20"/>
                <w:color w:val="auto"/>
              </w:rPr>
            </w:pPr>
            <w:r>
              <w:rPr>
                <w:rFonts w:ascii="Arial" w:cs="Arial" w:eastAsia="Arial" w:hAnsi="Arial"/>
                <w:sz w:val="11"/>
                <w:szCs w:val="11"/>
                <w:color w:val="auto"/>
                <w:w w:val="98"/>
              </w:rPr>
              <w:t>ESG principles and performance are necessary for the Company’s success over the long term, including attracting and retaining</w:t>
            </w:r>
          </w:p>
        </w:tc>
        <w:tc>
          <w:tcPr>
            <w:tcW w:w="0" w:type="dxa"/>
            <w:vAlign w:val="bottom"/>
          </w:tcPr>
          <w:p>
            <w:pPr>
              <w:spacing w:after="0"/>
              <w:rPr>
                <w:sz w:val="1"/>
                <w:szCs w:val="1"/>
                <w:color w:val="auto"/>
              </w:rPr>
            </w:pPr>
          </w:p>
        </w:tc>
      </w:tr>
      <w:tr>
        <w:trPr>
          <w:trHeight w:val="147"/>
        </w:trPr>
        <w:tc>
          <w:tcPr>
            <w:tcW w:w="960" w:type="dxa"/>
            <w:vAlign w:val="bottom"/>
            <w:tcBorders>
              <w:bottom w:val="single" w:sz="8" w:color="CCCCCC"/>
            </w:tcBorders>
          </w:tcPr>
          <w:p>
            <w:pPr>
              <w:spacing w:after="0"/>
              <w:rPr>
                <w:sz w:val="12"/>
                <w:szCs w:val="12"/>
                <w:color w:val="auto"/>
              </w:rPr>
            </w:pPr>
          </w:p>
        </w:tc>
        <w:tc>
          <w:tcPr>
            <w:tcW w:w="6380" w:type="dxa"/>
            <w:vAlign w:val="bottom"/>
            <w:tcBorders>
              <w:bottom w:val="single" w:sz="8" w:color="CCCCCC"/>
            </w:tcBorders>
          </w:tcPr>
          <w:p>
            <w:pPr>
              <w:ind w:left="220"/>
              <w:spacing w:after="0"/>
              <w:rPr>
                <w:sz w:val="20"/>
                <w:szCs w:val="20"/>
                <w:color w:val="auto"/>
              </w:rPr>
            </w:pPr>
            <w:r>
              <w:rPr>
                <w:rFonts w:ascii="Arial" w:cs="Arial" w:eastAsia="Arial" w:hAnsi="Arial"/>
                <w:sz w:val="11"/>
                <w:szCs w:val="11"/>
                <w:color w:val="auto"/>
              </w:rPr>
              <w:t>customers.</w:t>
            </w:r>
          </w:p>
        </w:tc>
        <w:tc>
          <w:tcPr>
            <w:tcW w:w="0" w:type="dxa"/>
            <w:vAlign w:val="bottom"/>
          </w:tcPr>
          <w:p>
            <w:pPr>
              <w:spacing w:after="0"/>
              <w:rPr>
                <w:sz w:val="1"/>
                <w:szCs w:val="1"/>
                <w:color w:val="auto"/>
              </w:rPr>
            </w:pPr>
          </w:p>
        </w:tc>
      </w:tr>
      <w:tr>
        <w:trPr>
          <w:trHeight w:val="154"/>
        </w:trPr>
        <w:tc>
          <w:tcPr>
            <w:tcW w:w="960" w:type="dxa"/>
            <w:vAlign w:val="bottom"/>
            <w:tcBorders>
              <w:bottom w:val="single" w:sz="8" w:color="CCCCCC"/>
            </w:tcBorders>
          </w:tcPr>
          <w:p>
            <w:pPr>
              <w:spacing w:after="0"/>
              <w:rPr>
                <w:sz w:val="20"/>
                <w:szCs w:val="20"/>
                <w:color w:val="auto"/>
              </w:rPr>
            </w:pPr>
            <w:r>
              <w:rPr>
                <w:rFonts w:ascii="Arial" w:cs="Arial" w:eastAsia="Arial" w:hAnsi="Arial"/>
                <w:sz w:val="11"/>
                <w:szCs w:val="11"/>
                <w:b w:val="1"/>
                <w:bCs w:val="1"/>
                <w:color w:val="D60011"/>
              </w:rPr>
              <w:t>Quantifiable</w:t>
            </w:r>
          </w:p>
        </w:tc>
        <w:tc>
          <w:tcPr>
            <w:tcW w:w="6380" w:type="dxa"/>
            <w:vAlign w:val="bottom"/>
            <w:tcBorders>
              <w:bottom w:val="single" w:sz="8" w:color="CCCCCC"/>
            </w:tcBorders>
          </w:tcPr>
          <w:p>
            <w:pPr>
              <w:ind w:left="220"/>
              <w:spacing w:after="0"/>
              <w:rPr>
                <w:sz w:val="20"/>
                <w:szCs w:val="20"/>
                <w:color w:val="auto"/>
              </w:rPr>
            </w:pPr>
            <w:r>
              <w:rPr>
                <w:rFonts w:ascii="Arial" w:cs="Arial" w:eastAsia="Arial" w:hAnsi="Arial"/>
                <w:sz w:val="11"/>
                <w:szCs w:val="11"/>
                <w:color w:val="auto"/>
              </w:rPr>
              <w:t>NPS is calculated using a 0-10 scale used to measure customer experience and predict future business growth.</w:t>
            </w:r>
          </w:p>
        </w:tc>
        <w:tc>
          <w:tcPr>
            <w:tcW w:w="0" w:type="dxa"/>
            <w:vAlign w:val="bottom"/>
          </w:tcPr>
          <w:p>
            <w:pPr>
              <w:spacing w:after="0"/>
              <w:rPr>
                <w:sz w:val="1"/>
                <w:szCs w:val="1"/>
                <w:color w:val="auto"/>
              </w:rPr>
            </w:pPr>
          </w:p>
        </w:tc>
      </w:tr>
      <w:tr>
        <w:trPr>
          <w:trHeight w:val="151"/>
        </w:trPr>
        <w:tc>
          <w:tcPr>
            <w:tcW w:w="960" w:type="dxa"/>
            <w:vAlign w:val="bottom"/>
            <w:tcBorders>
              <w:bottom w:val="single" w:sz="8" w:color="E31F25"/>
            </w:tcBorders>
          </w:tcPr>
          <w:p>
            <w:pPr>
              <w:spacing w:after="0"/>
              <w:rPr>
                <w:sz w:val="20"/>
                <w:szCs w:val="20"/>
                <w:color w:val="auto"/>
              </w:rPr>
            </w:pPr>
            <w:r>
              <w:rPr>
                <w:rFonts w:ascii="Arial" w:cs="Arial" w:eastAsia="Arial" w:hAnsi="Arial"/>
                <w:sz w:val="11"/>
                <w:szCs w:val="11"/>
                <w:b w:val="1"/>
                <w:bCs w:val="1"/>
                <w:color w:val="D60011"/>
              </w:rPr>
              <w:t>No Discretion</w:t>
            </w:r>
          </w:p>
        </w:tc>
        <w:tc>
          <w:tcPr>
            <w:tcW w:w="6380" w:type="dxa"/>
            <w:vAlign w:val="bottom"/>
            <w:tcBorders>
              <w:bottom w:val="single" w:sz="8" w:color="E31F25"/>
            </w:tcBorders>
          </w:tcPr>
          <w:p>
            <w:pPr>
              <w:ind w:left="220"/>
              <w:spacing w:after="0"/>
              <w:rPr>
                <w:sz w:val="20"/>
                <w:szCs w:val="20"/>
                <w:color w:val="auto"/>
              </w:rPr>
            </w:pPr>
            <w:r>
              <w:rPr>
                <w:rFonts w:ascii="Arial" w:cs="Arial" w:eastAsia="Arial" w:hAnsi="Arial"/>
                <w:sz w:val="11"/>
                <w:szCs w:val="11"/>
                <w:color w:val="auto"/>
              </w:rPr>
              <w:t>NPS is formula-driven based upon Company performance and does not provide for discretionary adjustments.</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40" w:right="1019"/>
        <w:spacing w:after="0" w:line="268" w:lineRule="auto"/>
        <w:rPr>
          <w:sz w:val="20"/>
          <w:szCs w:val="20"/>
          <w:color w:val="auto"/>
        </w:rPr>
      </w:pPr>
      <w:r>
        <w:rPr>
          <w:rFonts w:ascii="Arial" w:cs="Arial" w:eastAsia="Arial" w:hAnsi="Arial"/>
          <w:sz w:val="11"/>
          <w:szCs w:val="11"/>
          <w:color w:val="auto"/>
        </w:rPr>
        <w:t>During our engagement sessions with our shareholders, they have shared with us that they also believe NPS is a good measure of the performance of our ESG program. See page 38 for more details on our shareholder engagement program.</w:t>
      </w:r>
    </w:p>
    <w:p>
      <w:pPr>
        <w:spacing w:after="0" w:line="96" w:lineRule="exact"/>
        <w:rPr>
          <w:sz w:val="20"/>
          <w:szCs w:val="20"/>
          <w:color w:val="auto"/>
        </w:rPr>
      </w:pPr>
    </w:p>
    <w:p>
      <w:pPr>
        <w:ind w:left="840" w:right="1299"/>
        <w:spacing w:after="0" w:line="279" w:lineRule="auto"/>
        <w:rPr>
          <w:sz w:val="20"/>
          <w:szCs w:val="20"/>
          <w:color w:val="auto"/>
        </w:rPr>
      </w:pPr>
      <w:r>
        <w:rPr>
          <w:rFonts w:ascii="Arial" w:cs="Arial" w:eastAsia="Arial" w:hAnsi="Arial"/>
          <w:sz w:val="11"/>
          <w:szCs w:val="11"/>
          <w:color w:val="auto"/>
        </w:rPr>
        <w:t xml:space="preserve">To learn more about our global ESG program, see </w:t>
      </w:r>
      <w:r>
        <w:rPr>
          <w:rFonts w:ascii="Arial" w:cs="Arial" w:eastAsia="Arial" w:hAnsi="Arial"/>
          <w:sz w:val="11"/>
          <w:szCs w:val="11"/>
          <w:b w:val="1"/>
          <w:bCs w:val="1"/>
          <w:color w:val="D60011"/>
        </w:rPr>
        <w:t>ESG</w:t>
      </w:r>
      <w:r>
        <w:rPr>
          <w:rFonts w:ascii="Arial" w:cs="Arial" w:eastAsia="Arial" w:hAnsi="Arial"/>
          <w:sz w:val="11"/>
          <w:szCs w:val="11"/>
          <w:color w:val="auto"/>
        </w:rPr>
        <w:t xml:space="preserve"> on page 96, and our Impact Report, which is presented consistent with SASB and TCFD reporting standards and is available at </w:t>
      </w:r>
      <w:r>
        <w:rPr>
          <w:rFonts w:ascii="Arial" w:cs="Arial" w:eastAsia="Arial" w:hAnsi="Arial"/>
          <w:sz w:val="11"/>
          <w:szCs w:val="11"/>
          <w:b w:val="1"/>
          <w:bCs w:val="1"/>
          <w:color w:val="D60011"/>
        </w:rPr>
        <w:t>investors.footlocker-inc.com/impactreport</w:t>
      </w:r>
      <w:r>
        <w:rPr>
          <w:rFonts w:ascii="Arial" w:cs="Arial" w:eastAsia="Arial" w:hAnsi="Arial"/>
          <w:sz w:val="11"/>
          <w:szCs w:val="11"/>
          <w:color w:val="auto"/>
        </w:rPr>
        <w:t>.</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D60011"/>
        </w:rPr>
        <w:t>ADDITIONAL INFORMATION</w:t>
      </w:r>
    </w:p>
    <w:p>
      <w:pPr>
        <w:spacing w:after="0" w:line="11" w:lineRule="exact"/>
        <w:rPr>
          <w:sz w:val="20"/>
          <w:szCs w:val="20"/>
          <w:color w:val="auto"/>
        </w:rPr>
      </w:pPr>
    </w:p>
    <w:p>
      <w:pPr>
        <w:ind w:left="840" w:right="999"/>
        <w:spacing w:after="0" w:line="242" w:lineRule="auto"/>
        <w:rPr>
          <w:sz w:val="20"/>
          <w:szCs w:val="20"/>
          <w:color w:val="auto"/>
        </w:rPr>
      </w:pPr>
      <w:r>
        <w:rPr>
          <w:rFonts w:ascii="Arial" w:cs="Arial" w:eastAsia="Arial" w:hAnsi="Arial"/>
          <w:sz w:val="11"/>
          <w:szCs w:val="11"/>
          <w:color w:val="auto"/>
        </w:rPr>
        <w:t>The Annual Incentive Plan for the NEOs makes incentive payments based upon the Company or relevant division’s results, without individual performance adjustments. However, executives who receive a “not meeting expectations” rating in their annual performance review are ineligible to receive an annual incentive payment. All annual incentive targets and calculations are based on the results of continuing operations through the end of the 2021 fiscal year.</w:t>
      </w:r>
    </w:p>
    <w:p>
      <w:pPr>
        <w:spacing w:after="0" w:line="110" w:lineRule="exact"/>
        <w:rPr>
          <w:sz w:val="20"/>
          <w:szCs w:val="20"/>
          <w:color w:val="auto"/>
        </w:rPr>
      </w:pPr>
    </w:p>
    <w:p>
      <w:pPr>
        <w:ind w:left="840" w:right="919"/>
        <w:spacing w:after="0" w:line="268" w:lineRule="auto"/>
        <w:rPr>
          <w:sz w:val="20"/>
          <w:szCs w:val="20"/>
          <w:color w:val="auto"/>
        </w:rPr>
      </w:pPr>
      <w:r>
        <w:rPr>
          <w:rFonts w:ascii="Arial" w:cs="Arial" w:eastAsia="Arial" w:hAnsi="Arial"/>
          <w:sz w:val="11"/>
          <w:szCs w:val="11"/>
          <w:color w:val="auto"/>
        </w:rPr>
        <w:t>Annual Incentive Plan awards are calculated based on a percentage of the executive’s base salary rate during the year. The maximum payout under this plan is 200% of target, with a maximum payout in any year for any participant capped at $6 million.</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Annual incentive payouts are calculated on the basis of straight-line interpolation between the threshold (90%), target (100%), and maximum (110%)</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points.</w:t>
      </w:r>
    </w:p>
    <w:p>
      <w:pPr>
        <w:spacing w:after="0" w:line="11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2760" w:type="dxa"/>
            <w:vAlign w:val="bottom"/>
          </w:tcPr>
          <w:p>
            <w:pPr>
              <w:jc w:val="right"/>
              <w:ind w:right="52"/>
              <w:spacing w:after="0"/>
              <w:rPr>
                <w:sz w:val="20"/>
                <w:szCs w:val="20"/>
                <w:color w:val="auto"/>
              </w:rPr>
            </w:pPr>
            <w:r>
              <w:rPr>
                <w:rFonts w:ascii="Arial" w:cs="Arial" w:eastAsia="Arial" w:hAnsi="Arial"/>
                <w:sz w:val="10"/>
                <w:szCs w:val="10"/>
                <w:b w:val="1"/>
                <w:bCs w:val="1"/>
                <w:color w:val="auto"/>
              </w:rPr>
              <w:t>Target as a</w:t>
            </w:r>
          </w:p>
        </w:tc>
        <w:tc>
          <w:tcPr>
            <w:tcW w:w="1260" w:type="dxa"/>
            <w:vAlign w:val="bottom"/>
          </w:tcPr>
          <w:p>
            <w:pPr>
              <w:jc w:val="right"/>
              <w:ind w:right="212"/>
              <w:spacing w:after="0"/>
              <w:rPr>
                <w:sz w:val="20"/>
                <w:szCs w:val="20"/>
                <w:color w:val="auto"/>
              </w:rPr>
            </w:pPr>
            <w:r>
              <w:rPr>
                <w:rFonts w:ascii="Arial" w:cs="Arial" w:eastAsia="Arial" w:hAnsi="Arial"/>
                <w:sz w:val="10"/>
                <w:szCs w:val="10"/>
                <w:b w:val="1"/>
                <w:bCs w:val="1"/>
                <w:color w:val="auto"/>
              </w:rPr>
              <w:t>Actual 2021 Payout</w:t>
            </w:r>
          </w:p>
        </w:tc>
        <w:tc>
          <w:tcPr>
            <w:tcW w:w="900" w:type="dxa"/>
            <w:vAlign w:val="bottom"/>
          </w:tcPr>
          <w:p>
            <w:pPr>
              <w:spacing w:after="0"/>
              <w:rPr>
                <w:sz w:val="10"/>
                <w:szCs w:val="10"/>
                <w:color w:val="auto"/>
              </w:rPr>
            </w:pPr>
          </w:p>
        </w:tc>
      </w:tr>
      <w:tr>
        <w:trPr>
          <w:trHeight w:val="108"/>
        </w:trPr>
        <w:tc>
          <w:tcPr>
            <w:tcW w:w="2420" w:type="dxa"/>
            <w:vAlign w:val="bottom"/>
          </w:tcPr>
          <w:p>
            <w:pPr>
              <w:spacing w:after="0"/>
              <w:rPr>
                <w:sz w:val="9"/>
                <w:szCs w:val="9"/>
                <w:color w:val="auto"/>
              </w:rPr>
            </w:pPr>
          </w:p>
        </w:tc>
        <w:tc>
          <w:tcPr>
            <w:tcW w:w="2760" w:type="dxa"/>
            <w:vAlign w:val="bottom"/>
          </w:tcPr>
          <w:p>
            <w:pPr>
              <w:jc w:val="right"/>
              <w:ind w:right="52"/>
              <w:spacing w:after="0" w:line="108" w:lineRule="exact"/>
              <w:rPr>
                <w:sz w:val="20"/>
                <w:szCs w:val="20"/>
                <w:color w:val="auto"/>
              </w:rPr>
            </w:pPr>
            <w:r>
              <w:rPr>
                <w:rFonts w:ascii="Arial" w:cs="Arial" w:eastAsia="Arial" w:hAnsi="Arial"/>
                <w:sz w:val="10"/>
                <w:szCs w:val="10"/>
                <w:b w:val="1"/>
                <w:bCs w:val="1"/>
                <w:color w:val="auto"/>
              </w:rPr>
              <w:t>Percentage of</w:t>
            </w:r>
          </w:p>
        </w:tc>
        <w:tc>
          <w:tcPr>
            <w:tcW w:w="1260" w:type="dxa"/>
            <w:vAlign w:val="bottom"/>
          </w:tcPr>
          <w:p>
            <w:pPr>
              <w:jc w:val="right"/>
              <w:ind w:right="212"/>
              <w:spacing w:after="0" w:line="108" w:lineRule="exact"/>
              <w:rPr>
                <w:sz w:val="20"/>
                <w:szCs w:val="20"/>
                <w:color w:val="auto"/>
              </w:rPr>
            </w:pPr>
            <w:r>
              <w:rPr>
                <w:rFonts w:ascii="Arial" w:cs="Arial" w:eastAsia="Arial" w:hAnsi="Arial"/>
                <w:sz w:val="10"/>
                <w:szCs w:val="10"/>
                <w:b w:val="1"/>
                <w:bCs w:val="1"/>
                <w:color w:val="auto"/>
              </w:rPr>
              <w:t>as a Percentage of</w:t>
            </w:r>
          </w:p>
        </w:tc>
        <w:tc>
          <w:tcPr>
            <w:tcW w:w="90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Actual</w:t>
            </w:r>
          </w:p>
        </w:tc>
      </w:tr>
      <w:tr>
        <w:trPr>
          <w:trHeight w:val="108"/>
        </w:trPr>
        <w:tc>
          <w:tcPr>
            <w:tcW w:w="2420" w:type="dxa"/>
            <w:vAlign w:val="bottom"/>
          </w:tcPr>
          <w:p>
            <w:pPr>
              <w:spacing w:after="0"/>
              <w:rPr>
                <w:sz w:val="9"/>
                <w:szCs w:val="9"/>
                <w:color w:val="auto"/>
              </w:rPr>
            </w:pPr>
          </w:p>
        </w:tc>
        <w:tc>
          <w:tcPr>
            <w:tcW w:w="2760" w:type="dxa"/>
            <w:vAlign w:val="bottom"/>
          </w:tcPr>
          <w:p>
            <w:pPr>
              <w:jc w:val="right"/>
              <w:ind w:right="52"/>
              <w:spacing w:after="0" w:line="108" w:lineRule="exact"/>
              <w:rPr>
                <w:sz w:val="20"/>
                <w:szCs w:val="20"/>
                <w:color w:val="auto"/>
              </w:rPr>
            </w:pPr>
            <w:r>
              <w:rPr>
                <w:rFonts w:ascii="Arial" w:cs="Arial" w:eastAsia="Arial" w:hAnsi="Arial"/>
                <w:sz w:val="10"/>
                <w:szCs w:val="10"/>
                <w:b w:val="1"/>
                <w:bCs w:val="1"/>
                <w:color w:val="auto"/>
              </w:rPr>
              <w:t>Base Salary Rate</w:t>
            </w:r>
          </w:p>
        </w:tc>
        <w:tc>
          <w:tcPr>
            <w:tcW w:w="1260" w:type="dxa"/>
            <w:vAlign w:val="bottom"/>
          </w:tcPr>
          <w:p>
            <w:pPr>
              <w:jc w:val="right"/>
              <w:ind w:right="212"/>
              <w:spacing w:after="0" w:line="108" w:lineRule="exact"/>
              <w:rPr>
                <w:sz w:val="20"/>
                <w:szCs w:val="20"/>
                <w:color w:val="auto"/>
              </w:rPr>
            </w:pPr>
            <w:r>
              <w:rPr>
                <w:rFonts w:ascii="Arial" w:cs="Arial" w:eastAsia="Arial" w:hAnsi="Arial"/>
                <w:sz w:val="10"/>
                <w:szCs w:val="10"/>
                <w:b w:val="1"/>
                <w:bCs w:val="1"/>
                <w:color w:val="auto"/>
              </w:rPr>
              <w:t>Target</w:t>
            </w:r>
          </w:p>
        </w:tc>
        <w:tc>
          <w:tcPr>
            <w:tcW w:w="90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2021 Payout</w:t>
            </w:r>
          </w:p>
        </w:tc>
      </w:tr>
      <w:tr>
        <w:trPr>
          <w:trHeight w:val="115"/>
        </w:trPr>
        <w:tc>
          <w:tcPr>
            <w:tcW w:w="242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276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E31F25"/>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97"/>
        </w:trPr>
        <w:tc>
          <w:tcPr>
            <w:tcW w:w="2420" w:type="dxa"/>
            <w:vAlign w:val="bottom"/>
            <w:tcBorders>
              <w:bottom w:val="single" w:sz="8" w:color="CCCCCC"/>
            </w:tcBorders>
          </w:tcPr>
          <w:p>
            <w:pPr>
              <w:ind w:left="60"/>
              <w:spacing w:after="0" w:line="97" w:lineRule="exact"/>
              <w:rPr>
                <w:sz w:val="20"/>
                <w:szCs w:val="20"/>
                <w:color w:val="auto"/>
              </w:rPr>
            </w:pPr>
            <w:r>
              <w:rPr>
                <w:rFonts w:ascii="Arial" w:cs="Arial" w:eastAsia="Arial" w:hAnsi="Arial"/>
                <w:sz w:val="10"/>
                <w:szCs w:val="10"/>
                <w:b w:val="1"/>
                <w:bCs w:val="1"/>
                <w:color w:val="D60011"/>
              </w:rPr>
              <w:t>Johnson</w:t>
            </w:r>
          </w:p>
        </w:tc>
        <w:tc>
          <w:tcPr>
            <w:tcW w:w="2760" w:type="dxa"/>
            <w:vAlign w:val="bottom"/>
            <w:tcBorders>
              <w:bottom w:val="single" w:sz="8" w:color="CCCCCC"/>
            </w:tcBorders>
          </w:tcPr>
          <w:p>
            <w:pPr>
              <w:jc w:val="right"/>
              <w:ind w:right="52"/>
              <w:spacing w:after="0" w:line="97" w:lineRule="exact"/>
              <w:rPr>
                <w:sz w:val="20"/>
                <w:szCs w:val="20"/>
                <w:color w:val="auto"/>
              </w:rPr>
            </w:pPr>
            <w:r>
              <w:rPr>
                <w:rFonts w:ascii="Arial" w:cs="Arial" w:eastAsia="Arial" w:hAnsi="Arial"/>
                <w:sz w:val="10"/>
                <w:szCs w:val="10"/>
                <w:color w:val="auto"/>
              </w:rPr>
              <w:t>200</w:t>
            </w:r>
          </w:p>
        </w:tc>
        <w:tc>
          <w:tcPr>
            <w:tcW w:w="1260" w:type="dxa"/>
            <w:vAlign w:val="bottom"/>
            <w:tcBorders>
              <w:bottom w:val="single" w:sz="8" w:color="CCCCCC"/>
            </w:tcBorders>
          </w:tcPr>
          <w:p>
            <w:pPr>
              <w:jc w:val="right"/>
              <w:ind w:right="212"/>
              <w:spacing w:after="0" w:line="97" w:lineRule="exact"/>
              <w:rPr>
                <w:sz w:val="20"/>
                <w:szCs w:val="20"/>
                <w:color w:val="auto"/>
              </w:rPr>
            </w:pPr>
            <w:r>
              <w:rPr>
                <w:rFonts w:ascii="Arial" w:cs="Arial" w:eastAsia="Arial" w:hAnsi="Arial"/>
                <w:sz w:val="10"/>
                <w:szCs w:val="10"/>
                <w:color w:val="auto"/>
              </w:rPr>
              <w:t>181.3</w:t>
            </w:r>
          </w:p>
        </w:tc>
        <w:tc>
          <w:tcPr>
            <w:tcW w:w="90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4,169,900</w:t>
            </w:r>
          </w:p>
        </w:tc>
      </w:tr>
      <w:tr>
        <w:trPr>
          <w:trHeight w:val="115"/>
        </w:trPr>
        <w:tc>
          <w:tcPr>
            <w:tcW w:w="2420" w:type="dxa"/>
            <w:vAlign w:val="bottom"/>
            <w:tcBorders>
              <w:bottom w:val="single" w:sz="8" w:color="CCCCCC"/>
            </w:tcBorders>
          </w:tcPr>
          <w:p>
            <w:pPr>
              <w:ind w:left="60"/>
              <w:spacing w:after="0" w:line="115" w:lineRule="exact"/>
              <w:rPr>
                <w:sz w:val="20"/>
                <w:szCs w:val="20"/>
                <w:color w:val="auto"/>
              </w:rPr>
            </w:pPr>
            <w:r>
              <w:rPr>
                <w:rFonts w:ascii="Arial" w:cs="Arial" w:eastAsia="Arial" w:hAnsi="Arial"/>
                <w:sz w:val="8"/>
                <w:szCs w:val="8"/>
                <w:b w:val="1"/>
                <w:bCs w:val="1"/>
                <w:color w:val="D60011"/>
              </w:rPr>
              <w:t>Page</w:t>
            </w:r>
            <w:r>
              <w:rPr>
                <w:rFonts w:ascii="Arial" w:cs="Arial" w:eastAsia="Arial" w:hAnsi="Arial"/>
                <w:sz w:val="13"/>
                <w:szCs w:val="13"/>
                <w:color w:val="D60011"/>
                <w:vertAlign w:val="superscript"/>
              </w:rPr>
              <w:t>(1)</w:t>
            </w:r>
          </w:p>
        </w:tc>
        <w:tc>
          <w:tcPr>
            <w:tcW w:w="276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75</w:t>
            </w:r>
          </w:p>
        </w:tc>
        <w:tc>
          <w:tcPr>
            <w:tcW w:w="126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181.3</w:t>
            </w:r>
          </w:p>
        </w:tc>
        <w:tc>
          <w:tcPr>
            <w:tcW w:w="9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675,870</w:t>
            </w:r>
          </w:p>
        </w:tc>
      </w:tr>
      <w:tr>
        <w:trPr>
          <w:trHeight w:val="115"/>
        </w:trPr>
        <w:tc>
          <w:tcPr>
            <w:tcW w:w="2420" w:type="dxa"/>
            <w:vAlign w:val="bottom"/>
            <w:tcBorders>
              <w:bottom w:val="single" w:sz="8" w:color="CCCCCC"/>
            </w:tcBorders>
          </w:tcPr>
          <w:p>
            <w:pPr>
              <w:ind w:left="60"/>
              <w:spacing w:after="0" w:line="115" w:lineRule="exact"/>
              <w:rPr>
                <w:sz w:val="20"/>
                <w:szCs w:val="20"/>
                <w:color w:val="auto"/>
              </w:rPr>
            </w:pPr>
            <w:r>
              <w:rPr>
                <w:rFonts w:ascii="Arial" w:cs="Arial" w:eastAsia="Arial" w:hAnsi="Arial"/>
                <w:sz w:val="8"/>
                <w:szCs w:val="8"/>
                <w:b w:val="1"/>
                <w:bCs w:val="1"/>
                <w:color w:val="D60011"/>
              </w:rPr>
              <w:t>Bracken</w:t>
            </w:r>
            <w:r>
              <w:rPr>
                <w:rFonts w:ascii="Arial" w:cs="Arial" w:eastAsia="Arial" w:hAnsi="Arial"/>
                <w:sz w:val="13"/>
                <w:szCs w:val="13"/>
                <w:color w:val="D60011"/>
                <w:vertAlign w:val="superscript"/>
              </w:rPr>
              <w:t>(2)</w:t>
            </w:r>
          </w:p>
        </w:tc>
        <w:tc>
          <w:tcPr>
            <w:tcW w:w="276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75</w:t>
            </w:r>
          </w:p>
        </w:tc>
        <w:tc>
          <w:tcPr>
            <w:tcW w:w="126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178.7</w:t>
            </w:r>
          </w:p>
        </w:tc>
        <w:tc>
          <w:tcPr>
            <w:tcW w:w="9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637,298</w:t>
            </w:r>
          </w:p>
        </w:tc>
      </w:tr>
      <w:tr>
        <w:trPr>
          <w:trHeight w:val="97"/>
        </w:trPr>
        <w:tc>
          <w:tcPr>
            <w:tcW w:w="2420" w:type="dxa"/>
            <w:vAlign w:val="bottom"/>
            <w:tcBorders>
              <w:bottom w:val="single" w:sz="8" w:color="CCCCCC"/>
            </w:tcBorders>
          </w:tcPr>
          <w:p>
            <w:pPr>
              <w:spacing w:after="0"/>
              <w:rPr>
                <w:sz w:val="8"/>
                <w:szCs w:val="8"/>
                <w:color w:val="auto"/>
              </w:rPr>
            </w:pPr>
          </w:p>
        </w:tc>
        <w:tc>
          <w:tcPr>
            <w:tcW w:w="2760" w:type="dxa"/>
            <w:vAlign w:val="bottom"/>
            <w:tcBorders>
              <w:bottom w:val="single" w:sz="8" w:color="CCCCCC"/>
            </w:tcBorders>
          </w:tcPr>
          <w:p>
            <w:pPr>
              <w:jc w:val="right"/>
              <w:ind w:right="52"/>
              <w:spacing w:after="0" w:line="97" w:lineRule="exact"/>
              <w:rPr>
                <w:sz w:val="20"/>
                <w:szCs w:val="20"/>
                <w:color w:val="auto"/>
              </w:rPr>
            </w:pPr>
            <w:r>
              <w:rPr>
                <w:rFonts w:ascii="Arial" w:cs="Arial" w:eastAsia="Arial" w:hAnsi="Arial"/>
                <w:sz w:val="10"/>
                <w:szCs w:val="10"/>
                <w:color w:val="auto"/>
              </w:rPr>
              <w:t>100</w:t>
            </w:r>
          </w:p>
        </w:tc>
        <w:tc>
          <w:tcPr>
            <w:tcW w:w="1260" w:type="dxa"/>
            <w:vAlign w:val="bottom"/>
            <w:tcBorders>
              <w:bottom w:val="single" w:sz="8" w:color="CCCCCC"/>
            </w:tcBorders>
          </w:tcPr>
          <w:p>
            <w:pPr>
              <w:jc w:val="right"/>
              <w:ind w:right="212"/>
              <w:spacing w:after="0" w:line="97" w:lineRule="exact"/>
              <w:rPr>
                <w:sz w:val="20"/>
                <w:szCs w:val="20"/>
                <w:color w:val="auto"/>
              </w:rPr>
            </w:pPr>
            <w:r>
              <w:rPr>
                <w:rFonts w:ascii="Arial" w:cs="Arial" w:eastAsia="Arial" w:hAnsi="Arial"/>
                <w:sz w:val="10"/>
                <w:szCs w:val="10"/>
                <w:color w:val="auto"/>
              </w:rPr>
              <w:t>181.3</w:t>
            </w:r>
          </w:p>
        </w:tc>
        <w:tc>
          <w:tcPr>
            <w:tcW w:w="90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305,975</w:t>
            </w:r>
          </w:p>
        </w:tc>
      </w:tr>
      <w:tr>
        <w:trPr>
          <w:trHeight w:val="97"/>
        </w:trPr>
        <w:tc>
          <w:tcPr>
            <w:tcW w:w="2420" w:type="dxa"/>
            <w:vAlign w:val="bottom"/>
            <w:tcBorders>
              <w:bottom w:val="single" w:sz="8" w:color="CCCCCC"/>
            </w:tcBorders>
          </w:tcPr>
          <w:p>
            <w:pPr>
              <w:ind w:left="60"/>
              <w:spacing w:after="0" w:line="97" w:lineRule="exact"/>
              <w:rPr>
                <w:sz w:val="20"/>
                <w:szCs w:val="20"/>
                <w:color w:val="auto"/>
              </w:rPr>
            </w:pPr>
            <w:r>
              <w:rPr>
                <w:rFonts w:ascii="Arial" w:cs="Arial" w:eastAsia="Arial" w:hAnsi="Arial"/>
                <w:sz w:val="10"/>
                <w:szCs w:val="10"/>
                <w:b w:val="1"/>
                <w:bCs w:val="1"/>
                <w:color w:val="D60011"/>
              </w:rPr>
              <w:t>Martin</w:t>
            </w:r>
          </w:p>
        </w:tc>
        <w:tc>
          <w:tcPr>
            <w:tcW w:w="2760" w:type="dxa"/>
            <w:vAlign w:val="bottom"/>
            <w:tcBorders>
              <w:bottom w:val="single" w:sz="8" w:color="CCCCCC"/>
            </w:tcBorders>
          </w:tcPr>
          <w:p>
            <w:pPr>
              <w:jc w:val="right"/>
              <w:ind w:right="52"/>
              <w:spacing w:after="0" w:line="97" w:lineRule="exact"/>
              <w:rPr>
                <w:sz w:val="20"/>
                <w:szCs w:val="20"/>
                <w:color w:val="auto"/>
              </w:rPr>
            </w:pPr>
            <w:r>
              <w:rPr>
                <w:rFonts w:ascii="Arial" w:cs="Arial" w:eastAsia="Arial" w:hAnsi="Arial"/>
                <w:sz w:val="10"/>
                <w:szCs w:val="10"/>
                <w:color w:val="auto"/>
              </w:rPr>
              <w:t>75</w:t>
            </w:r>
          </w:p>
        </w:tc>
        <w:tc>
          <w:tcPr>
            <w:tcW w:w="1260" w:type="dxa"/>
            <w:vAlign w:val="bottom"/>
            <w:tcBorders>
              <w:bottom w:val="single" w:sz="8" w:color="CCCCCC"/>
            </w:tcBorders>
          </w:tcPr>
          <w:p>
            <w:pPr>
              <w:jc w:val="right"/>
              <w:ind w:right="212"/>
              <w:spacing w:after="0" w:line="97" w:lineRule="exact"/>
              <w:rPr>
                <w:sz w:val="20"/>
                <w:szCs w:val="20"/>
                <w:color w:val="auto"/>
              </w:rPr>
            </w:pPr>
            <w:r>
              <w:rPr>
                <w:rFonts w:ascii="Arial" w:cs="Arial" w:eastAsia="Arial" w:hAnsi="Arial"/>
                <w:sz w:val="10"/>
                <w:szCs w:val="10"/>
                <w:color w:val="auto"/>
              </w:rPr>
              <w:t>186.7</w:t>
            </w:r>
          </w:p>
        </w:tc>
        <w:tc>
          <w:tcPr>
            <w:tcW w:w="90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856,032</w:t>
            </w:r>
          </w:p>
        </w:tc>
      </w:tr>
      <w:tr>
        <w:trPr>
          <w:trHeight w:val="97"/>
        </w:trPr>
        <w:tc>
          <w:tcPr>
            <w:tcW w:w="2420" w:type="dxa"/>
            <w:vAlign w:val="bottom"/>
            <w:tcBorders>
              <w:bottom w:val="single" w:sz="8" w:color="E31F25"/>
            </w:tcBorders>
          </w:tcPr>
          <w:p>
            <w:pPr>
              <w:ind w:left="60"/>
              <w:spacing w:after="0" w:line="97" w:lineRule="exact"/>
              <w:rPr>
                <w:sz w:val="20"/>
                <w:szCs w:val="20"/>
                <w:color w:val="auto"/>
              </w:rPr>
            </w:pPr>
            <w:r>
              <w:rPr>
                <w:rFonts w:ascii="Arial" w:cs="Arial" w:eastAsia="Arial" w:hAnsi="Arial"/>
                <w:sz w:val="10"/>
                <w:szCs w:val="10"/>
                <w:b w:val="1"/>
                <w:bCs w:val="1"/>
                <w:color w:val="D60011"/>
              </w:rPr>
              <w:t>Gray</w:t>
            </w:r>
          </w:p>
        </w:tc>
        <w:tc>
          <w:tcPr>
            <w:tcW w:w="2760" w:type="dxa"/>
            <w:vAlign w:val="bottom"/>
            <w:tcBorders>
              <w:bottom w:val="single" w:sz="8" w:color="E31F25"/>
            </w:tcBorders>
          </w:tcPr>
          <w:p>
            <w:pPr>
              <w:jc w:val="right"/>
              <w:ind w:right="52"/>
              <w:spacing w:after="0" w:line="97" w:lineRule="exact"/>
              <w:rPr>
                <w:sz w:val="20"/>
                <w:szCs w:val="20"/>
                <w:color w:val="auto"/>
              </w:rPr>
            </w:pPr>
            <w:r>
              <w:rPr>
                <w:rFonts w:ascii="Arial" w:cs="Arial" w:eastAsia="Arial" w:hAnsi="Arial"/>
                <w:sz w:val="10"/>
                <w:szCs w:val="10"/>
                <w:color w:val="auto"/>
              </w:rPr>
              <w:t>75</w:t>
            </w:r>
          </w:p>
        </w:tc>
        <w:tc>
          <w:tcPr>
            <w:tcW w:w="1260" w:type="dxa"/>
            <w:vAlign w:val="bottom"/>
            <w:tcBorders>
              <w:bottom w:val="single" w:sz="8" w:color="E31F25"/>
            </w:tcBorders>
          </w:tcPr>
          <w:p>
            <w:pPr>
              <w:jc w:val="right"/>
              <w:ind w:right="212"/>
              <w:spacing w:after="0" w:line="97" w:lineRule="exact"/>
              <w:rPr>
                <w:sz w:val="20"/>
                <w:szCs w:val="20"/>
                <w:color w:val="auto"/>
              </w:rPr>
            </w:pPr>
            <w:r>
              <w:rPr>
                <w:rFonts w:ascii="Arial" w:cs="Arial" w:eastAsia="Arial" w:hAnsi="Arial"/>
                <w:sz w:val="10"/>
                <w:szCs w:val="10"/>
                <w:color w:val="auto"/>
              </w:rPr>
              <w:t>181.3</w:t>
            </w:r>
          </w:p>
        </w:tc>
        <w:tc>
          <w:tcPr>
            <w:tcW w:w="900" w:type="dxa"/>
            <w:vAlign w:val="bottom"/>
            <w:tcBorders>
              <w:bottom w:val="single" w:sz="8" w:color="E31F25"/>
            </w:tcBorders>
          </w:tcPr>
          <w:p>
            <w:pPr>
              <w:jc w:val="right"/>
              <w:ind w:right="12"/>
              <w:spacing w:after="0" w:line="97" w:lineRule="exact"/>
              <w:rPr>
                <w:sz w:val="20"/>
                <w:szCs w:val="20"/>
                <w:color w:val="auto"/>
              </w:rPr>
            </w:pPr>
            <w:r>
              <w:rPr>
                <w:rFonts w:ascii="Arial" w:cs="Arial" w:eastAsia="Arial" w:hAnsi="Arial"/>
                <w:sz w:val="10"/>
                <w:szCs w:val="10"/>
                <w:color w:val="auto"/>
              </w:rPr>
              <w:t>831,273</w:t>
            </w:r>
          </w:p>
        </w:tc>
      </w:tr>
    </w:tbl>
    <w:p>
      <w:pPr>
        <w:spacing w:after="0" w:line="31" w:lineRule="exact"/>
        <w:rPr>
          <w:sz w:val="20"/>
          <w:szCs w:val="20"/>
          <w:color w:val="auto"/>
        </w:rPr>
      </w:pPr>
    </w:p>
    <w:p>
      <w:pPr>
        <w:ind w:left="1040" w:right="1159" w:hanging="208"/>
        <w:spacing w:after="0" w:line="186" w:lineRule="auto"/>
        <w:tabs>
          <w:tab w:leader="none" w:pos="1040" w:val="left"/>
        </w:tabs>
        <w:numPr>
          <w:ilvl w:val="0"/>
          <w:numId w:val="99"/>
        </w:numPr>
        <w:rPr>
          <w:rFonts w:ascii="Arial" w:cs="Arial" w:eastAsia="Arial" w:hAnsi="Arial"/>
          <w:sz w:val="16"/>
          <w:szCs w:val="16"/>
          <w:color w:val="auto"/>
          <w:vertAlign w:val="superscript"/>
        </w:rPr>
      </w:pPr>
      <w:r>
        <w:rPr>
          <w:rFonts w:ascii="Arial" w:cs="Arial" w:eastAsia="Arial" w:hAnsi="Arial"/>
          <w:sz w:val="10"/>
          <w:szCs w:val="10"/>
          <w:color w:val="auto"/>
        </w:rPr>
        <w:t>Mr. Page joined the Company as Executive Vice President and Chief Financial Officer in April 2021. His target Annual Incentive Award was prorated for the 2021 performance period.</w:t>
      </w:r>
    </w:p>
    <w:p>
      <w:pPr>
        <w:spacing w:after="0" w:line="20" w:lineRule="exact"/>
        <w:rPr>
          <w:rFonts w:ascii="Arial" w:cs="Arial" w:eastAsia="Arial" w:hAnsi="Arial"/>
          <w:sz w:val="16"/>
          <w:szCs w:val="16"/>
          <w:color w:val="auto"/>
          <w:vertAlign w:val="superscript"/>
        </w:rPr>
      </w:pPr>
    </w:p>
    <w:p>
      <w:pPr>
        <w:jc w:val="both"/>
        <w:ind w:left="1040" w:right="939" w:hanging="208"/>
        <w:spacing w:after="0" w:line="197" w:lineRule="auto"/>
        <w:tabs>
          <w:tab w:leader="none" w:pos="1040" w:val="left"/>
        </w:tabs>
        <w:numPr>
          <w:ilvl w:val="0"/>
          <w:numId w:val="99"/>
        </w:numPr>
        <w:rPr>
          <w:rFonts w:ascii="Arial" w:cs="Arial" w:eastAsia="Arial" w:hAnsi="Arial"/>
          <w:sz w:val="16"/>
          <w:szCs w:val="16"/>
          <w:color w:val="auto"/>
          <w:vertAlign w:val="superscript"/>
        </w:rPr>
      </w:pPr>
      <w:r>
        <w:rPr>
          <w:rFonts w:ascii="Arial" w:cs="Arial" w:eastAsia="Arial" w:hAnsi="Arial"/>
          <w:sz w:val="10"/>
          <w:szCs w:val="10"/>
          <w:color w:val="auto"/>
        </w:rPr>
        <w:t>Mr. Bracken, served as Executive Vice President and Chief Executive Officer–North America until November 2021. His target award was set at 75% of his base salary rate at that time. Mr. Bracken was promoted to Executive Vice President and Chief Operating Officer in November 2021. His target award was set at 100% of his base salary rate at that time. His target Annual Incentive Award was prorated for the 2021 performance period between these targets.</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All participants, including the NEOs, are required to be employed on the payment date to receive payment of the annual incentive.</w:t>
      </w:r>
    </w:p>
    <w:p>
      <w:pPr>
        <w:spacing w:after="0" w:line="126" w:lineRule="exact"/>
        <w:rPr>
          <w:sz w:val="20"/>
          <w:szCs w:val="20"/>
          <w:color w:val="auto"/>
        </w:rPr>
      </w:pPr>
    </w:p>
    <w:p>
      <w:pPr>
        <w:jc w:val="both"/>
        <w:ind w:left="840" w:right="1339"/>
        <w:spacing w:after="0" w:line="253" w:lineRule="auto"/>
        <w:rPr>
          <w:sz w:val="20"/>
          <w:szCs w:val="20"/>
          <w:color w:val="auto"/>
        </w:rPr>
      </w:pPr>
      <w:r>
        <w:rPr>
          <w:rFonts w:ascii="Arial" w:cs="Arial" w:eastAsia="Arial" w:hAnsi="Arial"/>
          <w:sz w:val="11"/>
          <w:szCs w:val="11"/>
          <w:color w:val="auto"/>
        </w:rPr>
        <w:t>Prior to the Human Capital Committee determining whether the Annual Incentive Plan targets have been achieved, the Company’s independent registered public accounting firm, at the request, and for the restricted use, of the Human Capital Committee, reviews the Annual Incentive Plan calculations to ensure that the payout is calculated in accordance with the plan.</w:t>
      </w:r>
    </w:p>
    <w:p>
      <w:pPr>
        <w:spacing w:after="0" w:line="99" w:lineRule="exact"/>
        <w:rPr>
          <w:sz w:val="20"/>
          <w:szCs w:val="20"/>
          <w:color w:val="auto"/>
        </w:rPr>
      </w:pPr>
    </w:p>
    <w:p>
      <w:pPr>
        <w:ind w:left="1520" w:hanging="388"/>
        <w:spacing w:after="0"/>
        <w:tabs>
          <w:tab w:leader="none" w:pos="1520" w:val="left"/>
        </w:tabs>
        <w:numPr>
          <w:ilvl w:val="0"/>
          <w:numId w:val="100"/>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64" w:name="page65"/>
    <w:bookmarkEnd w:id="64"/>
    <w:p>
      <w:pPr>
        <w:ind w:left="7960"/>
        <w:spacing w:after="0"/>
        <w:rPr>
          <w:sz w:val="20"/>
          <w:szCs w:val="20"/>
          <w:color w:val="auto"/>
        </w:rPr>
      </w:pPr>
      <w:r>
        <w:rPr>
          <w:rFonts w:ascii="Arial" w:cs="Arial" w:eastAsia="Arial" w:hAnsi="Arial"/>
          <w:sz w:val="10"/>
          <w:szCs w:val="10"/>
          <w:b w:val="1"/>
          <w:bCs w:val="1"/>
          <w:color w:val="D60011"/>
        </w:rPr>
        <w:t>EXECUTIVE COMPENSATION</w:t>
      </w:r>
    </w:p>
    <w:p>
      <w:pPr>
        <w:spacing w:after="0" w:line="117" w:lineRule="exact"/>
        <w:rPr>
          <w:sz w:val="20"/>
          <w:szCs w:val="20"/>
          <w:color w:val="auto"/>
        </w:rPr>
      </w:pPr>
    </w:p>
    <w:p>
      <w:pPr>
        <w:ind w:left="1980" w:right="2120"/>
        <w:spacing w:after="0" w:line="253" w:lineRule="auto"/>
        <w:rPr>
          <w:sz w:val="20"/>
          <w:szCs w:val="20"/>
          <w:color w:val="auto"/>
        </w:rPr>
      </w:pPr>
      <w:r>
        <w:rPr>
          <w:rFonts w:ascii="Arial" w:cs="Arial" w:eastAsia="Arial" w:hAnsi="Arial"/>
          <w:sz w:val="11"/>
          <w:szCs w:val="11"/>
          <w:color w:val="auto"/>
        </w:rPr>
        <w:t>Annual incentive payments are formula-driven based upon Company performance, and our 2021 program for the NEOs does not provide for discretionary adjustments based upon individual performance. The Human Capital Committee did not exercise discretion in the amounts payable to the NEOs or any other executive officers under this incentive program.</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LTI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92075</wp:posOffset>
            </wp:positionV>
            <wp:extent cx="4406265" cy="394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4062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80" w:right="2120"/>
        <w:spacing w:after="0" w:line="268" w:lineRule="auto"/>
        <w:rPr>
          <w:sz w:val="20"/>
          <w:szCs w:val="20"/>
          <w:color w:val="auto"/>
        </w:rPr>
      </w:pPr>
      <w:r>
        <w:rPr>
          <w:rFonts w:ascii="Arial" w:cs="Arial" w:eastAsia="Arial" w:hAnsi="Arial"/>
          <w:sz w:val="11"/>
          <w:szCs w:val="11"/>
          <w:color w:val="auto"/>
        </w:rPr>
        <w:t>Our LTI awards include a combination of PSU awards and other long-term equity awards granted annually under the Stock Incentive Plan in the form of stock options and RSUs. Beginning in 2021, our LTI awards are awarded as 60% PSUs, 20% stock options, and 20% RSUs.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PSU AWARDS</w:t>
      </w:r>
    </w:p>
    <w:p>
      <w:pPr>
        <w:spacing w:after="0" w:line="11" w:lineRule="exact"/>
        <w:rPr>
          <w:sz w:val="20"/>
          <w:szCs w:val="20"/>
          <w:color w:val="auto"/>
        </w:rPr>
      </w:pPr>
    </w:p>
    <w:p>
      <w:pPr>
        <w:ind w:left="1980" w:right="2300"/>
        <w:spacing w:after="0" w:line="242" w:lineRule="auto"/>
        <w:rPr>
          <w:sz w:val="20"/>
          <w:szCs w:val="20"/>
          <w:color w:val="auto"/>
        </w:rPr>
      </w:pPr>
      <w:r>
        <w:rPr>
          <w:rFonts w:ascii="Arial" w:cs="Arial" w:eastAsia="Arial" w:hAnsi="Arial"/>
          <w:sz w:val="11"/>
          <w:szCs w:val="11"/>
          <w:color w:val="auto"/>
        </w:rPr>
        <w:t>The PSU awards are designed to reward executives for achieving multi-year performance targets. The PSU awards are formula-driven, with targets established by the Human Capital Committee based upon financial targets included in the business plan reviewed each year by our Finance Committee and approved by the Board. The actual number of PSUs awarded will be based upon the Company’s performance results, without individual performance adjustments. Key design features of the PSU awards are:</w:t>
      </w:r>
    </w:p>
    <w:p>
      <w:pPr>
        <w:spacing w:after="0" w:line="130" w:lineRule="exact"/>
        <w:rPr>
          <w:sz w:val="20"/>
          <w:szCs w:val="20"/>
          <w:color w:val="auto"/>
        </w:rPr>
      </w:pPr>
    </w:p>
    <w:tbl>
      <w:tblPr>
        <w:tblLayout w:type="fixed"/>
        <w:tblInd w:w="1980" w:type="dxa"/>
        <w:tblCellMar>
          <w:top w:w="0" w:type="dxa"/>
          <w:left w:w="0" w:type="dxa"/>
          <w:bottom w:w="0" w:type="dxa"/>
          <w:right w:w="0" w:type="dxa"/>
        </w:tblCellMar>
      </w:tblPr>
      <w:tr>
        <w:trPr>
          <w:trHeight w:val="132"/>
        </w:trPr>
        <w:tc>
          <w:tcPr>
            <w:tcW w:w="146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Feature</w:t>
            </w:r>
          </w:p>
        </w:tc>
        <w:tc>
          <w:tcPr>
            <w:tcW w:w="5880" w:type="dxa"/>
            <w:vAlign w:val="bottom"/>
            <w:tcBorders>
              <w:bottom w:val="single" w:sz="8" w:color="E31F25"/>
            </w:tcBorders>
          </w:tcPr>
          <w:p>
            <w:pPr>
              <w:ind w:left="80"/>
              <w:spacing w:after="0"/>
              <w:rPr>
                <w:sz w:val="20"/>
                <w:szCs w:val="20"/>
                <w:color w:val="auto"/>
              </w:rPr>
            </w:pPr>
            <w:r>
              <w:rPr>
                <w:rFonts w:ascii="Arial" w:cs="Arial" w:eastAsia="Arial" w:hAnsi="Arial"/>
                <w:sz w:val="10"/>
                <w:szCs w:val="10"/>
                <w:b w:val="1"/>
                <w:bCs w:val="1"/>
                <w:color w:val="auto"/>
              </w:rPr>
              <w:t>Description</w:t>
            </w:r>
          </w:p>
        </w:tc>
      </w:tr>
      <w:tr>
        <w:trPr>
          <w:trHeight w:val="133"/>
        </w:trPr>
        <w:tc>
          <w:tcPr>
            <w:tcW w:w="14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100% Equity</w:t>
            </w:r>
          </w:p>
        </w:tc>
        <w:tc>
          <w:tcPr>
            <w:tcW w:w="5880" w:type="dxa"/>
            <w:vAlign w:val="bottom"/>
            <w:tcBorders>
              <w:bottom w:val="single" w:sz="8" w:color="CCCCCC"/>
            </w:tcBorders>
          </w:tcPr>
          <w:p>
            <w:pPr>
              <w:ind w:left="80"/>
              <w:spacing w:after="0"/>
              <w:rPr>
                <w:sz w:val="20"/>
                <w:szCs w:val="20"/>
                <w:color w:val="auto"/>
              </w:rPr>
            </w:pPr>
            <w:r>
              <w:rPr>
                <w:rFonts w:ascii="Arial" w:cs="Arial" w:eastAsia="Arial" w:hAnsi="Arial"/>
                <w:sz w:val="10"/>
                <w:szCs w:val="10"/>
                <w:color w:val="auto"/>
              </w:rPr>
              <w:t>100% of earned payouts are made in equity in the form of PSUs payable under the Stock Incentive Plan for all of the NEOs.</w:t>
            </w:r>
          </w:p>
        </w:tc>
      </w:tr>
      <w:tr>
        <w:trPr>
          <w:trHeight w:val="109"/>
        </w:trPr>
        <w:tc>
          <w:tcPr>
            <w:tcW w:w="1460" w:type="dxa"/>
            <w:vAlign w:val="bottom"/>
          </w:tcPr>
          <w:p>
            <w:pPr>
              <w:ind w:left="60"/>
              <w:spacing w:after="0" w:line="109" w:lineRule="exact"/>
              <w:rPr>
                <w:sz w:val="20"/>
                <w:szCs w:val="20"/>
                <w:color w:val="auto"/>
              </w:rPr>
            </w:pPr>
            <w:r>
              <w:rPr>
                <w:rFonts w:ascii="Arial" w:cs="Arial" w:eastAsia="Arial" w:hAnsi="Arial"/>
                <w:sz w:val="10"/>
                <w:szCs w:val="10"/>
                <w:b w:val="1"/>
                <w:bCs w:val="1"/>
                <w:color w:val="D60011"/>
              </w:rPr>
              <w:t>Settlement at End of</w:t>
            </w:r>
          </w:p>
        </w:tc>
        <w:tc>
          <w:tcPr>
            <w:tcW w:w="5880" w:type="dxa"/>
            <w:vAlign w:val="bottom"/>
          </w:tcPr>
          <w:p>
            <w:pPr>
              <w:ind w:left="80"/>
              <w:spacing w:after="0" w:line="109" w:lineRule="exact"/>
              <w:rPr>
                <w:sz w:val="20"/>
                <w:szCs w:val="20"/>
                <w:color w:val="auto"/>
              </w:rPr>
            </w:pPr>
            <w:r>
              <w:rPr>
                <w:rFonts w:ascii="Arial" w:cs="Arial" w:eastAsia="Arial" w:hAnsi="Arial"/>
                <w:sz w:val="10"/>
                <w:szCs w:val="10"/>
                <w:color w:val="auto"/>
                <w:w w:val="97"/>
              </w:rPr>
              <w:t>Earned payouts are calculated following the end of a two-year performance period, but settlement requires continued employment and</w:t>
            </w:r>
          </w:p>
        </w:tc>
      </w:tr>
      <w:tr>
        <w:trPr>
          <w:trHeight w:val="132"/>
        </w:trPr>
        <w:tc>
          <w:tcPr>
            <w:tcW w:w="14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Three-Year Period</w:t>
            </w:r>
          </w:p>
        </w:tc>
        <w:tc>
          <w:tcPr>
            <w:tcW w:w="5880" w:type="dxa"/>
            <w:vAlign w:val="bottom"/>
            <w:tcBorders>
              <w:bottom w:val="single" w:sz="8" w:color="CCCCCC"/>
            </w:tcBorders>
          </w:tcPr>
          <w:p>
            <w:pPr>
              <w:ind w:left="80"/>
              <w:spacing w:after="0"/>
              <w:rPr>
                <w:sz w:val="20"/>
                <w:szCs w:val="20"/>
                <w:color w:val="auto"/>
              </w:rPr>
            </w:pPr>
            <w:r>
              <w:rPr>
                <w:rFonts w:ascii="Arial" w:cs="Arial" w:eastAsia="Arial" w:hAnsi="Arial"/>
                <w:sz w:val="10"/>
                <w:szCs w:val="10"/>
                <w:color w:val="auto"/>
              </w:rPr>
              <w:t>is subject to forfeiture and stock price fluctuations, for one more year.</w:t>
            </w:r>
          </w:p>
        </w:tc>
      </w:tr>
      <w:tr>
        <w:trPr>
          <w:trHeight w:val="109"/>
        </w:trPr>
        <w:tc>
          <w:tcPr>
            <w:tcW w:w="1460" w:type="dxa"/>
            <w:vAlign w:val="bottom"/>
          </w:tcPr>
          <w:p>
            <w:pPr>
              <w:ind w:left="60"/>
              <w:spacing w:after="0" w:line="109" w:lineRule="exact"/>
              <w:rPr>
                <w:sz w:val="20"/>
                <w:szCs w:val="20"/>
                <w:color w:val="auto"/>
              </w:rPr>
            </w:pPr>
            <w:r>
              <w:rPr>
                <w:rFonts w:ascii="Arial" w:cs="Arial" w:eastAsia="Arial" w:hAnsi="Arial"/>
                <w:sz w:val="10"/>
                <w:szCs w:val="10"/>
                <w:b w:val="1"/>
                <w:bCs w:val="1"/>
                <w:color w:val="D60011"/>
              </w:rPr>
              <w:t>Two-Year Average</w:t>
            </w:r>
          </w:p>
        </w:tc>
        <w:tc>
          <w:tcPr>
            <w:tcW w:w="5880" w:type="dxa"/>
            <w:vAlign w:val="bottom"/>
          </w:tcPr>
          <w:p>
            <w:pPr>
              <w:ind w:left="80"/>
              <w:spacing w:after="0" w:line="109" w:lineRule="exact"/>
              <w:rPr>
                <w:sz w:val="20"/>
                <w:szCs w:val="20"/>
                <w:color w:val="auto"/>
              </w:rPr>
            </w:pPr>
            <w:r>
              <w:rPr>
                <w:rFonts w:ascii="Arial" w:cs="Arial" w:eastAsia="Arial" w:hAnsi="Arial"/>
                <w:sz w:val="10"/>
                <w:szCs w:val="10"/>
                <w:color w:val="auto"/>
                <w:w w:val="97"/>
              </w:rPr>
              <w:t>The performance targets are based on Two-Year Average After-Tax Income (70%) and ROIC (30%) that are contained in the business</w:t>
            </w:r>
          </w:p>
        </w:tc>
      </w:tr>
      <w:tr>
        <w:trPr>
          <w:trHeight w:val="108"/>
        </w:trPr>
        <w:tc>
          <w:tcPr>
            <w:tcW w:w="1460" w:type="dxa"/>
            <w:vAlign w:val="bottom"/>
          </w:tcPr>
          <w:p>
            <w:pPr>
              <w:ind w:left="60"/>
              <w:spacing w:after="0" w:line="108" w:lineRule="exact"/>
              <w:rPr>
                <w:sz w:val="20"/>
                <w:szCs w:val="20"/>
                <w:color w:val="auto"/>
              </w:rPr>
            </w:pPr>
            <w:r>
              <w:rPr>
                <w:rFonts w:ascii="Arial" w:cs="Arial" w:eastAsia="Arial" w:hAnsi="Arial"/>
                <w:sz w:val="10"/>
                <w:szCs w:val="10"/>
                <w:b w:val="1"/>
                <w:bCs w:val="1"/>
                <w:color w:val="D60011"/>
              </w:rPr>
              <w:t>After-Tax Income and</w:t>
            </w:r>
          </w:p>
        </w:tc>
        <w:tc>
          <w:tcPr>
            <w:tcW w:w="5880" w:type="dxa"/>
            <w:vAlign w:val="bottom"/>
          </w:tcPr>
          <w:p>
            <w:pPr>
              <w:ind w:left="80"/>
              <w:spacing w:after="0" w:line="108" w:lineRule="exact"/>
              <w:rPr>
                <w:sz w:val="20"/>
                <w:szCs w:val="20"/>
                <w:color w:val="auto"/>
              </w:rPr>
            </w:pPr>
            <w:r>
              <w:rPr>
                <w:rFonts w:ascii="Arial" w:cs="Arial" w:eastAsia="Arial" w:hAnsi="Arial"/>
                <w:sz w:val="10"/>
                <w:szCs w:val="10"/>
                <w:color w:val="auto"/>
              </w:rPr>
              <w:t>and financial plan reviewed by the Finance Committee and approved by the Board for the performance period.</w:t>
            </w:r>
          </w:p>
        </w:tc>
      </w:tr>
      <w:tr>
        <w:trPr>
          <w:trHeight w:val="132"/>
        </w:trPr>
        <w:tc>
          <w:tcPr>
            <w:tcW w:w="1460" w:type="dxa"/>
            <w:vAlign w:val="bottom"/>
            <w:tcBorders>
              <w:bottom w:val="single" w:sz="8" w:color="FF0000"/>
            </w:tcBorders>
          </w:tcPr>
          <w:p>
            <w:pPr>
              <w:ind w:left="60"/>
              <w:spacing w:after="0"/>
              <w:rPr>
                <w:sz w:val="20"/>
                <w:szCs w:val="20"/>
                <w:color w:val="auto"/>
              </w:rPr>
            </w:pPr>
            <w:r>
              <w:rPr>
                <w:rFonts w:ascii="Arial" w:cs="Arial" w:eastAsia="Arial" w:hAnsi="Arial"/>
                <w:sz w:val="10"/>
                <w:szCs w:val="10"/>
                <w:b w:val="1"/>
                <w:bCs w:val="1"/>
                <w:color w:val="D60011"/>
              </w:rPr>
              <w:t>ROIC Targets</w:t>
            </w:r>
          </w:p>
        </w:tc>
        <w:tc>
          <w:tcPr>
            <w:tcW w:w="5880" w:type="dxa"/>
            <w:vAlign w:val="bottom"/>
            <w:tcBorders>
              <w:bottom w:val="single" w:sz="8" w:color="E31F25"/>
            </w:tcBorders>
          </w:tcPr>
          <w:p>
            <w:pPr>
              <w:spacing w:after="0"/>
              <w:rPr>
                <w:sz w:val="11"/>
                <w:szCs w:val="11"/>
                <w:color w:val="auto"/>
              </w:rPr>
            </w:pPr>
          </w:p>
        </w:tc>
      </w:tr>
    </w:tbl>
    <w:p>
      <w:pPr>
        <w:spacing w:after="0" w:line="117"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PSU AWARDS (2020-21)</w:t>
      </w:r>
    </w:p>
    <w:p>
      <w:pPr>
        <w:spacing w:after="0" w:line="10" w:lineRule="exact"/>
        <w:rPr>
          <w:sz w:val="20"/>
          <w:szCs w:val="20"/>
          <w:color w:val="auto"/>
        </w:rPr>
      </w:pPr>
    </w:p>
    <w:p>
      <w:pPr>
        <w:ind w:left="1980" w:right="2060"/>
        <w:spacing w:after="0" w:line="241" w:lineRule="auto"/>
        <w:rPr>
          <w:sz w:val="20"/>
          <w:szCs w:val="20"/>
          <w:color w:val="auto"/>
        </w:rPr>
      </w:pPr>
      <w:r>
        <w:rPr>
          <w:rFonts w:ascii="Arial" w:cs="Arial" w:eastAsia="Arial" w:hAnsi="Arial"/>
          <w:sz w:val="11"/>
          <w:szCs w:val="11"/>
          <w:color w:val="auto"/>
        </w:rPr>
        <w:t>Consistent with our pay-for-performance culture, the Human Capital Committee established Two-Year Average After-Tax Income and ROIC targets in 2020 for the 2020-21 performance period that were rigorous and appropriate in light of the Company’s prior performance, and set a “performance floor” for each performance measure. The targets the Human Capital Committee established were based on the Company achieving Two-Year Average After-Tax Income of $342.9 million (which accounts for 70% of the payout) and ROIC of 9.6% (which accounts for 30% of the payout). The Company achieved Two-Year Average After-Tax Income of $547.3 million and ROIC of 13.1% for this performance period. As a result, a 200% payout was earned for this performance period.</w:t>
      </w:r>
    </w:p>
    <w:p>
      <w:pPr>
        <w:spacing w:after="0" w:line="11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targets, along with the adjusted actual performance for the period, and the calculation of ROIC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85090</wp:posOffset>
            </wp:positionV>
            <wp:extent cx="4537710" cy="2091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377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59</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65" w:name="page66"/>
    <w:bookmarkEnd w:id="65"/>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17" w:lineRule="exact"/>
        <w:rPr>
          <w:sz w:val="20"/>
          <w:szCs w:val="20"/>
          <w:color w:val="auto"/>
        </w:rPr>
      </w:pPr>
    </w:p>
    <w:p>
      <w:pPr>
        <w:ind w:left="840" w:right="939"/>
        <w:spacing w:after="0" w:line="248" w:lineRule="auto"/>
        <w:rPr>
          <w:sz w:val="20"/>
          <w:szCs w:val="20"/>
          <w:color w:val="auto"/>
        </w:rPr>
      </w:pPr>
      <w:r>
        <w:rPr>
          <w:rFonts w:ascii="Arial" w:cs="Arial" w:eastAsia="Arial" w:hAnsi="Arial"/>
          <w:sz w:val="11"/>
          <w:szCs w:val="11"/>
          <w:color w:val="auto"/>
        </w:rPr>
        <w:t>Mr. Page was appointed in 2021, and Messrs. Bracken, Gray, and Martin were promoted, in 2020, so their payouts were prorated for the 2020-21 performance period. Due to Ms. Peters’s retirement in 2021, she earned the pro rata portion of her PSUs due for the 2020-21 performance period based on actual performance, which will be paid at the same time as the payouts to the other NEOs in 2023. Mr. Talwar forfeited these PSUs in connection with the termination of his employment.</w:t>
      </w:r>
    </w:p>
    <w:p>
      <w:pPr>
        <w:spacing w:after="0" w:line="107" w:lineRule="exact"/>
        <w:rPr>
          <w:sz w:val="20"/>
          <w:szCs w:val="20"/>
          <w:color w:val="auto"/>
        </w:rPr>
      </w:pPr>
    </w:p>
    <w:p>
      <w:pPr>
        <w:ind w:left="840" w:right="879"/>
        <w:spacing w:after="0" w:line="244" w:lineRule="auto"/>
        <w:rPr>
          <w:sz w:val="20"/>
          <w:szCs w:val="20"/>
          <w:color w:val="auto"/>
        </w:rPr>
      </w:pPr>
      <w:r>
        <w:rPr>
          <w:rFonts w:ascii="Arial" w:cs="Arial" w:eastAsia="Arial" w:hAnsi="Arial"/>
          <w:sz w:val="11"/>
          <w:szCs w:val="11"/>
          <w:color w:val="auto"/>
        </w:rPr>
        <w:t>The Human Capital Committee establishes certain performance targets in connection with determining the Company’s PSU payouts. The PSU payouts provide for the exclusion of certain items from such performance targets that the Human Capital Committee considers to be unusual or non-recurring. These items, if they occur, are excluded when calculating the PSU payouts, however, such unusual or non-recurring items may not be material for purposes of the non-GAAP measures presented in the Annual Report. In addition, certain items may not be adjusted for purposes of the PSU payouts, as they do not exceed a pre-established adjustment threshold, although they are adjusted for financial reporting purposes in the Annual Report consistent with past practices.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D60011"/>
        </w:rPr>
        <w:t xml:space="preserve">Two-Year Average After-Tax Income Calculation for 2020-21 PSU Payouts. </w:t>
      </w:r>
      <w:r>
        <w:rPr>
          <w:rFonts w:ascii="Arial" w:cs="Arial" w:eastAsia="Arial" w:hAnsi="Arial"/>
          <w:sz w:val="11"/>
          <w:szCs w:val="11"/>
          <w:color w:val="000000"/>
        </w:rPr>
        <w:t>Please note the following reconciliation:</w:t>
      </w:r>
    </w:p>
    <w:p>
      <w:pPr>
        <w:spacing w:after="0" w:line="145" w:lineRule="exact"/>
        <w:rPr>
          <w:sz w:val="20"/>
          <w:szCs w:val="20"/>
          <w:color w:val="auto"/>
        </w:rPr>
      </w:pPr>
    </w:p>
    <w:tbl>
      <w:tblPr>
        <w:tblLayout w:type="fixed"/>
        <w:tblInd w:w="840" w:type="dxa"/>
        <w:tblCellMar>
          <w:top w:w="0" w:type="dxa"/>
          <w:left w:w="0" w:type="dxa"/>
          <w:bottom w:w="0" w:type="dxa"/>
          <w:right w:w="0" w:type="dxa"/>
        </w:tblCellMar>
      </w:tblPr>
      <w:tr>
        <w:trPr>
          <w:trHeight w:val="132"/>
        </w:trPr>
        <w:tc>
          <w:tcPr>
            <w:tcW w:w="4880" w:type="dxa"/>
            <w:vAlign w:val="bottom"/>
            <w:tcBorders>
              <w:bottom w:val="single" w:sz="8" w:color="E31F25"/>
            </w:tcBorders>
          </w:tcPr>
          <w:p>
            <w:pPr>
              <w:spacing w:after="0"/>
              <w:rPr>
                <w:sz w:val="11"/>
                <w:szCs w:val="11"/>
                <w:color w:val="auto"/>
              </w:rPr>
            </w:pPr>
          </w:p>
        </w:tc>
        <w:tc>
          <w:tcPr>
            <w:tcW w:w="740" w:type="dxa"/>
            <w:vAlign w:val="bottom"/>
            <w:tcBorders>
              <w:bottom w:val="single" w:sz="8" w:color="E31F25"/>
            </w:tcBorders>
          </w:tcPr>
          <w:p>
            <w:pPr>
              <w:spacing w:after="0"/>
              <w:rPr>
                <w:sz w:val="11"/>
                <w:szCs w:val="11"/>
                <w:color w:val="auto"/>
              </w:rPr>
            </w:pPr>
          </w:p>
        </w:tc>
        <w:tc>
          <w:tcPr>
            <w:tcW w:w="44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300" w:type="dxa"/>
            <w:vAlign w:val="bottom"/>
            <w:tcBorders>
              <w:bottom w:val="single" w:sz="8" w:color="E31F25"/>
            </w:tcBorders>
          </w:tcPr>
          <w:p>
            <w:pPr>
              <w:spacing w:after="0"/>
              <w:rPr>
                <w:sz w:val="11"/>
                <w:szCs w:val="11"/>
                <w:color w:val="auto"/>
              </w:rPr>
            </w:pPr>
          </w:p>
        </w:tc>
        <w:tc>
          <w:tcPr>
            <w:tcW w:w="34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E31F25"/>
            </w:tcBorders>
          </w:tcPr>
          <w:p>
            <w:pPr>
              <w:spacing w:after="0"/>
              <w:rPr>
                <w:sz w:val="11"/>
                <w:szCs w:val="11"/>
                <w:color w:val="auto"/>
              </w:rPr>
            </w:pPr>
          </w:p>
        </w:tc>
        <w:tc>
          <w:tcPr>
            <w:tcW w:w="48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b w:val="1"/>
                <w:bCs w:val="1"/>
                <w:color w:val="auto"/>
                <w:w w:val="96"/>
              </w:rPr>
              <w:t>Average</w:t>
            </w:r>
          </w:p>
        </w:tc>
      </w:tr>
      <w:tr>
        <w:trPr>
          <w:trHeight w:val="131"/>
        </w:trPr>
        <w:tc>
          <w:tcPr>
            <w:tcW w:w="4880" w:type="dxa"/>
            <w:vAlign w:val="bottom"/>
            <w:tcBorders>
              <w:bottom w:val="single" w:sz="8" w:color="BCBEC0"/>
            </w:tcBorders>
          </w:tcPr>
          <w:p>
            <w:pPr>
              <w:spacing w:after="0"/>
              <w:rPr>
                <w:sz w:val="11"/>
                <w:szCs w:val="11"/>
                <w:color w:val="auto"/>
              </w:rPr>
            </w:pPr>
          </w:p>
        </w:tc>
        <w:tc>
          <w:tcPr>
            <w:tcW w:w="740" w:type="dxa"/>
            <w:vAlign w:val="bottom"/>
            <w:tcBorders>
              <w:bottom w:val="single" w:sz="8" w:color="BCBEC0"/>
            </w:tcBorders>
          </w:tcPr>
          <w:p>
            <w:pPr>
              <w:spacing w:after="0"/>
              <w:rPr>
                <w:sz w:val="11"/>
                <w:szCs w:val="11"/>
                <w:color w:val="auto"/>
              </w:rPr>
            </w:pPr>
          </w:p>
        </w:tc>
        <w:tc>
          <w:tcPr>
            <w:tcW w:w="740" w:type="dxa"/>
            <w:vAlign w:val="bottom"/>
            <w:tcBorders>
              <w:bottom w:val="single" w:sz="8" w:color="BCBEC0"/>
            </w:tcBorders>
            <w:gridSpan w:val="2"/>
          </w:tcPr>
          <w:p>
            <w:pPr>
              <w:jc w:val="right"/>
              <w:ind w:right="12"/>
              <w:spacing w:after="0"/>
              <w:rPr>
                <w:sz w:val="20"/>
                <w:szCs w:val="20"/>
                <w:color w:val="auto"/>
              </w:rPr>
            </w:pPr>
            <w:r>
              <w:rPr>
                <w:rFonts w:ascii="Arial" w:cs="Arial" w:eastAsia="Arial" w:hAnsi="Arial"/>
                <w:sz w:val="10"/>
                <w:szCs w:val="10"/>
                <w:color w:val="auto"/>
              </w:rPr>
              <w:t>($ in millions)</w:t>
            </w:r>
          </w:p>
        </w:tc>
        <w:tc>
          <w:tcPr>
            <w:tcW w:w="340" w:type="dxa"/>
            <w:vAlign w:val="bottom"/>
            <w:tcBorders>
              <w:bottom w:val="single" w:sz="8" w:color="BCBEC0"/>
            </w:tcBorders>
          </w:tcPr>
          <w:p>
            <w:pPr>
              <w:spacing w:after="0"/>
              <w:rPr>
                <w:sz w:val="11"/>
                <w:szCs w:val="11"/>
                <w:color w:val="auto"/>
              </w:rPr>
            </w:pPr>
          </w:p>
        </w:tc>
        <w:tc>
          <w:tcPr>
            <w:tcW w:w="16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spacing w:after="0"/>
              <w:rPr>
                <w:sz w:val="11"/>
                <w:szCs w:val="11"/>
                <w:color w:val="auto"/>
              </w:rPr>
            </w:pPr>
          </w:p>
        </w:tc>
      </w:tr>
      <w:tr>
        <w:trPr>
          <w:trHeight w:val="133"/>
        </w:trPr>
        <w:tc>
          <w:tcPr>
            <w:tcW w:w="488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After-tax income:</w:t>
            </w:r>
          </w:p>
        </w:tc>
        <w:tc>
          <w:tcPr>
            <w:tcW w:w="740" w:type="dxa"/>
            <w:vAlign w:val="bottom"/>
            <w:tcBorders>
              <w:bottom w:val="single" w:sz="8" w:color="BCBEC0"/>
            </w:tcBorders>
          </w:tcPr>
          <w:p>
            <w:pPr>
              <w:spacing w:after="0"/>
              <w:rPr>
                <w:sz w:val="11"/>
                <w:szCs w:val="11"/>
                <w:color w:val="auto"/>
              </w:rPr>
            </w:pPr>
          </w:p>
        </w:tc>
        <w:tc>
          <w:tcPr>
            <w:tcW w:w="440" w:type="dxa"/>
            <w:vAlign w:val="bottom"/>
            <w:tcBorders>
              <w:bottom w:val="single" w:sz="8" w:color="BCBEC0"/>
            </w:tcBorders>
          </w:tcPr>
          <w:p>
            <w:pPr>
              <w:spacing w:after="0"/>
              <w:rPr>
                <w:sz w:val="11"/>
                <w:szCs w:val="11"/>
                <w:color w:val="auto"/>
              </w:rPr>
            </w:pPr>
          </w:p>
        </w:tc>
        <w:tc>
          <w:tcPr>
            <w:tcW w:w="300" w:type="dxa"/>
            <w:vAlign w:val="bottom"/>
            <w:tcBorders>
              <w:bottom w:val="single" w:sz="8" w:color="BCBEC0"/>
            </w:tcBorders>
          </w:tcPr>
          <w:p>
            <w:pPr>
              <w:spacing w:after="0"/>
              <w:rPr>
                <w:sz w:val="11"/>
                <w:szCs w:val="11"/>
                <w:color w:val="auto"/>
              </w:rPr>
            </w:pPr>
          </w:p>
        </w:tc>
        <w:tc>
          <w:tcPr>
            <w:tcW w:w="340" w:type="dxa"/>
            <w:vAlign w:val="bottom"/>
            <w:tcBorders>
              <w:bottom w:val="single" w:sz="8" w:color="BCBEC0"/>
            </w:tcBorders>
          </w:tcPr>
          <w:p>
            <w:pPr>
              <w:spacing w:after="0"/>
              <w:rPr>
                <w:sz w:val="11"/>
                <w:szCs w:val="11"/>
                <w:color w:val="auto"/>
              </w:rPr>
            </w:pPr>
          </w:p>
        </w:tc>
        <w:tc>
          <w:tcPr>
            <w:tcW w:w="16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spacing w:after="0"/>
              <w:rPr>
                <w:sz w:val="11"/>
                <w:szCs w:val="11"/>
                <w:color w:val="auto"/>
              </w:rPr>
            </w:pPr>
          </w:p>
        </w:tc>
      </w:tr>
      <w:tr>
        <w:trPr>
          <w:trHeight w:val="133"/>
        </w:trPr>
        <w:tc>
          <w:tcPr>
            <w:tcW w:w="488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Net income attributable to Foot Locker, Inc.</w:t>
            </w:r>
          </w:p>
        </w:tc>
        <w:tc>
          <w:tcPr>
            <w:tcW w:w="74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893</w:t>
            </w:r>
          </w:p>
        </w:tc>
        <w:tc>
          <w:tcPr>
            <w:tcW w:w="30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323</w:t>
            </w:r>
          </w:p>
        </w:tc>
        <w:tc>
          <w:tcPr>
            <w:tcW w:w="16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spacing w:after="0"/>
              <w:rPr>
                <w:sz w:val="11"/>
                <w:szCs w:val="11"/>
                <w:color w:val="auto"/>
              </w:rPr>
            </w:pPr>
          </w:p>
        </w:tc>
      </w:tr>
      <w:tr>
        <w:trPr>
          <w:trHeight w:val="133"/>
        </w:trPr>
        <w:tc>
          <w:tcPr>
            <w:tcW w:w="488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After-tax adjustments excluded from GAAP:</w:t>
            </w:r>
          </w:p>
        </w:tc>
        <w:tc>
          <w:tcPr>
            <w:tcW w:w="740" w:type="dxa"/>
            <w:vAlign w:val="bottom"/>
            <w:tcBorders>
              <w:bottom w:val="single" w:sz="8" w:color="BCBEC0"/>
            </w:tcBorders>
          </w:tcPr>
          <w:p>
            <w:pPr>
              <w:spacing w:after="0"/>
              <w:rPr>
                <w:sz w:val="11"/>
                <w:szCs w:val="11"/>
                <w:color w:val="auto"/>
              </w:rPr>
            </w:pPr>
          </w:p>
        </w:tc>
        <w:tc>
          <w:tcPr>
            <w:tcW w:w="440" w:type="dxa"/>
            <w:vAlign w:val="bottom"/>
            <w:tcBorders>
              <w:bottom w:val="single" w:sz="8" w:color="BCBEC0"/>
            </w:tcBorders>
          </w:tcPr>
          <w:p>
            <w:pPr>
              <w:spacing w:after="0"/>
              <w:rPr>
                <w:sz w:val="11"/>
                <w:szCs w:val="11"/>
                <w:color w:val="auto"/>
              </w:rPr>
            </w:pPr>
          </w:p>
        </w:tc>
        <w:tc>
          <w:tcPr>
            <w:tcW w:w="300" w:type="dxa"/>
            <w:vAlign w:val="bottom"/>
            <w:tcBorders>
              <w:bottom w:val="single" w:sz="8" w:color="BCBEC0"/>
            </w:tcBorders>
          </w:tcPr>
          <w:p>
            <w:pPr>
              <w:spacing w:after="0"/>
              <w:rPr>
                <w:sz w:val="11"/>
                <w:szCs w:val="11"/>
                <w:color w:val="auto"/>
              </w:rPr>
            </w:pPr>
          </w:p>
        </w:tc>
        <w:tc>
          <w:tcPr>
            <w:tcW w:w="340" w:type="dxa"/>
            <w:vAlign w:val="bottom"/>
            <w:tcBorders>
              <w:bottom w:val="single" w:sz="8" w:color="BCBEC0"/>
            </w:tcBorders>
          </w:tcPr>
          <w:p>
            <w:pPr>
              <w:spacing w:after="0"/>
              <w:rPr>
                <w:sz w:val="11"/>
                <w:szCs w:val="11"/>
                <w:color w:val="auto"/>
              </w:rPr>
            </w:pPr>
          </w:p>
        </w:tc>
        <w:tc>
          <w:tcPr>
            <w:tcW w:w="16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spacing w:after="0"/>
              <w:rPr>
                <w:sz w:val="11"/>
                <w:szCs w:val="11"/>
                <w:color w:val="auto"/>
              </w:rPr>
            </w:pPr>
          </w:p>
        </w:tc>
      </w:tr>
      <w:tr>
        <w:trPr>
          <w:trHeight w:val="154"/>
        </w:trPr>
        <w:tc>
          <w:tcPr>
            <w:tcW w:w="4880" w:type="dxa"/>
            <w:vAlign w:val="bottom"/>
            <w:tcBorders>
              <w:bottom w:val="single" w:sz="8" w:color="BCBEC0"/>
            </w:tcBorders>
          </w:tcPr>
          <w:p>
            <w:pPr>
              <w:ind w:left="20"/>
              <w:spacing w:after="0" w:line="154" w:lineRule="exact"/>
              <w:rPr>
                <w:sz w:val="20"/>
                <w:szCs w:val="20"/>
                <w:color w:val="auto"/>
              </w:rPr>
            </w:pPr>
            <w:r>
              <w:rPr>
                <w:rFonts w:ascii="Arial" w:cs="Arial" w:eastAsia="Arial" w:hAnsi="Arial"/>
                <w:sz w:val="10"/>
                <w:szCs w:val="10"/>
                <w:color w:val="auto"/>
              </w:rPr>
              <w:t>Impairment and other charges, net of income tax benefit of $42 million and $24 million, respectively</w:t>
            </w:r>
            <w:r>
              <w:rPr>
                <w:rFonts w:ascii="Arial" w:cs="Arial" w:eastAsia="Arial" w:hAnsi="Arial"/>
                <w:sz w:val="15"/>
                <w:szCs w:val="15"/>
                <w:color w:val="auto"/>
                <w:vertAlign w:val="superscript"/>
              </w:rPr>
              <w:t>(1)</w:t>
            </w:r>
          </w:p>
        </w:tc>
        <w:tc>
          <w:tcPr>
            <w:tcW w:w="740" w:type="dxa"/>
            <w:vAlign w:val="bottom"/>
            <w:tcBorders>
              <w:bottom w:val="single" w:sz="8" w:color="BCBEC0"/>
            </w:tcBorders>
          </w:tcPr>
          <w:p>
            <w:pPr>
              <w:spacing w:after="0"/>
              <w:rPr>
                <w:sz w:val="13"/>
                <w:szCs w:val="13"/>
                <w:color w:val="auto"/>
              </w:rPr>
            </w:pPr>
          </w:p>
        </w:tc>
        <w:tc>
          <w:tcPr>
            <w:tcW w:w="44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130</w:t>
            </w:r>
          </w:p>
        </w:tc>
        <w:tc>
          <w:tcPr>
            <w:tcW w:w="300" w:type="dxa"/>
            <w:vAlign w:val="bottom"/>
            <w:tcBorders>
              <w:bottom w:val="single" w:sz="8" w:color="BCBEC0"/>
            </w:tcBorders>
          </w:tcPr>
          <w:p>
            <w:pPr>
              <w:spacing w:after="0"/>
              <w:rPr>
                <w:sz w:val="13"/>
                <w:szCs w:val="13"/>
                <w:color w:val="auto"/>
              </w:rPr>
            </w:pPr>
          </w:p>
        </w:tc>
        <w:tc>
          <w:tcPr>
            <w:tcW w:w="34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93</w:t>
            </w:r>
          </w:p>
        </w:tc>
        <w:tc>
          <w:tcPr>
            <w:tcW w:w="160" w:type="dxa"/>
            <w:vAlign w:val="bottom"/>
            <w:tcBorders>
              <w:bottom w:val="single" w:sz="8" w:color="BCBEC0"/>
            </w:tcBorders>
          </w:tcPr>
          <w:p>
            <w:pPr>
              <w:spacing w:after="0"/>
              <w:rPr>
                <w:sz w:val="13"/>
                <w:szCs w:val="13"/>
                <w:color w:val="auto"/>
              </w:rPr>
            </w:pPr>
          </w:p>
        </w:tc>
        <w:tc>
          <w:tcPr>
            <w:tcW w:w="480" w:type="dxa"/>
            <w:vAlign w:val="bottom"/>
            <w:tcBorders>
              <w:bottom w:val="single" w:sz="8" w:color="BCBEC0"/>
            </w:tcBorders>
          </w:tcPr>
          <w:p>
            <w:pPr>
              <w:spacing w:after="0"/>
              <w:rPr>
                <w:sz w:val="13"/>
                <w:szCs w:val="13"/>
                <w:color w:val="auto"/>
              </w:rPr>
            </w:pPr>
          </w:p>
        </w:tc>
      </w:tr>
      <w:tr>
        <w:trPr>
          <w:trHeight w:val="151"/>
        </w:trPr>
        <w:tc>
          <w:tcPr>
            <w:tcW w:w="4880" w:type="dxa"/>
            <w:vAlign w:val="bottom"/>
            <w:tcBorders>
              <w:bottom w:val="single" w:sz="8" w:color="BCBEC0"/>
            </w:tcBorders>
          </w:tcPr>
          <w:p>
            <w:pPr>
              <w:ind w:left="20"/>
              <w:spacing w:after="0" w:line="151" w:lineRule="exact"/>
              <w:rPr>
                <w:sz w:val="20"/>
                <w:szCs w:val="20"/>
                <w:color w:val="auto"/>
              </w:rPr>
            </w:pPr>
            <w:r>
              <w:rPr>
                <w:rFonts w:ascii="Arial" w:cs="Arial" w:eastAsia="Arial" w:hAnsi="Arial"/>
                <w:sz w:val="10"/>
                <w:szCs w:val="10"/>
                <w:color w:val="auto"/>
              </w:rPr>
              <w:t>Other income, net of income tax expense of $80 million and $50 million, respectively</w:t>
            </w:r>
            <w:r>
              <w:rPr>
                <w:rFonts w:ascii="Arial" w:cs="Arial" w:eastAsia="Arial" w:hAnsi="Arial"/>
                <w:sz w:val="15"/>
                <w:szCs w:val="15"/>
                <w:color w:val="auto"/>
                <w:vertAlign w:val="superscript"/>
              </w:rPr>
              <w:t>(1)</w:t>
            </w:r>
          </w:p>
        </w:tc>
        <w:tc>
          <w:tcPr>
            <w:tcW w:w="740" w:type="dxa"/>
            <w:vAlign w:val="bottom"/>
            <w:tcBorders>
              <w:bottom w:val="single" w:sz="8" w:color="BCBEC0"/>
            </w:tcBorders>
          </w:tcPr>
          <w:p>
            <w:pPr>
              <w:spacing w:after="0"/>
              <w:rPr>
                <w:sz w:val="13"/>
                <w:szCs w:val="13"/>
                <w:color w:val="auto"/>
              </w:rPr>
            </w:pPr>
          </w:p>
        </w:tc>
        <w:tc>
          <w:tcPr>
            <w:tcW w:w="44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(226)</w:t>
            </w:r>
          </w:p>
        </w:tc>
        <w:tc>
          <w:tcPr>
            <w:tcW w:w="300" w:type="dxa"/>
            <w:vAlign w:val="bottom"/>
            <w:tcBorders>
              <w:bottom w:val="single" w:sz="8" w:color="BCBEC0"/>
            </w:tcBorders>
          </w:tcPr>
          <w:p>
            <w:pPr>
              <w:spacing w:after="0"/>
              <w:rPr>
                <w:sz w:val="13"/>
                <w:szCs w:val="13"/>
                <w:color w:val="auto"/>
              </w:rPr>
            </w:pPr>
          </w:p>
        </w:tc>
        <w:tc>
          <w:tcPr>
            <w:tcW w:w="34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(140)</w:t>
            </w:r>
          </w:p>
        </w:tc>
        <w:tc>
          <w:tcPr>
            <w:tcW w:w="160" w:type="dxa"/>
            <w:vAlign w:val="bottom"/>
            <w:tcBorders>
              <w:bottom w:val="single" w:sz="8" w:color="BCBEC0"/>
            </w:tcBorders>
          </w:tcPr>
          <w:p>
            <w:pPr>
              <w:spacing w:after="0"/>
              <w:rPr>
                <w:sz w:val="13"/>
                <w:szCs w:val="13"/>
                <w:color w:val="auto"/>
              </w:rPr>
            </w:pPr>
          </w:p>
        </w:tc>
        <w:tc>
          <w:tcPr>
            <w:tcW w:w="480" w:type="dxa"/>
            <w:vAlign w:val="bottom"/>
            <w:tcBorders>
              <w:bottom w:val="single" w:sz="8" w:color="BCBEC0"/>
            </w:tcBorders>
          </w:tcPr>
          <w:p>
            <w:pPr>
              <w:spacing w:after="0"/>
              <w:rPr>
                <w:sz w:val="13"/>
                <w:szCs w:val="13"/>
                <w:color w:val="auto"/>
              </w:rPr>
            </w:pPr>
          </w:p>
        </w:tc>
      </w:tr>
      <w:tr>
        <w:trPr>
          <w:trHeight w:val="151"/>
        </w:trPr>
        <w:tc>
          <w:tcPr>
            <w:tcW w:w="4880" w:type="dxa"/>
            <w:vAlign w:val="bottom"/>
            <w:tcBorders>
              <w:bottom w:val="single" w:sz="8" w:color="BCBEC0"/>
            </w:tcBorders>
          </w:tcPr>
          <w:p>
            <w:pPr>
              <w:ind w:left="20"/>
              <w:spacing w:after="0" w:line="151" w:lineRule="exact"/>
              <w:rPr>
                <w:sz w:val="20"/>
                <w:szCs w:val="20"/>
                <w:color w:val="auto"/>
              </w:rPr>
            </w:pPr>
            <w:r>
              <w:rPr>
                <w:rFonts w:ascii="Arial" w:cs="Arial" w:eastAsia="Arial" w:hAnsi="Arial"/>
                <w:sz w:val="10"/>
                <w:szCs w:val="10"/>
                <w:color w:val="auto"/>
              </w:rPr>
              <w:t>Tax charge related to revaluation of certain intellectual property rights</w:t>
            </w:r>
            <w:r>
              <w:rPr>
                <w:rFonts w:ascii="Arial" w:cs="Arial" w:eastAsia="Arial" w:hAnsi="Arial"/>
                <w:sz w:val="15"/>
                <w:szCs w:val="15"/>
                <w:color w:val="auto"/>
                <w:vertAlign w:val="superscript"/>
              </w:rPr>
              <w:t>(1)</w:t>
            </w:r>
          </w:p>
        </w:tc>
        <w:tc>
          <w:tcPr>
            <w:tcW w:w="740" w:type="dxa"/>
            <w:vAlign w:val="bottom"/>
            <w:tcBorders>
              <w:bottom w:val="single" w:sz="8" w:color="BCBEC0"/>
            </w:tcBorders>
          </w:tcPr>
          <w:p>
            <w:pPr>
              <w:spacing w:after="0"/>
              <w:rPr>
                <w:sz w:val="13"/>
                <w:szCs w:val="13"/>
                <w:color w:val="auto"/>
              </w:rPr>
            </w:pPr>
          </w:p>
        </w:tc>
        <w:tc>
          <w:tcPr>
            <w:tcW w:w="44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11</w:t>
            </w:r>
          </w:p>
        </w:tc>
        <w:tc>
          <w:tcPr>
            <w:tcW w:w="300" w:type="dxa"/>
            <w:vAlign w:val="bottom"/>
            <w:tcBorders>
              <w:bottom w:val="single" w:sz="8" w:color="BCBEC0"/>
            </w:tcBorders>
          </w:tcPr>
          <w:p>
            <w:pPr>
              <w:spacing w:after="0"/>
              <w:rPr>
                <w:sz w:val="13"/>
                <w:szCs w:val="13"/>
                <w:color w:val="auto"/>
              </w:rPr>
            </w:pPr>
          </w:p>
        </w:tc>
        <w:tc>
          <w:tcPr>
            <w:tcW w:w="34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25</w:t>
            </w:r>
          </w:p>
        </w:tc>
        <w:tc>
          <w:tcPr>
            <w:tcW w:w="160" w:type="dxa"/>
            <w:vAlign w:val="bottom"/>
            <w:tcBorders>
              <w:bottom w:val="single" w:sz="8" w:color="BCBEC0"/>
            </w:tcBorders>
          </w:tcPr>
          <w:p>
            <w:pPr>
              <w:spacing w:after="0"/>
              <w:rPr>
                <w:sz w:val="13"/>
                <w:szCs w:val="13"/>
                <w:color w:val="auto"/>
              </w:rPr>
            </w:pPr>
          </w:p>
        </w:tc>
        <w:tc>
          <w:tcPr>
            <w:tcW w:w="480" w:type="dxa"/>
            <w:vAlign w:val="bottom"/>
            <w:tcBorders>
              <w:bottom w:val="single" w:sz="8" w:color="BCBEC0"/>
            </w:tcBorders>
          </w:tcPr>
          <w:p>
            <w:pPr>
              <w:spacing w:after="0"/>
              <w:rPr>
                <w:sz w:val="13"/>
                <w:szCs w:val="13"/>
                <w:color w:val="auto"/>
              </w:rPr>
            </w:pPr>
          </w:p>
        </w:tc>
      </w:tr>
      <w:tr>
        <w:trPr>
          <w:trHeight w:val="151"/>
        </w:trPr>
        <w:tc>
          <w:tcPr>
            <w:tcW w:w="4880" w:type="dxa"/>
            <w:vAlign w:val="bottom"/>
            <w:tcBorders>
              <w:bottom w:val="single" w:sz="8" w:color="E31F25"/>
            </w:tcBorders>
          </w:tcPr>
          <w:p>
            <w:pPr>
              <w:ind w:left="20"/>
              <w:spacing w:after="0" w:line="151" w:lineRule="exact"/>
              <w:rPr>
                <w:sz w:val="20"/>
                <w:szCs w:val="20"/>
                <w:color w:val="auto"/>
              </w:rPr>
            </w:pPr>
            <w:r>
              <w:rPr>
                <w:rFonts w:ascii="Arial" w:cs="Arial" w:eastAsia="Arial" w:hAnsi="Arial"/>
                <w:sz w:val="10"/>
                <w:szCs w:val="10"/>
                <w:color w:val="auto"/>
              </w:rPr>
              <w:t>Tax expense related to tax law rate changes</w:t>
            </w:r>
            <w:r>
              <w:rPr>
                <w:rFonts w:ascii="Arial" w:cs="Arial" w:eastAsia="Arial" w:hAnsi="Arial"/>
                <w:sz w:val="15"/>
                <w:szCs w:val="15"/>
                <w:color w:val="auto"/>
                <w:vertAlign w:val="superscript"/>
              </w:rPr>
              <w:t>(1)</w:t>
            </w:r>
          </w:p>
        </w:tc>
        <w:tc>
          <w:tcPr>
            <w:tcW w:w="740" w:type="dxa"/>
            <w:vAlign w:val="bottom"/>
            <w:tcBorders>
              <w:bottom w:val="single" w:sz="8" w:color="E31F25"/>
            </w:tcBorders>
          </w:tcPr>
          <w:p>
            <w:pPr>
              <w:spacing w:after="0"/>
              <w:rPr>
                <w:sz w:val="13"/>
                <w:szCs w:val="13"/>
                <w:color w:val="auto"/>
              </w:rPr>
            </w:pPr>
          </w:p>
        </w:tc>
        <w:tc>
          <w:tcPr>
            <w:tcW w:w="44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(1)</w:t>
            </w:r>
          </w:p>
        </w:tc>
        <w:tc>
          <w:tcPr>
            <w:tcW w:w="300" w:type="dxa"/>
            <w:vAlign w:val="bottom"/>
            <w:tcBorders>
              <w:bottom w:val="single" w:sz="8" w:color="E31F25"/>
            </w:tcBorders>
          </w:tcPr>
          <w:p>
            <w:pPr>
              <w:spacing w:after="0"/>
              <w:rPr>
                <w:sz w:val="13"/>
                <w:szCs w:val="13"/>
                <w:color w:val="auto"/>
              </w:rPr>
            </w:pPr>
          </w:p>
        </w:tc>
        <w:tc>
          <w:tcPr>
            <w:tcW w:w="34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(5)</w:t>
            </w:r>
          </w:p>
        </w:tc>
        <w:tc>
          <w:tcPr>
            <w:tcW w:w="160" w:type="dxa"/>
            <w:vAlign w:val="bottom"/>
            <w:tcBorders>
              <w:bottom w:val="single" w:sz="8" w:color="E31F25"/>
            </w:tcBorders>
          </w:tcPr>
          <w:p>
            <w:pPr>
              <w:spacing w:after="0"/>
              <w:rPr>
                <w:sz w:val="13"/>
                <w:szCs w:val="13"/>
                <w:color w:val="auto"/>
              </w:rPr>
            </w:pPr>
          </w:p>
        </w:tc>
        <w:tc>
          <w:tcPr>
            <w:tcW w:w="480" w:type="dxa"/>
            <w:vAlign w:val="bottom"/>
            <w:tcBorders>
              <w:bottom w:val="single" w:sz="8" w:color="E31F25"/>
            </w:tcBorders>
          </w:tcPr>
          <w:p>
            <w:pPr>
              <w:spacing w:after="0"/>
              <w:rPr>
                <w:sz w:val="13"/>
                <w:szCs w:val="13"/>
                <w:color w:val="auto"/>
              </w:rPr>
            </w:pPr>
          </w:p>
        </w:tc>
      </w:tr>
      <w:tr>
        <w:trPr>
          <w:trHeight w:val="130"/>
        </w:trPr>
        <w:tc>
          <w:tcPr>
            <w:tcW w:w="4880" w:type="dxa"/>
            <w:vAlign w:val="bottom"/>
            <w:tcBorders>
              <w:bottom w:val="single" w:sz="8" w:color="E31F25"/>
            </w:tcBorders>
          </w:tcPr>
          <w:p>
            <w:pPr>
              <w:ind w:left="20"/>
              <w:spacing w:after="0"/>
              <w:rPr>
                <w:sz w:val="20"/>
                <w:szCs w:val="20"/>
                <w:color w:val="auto"/>
              </w:rPr>
            </w:pPr>
            <w:r>
              <w:rPr>
                <w:rFonts w:ascii="Arial" w:cs="Arial" w:eastAsia="Arial" w:hAnsi="Arial"/>
                <w:sz w:val="10"/>
                <w:szCs w:val="10"/>
                <w:color w:val="auto"/>
              </w:rPr>
              <w:t>Two-Year Average After-Tax Income (non-GAAP)</w:t>
            </w:r>
          </w:p>
        </w:tc>
        <w:tc>
          <w:tcPr>
            <w:tcW w:w="74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807</w:t>
            </w:r>
          </w:p>
        </w:tc>
        <w:tc>
          <w:tcPr>
            <w:tcW w:w="30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296</w:t>
            </w:r>
          </w:p>
        </w:tc>
        <w:tc>
          <w:tcPr>
            <w:tcW w:w="160" w:type="dxa"/>
            <w:vAlign w:val="bottom"/>
            <w:tcBorders>
              <w:bottom w:val="single" w:sz="8" w:color="E31F25"/>
            </w:tcBorders>
          </w:tcPr>
          <w:p>
            <w:pPr>
              <w:spacing w:after="0"/>
              <w:rPr>
                <w:sz w:val="11"/>
                <w:szCs w:val="11"/>
                <w:color w:val="auto"/>
              </w:rPr>
            </w:pPr>
          </w:p>
        </w:tc>
        <w:tc>
          <w:tcPr>
            <w:tcW w:w="480" w:type="dxa"/>
            <w:vAlign w:val="bottom"/>
            <w:tcBorders>
              <w:bottom w:val="single" w:sz="8" w:color="E31F25"/>
            </w:tcBorders>
          </w:tcPr>
          <w:p>
            <w:pPr>
              <w:spacing w:after="0"/>
              <w:rPr>
                <w:sz w:val="11"/>
                <w:szCs w:val="11"/>
                <w:color w:val="auto"/>
              </w:rPr>
            </w:pPr>
          </w:p>
        </w:tc>
      </w:tr>
      <w:tr>
        <w:trPr>
          <w:trHeight w:val="154"/>
        </w:trPr>
        <w:tc>
          <w:tcPr>
            <w:tcW w:w="4880" w:type="dxa"/>
            <w:vAlign w:val="bottom"/>
            <w:tcBorders>
              <w:bottom w:val="single" w:sz="8" w:color="E31F25"/>
            </w:tcBorders>
          </w:tcPr>
          <w:p>
            <w:pPr>
              <w:ind w:left="20"/>
              <w:spacing w:after="0" w:line="154" w:lineRule="exact"/>
              <w:rPr>
                <w:sz w:val="20"/>
                <w:szCs w:val="20"/>
                <w:color w:val="auto"/>
              </w:rPr>
            </w:pPr>
            <w:r>
              <w:rPr>
                <w:rFonts w:ascii="Arial" w:cs="Arial" w:eastAsia="Arial" w:hAnsi="Arial"/>
                <w:sz w:val="10"/>
                <w:szCs w:val="10"/>
                <w:color w:val="auto"/>
              </w:rPr>
              <w:t>Disregarded items for the PSU awards, not part of non-GAAP adjustments</w:t>
            </w:r>
            <w:r>
              <w:rPr>
                <w:rFonts w:ascii="Arial" w:cs="Arial" w:eastAsia="Arial" w:hAnsi="Arial"/>
                <w:sz w:val="15"/>
                <w:szCs w:val="15"/>
                <w:color w:val="auto"/>
                <w:vertAlign w:val="superscript"/>
              </w:rPr>
              <w:t>(2)</w:t>
            </w:r>
          </w:p>
        </w:tc>
        <w:tc>
          <w:tcPr>
            <w:tcW w:w="740" w:type="dxa"/>
            <w:vAlign w:val="bottom"/>
            <w:tcBorders>
              <w:bottom w:val="single" w:sz="8" w:color="E31F25"/>
            </w:tcBorders>
          </w:tcPr>
          <w:p>
            <w:pPr>
              <w:spacing w:after="0"/>
              <w:rPr>
                <w:sz w:val="13"/>
                <w:szCs w:val="13"/>
                <w:color w:val="auto"/>
              </w:rPr>
            </w:pPr>
          </w:p>
        </w:tc>
        <w:tc>
          <w:tcPr>
            <w:tcW w:w="44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(5)</w:t>
            </w:r>
          </w:p>
        </w:tc>
        <w:tc>
          <w:tcPr>
            <w:tcW w:w="300" w:type="dxa"/>
            <w:vAlign w:val="bottom"/>
            <w:tcBorders>
              <w:bottom w:val="single" w:sz="8" w:color="E31F25"/>
            </w:tcBorders>
          </w:tcPr>
          <w:p>
            <w:pPr>
              <w:spacing w:after="0"/>
              <w:rPr>
                <w:sz w:val="13"/>
                <w:szCs w:val="13"/>
                <w:color w:val="auto"/>
              </w:rPr>
            </w:pPr>
          </w:p>
        </w:tc>
        <w:tc>
          <w:tcPr>
            <w:tcW w:w="34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(2)</w:t>
            </w:r>
          </w:p>
        </w:tc>
        <w:tc>
          <w:tcPr>
            <w:tcW w:w="160" w:type="dxa"/>
            <w:vAlign w:val="bottom"/>
            <w:tcBorders>
              <w:bottom w:val="single" w:sz="8" w:color="E31F25"/>
            </w:tcBorders>
          </w:tcPr>
          <w:p>
            <w:pPr>
              <w:spacing w:after="0"/>
              <w:rPr>
                <w:sz w:val="13"/>
                <w:szCs w:val="13"/>
                <w:color w:val="auto"/>
              </w:rPr>
            </w:pPr>
          </w:p>
        </w:tc>
        <w:tc>
          <w:tcPr>
            <w:tcW w:w="480" w:type="dxa"/>
            <w:vAlign w:val="bottom"/>
            <w:tcBorders>
              <w:bottom w:val="single" w:sz="8" w:color="E31F25"/>
            </w:tcBorders>
          </w:tcPr>
          <w:p>
            <w:pPr>
              <w:spacing w:after="0"/>
              <w:rPr>
                <w:sz w:val="13"/>
                <w:szCs w:val="13"/>
                <w:color w:val="auto"/>
              </w:rPr>
            </w:pPr>
          </w:p>
        </w:tc>
      </w:tr>
      <w:tr>
        <w:trPr>
          <w:trHeight w:val="130"/>
        </w:trPr>
        <w:tc>
          <w:tcPr>
            <w:tcW w:w="4880" w:type="dxa"/>
            <w:vAlign w:val="bottom"/>
            <w:tcBorders>
              <w:bottom w:val="single" w:sz="8" w:color="E31F25"/>
            </w:tcBorders>
          </w:tcPr>
          <w:p>
            <w:pPr>
              <w:ind w:left="20"/>
              <w:spacing w:after="0"/>
              <w:rPr>
                <w:sz w:val="20"/>
                <w:szCs w:val="20"/>
                <w:color w:val="auto"/>
              </w:rPr>
            </w:pPr>
            <w:r>
              <w:rPr>
                <w:rFonts w:ascii="Arial" w:cs="Arial" w:eastAsia="Arial" w:hAnsi="Arial"/>
                <w:sz w:val="10"/>
                <w:szCs w:val="10"/>
                <w:color w:val="auto"/>
              </w:rPr>
              <w:t>Two-Year Average After-Tax Income (PSU payouts)</w:t>
            </w:r>
          </w:p>
        </w:tc>
        <w:tc>
          <w:tcPr>
            <w:tcW w:w="74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802</w:t>
            </w:r>
          </w:p>
        </w:tc>
        <w:tc>
          <w:tcPr>
            <w:tcW w:w="30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294</w:t>
            </w:r>
          </w:p>
        </w:tc>
        <w:tc>
          <w:tcPr>
            <w:tcW w:w="16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548</w:t>
            </w:r>
          </w:p>
        </w:tc>
      </w:tr>
    </w:tbl>
    <w:p>
      <w:pPr>
        <w:ind w:left="1040" w:hanging="208"/>
        <w:spacing w:after="0" w:line="203" w:lineRule="auto"/>
        <w:tabs>
          <w:tab w:leader="none" w:pos="1040" w:val="left"/>
        </w:tabs>
        <w:numPr>
          <w:ilvl w:val="0"/>
          <w:numId w:val="101"/>
        </w:numPr>
        <w:rPr>
          <w:rFonts w:ascii="Arial" w:cs="Arial" w:eastAsia="Arial" w:hAnsi="Arial"/>
          <w:sz w:val="16"/>
          <w:szCs w:val="16"/>
          <w:color w:val="auto"/>
          <w:vertAlign w:val="superscript"/>
        </w:rPr>
      </w:pPr>
      <w:r>
        <w:rPr>
          <w:rFonts w:ascii="Arial" w:cs="Arial" w:eastAsia="Arial" w:hAnsi="Arial"/>
          <w:sz w:val="10"/>
          <w:szCs w:val="10"/>
          <w:color w:val="auto"/>
        </w:rPr>
        <w:t>See pages 21 through 22 of our Annual Report for a description of this item.</w:t>
      </w:r>
    </w:p>
    <w:p>
      <w:pPr>
        <w:spacing w:after="0" w:line="27" w:lineRule="exact"/>
        <w:rPr>
          <w:rFonts w:ascii="Arial" w:cs="Arial" w:eastAsia="Arial" w:hAnsi="Arial"/>
          <w:sz w:val="16"/>
          <w:szCs w:val="16"/>
          <w:color w:val="auto"/>
          <w:vertAlign w:val="superscript"/>
        </w:rPr>
      </w:pPr>
    </w:p>
    <w:p>
      <w:pPr>
        <w:jc w:val="both"/>
        <w:ind w:left="1040" w:right="839" w:hanging="208"/>
        <w:spacing w:after="0" w:line="192" w:lineRule="auto"/>
        <w:tabs>
          <w:tab w:leader="none" w:pos="1040" w:val="left"/>
        </w:tabs>
        <w:numPr>
          <w:ilvl w:val="0"/>
          <w:numId w:val="101"/>
        </w:numPr>
        <w:rPr>
          <w:rFonts w:ascii="Arial" w:cs="Arial" w:eastAsia="Arial" w:hAnsi="Arial"/>
          <w:sz w:val="16"/>
          <w:szCs w:val="16"/>
          <w:color w:val="auto"/>
          <w:vertAlign w:val="superscript"/>
        </w:rPr>
      </w:pPr>
      <w:r>
        <w:rPr>
          <w:rFonts w:ascii="Arial" w:cs="Arial" w:eastAsia="Arial" w:hAnsi="Arial"/>
          <w:sz w:val="10"/>
          <w:szCs w:val="10"/>
          <w:color w:val="auto"/>
        </w:rPr>
        <w:t>The PSU awards provide for the exclusion of certain items that the Human Capital Committee considers unusual or non-recurring. The disregarded items permitted under the PSU awards include adjustments relating to the income associated with completed acquisitions, the profit or loss from minority investments, the effect of COVID-19 on our results, and excess tax benefits.</w:t>
      </w:r>
    </w:p>
    <w:p>
      <w:pPr>
        <w:spacing w:after="0" w:line="111" w:lineRule="exact"/>
        <w:rPr>
          <w:sz w:val="20"/>
          <w:szCs w:val="20"/>
          <w:color w:val="auto"/>
        </w:rPr>
      </w:pPr>
    </w:p>
    <w:p>
      <w:pPr>
        <w:ind w:left="1520" w:hanging="388"/>
        <w:spacing w:after="0"/>
        <w:tabs>
          <w:tab w:leader="none" w:pos="1520" w:val="left"/>
        </w:tabs>
        <w:numPr>
          <w:ilvl w:val="0"/>
          <w:numId w:val="102"/>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173990</wp:posOffset>
            </wp:positionV>
            <wp:extent cx="717804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66" w:name="page67"/>
    <w:bookmarkEnd w:id="66"/>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D60011"/>
        </w:rPr>
        <w:t>ROIC Calculation for 2020-21 PSU Payouts</w:t>
      </w:r>
      <w:r>
        <w:rPr>
          <w:rFonts w:ascii="Arial" w:cs="Arial" w:eastAsia="Arial" w:hAnsi="Arial"/>
          <w:sz w:val="11"/>
          <w:szCs w:val="11"/>
          <w:color w:val="D60011"/>
        </w:rPr>
        <w:t>.</w:t>
      </w:r>
      <w:r>
        <w:rPr>
          <w:rFonts w:ascii="Arial" w:cs="Arial" w:eastAsia="Arial" w:hAnsi="Arial"/>
          <w:sz w:val="11"/>
          <w:szCs w:val="11"/>
          <w:b w:val="1"/>
          <w:bCs w:val="1"/>
          <w:color w:val="D60011"/>
        </w:rPr>
        <w:t xml:space="preserve"> </w:t>
      </w:r>
      <w:r>
        <w:rPr>
          <w:rFonts w:ascii="Arial" w:cs="Arial" w:eastAsia="Arial" w:hAnsi="Arial"/>
          <w:sz w:val="11"/>
          <w:szCs w:val="11"/>
          <w:color w:val="000000"/>
        </w:rPr>
        <w:t>Please note the following reconciliation:</w:t>
      </w:r>
    </w:p>
    <w:p>
      <w:pPr>
        <w:spacing w:after="0" w:line="145" w:lineRule="exact"/>
        <w:rPr>
          <w:sz w:val="20"/>
          <w:szCs w:val="20"/>
          <w:color w:val="auto"/>
        </w:rPr>
      </w:pPr>
    </w:p>
    <w:tbl>
      <w:tblPr>
        <w:tblLayout w:type="fixed"/>
        <w:tblInd w:w="1980" w:type="dxa"/>
        <w:tblCellMar>
          <w:top w:w="0" w:type="dxa"/>
          <w:left w:w="0" w:type="dxa"/>
          <w:bottom w:w="0" w:type="dxa"/>
          <w:right w:w="0" w:type="dxa"/>
        </w:tblCellMar>
      </w:tblPr>
      <w:tr>
        <w:trPr>
          <w:trHeight w:val="132"/>
        </w:trPr>
        <w:tc>
          <w:tcPr>
            <w:tcW w:w="4340" w:type="dxa"/>
            <w:vAlign w:val="bottom"/>
            <w:tcBorders>
              <w:bottom w:val="single" w:sz="8" w:color="E31F25"/>
            </w:tcBorders>
          </w:tcPr>
          <w:p>
            <w:pPr>
              <w:spacing w:after="0"/>
              <w:rPr>
                <w:sz w:val="11"/>
                <w:szCs w:val="11"/>
                <w:color w:val="auto"/>
              </w:rPr>
            </w:pPr>
          </w:p>
        </w:tc>
        <w:tc>
          <w:tcPr>
            <w:tcW w:w="1220" w:type="dxa"/>
            <w:vAlign w:val="bottom"/>
            <w:tcBorders>
              <w:bottom w:val="single" w:sz="8" w:color="E31F25"/>
            </w:tcBorders>
          </w:tcPr>
          <w:p>
            <w:pPr>
              <w:spacing w:after="0"/>
              <w:rPr>
                <w:sz w:val="11"/>
                <w:szCs w:val="11"/>
                <w:color w:val="auto"/>
              </w:rPr>
            </w:pPr>
          </w:p>
        </w:tc>
        <w:tc>
          <w:tcPr>
            <w:tcW w:w="48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E31F25"/>
            </w:tcBorders>
          </w:tcPr>
          <w:p>
            <w:pPr>
              <w:spacing w:after="0"/>
              <w:rPr>
                <w:sz w:val="11"/>
                <w:szCs w:val="11"/>
                <w:color w:val="auto"/>
              </w:rPr>
            </w:pPr>
          </w:p>
        </w:tc>
        <w:tc>
          <w:tcPr>
            <w:tcW w:w="40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E31F25"/>
            </w:tcBorders>
          </w:tcPr>
          <w:p>
            <w:pPr>
              <w:spacing w:after="0"/>
              <w:rPr>
                <w:sz w:val="11"/>
                <w:szCs w:val="11"/>
                <w:color w:val="auto"/>
              </w:rPr>
            </w:pPr>
          </w:p>
        </w:tc>
        <w:tc>
          <w:tcPr>
            <w:tcW w:w="50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b w:val="1"/>
                <w:bCs w:val="1"/>
                <w:color w:val="auto"/>
                <w:w w:val="96"/>
              </w:rPr>
              <w:t>Average</w:t>
            </w:r>
          </w:p>
        </w:tc>
      </w:tr>
      <w:tr>
        <w:trPr>
          <w:trHeight w:val="131"/>
        </w:trPr>
        <w:tc>
          <w:tcPr>
            <w:tcW w:w="4340" w:type="dxa"/>
            <w:vAlign w:val="bottom"/>
            <w:tcBorders>
              <w:bottom w:val="single" w:sz="8" w:color="BCBEC0"/>
            </w:tcBorders>
          </w:tcPr>
          <w:p>
            <w:pPr>
              <w:spacing w:after="0"/>
              <w:rPr>
                <w:sz w:val="11"/>
                <w:szCs w:val="11"/>
                <w:color w:val="auto"/>
              </w:rPr>
            </w:pPr>
          </w:p>
        </w:tc>
        <w:tc>
          <w:tcPr>
            <w:tcW w:w="1220" w:type="dxa"/>
            <w:vAlign w:val="bottom"/>
            <w:tcBorders>
              <w:bottom w:val="single" w:sz="8" w:color="BCBEC0"/>
            </w:tcBorders>
          </w:tcPr>
          <w:p>
            <w:pPr>
              <w:spacing w:after="0"/>
              <w:rPr>
                <w:sz w:val="11"/>
                <w:szCs w:val="11"/>
                <w:color w:val="auto"/>
              </w:rPr>
            </w:pPr>
          </w:p>
        </w:tc>
        <w:tc>
          <w:tcPr>
            <w:tcW w:w="740" w:type="dxa"/>
            <w:vAlign w:val="bottom"/>
            <w:tcBorders>
              <w:bottom w:val="single" w:sz="8" w:color="BCBEC0"/>
            </w:tcBorders>
            <w:gridSpan w:val="2"/>
          </w:tcPr>
          <w:p>
            <w:pPr>
              <w:jc w:val="right"/>
              <w:spacing w:after="0"/>
              <w:rPr>
                <w:sz w:val="20"/>
                <w:szCs w:val="20"/>
                <w:color w:val="auto"/>
              </w:rPr>
            </w:pPr>
            <w:r>
              <w:rPr>
                <w:rFonts w:ascii="Arial" w:cs="Arial" w:eastAsia="Arial" w:hAnsi="Arial"/>
                <w:sz w:val="10"/>
                <w:szCs w:val="10"/>
                <w:color w:val="auto"/>
              </w:rPr>
              <w:t>($ in millions)</w:t>
            </w:r>
          </w:p>
        </w:tc>
        <w:tc>
          <w:tcPr>
            <w:tcW w:w="400" w:type="dxa"/>
            <w:vAlign w:val="bottom"/>
            <w:tcBorders>
              <w:bottom w:val="single" w:sz="8" w:color="BCBEC0"/>
            </w:tcBorders>
          </w:tcPr>
          <w:p>
            <w:pPr>
              <w:spacing w:after="0"/>
              <w:rPr>
                <w:sz w:val="11"/>
                <w:szCs w:val="11"/>
                <w:color w:val="auto"/>
              </w:rPr>
            </w:pP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Pre-tax income:</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spacing w:after="0"/>
              <w:rPr>
                <w:sz w:val="11"/>
                <w:szCs w:val="11"/>
                <w:color w:val="auto"/>
              </w:rPr>
            </w:pP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spacing w:after="0"/>
              <w:rPr>
                <w:sz w:val="11"/>
                <w:szCs w:val="11"/>
                <w:color w:val="auto"/>
              </w:rPr>
            </w:pP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Income before income taxes</w:t>
            </w:r>
          </w:p>
        </w:tc>
        <w:tc>
          <w:tcPr>
            <w:tcW w:w="122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1,240</w:t>
            </w:r>
          </w:p>
        </w:tc>
        <w:tc>
          <w:tcPr>
            <w:tcW w:w="260" w:type="dxa"/>
            <w:vAlign w:val="bottom"/>
            <w:tcBorders>
              <w:bottom w:val="single" w:sz="8" w:color="BCBEC0"/>
            </w:tcBorders>
          </w:tcPr>
          <w:p>
            <w:pPr>
              <w:jc w:val="right"/>
              <w:ind w:right="1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494</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Pre-tax adjustments excluded from GAAP:</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spacing w:after="0"/>
              <w:rPr>
                <w:sz w:val="11"/>
                <w:szCs w:val="11"/>
                <w:color w:val="auto"/>
              </w:rPr>
            </w:pP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spacing w:after="0"/>
              <w:rPr>
                <w:sz w:val="11"/>
                <w:szCs w:val="11"/>
                <w:color w:val="auto"/>
              </w:rPr>
            </w:pP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54"/>
        </w:trPr>
        <w:tc>
          <w:tcPr>
            <w:tcW w:w="4340" w:type="dxa"/>
            <w:vAlign w:val="bottom"/>
            <w:tcBorders>
              <w:bottom w:val="single" w:sz="8" w:color="BCBEC0"/>
            </w:tcBorders>
          </w:tcPr>
          <w:p>
            <w:pPr>
              <w:ind w:left="20"/>
              <w:spacing w:after="0" w:line="154" w:lineRule="exact"/>
              <w:rPr>
                <w:sz w:val="20"/>
                <w:szCs w:val="20"/>
                <w:color w:val="auto"/>
              </w:rPr>
            </w:pPr>
            <w:r>
              <w:rPr>
                <w:rFonts w:ascii="Arial" w:cs="Arial" w:eastAsia="Arial" w:hAnsi="Arial"/>
                <w:sz w:val="10"/>
                <w:szCs w:val="10"/>
                <w:color w:val="auto"/>
              </w:rPr>
              <w:t>Impairment and other charges</w:t>
            </w:r>
            <w:r>
              <w:rPr>
                <w:rFonts w:ascii="Arial" w:cs="Arial" w:eastAsia="Arial" w:hAnsi="Arial"/>
                <w:sz w:val="15"/>
                <w:szCs w:val="15"/>
                <w:color w:val="auto"/>
                <w:vertAlign w:val="superscript"/>
              </w:rPr>
              <w:t>(1)</w:t>
            </w:r>
          </w:p>
        </w:tc>
        <w:tc>
          <w:tcPr>
            <w:tcW w:w="1220" w:type="dxa"/>
            <w:vAlign w:val="bottom"/>
            <w:tcBorders>
              <w:bottom w:val="single" w:sz="8" w:color="BCBEC0"/>
            </w:tcBorders>
          </w:tcPr>
          <w:p>
            <w:pPr>
              <w:spacing w:after="0"/>
              <w:rPr>
                <w:sz w:val="13"/>
                <w:szCs w:val="13"/>
                <w:color w:val="auto"/>
              </w:rPr>
            </w:pP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172</w:t>
            </w:r>
          </w:p>
        </w:tc>
        <w:tc>
          <w:tcPr>
            <w:tcW w:w="260" w:type="dxa"/>
            <w:vAlign w:val="bottom"/>
            <w:tcBorders>
              <w:bottom w:val="single" w:sz="8" w:color="BCBEC0"/>
            </w:tcBorders>
          </w:tcPr>
          <w:p>
            <w:pPr>
              <w:spacing w:after="0"/>
              <w:rPr>
                <w:sz w:val="13"/>
                <w:szCs w:val="13"/>
                <w:color w:val="auto"/>
              </w:rPr>
            </w:pP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117</w:t>
            </w:r>
          </w:p>
        </w:tc>
        <w:tc>
          <w:tcPr>
            <w:tcW w:w="140" w:type="dxa"/>
            <w:vAlign w:val="bottom"/>
            <w:tcBorders>
              <w:bottom w:val="single" w:sz="8" w:color="BCBEC0"/>
            </w:tcBorders>
          </w:tcPr>
          <w:p>
            <w:pPr>
              <w:spacing w:after="0"/>
              <w:rPr>
                <w:sz w:val="13"/>
                <w:szCs w:val="13"/>
                <w:color w:val="auto"/>
              </w:rPr>
            </w:pPr>
          </w:p>
        </w:tc>
        <w:tc>
          <w:tcPr>
            <w:tcW w:w="500" w:type="dxa"/>
            <w:vAlign w:val="bottom"/>
            <w:tcBorders>
              <w:bottom w:val="single" w:sz="8" w:color="BCBEC0"/>
            </w:tcBorders>
          </w:tcPr>
          <w:p>
            <w:pPr>
              <w:spacing w:after="0"/>
              <w:rPr>
                <w:sz w:val="13"/>
                <w:szCs w:val="13"/>
                <w:color w:val="auto"/>
              </w:rPr>
            </w:pPr>
          </w:p>
        </w:tc>
      </w:tr>
      <w:tr>
        <w:trPr>
          <w:trHeight w:val="151"/>
        </w:trPr>
        <w:tc>
          <w:tcPr>
            <w:tcW w:w="4340" w:type="dxa"/>
            <w:vAlign w:val="bottom"/>
            <w:tcBorders>
              <w:bottom w:val="single" w:sz="8" w:color="E31F25"/>
            </w:tcBorders>
          </w:tcPr>
          <w:p>
            <w:pPr>
              <w:ind w:left="20"/>
              <w:spacing w:after="0" w:line="151" w:lineRule="exact"/>
              <w:rPr>
                <w:sz w:val="20"/>
                <w:szCs w:val="20"/>
                <w:color w:val="auto"/>
              </w:rPr>
            </w:pPr>
            <w:r>
              <w:rPr>
                <w:rFonts w:ascii="Arial" w:cs="Arial" w:eastAsia="Arial" w:hAnsi="Arial"/>
                <w:sz w:val="10"/>
                <w:szCs w:val="10"/>
                <w:color w:val="auto"/>
              </w:rPr>
              <w:t>Other income, net</w:t>
            </w:r>
            <w:r>
              <w:rPr>
                <w:rFonts w:ascii="Arial" w:cs="Arial" w:eastAsia="Arial" w:hAnsi="Arial"/>
                <w:sz w:val="15"/>
                <w:szCs w:val="15"/>
                <w:color w:val="auto"/>
                <w:vertAlign w:val="superscript"/>
              </w:rPr>
              <w:t>(1)</w:t>
            </w:r>
          </w:p>
        </w:tc>
        <w:tc>
          <w:tcPr>
            <w:tcW w:w="1220" w:type="dxa"/>
            <w:vAlign w:val="bottom"/>
            <w:tcBorders>
              <w:bottom w:val="single" w:sz="8" w:color="E31F25"/>
            </w:tcBorders>
          </w:tcPr>
          <w:p>
            <w:pPr>
              <w:spacing w:after="0"/>
              <w:rPr>
                <w:sz w:val="13"/>
                <w:szCs w:val="13"/>
                <w:color w:val="auto"/>
              </w:rPr>
            </w:pPr>
          </w:p>
        </w:tc>
        <w:tc>
          <w:tcPr>
            <w:tcW w:w="48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(306)</w:t>
            </w:r>
          </w:p>
        </w:tc>
        <w:tc>
          <w:tcPr>
            <w:tcW w:w="260" w:type="dxa"/>
            <w:vAlign w:val="bottom"/>
            <w:tcBorders>
              <w:bottom w:val="single" w:sz="8" w:color="E31F25"/>
            </w:tcBorders>
          </w:tcPr>
          <w:p>
            <w:pPr>
              <w:spacing w:after="0"/>
              <w:rPr>
                <w:sz w:val="13"/>
                <w:szCs w:val="13"/>
                <w:color w:val="auto"/>
              </w:rPr>
            </w:pPr>
          </w:p>
        </w:tc>
        <w:tc>
          <w:tcPr>
            <w:tcW w:w="40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(190)</w:t>
            </w:r>
          </w:p>
        </w:tc>
        <w:tc>
          <w:tcPr>
            <w:tcW w:w="140" w:type="dxa"/>
            <w:vAlign w:val="bottom"/>
            <w:tcBorders>
              <w:bottom w:val="single" w:sz="8" w:color="E31F25"/>
            </w:tcBorders>
          </w:tcPr>
          <w:p>
            <w:pPr>
              <w:spacing w:after="0"/>
              <w:rPr>
                <w:sz w:val="13"/>
                <w:szCs w:val="13"/>
                <w:color w:val="auto"/>
              </w:rPr>
            </w:pPr>
          </w:p>
        </w:tc>
        <w:tc>
          <w:tcPr>
            <w:tcW w:w="500" w:type="dxa"/>
            <w:vAlign w:val="bottom"/>
            <w:tcBorders>
              <w:bottom w:val="single" w:sz="8" w:color="E31F25"/>
            </w:tcBorders>
          </w:tcPr>
          <w:p>
            <w:pPr>
              <w:spacing w:after="0"/>
              <w:rPr>
                <w:sz w:val="13"/>
                <w:szCs w:val="13"/>
                <w:color w:val="auto"/>
              </w:rPr>
            </w:pPr>
          </w:p>
        </w:tc>
      </w:tr>
      <w:tr>
        <w:trPr>
          <w:trHeight w:val="130"/>
        </w:trPr>
        <w:tc>
          <w:tcPr>
            <w:tcW w:w="4340" w:type="dxa"/>
            <w:vAlign w:val="bottom"/>
            <w:tcBorders>
              <w:bottom w:val="single" w:sz="8" w:color="E31F25"/>
            </w:tcBorders>
          </w:tcPr>
          <w:p>
            <w:pPr>
              <w:ind w:left="20"/>
              <w:spacing w:after="0"/>
              <w:rPr>
                <w:sz w:val="20"/>
                <w:szCs w:val="20"/>
                <w:color w:val="auto"/>
              </w:rPr>
            </w:pPr>
            <w:r>
              <w:rPr>
                <w:rFonts w:ascii="Arial" w:cs="Arial" w:eastAsia="Arial" w:hAnsi="Arial"/>
                <w:sz w:val="10"/>
                <w:szCs w:val="10"/>
                <w:color w:val="auto"/>
              </w:rPr>
              <w:t>Adjusted income before income taxes (non-GAAP)</w:t>
            </w:r>
          </w:p>
        </w:tc>
        <w:tc>
          <w:tcPr>
            <w:tcW w:w="122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1,106</w:t>
            </w:r>
          </w:p>
        </w:tc>
        <w:tc>
          <w:tcPr>
            <w:tcW w:w="26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421</w:t>
            </w:r>
          </w:p>
        </w:tc>
        <w:tc>
          <w:tcPr>
            <w:tcW w:w="140" w:type="dxa"/>
            <w:vAlign w:val="bottom"/>
            <w:tcBorders>
              <w:bottom w:val="single" w:sz="8" w:color="E31F25"/>
            </w:tcBorders>
          </w:tcPr>
          <w:p>
            <w:pPr>
              <w:spacing w:after="0"/>
              <w:rPr>
                <w:sz w:val="11"/>
                <w:szCs w:val="11"/>
                <w:color w:val="auto"/>
              </w:rPr>
            </w:pPr>
          </w:p>
        </w:tc>
        <w:tc>
          <w:tcPr>
            <w:tcW w:w="500" w:type="dxa"/>
            <w:vAlign w:val="bottom"/>
            <w:tcBorders>
              <w:bottom w:val="single" w:sz="8" w:color="E31F25"/>
            </w:tcBorders>
          </w:tcPr>
          <w:p>
            <w:pPr>
              <w:spacing w:after="0"/>
              <w:rPr>
                <w:sz w:val="11"/>
                <w:szCs w:val="11"/>
                <w:color w:val="auto"/>
              </w:rPr>
            </w:pPr>
          </w:p>
        </w:tc>
      </w:tr>
      <w:tr>
        <w:trPr>
          <w:trHeight w:val="154"/>
        </w:trPr>
        <w:tc>
          <w:tcPr>
            <w:tcW w:w="4340" w:type="dxa"/>
            <w:vAlign w:val="bottom"/>
            <w:tcBorders>
              <w:bottom w:val="single" w:sz="8" w:color="BCBEC0"/>
            </w:tcBorders>
          </w:tcPr>
          <w:p>
            <w:pPr>
              <w:ind w:left="20"/>
              <w:spacing w:after="0" w:line="154" w:lineRule="exact"/>
              <w:rPr>
                <w:sz w:val="20"/>
                <w:szCs w:val="20"/>
                <w:color w:val="auto"/>
              </w:rPr>
            </w:pPr>
            <w:r>
              <w:rPr>
                <w:rFonts w:ascii="Arial" w:cs="Arial" w:eastAsia="Arial" w:hAnsi="Arial"/>
                <w:sz w:val="10"/>
                <w:szCs w:val="10"/>
                <w:color w:val="auto"/>
              </w:rPr>
              <w:t>Disregarded items for the PSU awards, not part of non-GAAP adjustments</w:t>
            </w:r>
            <w:r>
              <w:rPr>
                <w:rFonts w:ascii="Arial" w:cs="Arial" w:eastAsia="Arial" w:hAnsi="Arial"/>
                <w:sz w:val="15"/>
                <w:szCs w:val="15"/>
                <w:color w:val="auto"/>
                <w:vertAlign w:val="superscript"/>
              </w:rPr>
              <w:t>(2)</w:t>
            </w:r>
          </w:p>
        </w:tc>
        <w:tc>
          <w:tcPr>
            <w:tcW w:w="1220" w:type="dxa"/>
            <w:vAlign w:val="bottom"/>
            <w:tcBorders>
              <w:bottom w:val="single" w:sz="8" w:color="BCBEC0"/>
            </w:tcBorders>
          </w:tcPr>
          <w:p>
            <w:pPr>
              <w:spacing w:after="0"/>
              <w:rPr>
                <w:sz w:val="13"/>
                <w:szCs w:val="13"/>
                <w:color w:val="auto"/>
              </w:rPr>
            </w:pPr>
          </w:p>
        </w:tc>
        <w:tc>
          <w:tcPr>
            <w:tcW w:w="48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(3)</w:t>
            </w:r>
          </w:p>
        </w:tc>
        <w:tc>
          <w:tcPr>
            <w:tcW w:w="260" w:type="dxa"/>
            <w:vAlign w:val="bottom"/>
            <w:tcBorders>
              <w:bottom w:val="single" w:sz="8" w:color="BCBEC0"/>
            </w:tcBorders>
          </w:tcPr>
          <w:p>
            <w:pPr>
              <w:spacing w:after="0"/>
              <w:rPr>
                <w:sz w:val="13"/>
                <w:szCs w:val="13"/>
                <w:color w:val="auto"/>
              </w:rPr>
            </w:pPr>
          </w:p>
        </w:tc>
        <w:tc>
          <w:tcPr>
            <w:tcW w:w="4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(2)</w:t>
            </w:r>
          </w:p>
        </w:tc>
        <w:tc>
          <w:tcPr>
            <w:tcW w:w="140" w:type="dxa"/>
            <w:vAlign w:val="bottom"/>
            <w:tcBorders>
              <w:bottom w:val="single" w:sz="8" w:color="BCBEC0"/>
            </w:tcBorders>
          </w:tcPr>
          <w:p>
            <w:pPr>
              <w:spacing w:after="0"/>
              <w:rPr>
                <w:sz w:val="13"/>
                <w:szCs w:val="13"/>
                <w:color w:val="auto"/>
              </w:rPr>
            </w:pPr>
          </w:p>
        </w:tc>
        <w:tc>
          <w:tcPr>
            <w:tcW w:w="500" w:type="dxa"/>
            <w:vAlign w:val="bottom"/>
            <w:tcBorders>
              <w:bottom w:val="single" w:sz="8" w:color="BCBEC0"/>
            </w:tcBorders>
          </w:tcPr>
          <w:p>
            <w:pPr>
              <w:spacing w:after="0"/>
              <w:rPr>
                <w:sz w:val="13"/>
                <w:szCs w:val="13"/>
                <w:color w:val="auto"/>
              </w:rPr>
            </w:pPr>
          </w:p>
        </w:tc>
      </w:tr>
      <w:tr>
        <w:trPr>
          <w:trHeight w:val="130"/>
        </w:trPr>
        <w:tc>
          <w:tcPr>
            <w:tcW w:w="4340" w:type="dxa"/>
            <w:vAlign w:val="bottom"/>
            <w:tcBorders>
              <w:bottom w:val="single" w:sz="8" w:color="E31F25"/>
            </w:tcBorders>
          </w:tcPr>
          <w:p>
            <w:pPr>
              <w:ind w:left="20"/>
              <w:spacing w:after="0"/>
              <w:rPr>
                <w:sz w:val="20"/>
                <w:szCs w:val="20"/>
                <w:color w:val="auto"/>
              </w:rPr>
            </w:pPr>
            <w:r>
              <w:rPr>
                <w:rFonts w:ascii="Arial" w:cs="Arial" w:eastAsia="Arial" w:hAnsi="Arial"/>
                <w:sz w:val="10"/>
                <w:szCs w:val="10"/>
                <w:color w:val="auto"/>
              </w:rPr>
              <w:t>Interest expense, net</w:t>
            </w:r>
          </w:p>
        </w:tc>
        <w:tc>
          <w:tcPr>
            <w:tcW w:w="1220" w:type="dxa"/>
            <w:vAlign w:val="bottom"/>
            <w:tcBorders>
              <w:bottom w:val="single" w:sz="8" w:color="E31F25"/>
            </w:tcBorders>
          </w:tcPr>
          <w:p>
            <w:pPr>
              <w:spacing w:after="0"/>
              <w:rPr>
                <w:sz w:val="11"/>
                <w:szCs w:val="11"/>
                <w:color w:val="auto"/>
              </w:rPr>
            </w:pPr>
          </w:p>
        </w:tc>
        <w:tc>
          <w:tcPr>
            <w:tcW w:w="48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(14)</w:t>
            </w:r>
          </w:p>
        </w:tc>
        <w:tc>
          <w:tcPr>
            <w:tcW w:w="260" w:type="dxa"/>
            <w:vAlign w:val="bottom"/>
            <w:tcBorders>
              <w:bottom w:val="single" w:sz="8" w:color="E31F25"/>
            </w:tcBorders>
          </w:tcPr>
          <w:p>
            <w:pPr>
              <w:spacing w:after="0"/>
              <w:rPr>
                <w:sz w:val="11"/>
                <w:szCs w:val="11"/>
                <w:color w:val="auto"/>
              </w:rPr>
            </w:pPr>
          </w:p>
        </w:tc>
        <w:tc>
          <w:tcPr>
            <w:tcW w:w="40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(7)</w:t>
            </w:r>
          </w:p>
        </w:tc>
        <w:tc>
          <w:tcPr>
            <w:tcW w:w="140" w:type="dxa"/>
            <w:vAlign w:val="bottom"/>
            <w:tcBorders>
              <w:bottom w:val="single" w:sz="8" w:color="E31F25"/>
            </w:tcBorders>
          </w:tcPr>
          <w:p>
            <w:pPr>
              <w:spacing w:after="0"/>
              <w:rPr>
                <w:sz w:val="11"/>
                <w:szCs w:val="11"/>
                <w:color w:val="auto"/>
              </w:rPr>
            </w:pPr>
          </w:p>
        </w:tc>
        <w:tc>
          <w:tcPr>
            <w:tcW w:w="500" w:type="dxa"/>
            <w:vAlign w:val="bottom"/>
            <w:tcBorders>
              <w:bottom w:val="single" w:sz="8" w:color="E31F25"/>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Adjusted EBIT (PSU awards)</w:t>
            </w:r>
          </w:p>
        </w:tc>
        <w:tc>
          <w:tcPr>
            <w:tcW w:w="122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1,117</w:t>
            </w:r>
          </w:p>
        </w:tc>
        <w:tc>
          <w:tcPr>
            <w:tcW w:w="260" w:type="dxa"/>
            <w:vAlign w:val="bottom"/>
            <w:tcBorders>
              <w:bottom w:val="single" w:sz="8" w:color="BCBEC0"/>
            </w:tcBorders>
          </w:tcPr>
          <w:p>
            <w:pPr>
              <w:jc w:val="right"/>
              <w:ind w:right="1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426</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54"/>
        </w:trPr>
        <w:tc>
          <w:tcPr>
            <w:tcW w:w="4340" w:type="dxa"/>
            <w:vAlign w:val="bottom"/>
            <w:tcBorders>
              <w:bottom w:val="single" w:sz="8" w:color="E31F25"/>
            </w:tcBorders>
          </w:tcPr>
          <w:p>
            <w:pPr>
              <w:ind w:left="20"/>
              <w:spacing w:after="0" w:line="154" w:lineRule="exact"/>
              <w:rPr>
                <w:sz w:val="20"/>
                <w:szCs w:val="20"/>
                <w:color w:val="auto"/>
              </w:rPr>
            </w:pPr>
            <w:r>
              <w:rPr>
                <w:rFonts w:ascii="Arial" w:cs="Arial" w:eastAsia="Arial" w:hAnsi="Arial"/>
                <w:sz w:val="10"/>
                <w:szCs w:val="10"/>
                <w:color w:val="auto"/>
              </w:rPr>
              <w:t>+ Interest component of straight-line rent expense</w:t>
            </w:r>
            <w:r>
              <w:rPr>
                <w:rFonts w:ascii="Arial" w:cs="Arial" w:eastAsia="Arial" w:hAnsi="Arial"/>
                <w:sz w:val="15"/>
                <w:szCs w:val="15"/>
                <w:color w:val="auto"/>
                <w:vertAlign w:val="superscript"/>
              </w:rPr>
              <w:t>(1)</w:t>
            </w:r>
          </w:p>
        </w:tc>
        <w:tc>
          <w:tcPr>
            <w:tcW w:w="1220" w:type="dxa"/>
            <w:vAlign w:val="bottom"/>
            <w:tcBorders>
              <w:bottom w:val="single" w:sz="8" w:color="E31F25"/>
            </w:tcBorders>
          </w:tcPr>
          <w:p>
            <w:pPr>
              <w:spacing w:after="0"/>
              <w:rPr>
                <w:sz w:val="13"/>
                <w:szCs w:val="13"/>
                <w:color w:val="auto"/>
              </w:rPr>
            </w:pPr>
          </w:p>
        </w:tc>
        <w:tc>
          <w:tcPr>
            <w:tcW w:w="48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144</w:t>
            </w:r>
          </w:p>
        </w:tc>
        <w:tc>
          <w:tcPr>
            <w:tcW w:w="260" w:type="dxa"/>
            <w:vAlign w:val="bottom"/>
            <w:tcBorders>
              <w:bottom w:val="single" w:sz="8" w:color="E31F25"/>
            </w:tcBorders>
          </w:tcPr>
          <w:p>
            <w:pPr>
              <w:spacing w:after="0"/>
              <w:rPr>
                <w:sz w:val="13"/>
                <w:szCs w:val="13"/>
                <w:color w:val="auto"/>
              </w:rPr>
            </w:pPr>
          </w:p>
        </w:tc>
        <w:tc>
          <w:tcPr>
            <w:tcW w:w="40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158</w:t>
            </w:r>
          </w:p>
        </w:tc>
        <w:tc>
          <w:tcPr>
            <w:tcW w:w="140" w:type="dxa"/>
            <w:vAlign w:val="bottom"/>
            <w:tcBorders>
              <w:bottom w:val="single" w:sz="8" w:color="E31F25"/>
            </w:tcBorders>
          </w:tcPr>
          <w:p>
            <w:pPr>
              <w:spacing w:after="0"/>
              <w:rPr>
                <w:sz w:val="13"/>
                <w:szCs w:val="13"/>
                <w:color w:val="auto"/>
              </w:rPr>
            </w:pPr>
          </w:p>
        </w:tc>
        <w:tc>
          <w:tcPr>
            <w:tcW w:w="500" w:type="dxa"/>
            <w:vAlign w:val="bottom"/>
            <w:tcBorders>
              <w:bottom w:val="single" w:sz="8" w:color="E31F25"/>
            </w:tcBorders>
          </w:tcPr>
          <w:p>
            <w:pPr>
              <w:spacing w:after="0"/>
              <w:rPr>
                <w:sz w:val="13"/>
                <w:szCs w:val="13"/>
                <w:color w:val="auto"/>
              </w:rPr>
            </w:pPr>
          </w:p>
        </w:tc>
      </w:tr>
      <w:tr>
        <w:trPr>
          <w:trHeight w:val="130"/>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Adjusted net operating profit</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1,261</w:t>
            </w: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584</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54"/>
        </w:trPr>
        <w:tc>
          <w:tcPr>
            <w:tcW w:w="4340" w:type="dxa"/>
            <w:vAlign w:val="bottom"/>
            <w:tcBorders>
              <w:bottom w:val="single" w:sz="8" w:color="BCBEC0"/>
            </w:tcBorders>
          </w:tcPr>
          <w:p>
            <w:pPr>
              <w:ind w:left="20"/>
              <w:spacing w:after="0" w:line="154" w:lineRule="exact"/>
              <w:rPr>
                <w:sz w:val="20"/>
                <w:szCs w:val="20"/>
                <w:color w:val="auto"/>
              </w:rPr>
            </w:pPr>
            <w:r>
              <w:rPr>
                <w:rFonts w:ascii="Arial" w:cs="Arial" w:eastAsia="Arial" w:hAnsi="Arial"/>
                <w:sz w:val="10"/>
                <w:szCs w:val="10"/>
                <w:color w:val="auto"/>
              </w:rPr>
              <w:t>- Adjusted income tax expense</w:t>
            </w:r>
            <w:r>
              <w:rPr>
                <w:rFonts w:ascii="Arial" w:cs="Arial" w:eastAsia="Arial" w:hAnsi="Arial"/>
                <w:sz w:val="15"/>
                <w:szCs w:val="15"/>
                <w:color w:val="auto"/>
                <w:vertAlign w:val="superscript"/>
              </w:rPr>
              <w:t>(1)</w:t>
            </w:r>
          </w:p>
        </w:tc>
        <w:tc>
          <w:tcPr>
            <w:tcW w:w="1220" w:type="dxa"/>
            <w:vAlign w:val="bottom"/>
            <w:tcBorders>
              <w:bottom w:val="single" w:sz="8" w:color="BCBEC0"/>
            </w:tcBorders>
          </w:tcPr>
          <w:p>
            <w:pPr>
              <w:spacing w:after="0"/>
              <w:rPr>
                <w:sz w:val="13"/>
                <w:szCs w:val="13"/>
                <w:color w:val="auto"/>
              </w:rPr>
            </w:pPr>
          </w:p>
        </w:tc>
        <w:tc>
          <w:tcPr>
            <w:tcW w:w="48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(342)</w:t>
            </w:r>
          </w:p>
        </w:tc>
        <w:tc>
          <w:tcPr>
            <w:tcW w:w="260" w:type="dxa"/>
            <w:vAlign w:val="bottom"/>
            <w:tcBorders>
              <w:bottom w:val="single" w:sz="8" w:color="BCBEC0"/>
            </w:tcBorders>
          </w:tcPr>
          <w:p>
            <w:pPr>
              <w:spacing w:after="0"/>
              <w:rPr>
                <w:sz w:val="13"/>
                <w:szCs w:val="13"/>
                <w:color w:val="auto"/>
              </w:rPr>
            </w:pPr>
          </w:p>
        </w:tc>
        <w:tc>
          <w:tcPr>
            <w:tcW w:w="4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(168)</w:t>
            </w:r>
          </w:p>
        </w:tc>
        <w:tc>
          <w:tcPr>
            <w:tcW w:w="140" w:type="dxa"/>
            <w:vAlign w:val="bottom"/>
            <w:tcBorders>
              <w:bottom w:val="single" w:sz="8" w:color="BCBEC0"/>
            </w:tcBorders>
          </w:tcPr>
          <w:p>
            <w:pPr>
              <w:spacing w:after="0"/>
              <w:rPr>
                <w:sz w:val="13"/>
                <w:szCs w:val="13"/>
                <w:color w:val="auto"/>
              </w:rPr>
            </w:pPr>
          </w:p>
        </w:tc>
        <w:tc>
          <w:tcPr>
            <w:tcW w:w="500" w:type="dxa"/>
            <w:vAlign w:val="bottom"/>
            <w:tcBorders>
              <w:bottom w:val="single" w:sz="8" w:color="BCBEC0"/>
            </w:tcBorders>
          </w:tcPr>
          <w:p>
            <w:pPr>
              <w:spacing w:after="0"/>
              <w:rPr>
                <w:sz w:val="13"/>
                <w:szCs w:val="13"/>
                <w:color w:val="auto"/>
              </w:rPr>
            </w:pPr>
          </w:p>
        </w:tc>
      </w:tr>
      <w:tr>
        <w:trPr>
          <w:trHeight w:val="130"/>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 Net loss attributable to noncontrolling interests</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w:t>
            </w: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E31F25"/>
            </w:tcBorders>
          </w:tcPr>
          <w:p>
            <w:pPr>
              <w:ind w:left="20"/>
              <w:spacing w:after="0"/>
              <w:rPr>
                <w:sz w:val="20"/>
                <w:szCs w:val="20"/>
                <w:color w:val="auto"/>
              </w:rPr>
            </w:pPr>
            <w:r>
              <w:rPr>
                <w:rFonts w:ascii="Arial" w:cs="Arial" w:eastAsia="Arial" w:hAnsi="Arial"/>
                <w:sz w:val="10"/>
                <w:szCs w:val="10"/>
                <w:color w:val="auto"/>
              </w:rPr>
              <w:t>= Adjusted return after taxes</w:t>
            </w:r>
          </w:p>
        </w:tc>
        <w:tc>
          <w:tcPr>
            <w:tcW w:w="122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920</w:t>
            </w:r>
          </w:p>
        </w:tc>
        <w:tc>
          <w:tcPr>
            <w:tcW w:w="26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416</w:t>
            </w:r>
          </w:p>
        </w:tc>
        <w:tc>
          <w:tcPr>
            <w:tcW w:w="14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668</w:t>
            </w: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Average total assets</w:t>
            </w:r>
          </w:p>
        </w:tc>
        <w:tc>
          <w:tcPr>
            <w:tcW w:w="122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7,589</w:t>
            </w:r>
          </w:p>
        </w:tc>
        <w:tc>
          <w:tcPr>
            <w:tcW w:w="260" w:type="dxa"/>
            <w:vAlign w:val="bottom"/>
            <w:tcBorders>
              <w:bottom w:val="single" w:sz="8" w:color="BCBEC0"/>
            </w:tcBorders>
          </w:tcPr>
          <w:p>
            <w:pPr>
              <w:jc w:val="right"/>
              <w:ind w:right="1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6,816</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 Average cash and cash equivalents</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(1,242)</w:t>
            </w: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w w:val="94"/>
              </w:rPr>
              <w:t>(1,294)</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 Average non-interest-bearing current liabilities</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(1,060)</w:t>
            </w: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(819)</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 Average merchandise inventories</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(1,095)</w:t>
            </w: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w w:val="94"/>
              </w:rPr>
              <w:t>(1,066)</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+ 13-month average merchandise inventories</w:t>
            </w:r>
          </w:p>
        </w:tc>
        <w:tc>
          <w:tcPr>
            <w:tcW w:w="1220" w:type="dxa"/>
            <w:vAlign w:val="bottom"/>
            <w:tcBorders>
              <w:bottom w:val="single" w:sz="8" w:color="BCBEC0"/>
            </w:tcBorders>
          </w:tcPr>
          <w:p>
            <w:pPr>
              <w:spacing w:after="0"/>
              <w:rPr>
                <w:sz w:val="11"/>
                <w:szCs w:val="11"/>
                <w:color w:val="auto"/>
              </w:rPr>
            </w:pP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1,116</w:t>
            </w:r>
          </w:p>
        </w:tc>
        <w:tc>
          <w:tcPr>
            <w:tcW w:w="260" w:type="dxa"/>
            <w:vAlign w:val="bottom"/>
            <w:tcBorders>
              <w:bottom w:val="single" w:sz="8" w:color="BCBEC0"/>
            </w:tcBorders>
          </w:tcPr>
          <w:p>
            <w:pPr>
              <w:spacing w:after="0"/>
              <w:rPr>
                <w:sz w:val="11"/>
                <w:szCs w:val="11"/>
                <w:color w:val="auto"/>
              </w:rPr>
            </w:pP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1,243</w:t>
            </w:r>
          </w:p>
        </w:tc>
        <w:tc>
          <w:tcPr>
            <w:tcW w:w="140" w:type="dxa"/>
            <w:vAlign w:val="bottom"/>
            <w:tcBorders>
              <w:bottom w:val="single" w:sz="8" w:color="BCBEC0"/>
            </w:tcBorders>
          </w:tcPr>
          <w:p>
            <w:pPr>
              <w:spacing w:after="0"/>
              <w:rPr>
                <w:sz w:val="11"/>
                <w:szCs w:val="11"/>
                <w:color w:val="auto"/>
              </w:rPr>
            </w:pPr>
          </w:p>
        </w:tc>
        <w:tc>
          <w:tcPr>
            <w:tcW w:w="500" w:type="dxa"/>
            <w:vAlign w:val="bottom"/>
            <w:tcBorders>
              <w:bottom w:val="single" w:sz="8" w:color="BCBEC0"/>
            </w:tcBorders>
          </w:tcPr>
          <w:p>
            <w:pPr>
              <w:spacing w:after="0"/>
              <w:rPr>
                <w:sz w:val="11"/>
                <w:szCs w:val="11"/>
                <w:color w:val="auto"/>
              </w:rPr>
            </w:pPr>
          </w:p>
        </w:tc>
      </w:tr>
      <w:tr>
        <w:trPr>
          <w:trHeight w:val="133"/>
        </w:trPr>
        <w:tc>
          <w:tcPr>
            <w:tcW w:w="4340" w:type="dxa"/>
            <w:vAlign w:val="bottom"/>
            <w:tcBorders>
              <w:bottom w:val="single" w:sz="8" w:color="BCBEC0"/>
            </w:tcBorders>
          </w:tcPr>
          <w:p>
            <w:pPr>
              <w:ind w:left="20"/>
              <w:spacing w:after="0"/>
              <w:rPr>
                <w:sz w:val="20"/>
                <w:szCs w:val="20"/>
                <w:color w:val="auto"/>
              </w:rPr>
            </w:pPr>
            <w:r>
              <w:rPr>
                <w:rFonts w:ascii="Arial" w:cs="Arial" w:eastAsia="Arial" w:hAnsi="Arial"/>
                <w:sz w:val="10"/>
                <w:szCs w:val="10"/>
                <w:color w:val="auto"/>
              </w:rPr>
              <w:t>= Average invested capital</w:t>
            </w:r>
          </w:p>
        </w:tc>
        <w:tc>
          <w:tcPr>
            <w:tcW w:w="122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5,308</w:t>
            </w:r>
          </w:p>
        </w:tc>
        <w:tc>
          <w:tcPr>
            <w:tcW w:w="260" w:type="dxa"/>
            <w:vAlign w:val="bottom"/>
            <w:tcBorders>
              <w:bottom w:val="single" w:sz="8" w:color="BCBEC0"/>
            </w:tcBorders>
          </w:tcPr>
          <w:p>
            <w:pPr>
              <w:jc w:val="right"/>
              <w:ind w:right="1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4,880</w:t>
            </w:r>
          </w:p>
        </w:tc>
        <w:tc>
          <w:tcPr>
            <w:tcW w:w="1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BCBEC0"/>
            </w:tcBorders>
          </w:tcPr>
          <w:p>
            <w:pPr>
              <w:jc w:val="right"/>
              <w:ind w:right="52"/>
              <w:spacing w:after="0"/>
              <w:rPr>
                <w:sz w:val="20"/>
                <w:szCs w:val="20"/>
                <w:color w:val="auto"/>
              </w:rPr>
            </w:pPr>
            <w:r>
              <w:rPr>
                <w:rFonts w:ascii="Arial" w:cs="Arial" w:eastAsia="Arial" w:hAnsi="Arial"/>
                <w:sz w:val="10"/>
                <w:szCs w:val="10"/>
                <w:color w:val="auto"/>
              </w:rPr>
              <w:t>5,094</w:t>
            </w:r>
          </w:p>
        </w:tc>
      </w:tr>
      <w:tr>
        <w:trPr>
          <w:trHeight w:val="133"/>
        </w:trPr>
        <w:tc>
          <w:tcPr>
            <w:tcW w:w="4340" w:type="dxa"/>
            <w:vAlign w:val="bottom"/>
            <w:tcBorders>
              <w:bottom w:val="single" w:sz="8" w:color="E31F25"/>
            </w:tcBorders>
          </w:tcPr>
          <w:p>
            <w:pPr>
              <w:ind w:left="20"/>
              <w:spacing w:after="0"/>
              <w:rPr>
                <w:sz w:val="20"/>
                <w:szCs w:val="20"/>
                <w:color w:val="auto"/>
              </w:rPr>
            </w:pPr>
            <w:r>
              <w:rPr>
                <w:rFonts w:ascii="Arial" w:cs="Arial" w:eastAsia="Arial" w:hAnsi="Arial"/>
                <w:sz w:val="10"/>
                <w:szCs w:val="10"/>
                <w:color w:val="auto"/>
              </w:rPr>
              <w:t>ROIC % (PSU payouts)</w:t>
            </w:r>
          </w:p>
        </w:tc>
        <w:tc>
          <w:tcPr>
            <w:tcW w:w="1220" w:type="dxa"/>
            <w:vAlign w:val="bottom"/>
            <w:tcBorders>
              <w:bottom w:val="single" w:sz="8" w:color="E31F25"/>
            </w:tcBorders>
          </w:tcPr>
          <w:p>
            <w:pPr>
              <w:spacing w:after="0"/>
              <w:rPr>
                <w:sz w:val="11"/>
                <w:szCs w:val="11"/>
                <w:color w:val="auto"/>
              </w:rPr>
            </w:pPr>
          </w:p>
        </w:tc>
        <w:tc>
          <w:tcPr>
            <w:tcW w:w="48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17.3%</w:t>
            </w:r>
          </w:p>
        </w:tc>
        <w:tc>
          <w:tcPr>
            <w:tcW w:w="260" w:type="dxa"/>
            <w:vAlign w:val="bottom"/>
            <w:tcBorders>
              <w:bottom w:val="single" w:sz="8" w:color="E31F25"/>
            </w:tcBorders>
          </w:tcPr>
          <w:p>
            <w:pPr>
              <w:spacing w:after="0"/>
              <w:rPr>
                <w:sz w:val="11"/>
                <w:szCs w:val="11"/>
                <w:color w:val="auto"/>
              </w:rPr>
            </w:pPr>
          </w:p>
        </w:tc>
        <w:tc>
          <w:tcPr>
            <w:tcW w:w="40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8.5%</w:t>
            </w:r>
          </w:p>
        </w:tc>
        <w:tc>
          <w:tcPr>
            <w:tcW w:w="140" w:type="dxa"/>
            <w:vAlign w:val="bottom"/>
            <w:tcBorders>
              <w:bottom w:val="single" w:sz="8" w:color="E31F25"/>
            </w:tcBorders>
          </w:tcPr>
          <w:p>
            <w:pPr>
              <w:spacing w:after="0"/>
              <w:rPr>
                <w:sz w:val="11"/>
                <w:szCs w:val="11"/>
                <w:color w:val="auto"/>
              </w:rPr>
            </w:pPr>
          </w:p>
        </w:tc>
        <w:tc>
          <w:tcPr>
            <w:tcW w:w="50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13.1%</w:t>
            </w:r>
          </w:p>
        </w:tc>
      </w:tr>
    </w:tbl>
    <w:p>
      <w:pPr>
        <w:spacing w:after="0" w:line="98" w:lineRule="exact"/>
        <w:rPr>
          <w:sz w:val="20"/>
          <w:szCs w:val="20"/>
          <w:color w:val="auto"/>
        </w:rPr>
      </w:pPr>
    </w:p>
    <w:p>
      <w:pPr>
        <w:ind w:left="2180" w:hanging="208"/>
        <w:spacing w:after="0"/>
        <w:tabs>
          <w:tab w:leader="none" w:pos="2180" w:val="left"/>
        </w:tabs>
        <w:numPr>
          <w:ilvl w:val="0"/>
          <w:numId w:val="103"/>
        </w:numPr>
        <w:rPr>
          <w:rFonts w:ascii="Arial" w:cs="Arial" w:eastAsia="Arial" w:hAnsi="Arial"/>
          <w:sz w:val="16"/>
          <w:szCs w:val="16"/>
          <w:color w:val="auto"/>
          <w:vertAlign w:val="superscript"/>
        </w:rPr>
      </w:pPr>
      <w:r>
        <w:rPr>
          <w:rFonts w:ascii="Arial" w:cs="Arial" w:eastAsia="Arial" w:hAnsi="Arial"/>
          <w:sz w:val="10"/>
          <w:szCs w:val="10"/>
          <w:color w:val="auto"/>
        </w:rPr>
        <w:t>See pages 21 through 23 of our Annual Report for a description of these items.</w:t>
      </w:r>
    </w:p>
    <w:p>
      <w:pPr>
        <w:spacing w:after="0" w:line="27" w:lineRule="exact"/>
        <w:rPr>
          <w:rFonts w:ascii="Arial" w:cs="Arial" w:eastAsia="Arial" w:hAnsi="Arial"/>
          <w:sz w:val="16"/>
          <w:szCs w:val="16"/>
          <w:color w:val="auto"/>
          <w:vertAlign w:val="superscript"/>
        </w:rPr>
      </w:pPr>
    </w:p>
    <w:p>
      <w:pPr>
        <w:jc w:val="both"/>
        <w:ind w:left="2180" w:right="1980" w:hanging="208"/>
        <w:spacing w:after="0" w:line="192" w:lineRule="auto"/>
        <w:tabs>
          <w:tab w:leader="none" w:pos="2180" w:val="left"/>
        </w:tabs>
        <w:numPr>
          <w:ilvl w:val="0"/>
          <w:numId w:val="103"/>
        </w:numPr>
        <w:rPr>
          <w:rFonts w:ascii="Arial" w:cs="Arial" w:eastAsia="Arial" w:hAnsi="Arial"/>
          <w:sz w:val="16"/>
          <w:szCs w:val="16"/>
          <w:color w:val="auto"/>
          <w:vertAlign w:val="superscript"/>
        </w:rPr>
      </w:pPr>
      <w:r>
        <w:rPr>
          <w:rFonts w:ascii="Arial" w:cs="Arial" w:eastAsia="Arial" w:hAnsi="Arial"/>
          <w:sz w:val="10"/>
          <w:szCs w:val="10"/>
          <w:color w:val="auto"/>
        </w:rPr>
        <w:t>The PSU awards provide for the exclusion of certain items that the Human Capital Committee considers unusual or non-recurring. The disregarded items permitted under the PSU awards include adjustments relating to the income associated with completed acquisitions, the profit or loss from minority investments, the effect of COVID-19 on our results, and excess tax benefits.</w:t>
      </w:r>
    </w:p>
    <w:p>
      <w:pPr>
        <w:spacing w:after="0" w:line="107" w:lineRule="exact"/>
        <w:rPr>
          <w:sz w:val="20"/>
          <w:szCs w:val="20"/>
          <w:color w:val="auto"/>
        </w:rPr>
      </w:pPr>
    </w:p>
    <w:p>
      <w:pPr>
        <w:ind w:left="1980" w:right="2000"/>
        <w:spacing w:after="0" w:line="253" w:lineRule="auto"/>
        <w:rPr>
          <w:sz w:val="20"/>
          <w:szCs w:val="20"/>
          <w:color w:val="auto"/>
        </w:rPr>
      </w:pPr>
      <w:r>
        <w:rPr>
          <w:rFonts w:ascii="Arial" w:cs="Arial" w:eastAsia="Arial" w:hAnsi="Arial"/>
          <w:sz w:val="11"/>
          <w:szCs w:val="11"/>
          <w:color w:val="auto"/>
        </w:rPr>
        <w:t>Prior to the Human Capital Committee determining whether the PSU performance targets have been achieved, the Company’s independent registered public accounting firm, at the request, and for the restricted use, of the Human Capital Committee, reviews the PSU calculations to ensure that the payout is calculated in accordance with the plan.</w:t>
      </w:r>
    </w:p>
    <w:p>
      <w:pPr>
        <w:spacing w:after="0" w:line="104" w:lineRule="exact"/>
        <w:rPr>
          <w:sz w:val="20"/>
          <w:szCs w:val="20"/>
          <w:color w:val="auto"/>
        </w:rPr>
      </w:pPr>
    </w:p>
    <w:p>
      <w:pPr>
        <w:ind w:left="1980" w:right="2120"/>
        <w:spacing w:after="0" w:line="253" w:lineRule="auto"/>
        <w:rPr>
          <w:sz w:val="20"/>
          <w:szCs w:val="20"/>
          <w:color w:val="auto"/>
        </w:rPr>
      </w:pPr>
      <w:r>
        <w:rPr>
          <w:rFonts w:ascii="Arial" w:cs="Arial" w:eastAsia="Arial" w:hAnsi="Arial"/>
          <w:sz w:val="11"/>
          <w:szCs w:val="11"/>
          <w:color w:val="auto"/>
        </w:rPr>
        <w:t>The PSU payouts are formula-driven based upon Company performance, and our 2021 program for the NEOs does not provide for discretionary adjustments based upon individual performance. The Human Capital Committee did not exercise discretion in the amounts payable to the NEOs or any other executive officers under this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77470</wp:posOffset>
            </wp:positionV>
            <wp:extent cx="365760" cy="222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60" w:type="dxa"/>
            <w:vAlign w:val="bottom"/>
          </w:tcPr>
          <w:p>
            <w:pPr>
              <w:ind w:left="74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61</w:t>
            </w:r>
          </w:p>
        </w:tc>
      </w:tr>
      <w:tr>
        <w:trPr>
          <w:trHeight w:val="228"/>
        </w:trPr>
        <w:tc>
          <w:tcPr>
            <w:tcW w:w="87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r>
    </w:tbl>
    <w:p>
      <w:pPr>
        <w:sectPr>
          <w:pgSz w:w="11900" w:h="16838" w:orient="portrait"/>
          <w:cols w:equalWidth="0" w:num="1">
            <w:col w:w="11300"/>
          </w:cols>
          <w:pgMar w:left="300" w:top="574" w:right="299" w:bottom="1440" w:gutter="0" w:footer="0" w:header="0"/>
        </w:sectPr>
      </w:pPr>
    </w:p>
    <w:bookmarkStart w:id="67" w:name="page68"/>
    <w:bookmarkEnd w:id="67"/>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target PSU awards for the 2020-21 performance period for the NEOs are listed in the following table:</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4160" w:type="dxa"/>
            <w:vAlign w:val="bottom"/>
          </w:tcPr>
          <w:p>
            <w:pPr>
              <w:jc w:val="right"/>
              <w:spacing w:after="0"/>
              <w:rPr>
                <w:sz w:val="20"/>
                <w:szCs w:val="20"/>
                <w:color w:val="auto"/>
              </w:rPr>
            </w:pPr>
            <w:r>
              <w:rPr>
                <w:rFonts w:ascii="Arial" w:cs="Arial" w:eastAsia="Arial" w:hAnsi="Arial"/>
                <w:sz w:val="10"/>
                <w:szCs w:val="10"/>
                <w:b w:val="1"/>
                <w:bCs w:val="1"/>
                <w:color w:val="auto"/>
              </w:rPr>
              <w:t>Target Award as a</w:t>
            </w:r>
          </w:p>
        </w:tc>
      </w:tr>
      <w:tr>
        <w:trPr>
          <w:trHeight w:val="108"/>
        </w:trPr>
        <w:tc>
          <w:tcPr>
            <w:tcW w:w="3180" w:type="dxa"/>
            <w:vAlign w:val="bottom"/>
          </w:tcPr>
          <w:p>
            <w:pPr>
              <w:spacing w:after="0"/>
              <w:rPr>
                <w:sz w:val="9"/>
                <w:szCs w:val="9"/>
                <w:color w:val="auto"/>
              </w:rPr>
            </w:pPr>
          </w:p>
        </w:tc>
        <w:tc>
          <w:tcPr>
            <w:tcW w:w="416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Percentage of Base Salary Rate</w:t>
            </w:r>
          </w:p>
        </w:tc>
      </w:tr>
      <w:tr>
        <w:trPr>
          <w:trHeight w:val="132"/>
        </w:trPr>
        <w:tc>
          <w:tcPr>
            <w:tcW w:w="318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Name</w:t>
            </w:r>
          </w:p>
        </w:tc>
        <w:tc>
          <w:tcPr>
            <w:tcW w:w="416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33"/>
        </w:trPr>
        <w:tc>
          <w:tcPr>
            <w:tcW w:w="318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Johnson</w:t>
            </w: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325</w:t>
            </w:r>
          </w:p>
        </w:tc>
      </w:tr>
      <w:tr>
        <w:trPr>
          <w:trHeight w:val="152"/>
        </w:trPr>
        <w:tc>
          <w:tcPr>
            <w:tcW w:w="3180" w:type="dxa"/>
            <w:vAlign w:val="bottom"/>
            <w:tcBorders>
              <w:bottom w:val="single" w:sz="8" w:color="BCBEC0"/>
            </w:tcBorders>
          </w:tcPr>
          <w:p>
            <w:pPr>
              <w:ind w:left="20"/>
              <w:spacing w:after="0" w:line="152" w:lineRule="exact"/>
              <w:rPr>
                <w:sz w:val="20"/>
                <w:szCs w:val="20"/>
                <w:color w:val="auto"/>
              </w:rPr>
            </w:pPr>
            <w:r>
              <w:rPr>
                <w:rFonts w:ascii="Arial" w:cs="Arial" w:eastAsia="Arial" w:hAnsi="Arial"/>
                <w:sz w:val="10"/>
                <w:szCs w:val="10"/>
                <w:b w:val="1"/>
                <w:bCs w:val="1"/>
                <w:color w:val="D60011"/>
              </w:rPr>
              <w:t>Page</w:t>
            </w:r>
            <w:r>
              <w:rPr>
                <w:rFonts w:ascii="Arial" w:cs="Arial" w:eastAsia="Arial" w:hAnsi="Arial"/>
                <w:sz w:val="15"/>
                <w:szCs w:val="15"/>
                <w:b w:val="1"/>
                <w:bCs w:val="1"/>
                <w:color w:val="D60011"/>
                <w:vertAlign w:val="superscript"/>
              </w:rPr>
              <w:t>(1)</w:t>
            </w: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90</w:t>
            </w:r>
          </w:p>
        </w:tc>
      </w:tr>
      <w:tr>
        <w:trPr>
          <w:trHeight w:val="151"/>
        </w:trPr>
        <w:tc>
          <w:tcPr>
            <w:tcW w:w="3180" w:type="dxa"/>
            <w:vAlign w:val="bottom"/>
            <w:tcBorders>
              <w:bottom w:val="single" w:sz="8" w:color="BCBEC0"/>
            </w:tcBorders>
          </w:tcPr>
          <w:p>
            <w:pPr>
              <w:ind w:left="20"/>
              <w:spacing w:after="0" w:line="151" w:lineRule="exact"/>
              <w:rPr>
                <w:sz w:val="20"/>
                <w:szCs w:val="20"/>
                <w:color w:val="auto"/>
              </w:rPr>
            </w:pPr>
            <w:r>
              <w:rPr>
                <w:rFonts w:ascii="Arial" w:cs="Arial" w:eastAsia="Arial" w:hAnsi="Arial"/>
                <w:sz w:val="10"/>
                <w:szCs w:val="10"/>
                <w:b w:val="1"/>
                <w:bCs w:val="1"/>
                <w:color w:val="D60011"/>
              </w:rPr>
              <w:t>Bracken</w:t>
            </w:r>
            <w:r>
              <w:rPr>
                <w:rFonts w:ascii="Arial" w:cs="Arial" w:eastAsia="Arial" w:hAnsi="Arial"/>
                <w:sz w:val="15"/>
                <w:szCs w:val="15"/>
                <w:b w:val="1"/>
                <w:bCs w:val="1"/>
                <w:color w:val="D60011"/>
                <w:vertAlign w:val="superscript"/>
              </w:rPr>
              <w:t>(2)</w:t>
            </w: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30</w:t>
            </w:r>
          </w:p>
        </w:tc>
      </w:tr>
      <w:tr>
        <w:trPr>
          <w:trHeight w:val="130"/>
        </w:trPr>
        <w:tc>
          <w:tcPr>
            <w:tcW w:w="3180" w:type="dxa"/>
            <w:vAlign w:val="bottom"/>
            <w:tcBorders>
              <w:bottom w:val="single" w:sz="8" w:color="BCBEC0"/>
            </w:tcBorders>
          </w:tcPr>
          <w:p>
            <w:pPr>
              <w:spacing w:after="0"/>
              <w:rPr>
                <w:sz w:val="11"/>
                <w:szCs w:val="11"/>
                <w:color w:val="auto"/>
              </w:rPr>
            </w:pP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75</w:t>
            </w:r>
          </w:p>
        </w:tc>
      </w:tr>
      <w:tr>
        <w:trPr>
          <w:trHeight w:val="135"/>
        </w:trPr>
        <w:tc>
          <w:tcPr>
            <w:tcW w:w="318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Martin</w:t>
            </w: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75</w:t>
            </w:r>
          </w:p>
        </w:tc>
      </w:tr>
      <w:tr>
        <w:trPr>
          <w:trHeight w:val="152"/>
        </w:trPr>
        <w:tc>
          <w:tcPr>
            <w:tcW w:w="3180" w:type="dxa"/>
            <w:vAlign w:val="bottom"/>
            <w:tcBorders>
              <w:bottom w:val="single" w:sz="8" w:color="BCBEC0"/>
            </w:tcBorders>
          </w:tcPr>
          <w:p>
            <w:pPr>
              <w:ind w:left="20"/>
              <w:spacing w:after="0" w:line="152" w:lineRule="exact"/>
              <w:rPr>
                <w:sz w:val="20"/>
                <w:szCs w:val="20"/>
                <w:color w:val="auto"/>
              </w:rPr>
            </w:pPr>
            <w:r>
              <w:rPr>
                <w:rFonts w:ascii="Arial" w:cs="Arial" w:eastAsia="Arial" w:hAnsi="Arial"/>
                <w:sz w:val="10"/>
                <w:szCs w:val="10"/>
                <w:b w:val="1"/>
                <w:bCs w:val="1"/>
                <w:color w:val="D60011"/>
              </w:rPr>
              <w:t>Gray</w:t>
            </w:r>
            <w:r>
              <w:rPr>
                <w:rFonts w:ascii="Arial" w:cs="Arial" w:eastAsia="Arial" w:hAnsi="Arial"/>
                <w:sz w:val="15"/>
                <w:szCs w:val="15"/>
                <w:b w:val="1"/>
                <w:bCs w:val="1"/>
                <w:color w:val="D60011"/>
                <w:vertAlign w:val="superscript"/>
              </w:rPr>
              <w:t>(3)</w:t>
            </w: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50</w:t>
            </w:r>
          </w:p>
        </w:tc>
      </w:tr>
      <w:tr>
        <w:trPr>
          <w:trHeight w:val="130"/>
        </w:trPr>
        <w:tc>
          <w:tcPr>
            <w:tcW w:w="3180" w:type="dxa"/>
            <w:vAlign w:val="bottom"/>
            <w:tcBorders>
              <w:bottom w:val="single" w:sz="8" w:color="BCBEC0"/>
            </w:tcBorders>
          </w:tcPr>
          <w:p>
            <w:pPr>
              <w:spacing w:after="0"/>
              <w:rPr>
                <w:sz w:val="11"/>
                <w:szCs w:val="11"/>
                <w:color w:val="auto"/>
              </w:rPr>
            </w:pP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75</w:t>
            </w:r>
          </w:p>
        </w:tc>
      </w:tr>
      <w:tr>
        <w:trPr>
          <w:trHeight w:val="154"/>
        </w:trPr>
        <w:tc>
          <w:tcPr>
            <w:tcW w:w="3180" w:type="dxa"/>
            <w:vAlign w:val="bottom"/>
            <w:tcBorders>
              <w:bottom w:val="single" w:sz="8" w:color="BCBEC0"/>
            </w:tcBorders>
          </w:tcPr>
          <w:p>
            <w:pPr>
              <w:ind w:left="20"/>
              <w:spacing w:after="0" w:line="154" w:lineRule="exact"/>
              <w:rPr>
                <w:sz w:val="20"/>
                <w:szCs w:val="20"/>
                <w:color w:val="auto"/>
              </w:rPr>
            </w:pPr>
            <w:r>
              <w:rPr>
                <w:rFonts w:ascii="Arial" w:cs="Arial" w:eastAsia="Arial" w:hAnsi="Arial"/>
                <w:sz w:val="10"/>
                <w:szCs w:val="10"/>
                <w:b w:val="1"/>
                <w:bCs w:val="1"/>
                <w:color w:val="D60011"/>
              </w:rPr>
              <w:t>Peters</w:t>
            </w:r>
            <w:r>
              <w:rPr>
                <w:rFonts w:ascii="Arial" w:cs="Arial" w:eastAsia="Arial" w:hAnsi="Arial"/>
                <w:sz w:val="15"/>
                <w:szCs w:val="15"/>
                <w:b w:val="1"/>
                <w:bCs w:val="1"/>
                <w:color w:val="D60011"/>
                <w:vertAlign w:val="superscript"/>
              </w:rPr>
              <w:t>(4)</w:t>
            </w:r>
          </w:p>
        </w:tc>
        <w:tc>
          <w:tcPr>
            <w:tcW w:w="416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100</w:t>
            </w:r>
          </w:p>
        </w:tc>
      </w:tr>
      <w:tr>
        <w:trPr>
          <w:trHeight w:val="151"/>
        </w:trPr>
        <w:tc>
          <w:tcPr>
            <w:tcW w:w="3180" w:type="dxa"/>
            <w:vAlign w:val="bottom"/>
            <w:tcBorders>
              <w:bottom w:val="single" w:sz="8" w:color="E31F25"/>
            </w:tcBorders>
          </w:tcPr>
          <w:p>
            <w:pPr>
              <w:ind w:left="20"/>
              <w:spacing w:after="0" w:line="151" w:lineRule="exact"/>
              <w:rPr>
                <w:sz w:val="20"/>
                <w:szCs w:val="20"/>
                <w:color w:val="auto"/>
              </w:rPr>
            </w:pPr>
            <w:r>
              <w:rPr>
                <w:rFonts w:ascii="Arial" w:cs="Arial" w:eastAsia="Arial" w:hAnsi="Arial"/>
                <w:sz w:val="10"/>
                <w:szCs w:val="10"/>
                <w:b w:val="1"/>
                <w:bCs w:val="1"/>
                <w:color w:val="D60011"/>
              </w:rPr>
              <w:t>Talwar</w:t>
            </w:r>
            <w:r>
              <w:rPr>
                <w:rFonts w:ascii="Arial" w:cs="Arial" w:eastAsia="Arial" w:hAnsi="Arial"/>
                <w:sz w:val="15"/>
                <w:szCs w:val="15"/>
                <w:b w:val="1"/>
                <w:bCs w:val="1"/>
                <w:color w:val="D60011"/>
                <w:vertAlign w:val="superscript"/>
              </w:rPr>
              <w:t>(5)</w:t>
            </w:r>
          </w:p>
        </w:tc>
        <w:tc>
          <w:tcPr>
            <w:tcW w:w="416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75</w:t>
            </w:r>
          </w:p>
        </w:tc>
      </w:tr>
    </w:tbl>
    <w:p>
      <w:pPr>
        <w:spacing w:after="0" w:line="157" w:lineRule="exact"/>
        <w:rPr>
          <w:sz w:val="20"/>
          <w:szCs w:val="20"/>
          <w:color w:val="auto"/>
        </w:rPr>
      </w:pPr>
    </w:p>
    <w:p>
      <w:pPr>
        <w:ind w:left="1040" w:right="839" w:hanging="208"/>
        <w:spacing w:after="0" w:line="186" w:lineRule="auto"/>
        <w:tabs>
          <w:tab w:leader="none" w:pos="1040" w:val="left"/>
        </w:tabs>
        <w:numPr>
          <w:ilvl w:val="0"/>
          <w:numId w:val="104"/>
        </w:numPr>
        <w:rPr>
          <w:rFonts w:ascii="Arial" w:cs="Arial" w:eastAsia="Arial" w:hAnsi="Arial"/>
          <w:sz w:val="16"/>
          <w:szCs w:val="16"/>
          <w:color w:val="auto"/>
          <w:vertAlign w:val="superscript"/>
        </w:rPr>
      </w:pPr>
      <w:r>
        <w:rPr>
          <w:rFonts w:ascii="Arial" w:cs="Arial" w:eastAsia="Arial" w:hAnsi="Arial"/>
          <w:sz w:val="10"/>
          <w:szCs w:val="10"/>
          <w:color w:val="auto"/>
        </w:rPr>
        <w:t>Mr. Page joined the Company as Executive Vice President and Chief Financial Officer in April 2021. His target PSU award was prorated for the 2020-21 performance period.</w:t>
      </w:r>
    </w:p>
    <w:p>
      <w:pPr>
        <w:spacing w:after="0" w:line="20" w:lineRule="exact"/>
        <w:rPr>
          <w:rFonts w:ascii="Arial" w:cs="Arial" w:eastAsia="Arial" w:hAnsi="Arial"/>
          <w:sz w:val="16"/>
          <w:szCs w:val="16"/>
          <w:color w:val="auto"/>
          <w:vertAlign w:val="superscript"/>
        </w:rPr>
      </w:pPr>
    </w:p>
    <w:p>
      <w:pPr>
        <w:ind w:left="1040" w:right="959" w:hanging="208"/>
        <w:spacing w:after="0" w:line="197" w:lineRule="auto"/>
        <w:tabs>
          <w:tab w:leader="none" w:pos="1040" w:val="left"/>
        </w:tabs>
        <w:numPr>
          <w:ilvl w:val="0"/>
          <w:numId w:val="104"/>
        </w:numPr>
        <w:rPr>
          <w:rFonts w:ascii="Arial" w:cs="Arial" w:eastAsia="Arial" w:hAnsi="Arial"/>
          <w:sz w:val="16"/>
          <w:szCs w:val="16"/>
          <w:color w:val="auto"/>
          <w:vertAlign w:val="superscript"/>
        </w:rPr>
      </w:pPr>
      <w:r>
        <w:rPr>
          <w:rFonts w:ascii="Arial" w:cs="Arial" w:eastAsia="Arial" w:hAnsi="Arial"/>
          <w:sz w:val="10"/>
          <w:szCs w:val="10"/>
          <w:color w:val="auto"/>
        </w:rPr>
        <w:t>Mr. Bracken served as Senior Vice President and General Manager, Foot Locker, Lady Foot Locker, and Kids Foot Locker until July 2020. His target award was set at 30% of his base salary rate at that time. Mr. Bracken was promoted to Executive Vice President and Chief Executive Officer—North America in July 2020. His target award was set at 75% of his base salary rate at that time. His target PSU award was prorated for the 2020 performance period.</w:t>
      </w:r>
    </w:p>
    <w:p>
      <w:pPr>
        <w:spacing w:after="0" w:line="20" w:lineRule="exact"/>
        <w:rPr>
          <w:rFonts w:ascii="Arial" w:cs="Arial" w:eastAsia="Arial" w:hAnsi="Arial"/>
          <w:sz w:val="16"/>
          <w:szCs w:val="16"/>
          <w:color w:val="auto"/>
          <w:vertAlign w:val="superscript"/>
        </w:rPr>
      </w:pPr>
    </w:p>
    <w:p>
      <w:pPr>
        <w:jc w:val="both"/>
        <w:ind w:left="1040" w:right="859" w:hanging="208"/>
        <w:spacing w:after="0" w:line="197" w:lineRule="auto"/>
        <w:tabs>
          <w:tab w:leader="none" w:pos="1040" w:val="left"/>
        </w:tabs>
        <w:numPr>
          <w:ilvl w:val="0"/>
          <w:numId w:val="104"/>
        </w:numPr>
        <w:rPr>
          <w:rFonts w:ascii="Arial" w:cs="Arial" w:eastAsia="Arial" w:hAnsi="Arial"/>
          <w:sz w:val="16"/>
          <w:szCs w:val="16"/>
          <w:color w:val="auto"/>
          <w:vertAlign w:val="superscript"/>
        </w:rPr>
      </w:pPr>
      <w:r>
        <w:rPr>
          <w:rFonts w:ascii="Arial" w:cs="Arial" w:eastAsia="Arial" w:hAnsi="Arial"/>
          <w:sz w:val="10"/>
          <w:szCs w:val="10"/>
          <w:color w:val="auto"/>
        </w:rPr>
        <w:t>Mr. Gray served as Vice President and Chief Merchandising Officer—North America until July 2020. His target award was set at 50% of his base salary rate at that time. Mr. Gray was promoted to Executive Vice President and Chief Commercial Officer in July 2020. His target award was set at 75% of his base salary rate at that time. His target PSU award was prorated for the 2020 performance period.</w:t>
      </w:r>
    </w:p>
    <w:p>
      <w:pPr>
        <w:spacing w:after="0" w:line="20" w:lineRule="exact"/>
        <w:rPr>
          <w:rFonts w:ascii="Arial" w:cs="Arial" w:eastAsia="Arial" w:hAnsi="Arial"/>
          <w:sz w:val="16"/>
          <w:szCs w:val="16"/>
          <w:color w:val="auto"/>
          <w:vertAlign w:val="superscript"/>
        </w:rPr>
      </w:pPr>
    </w:p>
    <w:p>
      <w:pPr>
        <w:ind w:left="1040" w:right="839" w:hanging="208"/>
        <w:spacing w:after="0" w:line="186" w:lineRule="auto"/>
        <w:tabs>
          <w:tab w:leader="none" w:pos="1040" w:val="left"/>
        </w:tabs>
        <w:numPr>
          <w:ilvl w:val="0"/>
          <w:numId w:val="104"/>
        </w:numPr>
        <w:rPr>
          <w:rFonts w:ascii="Arial" w:cs="Arial" w:eastAsia="Arial" w:hAnsi="Arial"/>
          <w:sz w:val="16"/>
          <w:szCs w:val="16"/>
          <w:color w:val="auto"/>
          <w:vertAlign w:val="superscript"/>
        </w:rPr>
      </w:pPr>
      <w:r>
        <w:rPr>
          <w:rFonts w:ascii="Arial" w:cs="Arial" w:eastAsia="Arial" w:hAnsi="Arial"/>
          <w:sz w:val="10"/>
          <w:szCs w:val="10"/>
          <w:color w:val="auto"/>
        </w:rPr>
        <w:t>Due to Ms. Peters’s retirement in 2021, she earned the pro rata portion of her PSUs due for the 2020-21 performance period, based on actual performance, which will be paid at the same time as the payouts to the other NEOs in 2023.</w:t>
      </w:r>
    </w:p>
    <w:p>
      <w:pPr>
        <w:spacing w:after="0" w:line="1" w:lineRule="exact"/>
        <w:rPr>
          <w:rFonts w:ascii="Arial" w:cs="Arial" w:eastAsia="Arial" w:hAnsi="Arial"/>
          <w:sz w:val="16"/>
          <w:szCs w:val="16"/>
          <w:color w:val="auto"/>
          <w:vertAlign w:val="superscript"/>
        </w:rPr>
      </w:pPr>
    </w:p>
    <w:p>
      <w:pPr>
        <w:ind w:left="1040" w:hanging="208"/>
        <w:spacing w:after="0" w:line="187" w:lineRule="auto"/>
        <w:tabs>
          <w:tab w:leader="none" w:pos="1040" w:val="left"/>
        </w:tabs>
        <w:numPr>
          <w:ilvl w:val="0"/>
          <w:numId w:val="104"/>
        </w:numPr>
        <w:rPr>
          <w:rFonts w:ascii="Arial" w:cs="Arial" w:eastAsia="Arial" w:hAnsi="Arial"/>
          <w:sz w:val="16"/>
          <w:szCs w:val="16"/>
          <w:color w:val="auto"/>
          <w:vertAlign w:val="superscript"/>
        </w:rPr>
      </w:pPr>
      <w:r>
        <w:rPr>
          <w:rFonts w:ascii="Arial" w:cs="Arial" w:eastAsia="Arial" w:hAnsi="Arial"/>
          <w:sz w:val="10"/>
          <w:szCs w:val="10"/>
          <w:color w:val="auto"/>
        </w:rPr>
        <w:t>Mr. Talwar forfeited these PSUs in connection with the termination of his employment.</w:t>
      </w:r>
    </w:p>
    <w:p>
      <w:pPr>
        <w:spacing w:after="0" w:line="10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PSU AWARDS (2021-22)</w:t>
      </w:r>
    </w:p>
    <w:p>
      <w:pPr>
        <w:spacing w:after="0" w:line="10" w:lineRule="exact"/>
        <w:rPr>
          <w:sz w:val="20"/>
          <w:szCs w:val="20"/>
          <w:color w:val="auto"/>
        </w:rPr>
      </w:pPr>
    </w:p>
    <w:p>
      <w:pPr>
        <w:ind w:left="840" w:right="939"/>
        <w:spacing w:after="0" w:line="271" w:lineRule="auto"/>
        <w:rPr>
          <w:sz w:val="20"/>
          <w:szCs w:val="20"/>
          <w:color w:val="auto"/>
        </w:rPr>
      </w:pPr>
      <w:r>
        <w:rPr>
          <w:rFonts w:ascii="Arial" w:cs="Arial" w:eastAsia="Arial" w:hAnsi="Arial"/>
          <w:sz w:val="10"/>
          <w:szCs w:val="10"/>
          <w:color w:val="auto"/>
        </w:rPr>
        <w:t>In 2021, the Human Capital Committee established PSU performance targets for the 2021-22 performance period, which are also based on Two-Year Average After-Tax Income (70%) and ROIC (30%). For competitive reasons, since this performance period is still ongoing, we have not disclosed the targets established for the period. The Human Capital Committee will determine whether payouts have been earned following the end of the Company’s 2022 fiscal year, and we will provide specific information on the targets and results after the completion of the performance period. If awards are earned for the 2021-22 performance period, payment will be made to participating executives in 2024, following the completion of a one-year vesting period.</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target PSU values for the NEOs for the 2021-22 performance period if the performance goals are achieved are listed in the following table:</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3780" w:type="dxa"/>
            <w:vAlign w:val="bottom"/>
          </w:tcPr>
          <w:p>
            <w:pPr>
              <w:jc w:val="right"/>
              <w:spacing w:after="0"/>
              <w:rPr>
                <w:sz w:val="20"/>
                <w:szCs w:val="20"/>
                <w:color w:val="auto"/>
              </w:rPr>
            </w:pPr>
            <w:r>
              <w:rPr>
                <w:rFonts w:ascii="Arial" w:cs="Arial" w:eastAsia="Arial" w:hAnsi="Arial"/>
                <w:sz w:val="10"/>
                <w:szCs w:val="10"/>
                <w:b w:val="1"/>
                <w:bCs w:val="1"/>
                <w:color w:val="auto"/>
              </w:rPr>
              <w:t>PSU Values at Target</w:t>
            </w:r>
          </w:p>
        </w:tc>
      </w:tr>
      <w:tr>
        <w:trPr>
          <w:trHeight w:val="132"/>
        </w:trPr>
        <w:tc>
          <w:tcPr>
            <w:tcW w:w="356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Name</w:t>
            </w:r>
          </w:p>
        </w:tc>
        <w:tc>
          <w:tcPr>
            <w:tcW w:w="378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33"/>
        </w:trPr>
        <w:tc>
          <w:tcPr>
            <w:tcW w:w="356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Johnson</w:t>
            </w:r>
          </w:p>
        </w:tc>
        <w:tc>
          <w:tcPr>
            <w:tcW w:w="3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4,830,000</w:t>
            </w:r>
          </w:p>
        </w:tc>
      </w:tr>
      <w:tr>
        <w:trPr>
          <w:trHeight w:val="152"/>
        </w:trPr>
        <w:tc>
          <w:tcPr>
            <w:tcW w:w="3560" w:type="dxa"/>
            <w:vAlign w:val="bottom"/>
            <w:tcBorders>
              <w:bottom w:val="single" w:sz="8" w:color="BCBEC0"/>
            </w:tcBorders>
          </w:tcPr>
          <w:p>
            <w:pPr>
              <w:ind w:left="20"/>
              <w:spacing w:after="0" w:line="152" w:lineRule="exact"/>
              <w:rPr>
                <w:sz w:val="20"/>
                <w:szCs w:val="20"/>
                <w:color w:val="auto"/>
              </w:rPr>
            </w:pPr>
            <w:r>
              <w:rPr>
                <w:rFonts w:ascii="Arial" w:cs="Arial" w:eastAsia="Arial" w:hAnsi="Arial"/>
                <w:sz w:val="10"/>
                <w:szCs w:val="10"/>
                <w:b w:val="1"/>
                <w:bCs w:val="1"/>
                <w:color w:val="D60011"/>
              </w:rPr>
              <w:t>Page</w:t>
            </w:r>
            <w:r>
              <w:rPr>
                <w:rFonts w:ascii="Arial" w:cs="Arial" w:eastAsia="Arial" w:hAnsi="Arial"/>
                <w:sz w:val="15"/>
                <w:szCs w:val="15"/>
                <w:b w:val="1"/>
                <w:bCs w:val="1"/>
                <w:color w:val="D60011"/>
                <w:vertAlign w:val="superscript"/>
              </w:rPr>
              <w:t>(1)</w:t>
            </w:r>
          </w:p>
        </w:tc>
        <w:tc>
          <w:tcPr>
            <w:tcW w:w="3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499,519</w:t>
            </w:r>
          </w:p>
        </w:tc>
      </w:tr>
      <w:tr>
        <w:trPr>
          <w:trHeight w:val="132"/>
        </w:trPr>
        <w:tc>
          <w:tcPr>
            <w:tcW w:w="356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Bracken</w:t>
            </w:r>
          </w:p>
        </w:tc>
        <w:tc>
          <w:tcPr>
            <w:tcW w:w="3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597,620</w:t>
            </w:r>
          </w:p>
        </w:tc>
      </w:tr>
      <w:tr>
        <w:trPr>
          <w:trHeight w:val="133"/>
        </w:trPr>
        <w:tc>
          <w:tcPr>
            <w:tcW w:w="356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Martin and Gray</w:t>
            </w:r>
          </w:p>
        </w:tc>
        <w:tc>
          <w:tcPr>
            <w:tcW w:w="3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584,250</w:t>
            </w:r>
          </w:p>
        </w:tc>
      </w:tr>
      <w:tr>
        <w:trPr>
          <w:trHeight w:val="152"/>
        </w:trPr>
        <w:tc>
          <w:tcPr>
            <w:tcW w:w="3560" w:type="dxa"/>
            <w:vAlign w:val="bottom"/>
            <w:tcBorders>
              <w:bottom w:val="single" w:sz="8" w:color="E31F25"/>
            </w:tcBorders>
          </w:tcPr>
          <w:p>
            <w:pPr>
              <w:ind w:left="20"/>
              <w:spacing w:after="0" w:line="152" w:lineRule="exact"/>
              <w:rPr>
                <w:sz w:val="20"/>
                <w:szCs w:val="20"/>
                <w:color w:val="auto"/>
              </w:rPr>
            </w:pPr>
            <w:r>
              <w:rPr>
                <w:rFonts w:ascii="Arial" w:cs="Arial" w:eastAsia="Arial" w:hAnsi="Arial"/>
                <w:sz w:val="10"/>
                <w:szCs w:val="10"/>
                <w:b w:val="1"/>
                <w:bCs w:val="1"/>
                <w:color w:val="D60011"/>
              </w:rPr>
              <w:t>Talwar</w:t>
            </w:r>
            <w:r>
              <w:rPr>
                <w:rFonts w:ascii="Arial" w:cs="Arial" w:eastAsia="Arial" w:hAnsi="Arial"/>
                <w:sz w:val="15"/>
                <w:szCs w:val="15"/>
                <w:b w:val="1"/>
                <w:bCs w:val="1"/>
                <w:color w:val="D60011"/>
                <w:vertAlign w:val="superscript"/>
              </w:rPr>
              <w:t>(2)</w:t>
            </w:r>
          </w:p>
        </w:tc>
        <w:tc>
          <w:tcPr>
            <w:tcW w:w="378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606,173</w:t>
            </w:r>
          </w:p>
        </w:tc>
      </w:tr>
    </w:tbl>
    <w:p>
      <w:pPr>
        <w:spacing w:after="0" w:line="103" w:lineRule="exact"/>
        <w:rPr>
          <w:sz w:val="20"/>
          <w:szCs w:val="20"/>
          <w:color w:val="auto"/>
        </w:rPr>
      </w:pPr>
    </w:p>
    <w:p>
      <w:pPr>
        <w:ind w:left="1040" w:right="839" w:hanging="208"/>
        <w:spacing w:after="0" w:line="186" w:lineRule="auto"/>
        <w:tabs>
          <w:tab w:leader="none" w:pos="1040" w:val="left"/>
        </w:tabs>
        <w:numPr>
          <w:ilvl w:val="0"/>
          <w:numId w:val="105"/>
        </w:numPr>
        <w:rPr>
          <w:rFonts w:ascii="Arial" w:cs="Arial" w:eastAsia="Arial" w:hAnsi="Arial"/>
          <w:sz w:val="16"/>
          <w:szCs w:val="16"/>
          <w:color w:val="auto"/>
          <w:vertAlign w:val="superscript"/>
        </w:rPr>
      </w:pPr>
      <w:r>
        <w:rPr>
          <w:rFonts w:ascii="Arial" w:cs="Arial" w:eastAsia="Arial" w:hAnsi="Arial"/>
          <w:sz w:val="10"/>
          <w:szCs w:val="10"/>
          <w:color w:val="auto"/>
        </w:rPr>
        <w:t>Mr. Page joined the Company as Executive Vice President and Chief Financial Officer in April 2021. His target PSU award was prorated for the 2021-22 performance period.</w:t>
      </w:r>
    </w:p>
    <w:p>
      <w:pPr>
        <w:spacing w:after="0" w:line="1" w:lineRule="exact"/>
        <w:rPr>
          <w:rFonts w:ascii="Arial" w:cs="Arial" w:eastAsia="Arial" w:hAnsi="Arial"/>
          <w:sz w:val="16"/>
          <w:szCs w:val="16"/>
          <w:color w:val="auto"/>
          <w:vertAlign w:val="superscript"/>
        </w:rPr>
      </w:pPr>
    </w:p>
    <w:p>
      <w:pPr>
        <w:ind w:left="1040" w:hanging="208"/>
        <w:spacing w:after="0" w:line="187" w:lineRule="auto"/>
        <w:tabs>
          <w:tab w:leader="none" w:pos="1040" w:val="left"/>
        </w:tabs>
        <w:numPr>
          <w:ilvl w:val="0"/>
          <w:numId w:val="105"/>
        </w:numPr>
        <w:rPr>
          <w:rFonts w:ascii="Arial" w:cs="Arial" w:eastAsia="Arial" w:hAnsi="Arial"/>
          <w:sz w:val="16"/>
          <w:szCs w:val="16"/>
          <w:color w:val="auto"/>
          <w:vertAlign w:val="superscript"/>
        </w:rPr>
      </w:pPr>
      <w:r>
        <w:rPr>
          <w:rFonts w:ascii="Arial" w:cs="Arial" w:eastAsia="Arial" w:hAnsi="Arial"/>
          <w:sz w:val="10"/>
          <w:szCs w:val="10"/>
          <w:color w:val="auto"/>
        </w:rPr>
        <w:t>Mr. Talwar forfeited these PSUs in connection with the termination of his employment.</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D60011"/>
        </w:rPr>
        <w:t>STOCK OPTIONS AND RSUs</w:t>
      </w:r>
    </w:p>
    <w:p>
      <w:pPr>
        <w:spacing w:after="0" w:line="11" w:lineRule="exact"/>
        <w:rPr>
          <w:sz w:val="20"/>
          <w:szCs w:val="20"/>
          <w:color w:val="auto"/>
        </w:rPr>
      </w:pPr>
    </w:p>
    <w:p>
      <w:pPr>
        <w:ind w:left="840" w:right="959"/>
        <w:spacing w:after="0" w:line="278" w:lineRule="auto"/>
        <w:rPr>
          <w:sz w:val="20"/>
          <w:szCs w:val="20"/>
          <w:color w:val="auto"/>
        </w:rPr>
      </w:pPr>
      <w:r>
        <w:rPr>
          <w:rFonts w:ascii="Arial" w:cs="Arial" w:eastAsia="Arial" w:hAnsi="Arial"/>
          <w:sz w:val="10"/>
          <w:szCs w:val="10"/>
          <w:color w:val="auto"/>
        </w:rPr>
        <w:t xml:space="preserve">The Human Capital Committee granted equity awards to the NEOs in 2021, splitting the total value of the award between stock options and RSUs in order to enhance the retentive value of the LTI awards. In deciding to grant these awards and determining the value of the awards, the Human Capital Committee considered each executive’s performance, position, and career potential and the competitive market for equivalent talent. See the </w:t>
      </w:r>
      <w:r>
        <w:rPr>
          <w:rFonts w:ascii="Arial" w:cs="Arial" w:eastAsia="Arial" w:hAnsi="Arial"/>
          <w:sz w:val="10"/>
          <w:szCs w:val="10"/>
          <w:b w:val="1"/>
          <w:bCs w:val="1"/>
          <w:color w:val="D60011"/>
        </w:rPr>
        <w:t>Grants of</w:t>
      </w:r>
      <w:r>
        <w:rPr>
          <w:rFonts w:ascii="Arial" w:cs="Arial" w:eastAsia="Arial" w:hAnsi="Arial"/>
          <w:sz w:val="10"/>
          <w:szCs w:val="10"/>
          <w:color w:val="auto"/>
        </w:rPr>
        <w:t xml:space="preserve"> </w:t>
      </w:r>
      <w:r>
        <w:rPr>
          <w:rFonts w:ascii="Arial" w:cs="Arial" w:eastAsia="Arial" w:hAnsi="Arial"/>
          <w:sz w:val="10"/>
          <w:szCs w:val="10"/>
          <w:b w:val="1"/>
          <w:bCs w:val="1"/>
          <w:color w:val="D60011"/>
        </w:rPr>
        <w:t xml:space="preserve">Plan-Based Awards in Fiscal 2021 </w:t>
      </w:r>
      <w:r>
        <w:rPr>
          <w:rFonts w:ascii="Arial" w:cs="Arial" w:eastAsia="Arial" w:hAnsi="Arial"/>
          <w:sz w:val="10"/>
          <w:szCs w:val="10"/>
          <w:color w:val="000000"/>
        </w:rPr>
        <w:t>beginning on page 74 for additional information on awards granted in the Company’s 2021 fiscal year.</w:t>
      </w:r>
    </w:p>
    <w:p>
      <w:pPr>
        <w:spacing w:after="0" w:line="91" w:lineRule="exact"/>
        <w:rPr>
          <w:sz w:val="20"/>
          <w:szCs w:val="20"/>
          <w:color w:val="auto"/>
        </w:rPr>
      </w:pPr>
    </w:p>
    <w:p>
      <w:pPr>
        <w:ind w:left="1520" w:hanging="388"/>
        <w:spacing w:after="0"/>
        <w:tabs>
          <w:tab w:leader="none" w:pos="1520" w:val="left"/>
        </w:tabs>
        <w:numPr>
          <w:ilvl w:val="0"/>
          <w:numId w:val="106"/>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173990</wp:posOffset>
            </wp:positionV>
            <wp:extent cx="717804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439" w:right="1440" w:bottom="1440" w:gutter="0" w:footer="0" w:header="0"/>
        </w:sectPr>
      </w:pPr>
    </w:p>
    <w:bookmarkStart w:id="68" w:name="page69"/>
    <w:bookmarkEnd w:id="68"/>
    <w:p>
      <w:pPr>
        <w:ind w:left="7960"/>
        <w:spacing w:after="0"/>
        <w:rPr>
          <w:sz w:val="20"/>
          <w:szCs w:val="20"/>
          <w:color w:val="auto"/>
        </w:rPr>
      </w:pPr>
      <w:r>
        <w:rPr>
          <w:rFonts w:ascii="Arial" w:cs="Arial" w:eastAsia="Arial" w:hAnsi="Arial"/>
          <w:sz w:val="10"/>
          <w:szCs w:val="10"/>
          <w:b w:val="1"/>
          <w:bCs w:val="1"/>
          <w:color w:val="D60011"/>
        </w:rPr>
        <w:t>EXECUTIVE COMPENSATION</w:t>
      </w:r>
    </w:p>
    <w:p>
      <w:pPr>
        <w:spacing w:after="0" w:line="113" w:lineRule="exact"/>
        <w:rPr>
          <w:sz w:val="20"/>
          <w:szCs w:val="20"/>
          <w:color w:val="auto"/>
        </w:rPr>
      </w:pPr>
    </w:p>
    <w:p>
      <w:pPr>
        <w:ind w:left="1980" w:right="1980"/>
        <w:spacing w:after="0" w:line="239" w:lineRule="auto"/>
        <w:rPr>
          <w:sz w:val="20"/>
          <w:szCs w:val="20"/>
          <w:color w:val="auto"/>
        </w:rPr>
      </w:pPr>
      <w:r>
        <w:rPr>
          <w:rFonts w:ascii="Arial" w:cs="Arial" w:eastAsia="Arial" w:hAnsi="Arial"/>
          <w:sz w:val="12"/>
          <w:szCs w:val="12"/>
          <w:color w:val="auto"/>
        </w:rPr>
        <w:t xml:space="preserve">The values shown in the </w:t>
      </w:r>
      <w:r>
        <w:rPr>
          <w:rFonts w:ascii="Arial" w:cs="Arial" w:eastAsia="Arial" w:hAnsi="Arial"/>
          <w:sz w:val="12"/>
          <w:szCs w:val="12"/>
          <w:b w:val="1"/>
          <w:bCs w:val="1"/>
          <w:color w:val="D60011"/>
        </w:rPr>
        <w:t>Grants of Plan-Based Awards in Fiscal 2021</w:t>
      </w:r>
      <w:r>
        <w:rPr>
          <w:rFonts w:ascii="Arial" w:cs="Arial" w:eastAsia="Arial" w:hAnsi="Arial"/>
          <w:sz w:val="12"/>
          <w:szCs w:val="12"/>
          <w:color w:val="auto"/>
        </w:rPr>
        <w:t xml:space="preserve"> for the stock option grants in 2021 are based on the applicable Black-Scholes value on the grant date. The amounts shown in the table do not necessarily reflect the actual value that may be realized by the NEOs. The option exercise price is equal to the closing price of the Common Stock on the grant date. Stock options normally vest at the rate of one-third of the total grant per year over the first three years of the ten-year option term, subject to continuous service through each vesting date and accelerated vesting in certain limited circumstances. RSUs cliff vest generally after a period of three years based on continued employment. The Human Capital Committee does not normally consider an executive’s gains from prior stock awards in granting new awards as compensation in the current year. The Human Capital Committee determines the number of options granted based on a fixed value, using the Black-Scholes value on the grant date.</w:t>
      </w:r>
    </w:p>
    <w:p>
      <w:pPr>
        <w:spacing w:after="0" w:line="11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SPECIAL RSU AWARDS</w:t>
      </w:r>
    </w:p>
    <w:p>
      <w:pPr>
        <w:spacing w:after="0" w:line="132" w:lineRule="exact"/>
        <w:rPr>
          <w:sz w:val="20"/>
          <w:szCs w:val="20"/>
          <w:color w:val="auto"/>
        </w:rPr>
      </w:pPr>
    </w:p>
    <w:p>
      <w:pPr>
        <w:ind w:left="1980" w:right="2000"/>
        <w:spacing w:after="0" w:line="237" w:lineRule="auto"/>
        <w:rPr>
          <w:sz w:val="20"/>
          <w:szCs w:val="20"/>
          <w:color w:val="auto"/>
        </w:rPr>
      </w:pPr>
      <w:r>
        <w:rPr>
          <w:rFonts w:ascii="Arial" w:cs="Arial" w:eastAsia="Arial" w:hAnsi="Arial"/>
          <w:sz w:val="12"/>
          <w:szCs w:val="12"/>
          <w:color w:val="auto"/>
        </w:rPr>
        <w:t>The Human Capital Committee granted special RSU awards in 2021 to Mr. Page at sign-on, as discussed above, in order to replace compensation Mr. Page forfeited when he was recruited by us, and to Mr. Bracken in connection with his promotion to Executive Vice President and Chief Operating Officer, and to Messrs. Martin and Gray for retention purposes. In deciding to grant these awards and determining the value of the awards, the Human Capital Committee considered each executive’s position, including those with expanded scope and responsibilities, and the Company’s recruiting needs. Messrs. Martin and Gray received special one-time RSU awards for retention purposes. In approving such one-time awards, the Human Capital Committee considered the need to ensure management stability and continuity, as well as labor market conditions and competition for top talent in the current environment and during the COVID-19 pandemic. The Human Capital Committee also viewed the one-time awards as necessary in connection with the Company’s succession planning for key roles. The Human Capital Committee determined that the one-time awards were in the best interests of the Company and its shareholders. For Mr. Page, the RSUs will vest on each of the first three anniversaries of the grant date (a long-term incentive similar to the Company’s annual grant of RSUs), subject to his continued employment through each such anniversary date. All of the special awards for Messrs. Bracken, Martin, and Gray will vest on the third anniversary of the grant date, subject to continued employment through the vesting date. All of these values, and corresponding grant dates, are shown in the table below.</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2960" w:type="dxa"/>
            <w:vAlign w:val="bottom"/>
          </w:tcPr>
          <w:p>
            <w:pPr>
              <w:jc w:val="right"/>
              <w:ind w:right="232"/>
              <w:spacing w:after="0"/>
              <w:rPr>
                <w:sz w:val="20"/>
                <w:szCs w:val="20"/>
                <w:color w:val="auto"/>
              </w:rPr>
            </w:pPr>
            <w:r>
              <w:rPr>
                <w:rFonts w:ascii="Arial" w:cs="Arial" w:eastAsia="Arial" w:hAnsi="Arial"/>
                <w:sz w:val="10"/>
                <w:szCs w:val="10"/>
                <w:b w:val="1"/>
                <w:bCs w:val="1"/>
                <w:color w:val="auto"/>
              </w:rPr>
              <w:t>RSUs</w:t>
            </w:r>
          </w:p>
        </w:tc>
        <w:tc>
          <w:tcPr>
            <w:tcW w:w="880" w:type="dxa"/>
            <w:vAlign w:val="bottom"/>
          </w:tcPr>
          <w:p>
            <w:pPr>
              <w:jc w:val="right"/>
              <w:ind w:right="172"/>
              <w:spacing w:after="0"/>
              <w:rPr>
                <w:sz w:val="20"/>
                <w:szCs w:val="20"/>
                <w:color w:val="auto"/>
              </w:rPr>
            </w:pPr>
            <w:r>
              <w:rPr>
                <w:rFonts w:ascii="Arial" w:cs="Arial" w:eastAsia="Arial" w:hAnsi="Arial"/>
                <w:sz w:val="10"/>
                <w:szCs w:val="10"/>
                <w:b w:val="1"/>
                <w:bCs w:val="1"/>
                <w:color w:val="auto"/>
              </w:rPr>
              <w:t>RSUs</w:t>
            </w:r>
          </w:p>
        </w:tc>
        <w:tc>
          <w:tcPr>
            <w:tcW w:w="800" w:type="dxa"/>
            <w:vAlign w:val="bottom"/>
          </w:tcPr>
          <w:p>
            <w:pPr>
              <w:jc w:val="right"/>
              <w:ind w:right="32"/>
              <w:spacing w:after="0"/>
              <w:rPr>
                <w:sz w:val="20"/>
                <w:szCs w:val="20"/>
                <w:color w:val="auto"/>
              </w:rPr>
            </w:pPr>
            <w:r>
              <w:rPr>
                <w:rFonts w:ascii="Arial" w:cs="Arial" w:eastAsia="Arial" w:hAnsi="Arial"/>
                <w:sz w:val="10"/>
                <w:szCs w:val="10"/>
                <w:b w:val="1"/>
                <w:bCs w:val="1"/>
                <w:color w:val="auto"/>
              </w:rPr>
              <w:t>Grant Date</w:t>
            </w:r>
          </w:p>
        </w:tc>
      </w:tr>
      <w:tr>
        <w:trPr>
          <w:trHeight w:val="108"/>
        </w:trPr>
        <w:tc>
          <w:tcPr>
            <w:tcW w:w="2700" w:type="dxa"/>
            <w:vAlign w:val="bottom"/>
          </w:tcPr>
          <w:p>
            <w:pPr>
              <w:spacing w:after="0"/>
              <w:rPr>
                <w:sz w:val="9"/>
                <w:szCs w:val="9"/>
                <w:color w:val="auto"/>
              </w:rPr>
            </w:pPr>
          </w:p>
        </w:tc>
        <w:tc>
          <w:tcPr>
            <w:tcW w:w="2960" w:type="dxa"/>
            <w:vAlign w:val="bottom"/>
          </w:tcPr>
          <w:p>
            <w:pPr>
              <w:jc w:val="right"/>
              <w:ind w:right="232"/>
              <w:spacing w:after="0" w:line="108" w:lineRule="exact"/>
              <w:rPr>
                <w:sz w:val="20"/>
                <w:szCs w:val="20"/>
                <w:color w:val="auto"/>
              </w:rPr>
            </w:pPr>
            <w:r>
              <w:rPr>
                <w:rFonts w:ascii="Arial" w:cs="Arial" w:eastAsia="Arial" w:hAnsi="Arial"/>
                <w:sz w:val="10"/>
                <w:szCs w:val="10"/>
                <w:b w:val="1"/>
                <w:bCs w:val="1"/>
                <w:color w:val="auto"/>
              </w:rPr>
              <w:t>04/12/21</w:t>
            </w:r>
          </w:p>
        </w:tc>
        <w:tc>
          <w:tcPr>
            <w:tcW w:w="88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11/16/21</w:t>
            </w:r>
          </w:p>
        </w:tc>
        <w:tc>
          <w:tcPr>
            <w:tcW w:w="800" w:type="dxa"/>
            <w:vAlign w:val="bottom"/>
          </w:tcPr>
          <w:p>
            <w:pPr>
              <w:jc w:val="right"/>
              <w:ind w:right="32"/>
              <w:spacing w:after="0" w:line="108" w:lineRule="exact"/>
              <w:rPr>
                <w:sz w:val="20"/>
                <w:szCs w:val="20"/>
                <w:color w:val="auto"/>
              </w:rPr>
            </w:pPr>
            <w:r>
              <w:rPr>
                <w:rFonts w:ascii="Arial" w:cs="Arial" w:eastAsia="Arial" w:hAnsi="Arial"/>
                <w:sz w:val="10"/>
                <w:szCs w:val="10"/>
                <w:b w:val="1"/>
                <w:bCs w:val="1"/>
                <w:color w:val="auto"/>
              </w:rPr>
              <w:t>Fair Value</w:t>
            </w:r>
          </w:p>
        </w:tc>
      </w:tr>
      <w:tr>
        <w:trPr>
          <w:trHeight w:val="115"/>
        </w:trPr>
        <w:tc>
          <w:tcPr>
            <w:tcW w:w="270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Name</w:t>
            </w:r>
          </w:p>
        </w:tc>
        <w:tc>
          <w:tcPr>
            <w:tcW w:w="2960" w:type="dxa"/>
            <w:vAlign w:val="bottom"/>
            <w:tcBorders>
              <w:bottom w:val="single" w:sz="8" w:color="E31F25"/>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b w:val="1"/>
                <w:bCs w:val="1"/>
                <w:color w:val="auto"/>
              </w:rPr>
              <w:t>($)</w:t>
            </w:r>
          </w:p>
        </w:tc>
      </w:tr>
      <w:tr>
        <w:trPr>
          <w:trHeight w:val="132"/>
        </w:trPr>
        <w:tc>
          <w:tcPr>
            <w:tcW w:w="270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Page</w:t>
            </w:r>
          </w:p>
        </w:tc>
        <w:tc>
          <w:tcPr>
            <w:tcW w:w="2960" w:type="dxa"/>
            <w:vAlign w:val="bottom"/>
            <w:tcBorders>
              <w:bottom w:val="single" w:sz="8" w:color="BCBEC0"/>
            </w:tcBorders>
          </w:tcPr>
          <w:p>
            <w:pPr>
              <w:jc w:val="right"/>
              <w:ind w:right="232"/>
              <w:spacing w:after="0"/>
              <w:rPr>
                <w:sz w:val="20"/>
                <w:szCs w:val="20"/>
                <w:color w:val="auto"/>
              </w:rPr>
            </w:pPr>
            <w:r>
              <w:rPr>
                <w:rFonts w:ascii="Arial" w:cs="Arial" w:eastAsia="Arial" w:hAnsi="Arial"/>
                <w:sz w:val="10"/>
                <w:szCs w:val="10"/>
                <w:color w:val="auto"/>
              </w:rPr>
              <w:t>12,557</w:t>
            </w:r>
          </w:p>
        </w:tc>
        <w:tc>
          <w:tcPr>
            <w:tcW w:w="8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750,030</w:t>
            </w:r>
          </w:p>
        </w:tc>
      </w:tr>
      <w:tr>
        <w:trPr>
          <w:trHeight w:val="133"/>
        </w:trPr>
        <w:tc>
          <w:tcPr>
            <w:tcW w:w="270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Bracken</w:t>
            </w:r>
          </w:p>
        </w:tc>
        <w:tc>
          <w:tcPr>
            <w:tcW w:w="2960" w:type="dxa"/>
            <w:vAlign w:val="bottom"/>
            <w:tcBorders>
              <w:bottom w:val="single" w:sz="8" w:color="BCBEC0"/>
            </w:tcBorders>
          </w:tcPr>
          <w:p>
            <w:pPr>
              <w:jc w:val="right"/>
              <w:ind w:right="23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10,661</w:t>
            </w:r>
          </w:p>
        </w:tc>
        <w:tc>
          <w:tcPr>
            <w:tcW w:w="8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600,001</w:t>
            </w:r>
          </w:p>
        </w:tc>
      </w:tr>
      <w:tr>
        <w:trPr>
          <w:trHeight w:val="133"/>
        </w:trPr>
        <w:tc>
          <w:tcPr>
            <w:tcW w:w="270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Martin</w:t>
            </w:r>
          </w:p>
        </w:tc>
        <w:tc>
          <w:tcPr>
            <w:tcW w:w="2960" w:type="dxa"/>
            <w:vAlign w:val="bottom"/>
            <w:tcBorders>
              <w:bottom w:val="single" w:sz="8" w:color="BCBEC0"/>
            </w:tcBorders>
          </w:tcPr>
          <w:p>
            <w:pPr>
              <w:jc w:val="right"/>
              <w:ind w:right="23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3,554</w:t>
            </w:r>
          </w:p>
        </w:tc>
        <w:tc>
          <w:tcPr>
            <w:tcW w:w="80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200,019</w:t>
            </w:r>
          </w:p>
        </w:tc>
      </w:tr>
      <w:tr>
        <w:trPr>
          <w:trHeight w:val="133"/>
        </w:trPr>
        <w:tc>
          <w:tcPr>
            <w:tcW w:w="270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D60011"/>
              </w:rPr>
              <w:t>Gray</w:t>
            </w:r>
          </w:p>
        </w:tc>
        <w:tc>
          <w:tcPr>
            <w:tcW w:w="2960" w:type="dxa"/>
            <w:vAlign w:val="bottom"/>
            <w:tcBorders>
              <w:bottom w:val="single" w:sz="8" w:color="E31F25"/>
            </w:tcBorders>
          </w:tcPr>
          <w:p>
            <w:pPr>
              <w:jc w:val="right"/>
              <w:ind w:right="23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color w:val="auto"/>
              </w:rPr>
              <w:t>5,331</w:t>
            </w:r>
          </w:p>
        </w:tc>
        <w:tc>
          <w:tcPr>
            <w:tcW w:w="80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300,029</w:t>
            </w:r>
          </w:p>
        </w:tc>
      </w:tr>
    </w:tbl>
    <w:p>
      <w:pPr>
        <w:spacing w:after="0" w:line="117"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RETIREMENT PLAN AND EXCESS CASH PLAN</w:t>
      </w:r>
    </w:p>
    <w:p>
      <w:pPr>
        <w:spacing w:after="0" w:line="137" w:lineRule="exact"/>
        <w:rPr>
          <w:sz w:val="20"/>
          <w:szCs w:val="20"/>
          <w:color w:val="auto"/>
        </w:rPr>
      </w:pPr>
    </w:p>
    <w:p>
      <w:pPr>
        <w:ind w:left="1980" w:right="2040"/>
        <w:spacing w:after="0" w:line="253" w:lineRule="auto"/>
        <w:rPr>
          <w:sz w:val="20"/>
          <w:szCs w:val="20"/>
          <w:color w:val="auto"/>
        </w:rPr>
      </w:pPr>
      <w:r>
        <w:rPr>
          <w:rFonts w:ascii="Arial" w:cs="Arial" w:eastAsia="Arial" w:hAnsi="Arial"/>
          <w:sz w:val="11"/>
          <w:szCs w:val="11"/>
          <w:color w:val="auto"/>
        </w:rPr>
        <w:t>The NEOs, other than Mr. Page, because the plans were frozen for new participants as of December 31, 2019, and Ms. Peters and Mr. Talwar, who have departed the organization, participate in the Retirement Plan and the Excess Cash Plan. These plans, as well as the method of calculating benefits payable under these plans, are described beginning on page 88.</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401(k) PLAN AND EXCESS SAVINGS PLAN</w:t>
      </w:r>
    </w:p>
    <w:p>
      <w:pPr>
        <w:spacing w:after="0" w:line="137" w:lineRule="exact"/>
        <w:rPr>
          <w:sz w:val="20"/>
          <w:szCs w:val="20"/>
          <w:color w:val="auto"/>
        </w:rPr>
      </w:pPr>
    </w:p>
    <w:p>
      <w:pPr>
        <w:ind w:left="1980" w:right="2480"/>
        <w:spacing w:after="0" w:line="268" w:lineRule="auto"/>
        <w:rPr>
          <w:sz w:val="20"/>
          <w:szCs w:val="20"/>
          <w:color w:val="auto"/>
        </w:rPr>
      </w:pPr>
      <w:r>
        <w:rPr>
          <w:rFonts w:ascii="Arial" w:cs="Arial" w:eastAsia="Arial" w:hAnsi="Arial"/>
          <w:sz w:val="11"/>
          <w:szCs w:val="11"/>
          <w:color w:val="auto"/>
        </w:rPr>
        <w:t>Messrs. Johnson, Bracken, Martin, and Gray participate in the 401(k) Plan and the Excess Savings Plan. These plans, as well as the method of calculating contributions under these plans, are described on page 90.</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SUPPLEMENTAL EXECUTIVE RETIREMENT PLAN</w:t>
      </w:r>
    </w:p>
    <w:p>
      <w:pPr>
        <w:spacing w:after="0" w:line="137" w:lineRule="exact"/>
        <w:rPr>
          <w:sz w:val="20"/>
          <w:szCs w:val="20"/>
          <w:color w:val="auto"/>
        </w:rPr>
      </w:pPr>
    </w:p>
    <w:p>
      <w:pPr>
        <w:ind w:left="1980" w:right="2320"/>
        <w:spacing w:after="0" w:line="253" w:lineRule="auto"/>
        <w:rPr>
          <w:sz w:val="20"/>
          <w:szCs w:val="20"/>
          <w:color w:val="auto"/>
        </w:rPr>
      </w:pPr>
      <w:r>
        <w:rPr>
          <w:rFonts w:ascii="Arial" w:cs="Arial" w:eastAsia="Arial" w:hAnsi="Arial"/>
          <w:sz w:val="11"/>
          <w:szCs w:val="11"/>
          <w:color w:val="auto"/>
        </w:rPr>
        <w:t>The Company maintains a SERP for certain senior officers of the Company and other key employees, including the NEOs who met the eligibility requirements prior to the plan being frozen for new participants (including rehires) after December 31, 2018. See page 90 for additional information regarding the SERP.</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INTERNATIONAL ASSIGNMENT COMPENSATION</w:t>
      </w:r>
    </w:p>
    <w:p>
      <w:pPr>
        <w:spacing w:after="0" w:line="137" w:lineRule="exact"/>
        <w:rPr>
          <w:sz w:val="20"/>
          <w:szCs w:val="20"/>
          <w:color w:val="auto"/>
        </w:rPr>
      </w:pPr>
    </w:p>
    <w:p>
      <w:pPr>
        <w:jc w:val="both"/>
        <w:ind w:left="1980" w:right="2140"/>
        <w:spacing w:after="0" w:line="253" w:lineRule="auto"/>
        <w:rPr>
          <w:sz w:val="20"/>
          <w:szCs w:val="20"/>
          <w:color w:val="auto"/>
        </w:rPr>
      </w:pPr>
      <w:r>
        <w:rPr>
          <w:rFonts w:ascii="Arial" w:cs="Arial" w:eastAsia="Arial" w:hAnsi="Arial"/>
          <w:sz w:val="11"/>
          <w:szCs w:val="11"/>
          <w:color w:val="auto"/>
        </w:rPr>
        <w:t>We provide team members on long-term international assignments with additional benefits and allowances that are designed to minimize any financial detriment or gain to the team member from an international assignment. Except for Expatriate Tax Payments, none of the NEOs, other than Mr. Talwar, received any compensation under the IAP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77470</wp:posOffset>
            </wp:positionV>
            <wp:extent cx="365760" cy="2228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60" w:type="dxa"/>
            <w:vAlign w:val="bottom"/>
          </w:tcPr>
          <w:p>
            <w:pPr>
              <w:ind w:left="746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63</w:t>
            </w:r>
          </w:p>
        </w:tc>
      </w:tr>
      <w:tr>
        <w:trPr>
          <w:trHeight w:val="228"/>
        </w:trPr>
        <w:tc>
          <w:tcPr>
            <w:tcW w:w="87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r>
    </w:tbl>
    <w:p>
      <w:pPr>
        <w:sectPr>
          <w:pgSz w:w="11900" w:h="16838" w:orient="portrait"/>
          <w:cols w:equalWidth="0" w:num="1">
            <w:col w:w="11300"/>
          </w:cols>
          <w:pgMar w:left="300" w:top="574" w:right="299" w:bottom="1440" w:gutter="0" w:footer="0" w:header="0"/>
        </w:sectPr>
      </w:pPr>
    </w:p>
    <w:bookmarkStart w:id="69" w:name="page70"/>
    <w:bookmarkEnd w:id="69"/>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PERQUISITES</w:t>
      </w:r>
    </w:p>
    <w:p>
      <w:pPr>
        <w:spacing w:after="0" w:line="137" w:lineRule="exact"/>
        <w:rPr>
          <w:sz w:val="20"/>
          <w:szCs w:val="20"/>
          <w:color w:val="auto"/>
        </w:rPr>
      </w:pPr>
    </w:p>
    <w:p>
      <w:pPr>
        <w:ind w:left="840" w:right="939"/>
        <w:spacing w:after="0" w:line="244" w:lineRule="auto"/>
        <w:rPr>
          <w:sz w:val="20"/>
          <w:szCs w:val="20"/>
          <w:color w:val="auto"/>
        </w:rPr>
      </w:pPr>
      <w:r>
        <w:rPr>
          <w:rFonts w:ascii="Arial" w:cs="Arial" w:eastAsia="Arial" w:hAnsi="Arial"/>
          <w:sz w:val="11"/>
          <w:szCs w:val="11"/>
          <w:color w:val="auto"/>
        </w:rPr>
        <w:t>We provide the NEOs with certain perquisites, which the Human Capital Committee believes to be reasonable and consistent with its overall objective of attracting and retaining talented executives in a competitive labor market. The Company provides the NEOs with an automobile reimbursement, medical expense reimbursement, supplemental long-term disability insurance, and financial planning. In addition, the Company reimburses Mr. Johnson for reasonable car service expenses for transportation in the New York metropolitan area for increased personal security and efficiency. We also provide for continuation of medical and dental insurance benefits following retirement to participants who vested in the SERP prior to February 2, 2014. We do not provide a gross-up to executives for the income tax liability they incur due to their receipt of these perquisites.</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EMPLOYMENT AGREEMENTS AND OTHER ARRANGEMENTS</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As more fully described on pages 72 through 73, we have employment agreements with each of our NEOs, except Messrs. Page, Bracken, and Gray.</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Other than the agreement with Mr. Johnson, the agreements are substantially in the same form.</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PROCEDURES FOR DETERMINING COMPENSATION</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SETTING COMPENSATION, ESTABLISHING GOALS, AND EVALUATING PERFORMANCE</w:t>
      </w:r>
    </w:p>
    <w:p>
      <w:pPr>
        <w:spacing w:after="0" w:line="146" w:lineRule="exact"/>
        <w:rPr>
          <w:sz w:val="20"/>
          <w:szCs w:val="20"/>
          <w:color w:val="auto"/>
        </w:rPr>
      </w:pPr>
    </w:p>
    <w:p>
      <w:pPr>
        <w:ind w:left="840" w:right="1019"/>
        <w:spacing w:after="0" w:line="268" w:lineRule="auto"/>
        <w:rPr>
          <w:sz w:val="20"/>
          <w:szCs w:val="20"/>
          <w:color w:val="auto"/>
        </w:rPr>
      </w:pPr>
      <w:r>
        <w:rPr>
          <w:rFonts w:ascii="Arial" w:cs="Arial" w:eastAsia="Arial" w:hAnsi="Arial"/>
          <w:sz w:val="11"/>
          <w:szCs w:val="11"/>
          <w:color w:val="auto"/>
        </w:rPr>
        <w:t>As reflected in the following timeline, the Human Capital Committee oversees a rigorous and comprehensive compensation approval, goal setting, and performance review process:</w:t>
      </w:r>
    </w:p>
    <w:p>
      <w:pPr>
        <w:spacing w:after="0" w:line="132" w:lineRule="exact"/>
        <w:rPr>
          <w:sz w:val="20"/>
          <w:szCs w:val="20"/>
          <w:color w:val="auto"/>
        </w:rPr>
      </w:pPr>
    </w:p>
    <w:p>
      <w:pPr>
        <w:ind w:left="5320"/>
        <w:spacing w:after="0"/>
        <w:rPr>
          <w:sz w:val="20"/>
          <w:szCs w:val="20"/>
          <w:color w:val="auto"/>
        </w:rPr>
      </w:pPr>
      <w:r>
        <w:rPr>
          <w:rFonts w:ascii="Arial" w:cs="Arial" w:eastAsia="Arial" w:hAnsi="Arial"/>
          <w:sz w:val="11"/>
          <w:szCs w:val="11"/>
          <w:b w:val="1"/>
          <w:bCs w:val="1"/>
          <w:color w:val="000002"/>
        </w:rPr>
        <w:t>Year-Round: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-74295</wp:posOffset>
            </wp:positionV>
            <wp:extent cx="2743200" cy="28403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43200" cy="2840355"/>
                    </a:xfrm>
                    <a:prstGeom prst="rect">
                      <a:avLst/>
                    </a:prstGeom>
                    <a:noFill/>
                  </pic:spPr>
                </pic:pic>
              </a:graphicData>
            </a:graphic>
          </wp:anchor>
        </w:drawing>
      </w:r>
    </w:p>
    <w:p>
      <w:pPr>
        <w:spacing w:after="0" w:line="106" w:lineRule="exact"/>
        <w:rPr>
          <w:sz w:val="20"/>
          <w:szCs w:val="20"/>
          <w:color w:val="auto"/>
        </w:rPr>
      </w:pPr>
    </w:p>
    <w:p>
      <w:pPr>
        <w:ind w:left="5520" w:right="879" w:hanging="199"/>
        <w:spacing w:after="0" w:line="241" w:lineRule="auto"/>
        <w:tabs>
          <w:tab w:leader="none" w:pos="5500" w:val="left"/>
        </w:tabs>
        <w:rPr>
          <w:sz w:val="20"/>
          <w:szCs w:val="20"/>
          <w:color w:val="auto"/>
        </w:rPr>
      </w:pPr>
      <w:r>
        <w:rPr>
          <w:rFonts w:ascii="Arial" w:cs="Arial" w:eastAsia="Arial" w:hAnsi="Arial"/>
          <w:sz w:val="11"/>
          <w:szCs w:val="11"/>
          <w:color w:val="D60011"/>
        </w:rPr>
        <w:t>►</w:t>
      </w:r>
      <w:r>
        <w:rPr>
          <w:rFonts w:ascii="Arial" w:cs="Arial" w:eastAsia="Arial" w:hAnsi="Arial"/>
          <w:sz w:val="11"/>
          <w:szCs w:val="11"/>
          <w:color w:val="auto"/>
        </w:rPr>
        <w:tab/>
        <w:t>The Human Capital Committee meets at other times throughout the year with management and privately with the independent consultant to review performance against the established performance goals, discuss developments and emerging trends, and review specific executive compensation and management resources issues. The Human Capital Committee is also responsible each year for reviewing the compensation paid to non-employee directors and making recommendations to the Board regarding the directors’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20" w:hanging="388"/>
        <w:spacing w:after="0"/>
        <w:tabs>
          <w:tab w:leader="none" w:pos="1520" w:val="left"/>
        </w:tabs>
        <w:numPr>
          <w:ilvl w:val="0"/>
          <w:numId w:val="107"/>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173990</wp:posOffset>
            </wp:positionV>
            <wp:extent cx="717804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74" w:right="1440" w:bottom="1440" w:gutter="0" w:footer="0" w:header="0"/>
        </w:sectPr>
      </w:pPr>
    </w:p>
    <w:bookmarkStart w:id="70" w:name="page71"/>
    <w:bookmarkEnd w:id="70"/>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108"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BENCHMARKING APPROACH</w:t>
      </w:r>
    </w:p>
    <w:p>
      <w:pPr>
        <w:spacing w:after="0" w:line="137" w:lineRule="exact"/>
        <w:rPr>
          <w:sz w:val="20"/>
          <w:szCs w:val="20"/>
          <w:color w:val="auto"/>
        </w:rPr>
      </w:pPr>
    </w:p>
    <w:p>
      <w:pPr>
        <w:ind w:left="1980" w:right="2000"/>
        <w:spacing w:after="0" w:line="274" w:lineRule="auto"/>
        <w:rPr>
          <w:sz w:val="20"/>
          <w:szCs w:val="20"/>
          <w:color w:val="auto"/>
        </w:rPr>
      </w:pPr>
      <w:r>
        <w:rPr>
          <w:rFonts w:ascii="Arial" w:cs="Arial" w:eastAsia="Arial" w:hAnsi="Arial"/>
          <w:sz w:val="10"/>
          <w:szCs w:val="10"/>
          <w:color w:val="auto"/>
        </w:rPr>
        <w:t>We have established benchmarks for compensation, including cash and equity, for each NEO. These benchmarks are reviewed annually and are based upon compensation for comparable positions in a peer group consisting of (i) companies having revenues of approximately 0.5 to 2 times the Company’s revenue and market capitalization of approximately 0.25 to 4 times the Company’s market capitalization; and (ii) select sub-industries within the consumer discretionary sector most comparable to the Company’s business, including apparel retail; apparel, accessories, and luxury goods; footwear; home furnishing retail; internet and direct marketing retail; and specialty stores. We also use the peer group data to assess the competitiveness of total direct compensation awarded to our senior executives and as a data point in designing compensation plans, benefits, and perquisites.</w:t>
      </w:r>
    </w:p>
    <w:p>
      <w:pPr>
        <w:spacing w:after="0" w:line="94" w:lineRule="exact"/>
        <w:rPr>
          <w:sz w:val="20"/>
          <w:szCs w:val="20"/>
          <w:color w:val="auto"/>
        </w:rPr>
      </w:pPr>
    </w:p>
    <w:p>
      <w:pPr>
        <w:jc w:val="both"/>
        <w:ind w:left="1980" w:right="2380"/>
        <w:spacing w:after="0" w:line="253" w:lineRule="auto"/>
        <w:rPr>
          <w:sz w:val="20"/>
          <w:szCs w:val="20"/>
          <w:color w:val="auto"/>
        </w:rPr>
      </w:pPr>
      <w:r>
        <w:rPr>
          <w:rFonts w:ascii="Arial" w:cs="Arial" w:eastAsia="Arial" w:hAnsi="Arial"/>
          <w:sz w:val="11"/>
          <w:szCs w:val="11"/>
          <w:color w:val="auto"/>
        </w:rPr>
        <w:t>The Human Capital Committee determined that the following companies, which comprised the peer group for 2021 compensation decisions, were appropriate for executive compensation purposes based upon the nature of their businesses, revenues, and the pool from which they recruit their executives.</w:t>
      </w:r>
    </w:p>
    <w:p>
      <w:pPr>
        <w:spacing w:after="0" w:line="93" w:lineRule="exact"/>
        <w:rPr>
          <w:sz w:val="20"/>
          <w:szCs w:val="20"/>
          <w:color w:val="auto"/>
        </w:rPr>
      </w:pPr>
    </w:p>
    <w:tbl>
      <w:tblPr>
        <w:tblLayout w:type="fixed"/>
        <w:tblInd w:w="1990" w:type="dxa"/>
        <w:tblCellMar>
          <w:top w:w="0" w:type="dxa"/>
          <w:left w:w="0" w:type="dxa"/>
          <w:bottom w:w="0" w:type="dxa"/>
          <w:right w:w="0" w:type="dxa"/>
        </w:tblCellMar>
      </w:tblPr>
      <w:tr>
        <w:trPr>
          <w:trHeight w:val="146"/>
        </w:trPr>
        <w:tc>
          <w:tcPr>
            <w:tcW w:w="1140" w:type="dxa"/>
            <w:vAlign w:val="bottom"/>
            <w:tcBorders>
              <w:top w:val="single" w:sz="8" w:color="FF0000"/>
              <w:left w:val="single" w:sz="8" w:color="FF0000"/>
            </w:tcBorders>
          </w:tcPr>
          <w:p>
            <w:pPr>
              <w:ind w:left="60"/>
              <w:spacing w:after="0"/>
              <w:rPr>
                <w:sz w:val="20"/>
                <w:szCs w:val="20"/>
                <w:color w:val="auto"/>
              </w:rPr>
            </w:pPr>
            <w:r>
              <w:rPr>
                <w:rFonts w:ascii="Arial" w:cs="Arial" w:eastAsia="Arial" w:hAnsi="Arial"/>
                <w:sz w:val="10"/>
                <w:szCs w:val="10"/>
                <w:b w:val="1"/>
                <w:bCs w:val="1"/>
                <w:color w:val="D60011"/>
              </w:rPr>
              <w:t>PEER GROUP</w:t>
            </w:r>
          </w:p>
        </w:tc>
        <w:tc>
          <w:tcPr>
            <w:tcW w:w="460" w:type="dxa"/>
            <w:vAlign w:val="bottom"/>
            <w:tcBorders>
              <w:top w:val="single" w:sz="8" w:color="FF0000"/>
            </w:tcBorders>
          </w:tcPr>
          <w:p>
            <w:pPr>
              <w:ind w:left="320"/>
              <w:spacing w:after="0"/>
              <w:rPr>
                <w:sz w:val="20"/>
                <w:szCs w:val="20"/>
                <w:color w:val="auto"/>
              </w:rPr>
            </w:pPr>
            <w:r>
              <w:rPr>
                <w:rFonts w:ascii="Arial" w:cs="Arial" w:eastAsia="Arial" w:hAnsi="Arial"/>
                <w:sz w:val="10"/>
                <w:szCs w:val="10"/>
                <w:b w:val="1"/>
                <w:bCs w:val="1"/>
                <w:color w:val="D60011"/>
              </w:rPr>
              <w:t>►</w:t>
            </w:r>
          </w:p>
        </w:tc>
        <w:tc>
          <w:tcPr>
            <w:tcW w:w="1740" w:type="dxa"/>
            <w:vAlign w:val="bottom"/>
            <w:tcBorders>
              <w:top w:val="single" w:sz="8" w:color="FF0000"/>
            </w:tcBorders>
          </w:tcPr>
          <w:p>
            <w:pPr>
              <w:ind w:left="40"/>
              <w:spacing w:after="0"/>
              <w:rPr>
                <w:sz w:val="20"/>
                <w:szCs w:val="20"/>
                <w:color w:val="auto"/>
              </w:rPr>
            </w:pPr>
            <w:r>
              <w:rPr>
                <w:rFonts w:ascii="Arial" w:cs="Arial" w:eastAsia="Arial" w:hAnsi="Arial"/>
                <w:sz w:val="10"/>
                <w:szCs w:val="10"/>
                <w:b w:val="1"/>
                <w:bCs w:val="1"/>
                <w:color w:val="auto"/>
              </w:rPr>
              <w:t>American Eagle Outfitters, Inc.</w:t>
            </w:r>
          </w:p>
        </w:tc>
        <w:tc>
          <w:tcPr>
            <w:tcW w:w="480" w:type="dxa"/>
            <w:vAlign w:val="bottom"/>
            <w:tcBorders>
              <w:top w:val="single" w:sz="8" w:color="FF0000"/>
            </w:tcBorders>
          </w:tcPr>
          <w:p>
            <w:pPr>
              <w:ind w:left="32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top w:val="single" w:sz="8" w:color="FF0000"/>
            </w:tcBorders>
          </w:tcPr>
          <w:p>
            <w:pPr>
              <w:ind w:left="40"/>
              <w:spacing w:after="0"/>
              <w:rPr>
                <w:sz w:val="20"/>
                <w:szCs w:val="20"/>
                <w:color w:val="auto"/>
              </w:rPr>
            </w:pPr>
            <w:r>
              <w:rPr>
                <w:rFonts w:ascii="Arial" w:cs="Arial" w:eastAsia="Arial" w:hAnsi="Arial"/>
                <w:sz w:val="10"/>
                <w:szCs w:val="10"/>
                <w:b w:val="1"/>
                <w:bCs w:val="1"/>
                <w:color w:val="auto"/>
              </w:rPr>
              <w:t>Hanesbrands Inc.</w:t>
            </w:r>
          </w:p>
        </w:tc>
        <w:tc>
          <w:tcPr>
            <w:tcW w:w="360" w:type="dxa"/>
            <w:vAlign w:val="bottom"/>
            <w:tcBorders>
              <w:top w:val="single" w:sz="8" w:color="FF0000"/>
            </w:tcBorders>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top w:val="single" w:sz="8" w:color="FF0000"/>
              <w:right w:val="single" w:sz="8" w:color="FF0000"/>
            </w:tcBorders>
          </w:tcPr>
          <w:p>
            <w:pPr>
              <w:ind w:left="80"/>
              <w:spacing w:after="0"/>
              <w:rPr>
                <w:sz w:val="20"/>
                <w:szCs w:val="20"/>
                <w:color w:val="auto"/>
              </w:rPr>
            </w:pPr>
            <w:r>
              <w:rPr>
                <w:rFonts w:ascii="Arial" w:cs="Arial" w:eastAsia="Arial" w:hAnsi="Arial"/>
                <w:sz w:val="10"/>
                <w:szCs w:val="10"/>
                <w:b w:val="1"/>
                <w:bCs w:val="1"/>
                <w:color w:val="auto"/>
              </w:rPr>
              <w:t>Tapestry, Inc.</w:t>
            </w:r>
          </w:p>
        </w:tc>
        <w:tc>
          <w:tcPr>
            <w:tcW w:w="0" w:type="dxa"/>
            <w:vAlign w:val="bottom"/>
          </w:tcPr>
          <w:p>
            <w:pPr>
              <w:spacing w:after="0"/>
              <w:rPr>
                <w:sz w:val="1"/>
                <w:szCs w:val="1"/>
                <w:color w:val="auto"/>
              </w:rPr>
            </w:pPr>
          </w:p>
        </w:tc>
      </w:tr>
      <w:tr>
        <w:trPr>
          <w:trHeight w:val="115"/>
        </w:trPr>
        <w:tc>
          <w:tcPr>
            <w:tcW w:w="1140" w:type="dxa"/>
            <w:vAlign w:val="bottom"/>
            <w:tcBorders>
              <w:left w:val="single" w:sz="8" w:color="FF0000"/>
            </w:tcBorders>
          </w:tcPr>
          <w:p>
            <w:pPr>
              <w:ind w:left="60"/>
              <w:spacing w:after="0"/>
              <w:rPr>
                <w:sz w:val="20"/>
                <w:szCs w:val="20"/>
                <w:color w:val="auto"/>
              </w:rPr>
            </w:pPr>
            <w:r>
              <w:rPr>
                <w:rFonts w:ascii="Arial" w:cs="Arial" w:eastAsia="Arial" w:hAnsi="Arial"/>
                <w:sz w:val="10"/>
                <w:szCs w:val="10"/>
                <w:b w:val="1"/>
                <w:bCs w:val="1"/>
                <w:color w:val="D60011"/>
              </w:rPr>
              <w:t>FOR 2021</w:t>
            </w:r>
          </w:p>
        </w:tc>
        <w:tc>
          <w:tcPr>
            <w:tcW w:w="460" w:type="dxa"/>
            <w:vAlign w:val="bottom"/>
          </w:tcPr>
          <w:p>
            <w:pPr>
              <w:ind w:left="320"/>
              <w:spacing w:after="0"/>
              <w:rPr>
                <w:sz w:val="20"/>
                <w:szCs w:val="20"/>
                <w:color w:val="auto"/>
              </w:rPr>
            </w:pPr>
            <w:r>
              <w:rPr>
                <w:rFonts w:ascii="Arial" w:cs="Arial" w:eastAsia="Arial" w:hAnsi="Arial"/>
                <w:sz w:val="10"/>
                <w:szCs w:val="10"/>
                <w:b w:val="1"/>
                <w:bCs w:val="1"/>
                <w:color w:val="D60011"/>
              </w:rPr>
              <w:t>►</w:t>
            </w:r>
          </w:p>
        </w:tc>
        <w:tc>
          <w:tcPr>
            <w:tcW w:w="1740" w:type="dxa"/>
            <w:vAlign w:val="bottom"/>
          </w:tcPr>
          <w:p>
            <w:pPr>
              <w:ind w:left="40"/>
              <w:spacing w:after="0"/>
              <w:rPr>
                <w:sz w:val="20"/>
                <w:szCs w:val="20"/>
                <w:color w:val="auto"/>
              </w:rPr>
            </w:pPr>
            <w:r>
              <w:rPr>
                <w:rFonts w:ascii="Arial" w:cs="Arial" w:eastAsia="Arial" w:hAnsi="Arial"/>
                <w:sz w:val="10"/>
                <w:szCs w:val="10"/>
                <w:b w:val="1"/>
                <w:bCs w:val="1"/>
                <w:color w:val="auto"/>
              </w:rPr>
              <w:t>Bath and Body Works, Inc.</w:t>
            </w:r>
          </w:p>
        </w:tc>
        <w:tc>
          <w:tcPr>
            <w:tcW w:w="2060" w:type="dxa"/>
            <w:vAlign w:val="bottom"/>
            <w:gridSpan w:val="2"/>
          </w:tcPr>
          <w:p>
            <w:pPr>
              <w:ind w:left="32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b w:val="1"/>
                <w:bCs w:val="1"/>
                <w:color w:val="000000"/>
              </w:rPr>
              <w:t>The Michaels Companies, Inc.</w:t>
            </w:r>
          </w:p>
        </w:tc>
        <w:tc>
          <w:tcPr>
            <w:tcW w:w="360" w:type="dxa"/>
            <w:vAlign w:val="bottom"/>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right w:val="single" w:sz="8" w:color="FF0000"/>
            </w:tcBorders>
          </w:tcPr>
          <w:p>
            <w:pPr>
              <w:ind w:left="80"/>
              <w:spacing w:after="0"/>
              <w:rPr>
                <w:sz w:val="20"/>
                <w:szCs w:val="20"/>
                <w:color w:val="auto"/>
              </w:rPr>
            </w:pPr>
            <w:r>
              <w:rPr>
                <w:rFonts w:ascii="Arial" w:cs="Arial" w:eastAsia="Arial" w:hAnsi="Arial"/>
                <w:sz w:val="10"/>
                <w:szCs w:val="10"/>
                <w:b w:val="1"/>
                <w:bCs w:val="1"/>
                <w:color w:val="auto"/>
              </w:rPr>
              <w:t>Tiffany &amp; Co.</w:t>
            </w:r>
          </w:p>
        </w:tc>
        <w:tc>
          <w:tcPr>
            <w:tcW w:w="0" w:type="dxa"/>
            <w:vAlign w:val="bottom"/>
          </w:tcPr>
          <w:p>
            <w:pPr>
              <w:spacing w:after="0"/>
              <w:rPr>
                <w:sz w:val="1"/>
                <w:szCs w:val="1"/>
                <w:color w:val="auto"/>
              </w:rPr>
            </w:pPr>
          </w:p>
        </w:tc>
      </w:tr>
      <w:tr>
        <w:trPr>
          <w:trHeight w:val="101"/>
        </w:trPr>
        <w:tc>
          <w:tcPr>
            <w:tcW w:w="1140" w:type="dxa"/>
            <w:vAlign w:val="bottom"/>
            <w:tcBorders>
              <w:left w:val="single" w:sz="8" w:color="FF0000"/>
            </w:tcBorders>
          </w:tcPr>
          <w:p>
            <w:pPr>
              <w:ind w:left="60"/>
              <w:spacing w:after="0" w:line="102" w:lineRule="exact"/>
              <w:rPr>
                <w:sz w:val="20"/>
                <w:szCs w:val="20"/>
                <w:color w:val="auto"/>
              </w:rPr>
            </w:pPr>
            <w:r>
              <w:rPr>
                <w:rFonts w:ascii="Arial" w:cs="Arial" w:eastAsia="Arial" w:hAnsi="Arial"/>
                <w:sz w:val="10"/>
                <w:szCs w:val="10"/>
                <w:b w:val="1"/>
                <w:bCs w:val="1"/>
                <w:color w:val="D60011"/>
              </w:rPr>
              <w:t>COMPENSATION</w:t>
            </w:r>
          </w:p>
        </w:tc>
        <w:tc>
          <w:tcPr>
            <w:tcW w:w="460" w:type="dxa"/>
            <w:vAlign w:val="bottom"/>
          </w:tcPr>
          <w:p>
            <w:pPr>
              <w:spacing w:after="0"/>
              <w:rPr>
                <w:sz w:val="8"/>
                <w:szCs w:val="8"/>
                <w:color w:val="auto"/>
              </w:rPr>
            </w:pPr>
          </w:p>
        </w:tc>
        <w:tc>
          <w:tcPr>
            <w:tcW w:w="17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f/k/a L Brands, Inc.</w:t>
            </w:r>
          </w:p>
        </w:tc>
        <w:tc>
          <w:tcPr>
            <w:tcW w:w="480" w:type="dxa"/>
            <w:vAlign w:val="bottom"/>
            <w:vMerge w:val="restart"/>
          </w:tcPr>
          <w:p>
            <w:pPr>
              <w:ind w:left="320"/>
              <w:spacing w:after="0"/>
              <w:rPr>
                <w:sz w:val="20"/>
                <w:szCs w:val="20"/>
                <w:color w:val="auto"/>
              </w:rPr>
            </w:pPr>
            <w:r>
              <w:rPr>
                <w:rFonts w:ascii="Arial" w:cs="Arial" w:eastAsia="Arial" w:hAnsi="Arial"/>
                <w:sz w:val="10"/>
                <w:szCs w:val="10"/>
                <w:b w:val="1"/>
                <w:bCs w:val="1"/>
                <w:color w:val="D60011"/>
              </w:rPr>
              <w:t>►</w:t>
            </w:r>
          </w:p>
        </w:tc>
        <w:tc>
          <w:tcPr>
            <w:tcW w:w="1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PVH Corp.</w:t>
            </w:r>
          </w:p>
        </w:tc>
        <w:tc>
          <w:tcPr>
            <w:tcW w:w="360" w:type="dxa"/>
            <w:vAlign w:val="bottom"/>
            <w:vMerge w:val="restart"/>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right w:val="single" w:sz="8" w:color="FF0000"/>
            </w:tcBorders>
            <w:vMerge w:val="restart"/>
          </w:tcPr>
          <w:p>
            <w:pPr>
              <w:ind w:left="80"/>
              <w:spacing w:after="0"/>
              <w:rPr>
                <w:sz w:val="20"/>
                <w:szCs w:val="20"/>
                <w:color w:val="auto"/>
              </w:rPr>
            </w:pPr>
            <w:r>
              <w:rPr>
                <w:rFonts w:ascii="Arial" w:cs="Arial" w:eastAsia="Arial" w:hAnsi="Arial"/>
                <w:sz w:val="10"/>
                <w:szCs w:val="10"/>
                <w:b w:val="1"/>
                <w:bCs w:val="1"/>
                <w:color w:val="auto"/>
              </w:rPr>
              <w:t>Tractor Supply Company</w:t>
            </w:r>
          </w:p>
        </w:tc>
        <w:tc>
          <w:tcPr>
            <w:tcW w:w="0" w:type="dxa"/>
            <w:vAlign w:val="bottom"/>
          </w:tcPr>
          <w:p>
            <w:pPr>
              <w:spacing w:after="0"/>
              <w:rPr>
                <w:sz w:val="1"/>
                <w:szCs w:val="1"/>
                <w:color w:val="auto"/>
              </w:rPr>
            </w:pPr>
          </w:p>
        </w:tc>
      </w:tr>
      <w:tr>
        <w:trPr>
          <w:trHeight w:val="77"/>
        </w:trPr>
        <w:tc>
          <w:tcPr>
            <w:tcW w:w="1140" w:type="dxa"/>
            <w:vAlign w:val="bottom"/>
            <w:tcBorders>
              <w:left w:val="single" w:sz="8" w:color="FF0000"/>
            </w:tcBorders>
            <w:vMerge w:val="restart"/>
          </w:tcPr>
          <w:p>
            <w:pPr>
              <w:ind w:left="60"/>
              <w:spacing w:after="0"/>
              <w:rPr>
                <w:sz w:val="20"/>
                <w:szCs w:val="20"/>
                <w:color w:val="auto"/>
              </w:rPr>
            </w:pPr>
            <w:r>
              <w:rPr>
                <w:rFonts w:ascii="Arial" w:cs="Arial" w:eastAsia="Arial" w:hAnsi="Arial"/>
                <w:sz w:val="10"/>
                <w:szCs w:val="10"/>
                <w:b w:val="1"/>
                <w:bCs w:val="1"/>
                <w:color w:val="D60011"/>
              </w:rPr>
              <w:t>DECISIONS</w:t>
            </w:r>
          </w:p>
        </w:tc>
        <w:tc>
          <w:tcPr>
            <w:tcW w:w="46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580" w:type="dxa"/>
            <w:vAlign w:val="bottom"/>
            <w:tcBorders>
              <w:right w:val="single" w:sz="8" w:color="FF000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FF0000"/>
            </w:tcBorders>
            <w:vMerge w:val="continue"/>
          </w:tcPr>
          <w:p>
            <w:pPr>
              <w:spacing w:after="0"/>
              <w:rPr>
                <w:sz w:val="4"/>
                <w:szCs w:val="4"/>
                <w:color w:val="auto"/>
              </w:rPr>
            </w:pPr>
          </w:p>
        </w:tc>
        <w:tc>
          <w:tcPr>
            <w:tcW w:w="220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b w:val="1"/>
                <w:bCs w:val="1"/>
                <w:color w:val="000000"/>
              </w:rPr>
              <w:t>Bed Bath &amp; Beyond Inc.</w:t>
            </w:r>
          </w:p>
        </w:tc>
        <w:tc>
          <w:tcPr>
            <w:tcW w:w="480" w:type="dxa"/>
            <w:vAlign w:val="bottom"/>
            <w:vMerge w:val="restart"/>
          </w:tcPr>
          <w:p>
            <w:pPr>
              <w:ind w:left="320"/>
              <w:spacing w:after="0"/>
              <w:rPr>
                <w:sz w:val="20"/>
                <w:szCs w:val="20"/>
                <w:color w:val="auto"/>
              </w:rPr>
            </w:pPr>
            <w:r>
              <w:rPr>
                <w:rFonts w:ascii="Arial" w:cs="Arial" w:eastAsia="Arial" w:hAnsi="Arial"/>
                <w:sz w:val="10"/>
                <w:szCs w:val="10"/>
                <w:b w:val="1"/>
                <w:bCs w:val="1"/>
                <w:color w:val="D60011"/>
              </w:rPr>
              <w:t>►</w:t>
            </w:r>
          </w:p>
        </w:tc>
        <w:tc>
          <w:tcPr>
            <w:tcW w:w="1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Qurate Retail, Inc.</w:t>
            </w:r>
          </w:p>
        </w:tc>
        <w:tc>
          <w:tcPr>
            <w:tcW w:w="360" w:type="dxa"/>
            <w:vAlign w:val="bottom"/>
            <w:vMerge w:val="restart"/>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right w:val="single" w:sz="8" w:color="FF0000"/>
            </w:tcBorders>
            <w:vMerge w:val="restart"/>
          </w:tcPr>
          <w:p>
            <w:pPr>
              <w:ind w:left="80"/>
              <w:spacing w:after="0"/>
              <w:rPr>
                <w:sz w:val="20"/>
                <w:szCs w:val="20"/>
                <w:color w:val="auto"/>
              </w:rPr>
            </w:pPr>
            <w:r>
              <w:rPr>
                <w:rFonts w:ascii="Arial" w:cs="Arial" w:eastAsia="Arial" w:hAnsi="Arial"/>
                <w:sz w:val="10"/>
                <w:szCs w:val="10"/>
                <w:b w:val="1"/>
                <w:bCs w:val="1"/>
                <w:color w:val="auto"/>
              </w:rPr>
              <w:t>Ulta Beauty, Inc.</w:t>
            </w:r>
          </w:p>
        </w:tc>
        <w:tc>
          <w:tcPr>
            <w:tcW w:w="0" w:type="dxa"/>
            <w:vAlign w:val="bottom"/>
          </w:tcPr>
          <w:p>
            <w:pPr>
              <w:spacing w:after="0"/>
              <w:rPr>
                <w:sz w:val="1"/>
                <w:szCs w:val="1"/>
                <w:color w:val="auto"/>
              </w:rPr>
            </w:pPr>
          </w:p>
        </w:tc>
      </w:tr>
      <w:tr>
        <w:trPr>
          <w:trHeight w:val="90"/>
        </w:trPr>
        <w:tc>
          <w:tcPr>
            <w:tcW w:w="1140" w:type="dxa"/>
            <w:vAlign w:val="bottom"/>
            <w:tcBorders>
              <w:left w:val="single" w:sz="8" w:color="FF0000"/>
            </w:tcBorders>
          </w:tcPr>
          <w:p>
            <w:pPr>
              <w:spacing w:after="0"/>
              <w:rPr>
                <w:sz w:val="7"/>
                <w:szCs w:val="7"/>
                <w:color w:val="auto"/>
              </w:rPr>
            </w:pPr>
          </w:p>
        </w:tc>
        <w:tc>
          <w:tcPr>
            <w:tcW w:w="220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580" w:type="dxa"/>
            <w:vAlign w:val="bottom"/>
            <w:tcBorders>
              <w:right w:val="single" w:sz="8" w:color="FF000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460" w:type="dxa"/>
            <w:vAlign w:val="bottom"/>
          </w:tcPr>
          <w:p>
            <w:pPr>
              <w:ind w:left="320"/>
              <w:spacing w:after="0"/>
              <w:rPr>
                <w:sz w:val="20"/>
                <w:szCs w:val="20"/>
                <w:color w:val="auto"/>
              </w:rPr>
            </w:pPr>
            <w:r>
              <w:rPr>
                <w:rFonts w:ascii="Arial" w:cs="Arial" w:eastAsia="Arial" w:hAnsi="Arial"/>
                <w:sz w:val="10"/>
                <w:szCs w:val="10"/>
                <w:b w:val="1"/>
                <w:bCs w:val="1"/>
                <w:color w:val="D60011"/>
              </w:rPr>
              <w:t>►</w:t>
            </w:r>
          </w:p>
        </w:tc>
        <w:tc>
          <w:tcPr>
            <w:tcW w:w="1740" w:type="dxa"/>
            <w:vAlign w:val="bottom"/>
          </w:tcPr>
          <w:p>
            <w:pPr>
              <w:ind w:left="40"/>
              <w:spacing w:after="0"/>
              <w:rPr>
                <w:sz w:val="20"/>
                <w:szCs w:val="20"/>
                <w:color w:val="auto"/>
              </w:rPr>
            </w:pPr>
            <w:r>
              <w:rPr>
                <w:rFonts w:ascii="Arial" w:cs="Arial" w:eastAsia="Arial" w:hAnsi="Arial"/>
                <w:sz w:val="10"/>
                <w:szCs w:val="10"/>
                <w:b w:val="1"/>
                <w:bCs w:val="1"/>
                <w:color w:val="auto"/>
              </w:rPr>
              <w:t>Burlington Stores, Inc.</w:t>
            </w:r>
          </w:p>
        </w:tc>
        <w:tc>
          <w:tcPr>
            <w:tcW w:w="480" w:type="dxa"/>
            <w:vAlign w:val="bottom"/>
          </w:tcPr>
          <w:p>
            <w:pPr>
              <w:ind w:left="320"/>
              <w:spacing w:after="0"/>
              <w:rPr>
                <w:sz w:val="20"/>
                <w:szCs w:val="20"/>
                <w:color w:val="auto"/>
              </w:rPr>
            </w:pPr>
            <w:r>
              <w:rPr>
                <w:rFonts w:ascii="Arial" w:cs="Arial" w:eastAsia="Arial" w:hAnsi="Arial"/>
                <w:sz w:val="10"/>
                <w:szCs w:val="10"/>
                <w:b w:val="1"/>
                <w:bCs w:val="1"/>
                <w:color w:val="D60011"/>
              </w:rPr>
              <w:t>►</w:t>
            </w:r>
          </w:p>
        </w:tc>
        <w:tc>
          <w:tcPr>
            <w:tcW w:w="1580" w:type="dxa"/>
            <w:vAlign w:val="bottom"/>
          </w:tcPr>
          <w:p>
            <w:pPr>
              <w:ind w:left="40"/>
              <w:spacing w:after="0"/>
              <w:rPr>
                <w:sz w:val="20"/>
                <w:szCs w:val="20"/>
                <w:color w:val="auto"/>
              </w:rPr>
            </w:pPr>
            <w:r>
              <w:rPr>
                <w:rFonts w:ascii="Arial" w:cs="Arial" w:eastAsia="Arial" w:hAnsi="Arial"/>
                <w:sz w:val="10"/>
                <w:szCs w:val="10"/>
                <w:b w:val="1"/>
                <w:bCs w:val="1"/>
                <w:color w:val="auto"/>
              </w:rPr>
              <w:t>Ralph Lauren Corporation</w:t>
            </w:r>
          </w:p>
        </w:tc>
        <w:tc>
          <w:tcPr>
            <w:tcW w:w="360" w:type="dxa"/>
            <w:vAlign w:val="bottom"/>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right w:val="single" w:sz="8" w:color="FF0000"/>
            </w:tcBorders>
          </w:tcPr>
          <w:p>
            <w:pPr>
              <w:ind w:left="80"/>
              <w:spacing w:after="0"/>
              <w:rPr>
                <w:sz w:val="20"/>
                <w:szCs w:val="20"/>
                <w:color w:val="auto"/>
              </w:rPr>
            </w:pPr>
            <w:r>
              <w:rPr>
                <w:rFonts w:ascii="Arial" w:cs="Arial" w:eastAsia="Arial" w:hAnsi="Arial"/>
                <w:sz w:val="10"/>
                <w:szCs w:val="10"/>
                <w:b w:val="1"/>
                <w:bCs w:val="1"/>
                <w:color w:val="auto"/>
              </w:rPr>
              <w:t>Under Armour, Inc.</w:t>
            </w: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2200" w:type="dxa"/>
            <w:vAlign w:val="bottom"/>
            <w:gridSpan w:val="2"/>
          </w:tcPr>
          <w:p>
            <w:pPr>
              <w:ind w:left="32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b w:val="1"/>
                <w:bCs w:val="1"/>
                <w:color w:val="000000"/>
              </w:rPr>
              <w:t>Dick’s Sporting Goods, Inc.</w:t>
            </w:r>
          </w:p>
        </w:tc>
        <w:tc>
          <w:tcPr>
            <w:tcW w:w="2060" w:type="dxa"/>
            <w:vAlign w:val="bottom"/>
            <w:gridSpan w:val="2"/>
          </w:tcPr>
          <w:p>
            <w:pPr>
              <w:ind w:left="32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b w:val="1"/>
                <w:bCs w:val="1"/>
                <w:color w:val="000000"/>
              </w:rPr>
              <w:t>Sally Beauty Holdings, Inc.</w:t>
            </w:r>
          </w:p>
        </w:tc>
        <w:tc>
          <w:tcPr>
            <w:tcW w:w="360" w:type="dxa"/>
            <w:vAlign w:val="bottom"/>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right w:val="single" w:sz="8" w:color="FF0000"/>
            </w:tcBorders>
          </w:tcPr>
          <w:p>
            <w:pPr>
              <w:ind w:left="80"/>
              <w:spacing w:after="0"/>
              <w:rPr>
                <w:sz w:val="20"/>
                <w:szCs w:val="20"/>
                <w:color w:val="auto"/>
              </w:rPr>
            </w:pPr>
            <w:r>
              <w:rPr>
                <w:rFonts w:ascii="Arial" w:cs="Arial" w:eastAsia="Arial" w:hAnsi="Arial"/>
                <w:sz w:val="10"/>
                <w:szCs w:val="10"/>
                <w:b w:val="1"/>
                <w:bCs w:val="1"/>
                <w:color w:val="auto"/>
              </w:rPr>
              <w:t>Urban Outfitters, Inc.</w:t>
            </w: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460" w:type="dxa"/>
            <w:vAlign w:val="bottom"/>
          </w:tcPr>
          <w:p>
            <w:pPr>
              <w:ind w:left="320"/>
              <w:spacing w:after="0"/>
              <w:rPr>
                <w:sz w:val="20"/>
                <w:szCs w:val="20"/>
                <w:color w:val="auto"/>
              </w:rPr>
            </w:pPr>
            <w:r>
              <w:rPr>
                <w:rFonts w:ascii="Arial" w:cs="Arial" w:eastAsia="Arial" w:hAnsi="Arial"/>
                <w:sz w:val="10"/>
                <w:szCs w:val="10"/>
                <w:b w:val="1"/>
                <w:bCs w:val="1"/>
                <w:color w:val="D60011"/>
              </w:rPr>
              <w:t>►</w:t>
            </w:r>
          </w:p>
        </w:tc>
        <w:tc>
          <w:tcPr>
            <w:tcW w:w="1740" w:type="dxa"/>
            <w:vAlign w:val="bottom"/>
          </w:tcPr>
          <w:p>
            <w:pPr>
              <w:ind w:left="40"/>
              <w:spacing w:after="0"/>
              <w:rPr>
                <w:sz w:val="20"/>
                <w:szCs w:val="20"/>
                <w:color w:val="auto"/>
              </w:rPr>
            </w:pPr>
            <w:r>
              <w:rPr>
                <w:rFonts w:ascii="Arial" w:cs="Arial" w:eastAsia="Arial" w:hAnsi="Arial"/>
                <w:sz w:val="10"/>
                <w:szCs w:val="10"/>
                <w:b w:val="1"/>
                <w:bCs w:val="1"/>
                <w:color w:val="auto"/>
              </w:rPr>
              <w:t>Expedia Group, Inc.</w:t>
            </w:r>
          </w:p>
        </w:tc>
        <w:tc>
          <w:tcPr>
            <w:tcW w:w="480" w:type="dxa"/>
            <w:vAlign w:val="bottom"/>
          </w:tcPr>
          <w:p>
            <w:pPr>
              <w:ind w:left="320"/>
              <w:spacing w:after="0"/>
              <w:rPr>
                <w:sz w:val="20"/>
                <w:szCs w:val="20"/>
                <w:color w:val="auto"/>
              </w:rPr>
            </w:pPr>
            <w:r>
              <w:rPr>
                <w:rFonts w:ascii="Arial" w:cs="Arial" w:eastAsia="Arial" w:hAnsi="Arial"/>
                <w:sz w:val="10"/>
                <w:szCs w:val="10"/>
                <w:b w:val="1"/>
                <w:bCs w:val="1"/>
                <w:color w:val="D60011"/>
              </w:rPr>
              <w:t>►</w:t>
            </w:r>
          </w:p>
        </w:tc>
        <w:tc>
          <w:tcPr>
            <w:tcW w:w="1580" w:type="dxa"/>
            <w:vAlign w:val="bottom"/>
          </w:tcPr>
          <w:p>
            <w:pPr>
              <w:ind w:left="40"/>
              <w:spacing w:after="0"/>
              <w:rPr>
                <w:sz w:val="20"/>
                <w:szCs w:val="20"/>
                <w:color w:val="auto"/>
              </w:rPr>
            </w:pPr>
            <w:r>
              <w:rPr>
                <w:rFonts w:ascii="Arial" w:cs="Arial" w:eastAsia="Arial" w:hAnsi="Arial"/>
                <w:sz w:val="10"/>
                <w:szCs w:val="10"/>
                <w:b w:val="1"/>
                <w:bCs w:val="1"/>
                <w:color w:val="auto"/>
              </w:rPr>
              <w:t>Signet Jewelers Limited</w:t>
            </w:r>
          </w:p>
        </w:tc>
        <w:tc>
          <w:tcPr>
            <w:tcW w:w="360" w:type="dxa"/>
            <w:vAlign w:val="bottom"/>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right w:val="single" w:sz="8" w:color="FF0000"/>
            </w:tcBorders>
          </w:tcPr>
          <w:p>
            <w:pPr>
              <w:ind w:left="80"/>
              <w:spacing w:after="0"/>
              <w:rPr>
                <w:sz w:val="20"/>
                <w:szCs w:val="20"/>
                <w:color w:val="auto"/>
              </w:rPr>
            </w:pPr>
            <w:r>
              <w:rPr>
                <w:rFonts w:ascii="Arial" w:cs="Arial" w:eastAsia="Arial" w:hAnsi="Arial"/>
                <w:sz w:val="10"/>
                <w:szCs w:val="10"/>
                <w:b w:val="1"/>
                <w:bCs w:val="1"/>
                <w:color w:val="auto"/>
              </w:rPr>
              <w:t>Wayfair Inc.</w:t>
            </w:r>
          </w:p>
        </w:tc>
        <w:tc>
          <w:tcPr>
            <w:tcW w:w="0" w:type="dxa"/>
            <w:vAlign w:val="bottom"/>
          </w:tcPr>
          <w:p>
            <w:pPr>
              <w:spacing w:after="0"/>
              <w:rPr>
                <w:sz w:val="1"/>
                <w:szCs w:val="1"/>
                <w:color w:val="auto"/>
              </w:rPr>
            </w:pPr>
          </w:p>
        </w:tc>
      </w:tr>
      <w:tr>
        <w:trPr>
          <w:trHeight w:val="145"/>
        </w:trPr>
        <w:tc>
          <w:tcPr>
            <w:tcW w:w="1140" w:type="dxa"/>
            <w:vAlign w:val="bottom"/>
            <w:tcBorders>
              <w:left w:val="single" w:sz="8" w:color="FF0000"/>
              <w:bottom w:val="single" w:sz="8" w:color="FF0000"/>
            </w:tcBorders>
          </w:tcPr>
          <w:p>
            <w:pPr>
              <w:spacing w:after="0"/>
              <w:rPr>
                <w:sz w:val="12"/>
                <w:szCs w:val="12"/>
                <w:color w:val="auto"/>
              </w:rPr>
            </w:pPr>
          </w:p>
        </w:tc>
        <w:tc>
          <w:tcPr>
            <w:tcW w:w="460" w:type="dxa"/>
            <w:vAlign w:val="bottom"/>
            <w:tcBorders>
              <w:bottom w:val="single" w:sz="8" w:color="FF0000"/>
            </w:tcBorders>
          </w:tcPr>
          <w:p>
            <w:pPr>
              <w:ind w:left="320"/>
              <w:spacing w:after="0"/>
              <w:rPr>
                <w:sz w:val="20"/>
                <w:szCs w:val="20"/>
                <w:color w:val="auto"/>
              </w:rPr>
            </w:pPr>
            <w:r>
              <w:rPr>
                <w:rFonts w:ascii="Arial" w:cs="Arial" w:eastAsia="Arial" w:hAnsi="Arial"/>
                <w:sz w:val="10"/>
                <w:szCs w:val="10"/>
                <w:b w:val="1"/>
                <w:bCs w:val="1"/>
                <w:color w:val="D60011"/>
              </w:rPr>
              <w:t>►</w:t>
            </w:r>
          </w:p>
        </w:tc>
        <w:tc>
          <w:tcPr>
            <w:tcW w:w="1740" w:type="dxa"/>
            <w:vAlign w:val="bottom"/>
            <w:tcBorders>
              <w:bottom w:val="single" w:sz="8" w:color="FF0000"/>
            </w:tcBorders>
          </w:tcPr>
          <w:p>
            <w:pPr>
              <w:ind w:left="40"/>
              <w:spacing w:after="0"/>
              <w:rPr>
                <w:sz w:val="20"/>
                <w:szCs w:val="20"/>
                <w:color w:val="auto"/>
              </w:rPr>
            </w:pPr>
            <w:r>
              <w:rPr>
                <w:rFonts w:ascii="Arial" w:cs="Arial" w:eastAsia="Arial" w:hAnsi="Arial"/>
                <w:sz w:val="10"/>
                <w:szCs w:val="10"/>
                <w:b w:val="1"/>
                <w:bCs w:val="1"/>
                <w:color w:val="auto"/>
              </w:rPr>
              <w:t>The Gap, Inc.</w:t>
            </w:r>
          </w:p>
        </w:tc>
        <w:tc>
          <w:tcPr>
            <w:tcW w:w="480" w:type="dxa"/>
            <w:vAlign w:val="bottom"/>
            <w:tcBorders>
              <w:bottom w:val="single" w:sz="8" w:color="FF0000"/>
            </w:tcBorders>
          </w:tcPr>
          <w:p>
            <w:pPr>
              <w:ind w:left="32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bottom w:val="single" w:sz="8" w:color="FF0000"/>
            </w:tcBorders>
          </w:tcPr>
          <w:p>
            <w:pPr>
              <w:ind w:left="40"/>
              <w:spacing w:after="0"/>
              <w:rPr>
                <w:sz w:val="20"/>
                <w:szCs w:val="20"/>
                <w:color w:val="auto"/>
              </w:rPr>
            </w:pPr>
            <w:r>
              <w:rPr>
                <w:rFonts w:ascii="Arial" w:cs="Arial" w:eastAsia="Arial" w:hAnsi="Arial"/>
                <w:sz w:val="10"/>
                <w:szCs w:val="10"/>
                <w:b w:val="1"/>
                <w:bCs w:val="1"/>
                <w:color w:val="auto"/>
              </w:rPr>
              <w:t>Skechers USA, Inc.</w:t>
            </w:r>
          </w:p>
        </w:tc>
        <w:tc>
          <w:tcPr>
            <w:tcW w:w="360" w:type="dxa"/>
            <w:vAlign w:val="bottom"/>
            <w:tcBorders>
              <w:bottom w:val="single" w:sz="8" w:color="FF0000"/>
            </w:tcBorders>
          </w:tcPr>
          <w:p>
            <w:pPr>
              <w:ind w:left="200"/>
              <w:spacing w:after="0"/>
              <w:rPr>
                <w:sz w:val="20"/>
                <w:szCs w:val="20"/>
                <w:color w:val="auto"/>
              </w:rPr>
            </w:pPr>
            <w:r>
              <w:rPr>
                <w:rFonts w:ascii="Arial" w:cs="Arial" w:eastAsia="Arial" w:hAnsi="Arial"/>
                <w:sz w:val="10"/>
                <w:szCs w:val="10"/>
                <w:b w:val="1"/>
                <w:bCs w:val="1"/>
                <w:color w:val="D60011"/>
              </w:rPr>
              <w:t>►</w:t>
            </w:r>
          </w:p>
        </w:tc>
        <w:tc>
          <w:tcPr>
            <w:tcW w:w="1580" w:type="dxa"/>
            <w:vAlign w:val="bottom"/>
            <w:tcBorders>
              <w:bottom w:val="single" w:sz="8" w:color="FF0000"/>
              <w:right w:val="single" w:sz="8" w:color="FF0000"/>
            </w:tcBorders>
          </w:tcPr>
          <w:p>
            <w:pPr>
              <w:ind w:left="80"/>
              <w:spacing w:after="0"/>
              <w:rPr>
                <w:sz w:val="20"/>
                <w:szCs w:val="20"/>
                <w:color w:val="auto"/>
              </w:rPr>
            </w:pPr>
            <w:r>
              <w:rPr>
                <w:rFonts w:ascii="Arial" w:cs="Arial" w:eastAsia="Arial" w:hAnsi="Arial"/>
                <w:sz w:val="10"/>
                <w:szCs w:val="10"/>
                <w:b w:val="1"/>
                <w:bCs w:val="1"/>
                <w:color w:val="auto"/>
              </w:rPr>
              <w:t>Williams Sonoma, Inc.</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980" w:right="1980"/>
        <w:spacing w:after="0" w:line="243" w:lineRule="auto"/>
        <w:rPr>
          <w:sz w:val="20"/>
          <w:szCs w:val="20"/>
          <w:color w:val="auto"/>
        </w:rPr>
      </w:pPr>
      <w:r>
        <w:rPr>
          <w:rFonts w:ascii="Arial" w:cs="Arial" w:eastAsia="Arial" w:hAnsi="Arial"/>
          <w:sz w:val="11"/>
          <w:szCs w:val="11"/>
          <w:color w:val="auto"/>
        </w:rPr>
        <w:t>One goal of the Human Capital Committee is to provide competitive total compensation opportunities for the NEOs that vary with Company performance. The Human Capital Committee uses the peer group benchmark information as a reference point in evaluating executive compensation, assessing the competitiveness of total direct compensation awarded to our senior executives, and designing compensation plans, benefits, and perquisites. It does not, however, attempt to match the compensation of each executive position in the Company precisely with that of an equivalent position in the peer group. In general, the Human Capital Committee looks to position an executive’s total compensation at the median of comparable positions at peer companies, consistent with the Company’s revenue in relation to peer companies. The Human Capital Committee also considers other factors, including performance, responsibility, experience, tenure, internal equity, and market positioning, when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76200</wp:posOffset>
            </wp:positionV>
            <wp:extent cx="365760" cy="2228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65</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71" w:name="page72"/>
    <w:bookmarkEnd w:id="71"/>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17" w:lineRule="exact"/>
        <w:rPr>
          <w:sz w:val="20"/>
          <w:szCs w:val="20"/>
          <w:color w:val="auto"/>
        </w:rPr>
      </w:pPr>
    </w:p>
    <w:p>
      <w:pPr>
        <w:ind w:left="840" w:right="859"/>
        <w:spacing w:after="0" w:line="246" w:lineRule="auto"/>
        <w:rPr>
          <w:sz w:val="20"/>
          <w:szCs w:val="20"/>
          <w:color w:val="auto"/>
        </w:rPr>
      </w:pPr>
      <w:r>
        <w:rPr>
          <w:rFonts w:ascii="Arial" w:cs="Arial" w:eastAsia="Arial" w:hAnsi="Arial"/>
          <w:sz w:val="11"/>
          <w:szCs w:val="11"/>
          <w:color w:val="auto"/>
        </w:rPr>
        <w:t>During 2018, the Human Capital Committee developed the criteria for determining the Company’s peer group. At that time, the Human Capital Committee endeavored to refresh the peer group every three years, with annual adjustments limited to merger and acquisition activity or going private transactions. To that goal, in 2021, the Human Capital Committee reviewed the criteria established in 2018 and determined that it was still appropriate. Based on this criteria and the companies’ 2021 revenues and market capitalizations, the peer group for 2022 compensation planning was refreshed, as provided below, to reflect a larger and more diverse group of peers:</w:t>
      </w:r>
    </w:p>
    <w:p>
      <w:pPr>
        <w:spacing w:after="0" w:line="97" w:lineRule="exact"/>
        <w:rPr>
          <w:sz w:val="20"/>
          <w:szCs w:val="20"/>
          <w:color w:val="auto"/>
        </w:rPr>
      </w:pPr>
    </w:p>
    <w:tbl>
      <w:tblPr>
        <w:tblLayout w:type="fixed"/>
        <w:tblInd w:w="850" w:type="dxa"/>
        <w:tblCellMar>
          <w:top w:w="0" w:type="dxa"/>
          <w:left w:w="0" w:type="dxa"/>
          <w:bottom w:w="0" w:type="dxa"/>
          <w:right w:w="0" w:type="dxa"/>
        </w:tblCellMar>
      </w:tblPr>
      <w:tr>
        <w:trPr>
          <w:trHeight w:val="151"/>
        </w:trPr>
        <w:tc>
          <w:tcPr>
            <w:tcW w:w="1140" w:type="dxa"/>
            <w:vAlign w:val="bottom"/>
            <w:tcBorders>
              <w:top w:val="single" w:sz="8" w:color="939598"/>
              <w:left w:val="single" w:sz="8" w:color="939598"/>
            </w:tcBorders>
            <w:vMerge w:val="restart"/>
          </w:tcPr>
          <w:p>
            <w:pPr>
              <w:ind w:left="280"/>
              <w:spacing w:after="0"/>
              <w:rPr>
                <w:sz w:val="20"/>
                <w:szCs w:val="20"/>
                <w:color w:val="auto"/>
              </w:rPr>
            </w:pPr>
            <w:r>
              <w:rPr>
                <w:rFonts w:ascii="Arial" w:cs="Arial" w:eastAsia="Arial" w:hAnsi="Arial"/>
                <w:sz w:val="11"/>
                <w:szCs w:val="11"/>
                <w:b w:val="1"/>
                <w:bCs w:val="1"/>
                <w:color w:val="939598"/>
              </w:rPr>
              <w:t>DELETIONS</w:t>
            </w:r>
          </w:p>
        </w:tc>
        <w:tc>
          <w:tcPr>
            <w:tcW w:w="420" w:type="dxa"/>
            <w:vAlign w:val="bottom"/>
            <w:tcBorders>
              <w:top w:val="single" w:sz="8" w:color="939598"/>
            </w:tcBorders>
          </w:tcPr>
          <w:p>
            <w:pPr>
              <w:ind w:left="260"/>
              <w:spacing w:after="0"/>
              <w:rPr>
                <w:sz w:val="20"/>
                <w:szCs w:val="20"/>
                <w:color w:val="auto"/>
              </w:rPr>
            </w:pPr>
            <w:r>
              <w:rPr>
                <w:rFonts w:ascii="Arial" w:cs="Arial" w:eastAsia="Arial" w:hAnsi="Arial"/>
                <w:sz w:val="10"/>
                <w:szCs w:val="10"/>
                <w:b w:val="1"/>
                <w:bCs w:val="1"/>
                <w:color w:val="D60011"/>
              </w:rPr>
              <w:t>►</w:t>
            </w:r>
          </w:p>
        </w:tc>
        <w:tc>
          <w:tcPr>
            <w:tcW w:w="1600" w:type="dxa"/>
            <w:vAlign w:val="bottom"/>
            <w:tcBorders>
              <w:top w:val="single" w:sz="8" w:color="939598"/>
            </w:tcBorders>
          </w:tcPr>
          <w:p>
            <w:pPr>
              <w:ind w:left="80"/>
              <w:spacing w:after="0"/>
              <w:rPr>
                <w:sz w:val="20"/>
                <w:szCs w:val="20"/>
                <w:color w:val="auto"/>
              </w:rPr>
            </w:pPr>
            <w:r>
              <w:rPr>
                <w:rFonts w:ascii="Arial" w:cs="Arial" w:eastAsia="Arial" w:hAnsi="Arial"/>
                <w:sz w:val="10"/>
                <w:szCs w:val="10"/>
                <w:color w:val="auto"/>
              </w:rPr>
              <w:t>Expedia Group, Inc.</w:t>
            </w:r>
          </w:p>
        </w:tc>
        <w:tc>
          <w:tcPr>
            <w:tcW w:w="380" w:type="dxa"/>
            <w:vAlign w:val="bottom"/>
            <w:tcBorders>
              <w:top w:val="single" w:sz="8" w:color="939598"/>
            </w:tcBorders>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Borders>
              <w:top w:val="single" w:sz="8" w:color="939598"/>
            </w:tcBorders>
          </w:tcPr>
          <w:p>
            <w:pPr>
              <w:ind w:left="80"/>
              <w:spacing w:after="0"/>
              <w:rPr>
                <w:sz w:val="20"/>
                <w:szCs w:val="20"/>
                <w:color w:val="auto"/>
              </w:rPr>
            </w:pPr>
            <w:r>
              <w:rPr>
                <w:rFonts w:ascii="Arial" w:cs="Arial" w:eastAsia="Arial" w:hAnsi="Arial"/>
                <w:sz w:val="10"/>
                <w:szCs w:val="10"/>
                <w:color w:val="auto"/>
              </w:rPr>
              <w:t>Tiffany &amp; Co.</w:t>
            </w:r>
          </w:p>
        </w:tc>
        <w:tc>
          <w:tcPr>
            <w:tcW w:w="420" w:type="dxa"/>
            <w:vAlign w:val="bottom"/>
            <w:tcBorders>
              <w:top w:val="single" w:sz="8" w:color="939598"/>
            </w:tcBorders>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top w:val="single" w:sz="8" w:color="939598"/>
              <w:right w:val="single" w:sz="8" w:color="939598"/>
            </w:tcBorders>
          </w:tcPr>
          <w:p>
            <w:pPr>
              <w:ind w:left="60"/>
              <w:spacing w:after="0"/>
              <w:rPr>
                <w:sz w:val="20"/>
                <w:szCs w:val="20"/>
                <w:color w:val="auto"/>
              </w:rPr>
            </w:pPr>
            <w:r>
              <w:rPr>
                <w:rFonts w:ascii="Arial" w:cs="Arial" w:eastAsia="Arial" w:hAnsi="Arial"/>
                <w:sz w:val="10"/>
                <w:szCs w:val="10"/>
                <w:color w:val="auto"/>
              </w:rPr>
              <w:t>Wayfair Inc.</w:t>
            </w:r>
          </w:p>
        </w:tc>
        <w:tc>
          <w:tcPr>
            <w:tcW w:w="0" w:type="dxa"/>
            <w:vAlign w:val="bottom"/>
          </w:tcPr>
          <w:p>
            <w:pPr>
              <w:spacing w:after="0"/>
              <w:rPr>
                <w:sz w:val="1"/>
                <w:szCs w:val="1"/>
                <w:color w:val="auto"/>
              </w:rPr>
            </w:pPr>
          </w:p>
        </w:tc>
      </w:tr>
      <w:tr>
        <w:trPr>
          <w:trHeight w:val="78"/>
        </w:trPr>
        <w:tc>
          <w:tcPr>
            <w:tcW w:w="1140" w:type="dxa"/>
            <w:vAlign w:val="bottom"/>
            <w:tcBorders>
              <w:left w:val="single" w:sz="8" w:color="939598"/>
            </w:tcBorders>
            <w:vMerge w:val="continue"/>
          </w:tcPr>
          <w:p>
            <w:pPr>
              <w:spacing w:after="0"/>
              <w:rPr>
                <w:sz w:val="6"/>
                <w:szCs w:val="6"/>
                <w:color w:val="auto"/>
              </w:rPr>
            </w:pPr>
          </w:p>
        </w:tc>
        <w:tc>
          <w:tcPr>
            <w:tcW w:w="202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color w:val="000000"/>
              </w:rPr>
              <w:t>The Michaels Companies, Inc.</w:t>
            </w: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20" w:type="dxa"/>
            <w:vAlign w:val="bottom"/>
            <w:tcBorders>
              <w:right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140" w:type="dxa"/>
            <w:vAlign w:val="bottom"/>
            <w:tcBorders>
              <w:left w:val="single" w:sz="8" w:color="939598"/>
              <w:bottom w:val="single" w:sz="8" w:color="939598"/>
            </w:tcBorders>
          </w:tcPr>
          <w:p>
            <w:pPr>
              <w:spacing w:after="0"/>
              <w:rPr>
                <w:sz w:val="5"/>
                <w:szCs w:val="5"/>
                <w:color w:val="auto"/>
              </w:rPr>
            </w:pPr>
          </w:p>
        </w:tc>
        <w:tc>
          <w:tcPr>
            <w:tcW w:w="2020" w:type="dxa"/>
            <w:vAlign w:val="bottom"/>
            <w:tcBorders>
              <w:bottom w:val="single" w:sz="8" w:color="939598"/>
            </w:tcBorders>
            <w:gridSpan w:val="2"/>
            <w:vMerge w:val="continue"/>
          </w:tcPr>
          <w:p>
            <w:pPr>
              <w:spacing w:after="0"/>
              <w:rPr>
                <w:sz w:val="5"/>
                <w:szCs w:val="5"/>
                <w:color w:val="auto"/>
              </w:rPr>
            </w:pPr>
          </w:p>
        </w:tc>
        <w:tc>
          <w:tcPr>
            <w:tcW w:w="380" w:type="dxa"/>
            <w:vAlign w:val="bottom"/>
            <w:tcBorders>
              <w:bottom w:val="single" w:sz="8" w:color="939598"/>
            </w:tcBorders>
          </w:tcPr>
          <w:p>
            <w:pPr>
              <w:spacing w:after="0"/>
              <w:rPr>
                <w:sz w:val="5"/>
                <w:szCs w:val="5"/>
                <w:color w:val="auto"/>
              </w:rPr>
            </w:pPr>
          </w:p>
        </w:tc>
        <w:tc>
          <w:tcPr>
            <w:tcW w:w="1560" w:type="dxa"/>
            <w:vAlign w:val="bottom"/>
            <w:tcBorders>
              <w:bottom w:val="single" w:sz="8" w:color="939598"/>
            </w:tcBorders>
          </w:tcPr>
          <w:p>
            <w:pPr>
              <w:spacing w:after="0"/>
              <w:rPr>
                <w:sz w:val="5"/>
                <w:szCs w:val="5"/>
                <w:color w:val="auto"/>
              </w:rPr>
            </w:pPr>
          </w:p>
        </w:tc>
        <w:tc>
          <w:tcPr>
            <w:tcW w:w="420" w:type="dxa"/>
            <w:vAlign w:val="bottom"/>
            <w:tcBorders>
              <w:bottom w:val="single" w:sz="8" w:color="939598"/>
            </w:tcBorders>
          </w:tcPr>
          <w:p>
            <w:pPr>
              <w:spacing w:after="0"/>
              <w:rPr>
                <w:sz w:val="5"/>
                <w:szCs w:val="5"/>
                <w:color w:val="auto"/>
              </w:rPr>
            </w:pPr>
          </w:p>
        </w:tc>
        <w:tc>
          <w:tcPr>
            <w:tcW w:w="1820" w:type="dxa"/>
            <w:vAlign w:val="bottom"/>
            <w:tcBorders>
              <w:bottom w:val="single" w:sz="8" w:color="939598"/>
              <w:right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Borders>
              <w:top w:val="single" w:sz="8" w:color="808080"/>
              <w:left w:val="single" w:sz="8" w:color="808080"/>
            </w:tcBorders>
          </w:tcPr>
          <w:p>
            <w:pPr>
              <w:spacing w:after="0"/>
              <w:rPr>
                <w:sz w:val="11"/>
                <w:szCs w:val="11"/>
                <w:color w:val="auto"/>
              </w:rPr>
            </w:pPr>
          </w:p>
        </w:tc>
        <w:tc>
          <w:tcPr>
            <w:tcW w:w="420" w:type="dxa"/>
            <w:vAlign w:val="bottom"/>
            <w:tcBorders>
              <w:top w:val="single" w:sz="8" w:color="808080"/>
            </w:tcBorders>
          </w:tcPr>
          <w:p>
            <w:pPr>
              <w:ind w:left="260"/>
              <w:spacing w:after="0"/>
              <w:rPr>
                <w:sz w:val="20"/>
                <w:szCs w:val="20"/>
                <w:color w:val="auto"/>
              </w:rPr>
            </w:pPr>
            <w:r>
              <w:rPr>
                <w:rFonts w:ascii="Arial" w:cs="Arial" w:eastAsia="Arial" w:hAnsi="Arial"/>
                <w:sz w:val="10"/>
                <w:szCs w:val="10"/>
                <w:b w:val="1"/>
                <w:bCs w:val="1"/>
                <w:color w:val="D60011"/>
              </w:rPr>
              <w:t>►</w:t>
            </w:r>
          </w:p>
        </w:tc>
        <w:tc>
          <w:tcPr>
            <w:tcW w:w="1600" w:type="dxa"/>
            <w:vAlign w:val="bottom"/>
            <w:tcBorders>
              <w:top w:val="single" w:sz="8" w:color="808080"/>
            </w:tcBorders>
          </w:tcPr>
          <w:p>
            <w:pPr>
              <w:ind w:left="80"/>
              <w:spacing w:after="0"/>
              <w:rPr>
                <w:sz w:val="20"/>
                <w:szCs w:val="20"/>
                <w:color w:val="auto"/>
              </w:rPr>
            </w:pPr>
            <w:r>
              <w:rPr>
                <w:rFonts w:ascii="Arial" w:cs="Arial" w:eastAsia="Arial" w:hAnsi="Arial"/>
                <w:sz w:val="10"/>
                <w:szCs w:val="10"/>
                <w:color w:val="auto"/>
              </w:rPr>
              <w:t>Academy Sports and</w:t>
            </w:r>
          </w:p>
        </w:tc>
        <w:tc>
          <w:tcPr>
            <w:tcW w:w="380" w:type="dxa"/>
            <w:vAlign w:val="bottom"/>
            <w:tcBorders>
              <w:top w:val="single" w:sz="8" w:color="808080"/>
            </w:tcBorders>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Borders>
              <w:top w:val="single" w:sz="8" w:color="808080"/>
            </w:tcBorders>
          </w:tcPr>
          <w:p>
            <w:pPr>
              <w:ind w:left="80"/>
              <w:spacing w:after="0"/>
              <w:rPr>
                <w:sz w:val="20"/>
                <w:szCs w:val="20"/>
                <w:color w:val="auto"/>
              </w:rPr>
            </w:pPr>
            <w:r>
              <w:rPr>
                <w:rFonts w:ascii="Arial" w:cs="Arial" w:eastAsia="Arial" w:hAnsi="Arial"/>
                <w:sz w:val="10"/>
                <w:szCs w:val="10"/>
                <w:color w:val="auto"/>
              </w:rPr>
              <w:t>Levi Strauss &amp; Co.</w:t>
            </w:r>
          </w:p>
        </w:tc>
        <w:tc>
          <w:tcPr>
            <w:tcW w:w="2240" w:type="dxa"/>
            <w:vAlign w:val="bottom"/>
            <w:tcBorders>
              <w:top w:val="single" w:sz="8" w:color="808080"/>
              <w:right w:val="single" w:sz="8" w:color="CCCCCC"/>
            </w:tcBorders>
            <w:gridSpan w:val="2"/>
          </w:tcPr>
          <w:p>
            <w:pPr>
              <w:ind w:left="26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color w:val="000000"/>
              </w:rPr>
              <w:t>Petco Health and Wellness</w:t>
            </w:r>
          </w:p>
        </w:tc>
        <w:tc>
          <w:tcPr>
            <w:tcW w:w="0" w:type="dxa"/>
            <w:vAlign w:val="bottom"/>
          </w:tcPr>
          <w:p>
            <w:pPr>
              <w:spacing w:after="0"/>
              <w:rPr>
                <w:sz w:val="1"/>
                <w:szCs w:val="1"/>
                <w:color w:val="auto"/>
              </w:rPr>
            </w:pPr>
          </w:p>
        </w:tc>
      </w:tr>
      <w:tr>
        <w:trPr>
          <w:trHeight w:val="150"/>
        </w:trPr>
        <w:tc>
          <w:tcPr>
            <w:tcW w:w="1140" w:type="dxa"/>
            <w:vAlign w:val="bottom"/>
            <w:tcBorders>
              <w:left w:val="single" w:sz="8" w:color="808080"/>
            </w:tcBorders>
          </w:tcPr>
          <w:p>
            <w:pPr>
              <w:ind w:left="280"/>
              <w:spacing w:after="0"/>
              <w:rPr>
                <w:sz w:val="20"/>
                <w:szCs w:val="20"/>
                <w:color w:val="auto"/>
              </w:rPr>
            </w:pPr>
            <w:r>
              <w:rPr>
                <w:rFonts w:ascii="Arial" w:cs="Arial" w:eastAsia="Arial" w:hAnsi="Arial"/>
                <w:sz w:val="11"/>
                <w:szCs w:val="11"/>
                <w:b w:val="1"/>
                <w:bCs w:val="1"/>
                <w:color w:val="auto"/>
              </w:rPr>
              <w:t>ADDITIONS</w:t>
            </w:r>
          </w:p>
        </w:tc>
        <w:tc>
          <w:tcPr>
            <w:tcW w:w="420" w:type="dxa"/>
            <w:vAlign w:val="bottom"/>
          </w:tcPr>
          <w:p>
            <w:pPr>
              <w:spacing w:after="0"/>
              <w:rPr>
                <w:sz w:val="13"/>
                <w:szCs w:val="13"/>
                <w:color w:val="auto"/>
              </w:rPr>
            </w:pPr>
          </w:p>
        </w:tc>
        <w:tc>
          <w:tcPr>
            <w:tcW w:w="1600" w:type="dxa"/>
            <w:vAlign w:val="bottom"/>
          </w:tcPr>
          <w:p>
            <w:pPr>
              <w:ind w:left="80"/>
              <w:spacing w:after="0"/>
              <w:rPr>
                <w:sz w:val="20"/>
                <w:szCs w:val="20"/>
                <w:color w:val="auto"/>
              </w:rPr>
            </w:pPr>
            <w:r>
              <w:rPr>
                <w:rFonts w:ascii="Arial" w:cs="Arial" w:eastAsia="Arial" w:hAnsi="Arial"/>
                <w:sz w:val="10"/>
                <w:szCs w:val="10"/>
                <w:color w:val="auto"/>
              </w:rPr>
              <w:t>Outdoors, Inc.</w:t>
            </w:r>
          </w:p>
        </w:tc>
        <w:tc>
          <w:tcPr>
            <w:tcW w:w="380" w:type="dxa"/>
            <w:vAlign w:val="bottom"/>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Pr>
          <w:p>
            <w:pPr>
              <w:ind w:left="80"/>
              <w:spacing w:after="0"/>
              <w:rPr>
                <w:sz w:val="20"/>
                <w:szCs w:val="20"/>
                <w:color w:val="auto"/>
              </w:rPr>
            </w:pPr>
            <w:r>
              <w:rPr>
                <w:rFonts w:ascii="Arial" w:cs="Arial" w:eastAsia="Arial" w:hAnsi="Arial"/>
                <w:sz w:val="10"/>
                <w:szCs w:val="10"/>
                <w:color w:val="auto"/>
              </w:rPr>
              <w:t>The ODP Corporation</w:t>
            </w:r>
          </w:p>
        </w:tc>
        <w:tc>
          <w:tcPr>
            <w:tcW w:w="420" w:type="dxa"/>
            <w:vAlign w:val="bottom"/>
          </w:tcPr>
          <w:p>
            <w:pPr>
              <w:spacing w:after="0"/>
              <w:rPr>
                <w:sz w:val="13"/>
                <w:szCs w:val="13"/>
                <w:color w:val="auto"/>
              </w:rPr>
            </w:pPr>
          </w:p>
        </w:tc>
        <w:tc>
          <w:tcPr>
            <w:tcW w:w="1820" w:type="dxa"/>
            <w:vAlign w:val="bottom"/>
            <w:tcBorders>
              <w:right w:val="single" w:sz="8" w:color="CCCCCC"/>
            </w:tcBorders>
          </w:tcPr>
          <w:p>
            <w:pPr>
              <w:ind w:left="60"/>
              <w:spacing w:after="0"/>
              <w:rPr>
                <w:sz w:val="20"/>
                <w:szCs w:val="20"/>
                <w:color w:val="auto"/>
              </w:rPr>
            </w:pPr>
            <w:r>
              <w:rPr>
                <w:rFonts w:ascii="Arial" w:cs="Arial" w:eastAsia="Arial" w:hAnsi="Arial"/>
                <w:sz w:val="10"/>
                <w:szCs w:val="10"/>
                <w:color w:val="auto"/>
              </w:rPr>
              <w:t>Company, Inc.</w:t>
            </w:r>
          </w:p>
        </w:tc>
        <w:tc>
          <w:tcPr>
            <w:tcW w:w="0" w:type="dxa"/>
            <w:vAlign w:val="bottom"/>
          </w:tcPr>
          <w:p>
            <w:pPr>
              <w:spacing w:after="0"/>
              <w:rPr>
                <w:sz w:val="1"/>
                <w:szCs w:val="1"/>
                <w:color w:val="auto"/>
              </w:rPr>
            </w:pPr>
          </w:p>
        </w:tc>
      </w:tr>
      <w:tr>
        <w:trPr>
          <w:trHeight w:val="139"/>
        </w:trPr>
        <w:tc>
          <w:tcPr>
            <w:tcW w:w="1140" w:type="dxa"/>
            <w:vAlign w:val="bottom"/>
            <w:tcBorders>
              <w:left w:val="single" w:sz="8" w:color="808080"/>
              <w:bottom w:val="single" w:sz="8" w:color="808080"/>
            </w:tcBorders>
          </w:tcPr>
          <w:p>
            <w:pPr>
              <w:spacing w:after="0"/>
              <w:rPr>
                <w:sz w:val="12"/>
                <w:szCs w:val="12"/>
                <w:color w:val="auto"/>
              </w:rPr>
            </w:pPr>
          </w:p>
        </w:tc>
        <w:tc>
          <w:tcPr>
            <w:tcW w:w="420" w:type="dxa"/>
            <w:vAlign w:val="bottom"/>
            <w:tcBorders>
              <w:bottom w:val="single" w:sz="8" w:color="808080"/>
            </w:tcBorders>
          </w:tcPr>
          <w:p>
            <w:pPr>
              <w:ind w:left="260"/>
              <w:spacing w:after="0"/>
              <w:rPr>
                <w:sz w:val="20"/>
                <w:szCs w:val="20"/>
                <w:color w:val="auto"/>
              </w:rPr>
            </w:pPr>
            <w:r>
              <w:rPr>
                <w:rFonts w:ascii="Arial" w:cs="Arial" w:eastAsia="Arial" w:hAnsi="Arial"/>
                <w:sz w:val="10"/>
                <w:szCs w:val="10"/>
                <w:b w:val="1"/>
                <w:bCs w:val="1"/>
                <w:color w:val="D60011"/>
              </w:rPr>
              <w:t>►</w:t>
            </w:r>
          </w:p>
        </w:tc>
        <w:tc>
          <w:tcPr>
            <w:tcW w:w="1600" w:type="dxa"/>
            <w:vAlign w:val="bottom"/>
            <w:tcBorders>
              <w:bottom w:val="single" w:sz="8" w:color="808080"/>
            </w:tcBorders>
          </w:tcPr>
          <w:p>
            <w:pPr>
              <w:ind w:left="80"/>
              <w:spacing w:after="0"/>
              <w:rPr>
                <w:sz w:val="20"/>
                <w:szCs w:val="20"/>
                <w:color w:val="auto"/>
              </w:rPr>
            </w:pPr>
            <w:r>
              <w:rPr>
                <w:rFonts w:ascii="Arial" w:cs="Arial" w:eastAsia="Arial" w:hAnsi="Arial"/>
                <w:sz w:val="10"/>
                <w:szCs w:val="10"/>
                <w:color w:val="auto"/>
              </w:rPr>
              <w:t>Capri Holdings Limited</w:t>
            </w:r>
          </w:p>
        </w:tc>
        <w:tc>
          <w:tcPr>
            <w:tcW w:w="3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40" w:type="dxa"/>
            <w:vAlign w:val="bottom"/>
            <w:tcBorders>
              <w:bottom w:val="single" w:sz="8" w:color="FF0000"/>
            </w:tcBorders>
          </w:tcPr>
          <w:p>
            <w:pPr>
              <w:spacing w:after="0"/>
              <w:rPr>
                <w:sz w:val="11"/>
                <w:szCs w:val="11"/>
                <w:color w:val="auto"/>
              </w:rPr>
            </w:pPr>
          </w:p>
        </w:tc>
        <w:tc>
          <w:tcPr>
            <w:tcW w:w="420" w:type="dxa"/>
            <w:vAlign w:val="bottom"/>
            <w:tcBorders>
              <w:bottom w:val="single" w:sz="8" w:color="FF0000"/>
            </w:tcBorders>
          </w:tcPr>
          <w:p>
            <w:pPr>
              <w:spacing w:after="0"/>
              <w:rPr>
                <w:sz w:val="11"/>
                <w:szCs w:val="11"/>
                <w:color w:val="auto"/>
              </w:rPr>
            </w:pPr>
          </w:p>
        </w:tc>
        <w:tc>
          <w:tcPr>
            <w:tcW w:w="1600" w:type="dxa"/>
            <w:vAlign w:val="bottom"/>
            <w:tcBorders>
              <w:bottom w:val="single" w:sz="8" w:color="FF0000"/>
            </w:tcBorders>
          </w:tcPr>
          <w:p>
            <w:pPr>
              <w:spacing w:after="0"/>
              <w:rPr>
                <w:sz w:val="11"/>
                <w:szCs w:val="11"/>
                <w:color w:val="auto"/>
              </w:rPr>
            </w:pPr>
          </w:p>
        </w:tc>
        <w:tc>
          <w:tcPr>
            <w:tcW w:w="380" w:type="dxa"/>
            <w:vAlign w:val="bottom"/>
            <w:tcBorders>
              <w:bottom w:val="single" w:sz="8" w:color="FF0000"/>
            </w:tcBorders>
          </w:tcPr>
          <w:p>
            <w:pPr>
              <w:spacing w:after="0"/>
              <w:rPr>
                <w:sz w:val="11"/>
                <w:szCs w:val="11"/>
                <w:color w:val="auto"/>
              </w:rPr>
            </w:pPr>
          </w:p>
        </w:tc>
        <w:tc>
          <w:tcPr>
            <w:tcW w:w="1560" w:type="dxa"/>
            <w:vAlign w:val="bottom"/>
            <w:tcBorders>
              <w:bottom w:val="single" w:sz="8" w:color="FF0000"/>
            </w:tcBorders>
          </w:tcPr>
          <w:p>
            <w:pPr>
              <w:spacing w:after="0"/>
              <w:rPr>
                <w:sz w:val="11"/>
                <w:szCs w:val="11"/>
                <w:color w:val="auto"/>
              </w:rPr>
            </w:pPr>
          </w:p>
        </w:tc>
        <w:tc>
          <w:tcPr>
            <w:tcW w:w="420" w:type="dxa"/>
            <w:vAlign w:val="bottom"/>
            <w:tcBorders>
              <w:bottom w:val="single" w:sz="8" w:color="FF0000"/>
            </w:tcBorders>
          </w:tcPr>
          <w:p>
            <w:pPr>
              <w:spacing w:after="0"/>
              <w:rPr>
                <w:sz w:val="11"/>
                <w:szCs w:val="11"/>
                <w:color w:val="auto"/>
              </w:rPr>
            </w:pPr>
          </w:p>
        </w:tc>
        <w:tc>
          <w:tcPr>
            <w:tcW w:w="1820" w:type="dxa"/>
            <w:vAlign w:val="bottom"/>
            <w:tcBorders>
              <w:bottom w:val="single" w:sz="8" w:color="FF0000"/>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FF0000"/>
            </w:tcBorders>
          </w:tcPr>
          <w:p>
            <w:pPr>
              <w:ind w:left="80"/>
              <w:spacing w:after="0" w:line="108" w:lineRule="exact"/>
              <w:rPr>
                <w:sz w:val="20"/>
                <w:szCs w:val="20"/>
                <w:color w:val="auto"/>
              </w:rPr>
            </w:pPr>
            <w:r>
              <w:rPr>
                <w:rFonts w:ascii="Arial" w:cs="Arial" w:eastAsia="Arial" w:hAnsi="Arial"/>
                <w:sz w:val="10"/>
                <w:szCs w:val="10"/>
                <w:b w:val="1"/>
                <w:bCs w:val="1"/>
                <w:color w:val="D60011"/>
              </w:rPr>
              <w:t>PEER GROUP</w:t>
            </w:r>
          </w:p>
        </w:tc>
        <w:tc>
          <w:tcPr>
            <w:tcW w:w="420" w:type="dxa"/>
            <w:vAlign w:val="bottom"/>
          </w:tcPr>
          <w:p>
            <w:pPr>
              <w:ind w:left="240"/>
              <w:spacing w:after="0" w:line="108" w:lineRule="exact"/>
              <w:rPr>
                <w:sz w:val="20"/>
                <w:szCs w:val="20"/>
                <w:color w:val="auto"/>
              </w:rPr>
            </w:pPr>
            <w:r>
              <w:rPr>
                <w:rFonts w:ascii="Arial" w:cs="Arial" w:eastAsia="Arial" w:hAnsi="Arial"/>
                <w:sz w:val="10"/>
                <w:szCs w:val="10"/>
                <w:b w:val="1"/>
                <w:bCs w:val="1"/>
                <w:color w:val="D60011"/>
              </w:rPr>
              <w:t>►</w:t>
            </w:r>
          </w:p>
        </w:tc>
        <w:tc>
          <w:tcPr>
            <w:tcW w:w="160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Academy Sports and</w:t>
            </w:r>
          </w:p>
        </w:tc>
        <w:tc>
          <w:tcPr>
            <w:tcW w:w="380" w:type="dxa"/>
            <w:vAlign w:val="bottom"/>
          </w:tcPr>
          <w:p>
            <w:pPr>
              <w:ind w:left="220"/>
              <w:spacing w:after="0" w:line="108" w:lineRule="exact"/>
              <w:rPr>
                <w:sz w:val="20"/>
                <w:szCs w:val="20"/>
                <w:color w:val="auto"/>
              </w:rPr>
            </w:pPr>
            <w:r>
              <w:rPr>
                <w:rFonts w:ascii="Arial" w:cs="Arial" w:eastAsia="Arial" w:hAnsi="Arial"/>
                <w:sz w:val="10"/>
                <w:szCs w:val="10"/>
                <w:b w:val="1"/>
                <w:bCs w:val="1"/>
                <w:color w:val="D60011"/>
              </w:rPr>
              <w:t>►</w:t>
            </w:r>
          </w:p>
        </w:tc>
        <w:tc>
          <w:tcPr>
            <w:tcW w:w="1560" w:type="dxa"/>
            <w:vAlign w:val="bottom"/>
          </w:tcPr>
          <w:p>
            <w:pPr>
              <w:ind w:left="80"/>
              <w:spacing w:after="0" w:line="108" w:lineRule="exact"/>
              <w:rPr>
                <w:sz w:val="20"/>
                <w:szCs w:val="20"/>
                <w:color w:val="auto"/>
              </w:rPr>
            </w:pPr>
            <w:r>
              <w:rPr>
                <w:rFonts w:ascii="Arial" w:cs="Arial" w:eastAsia="Arial" w:hAnsi="Arial"/>
                <w:sz w:val="10"/>
                <w:szCs w:val="10"/>
                <w:b w:val="1"/>
                <w:bCs w:val="1"/>
                <w:color w:val="auto"/>
              </w:rPr>
              <w:t>The Gap Inc.</w:t>
            </w:r>
          </w:p>
        </w:tc>
        <w:tc>
          <w:tcPr>
            <w:tcW w:w="420" w:type="dxa"/>
            <w:vAlign w:val="bottom"/>
          </w:tcPr>
          <w:p>
            <w:pPr>
              <w:ind w:left="260"/>
              <w:spacing w:after="0" w:line="108" w:lineRule="exact"/>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tcPr>
          <w:p>
            <w:pPr>
              <w:ind w:left="60"/>
              <w:spacing w:after="0" w:line="108" w:lineRule="exact"/>
              <w:rPr>
                <w:sz w:val="20"/>
                <w:szCs w:val="20"/>
                <w:color w:val="auto"/>
              </w:rPr>
            </w:pPr>
            <w:r>
              <w:rPr>
                <w:rFonts w:ascii="Arial" w:cs="Arial" w:eastAsia="Arial" w:hAnsi="Arial"/>
                <w:sz w:val="10"/>
                <w:szCs w:val="10"/>
                <w:b w:val="1"/>
                <w:bCs w:val="1"/>
                <w:color w:val="auto"/>
              </w:rPr>
              <w:t>Signet Jewelers Limited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FF0000"/>
            </w:tcBorders>
          </w:tcPr>
          <w:p>
            <w:pPr>
              <w:ind w:left="80"/>
              <w:spacing w:after="0" w:line="108" w:lineRule="exact"/>
              <w:rPr>
                <w:sz w:val="20"/>
                <w:szCs w:val="20"/>
                <w:color w:val="auto"/>
              </w:rPr>
            </w:pPr>
            <w:r>
              <w:rPr>
                <w:rFonts w:ascii="Arial" w:cs="Arial" w:eastAsia="Arial" w:hAnsi="Arial"/>
                <w:sz w:val="10"/>
                <w:szCs w:val="10"/>
                <w:b w:val="1"/>
                <w:bCs w:val="1"/>
                <w:color w:val="D60011"/>
              </w:rPr>
              <w:t>FOR 2022</w:t>
            </w:r>
          </w:p>
        </w:tc>
        <w:tc>
          <w:tcPr>
            <w:tcW w:w="420" w:type="dxa"/>
            <w:vAlign w:val="bottom"/>
          </w:tcPr>
          <w:p>
            <w:pPr>
              <w:spacing w:after="0"/>
              <w:rPr>
                <w:sz w:val="9"/>
                <w:szCs w:val="9"/>
                <w:color w:val="auto"/>
              </w:rPr>
            </w:pPr>
          </w:p>
        </w:tc>
        <w:tc>
          <w:tcPr>
            <w:tcW w:w="16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Outdoors, Inc.</w:t>
            </w:r>
          </w:p>
        </w:tc>
        <w:tc>
          <w:tcPr>
            <w:tcW w:w="380" w:type="dxa"/>
            <w:vAlign w:val="bottom"/>
            <w:vMerge w:val="restart"/>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Hanesbrands, Inc.</w:t>
            </w:r>
          </w:p>
        </w:tc>
        <w:tc>
          <w:tcPr>
            <w:tcW w:w="420" w:type="dxa"/>
            <w:vAlign w:val="bottom"/>
            <w:vMerge w:val="restart"/>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vMerge w:val="restart"/>
          </w:tcPr>
          <w:p>
            <w:pPr>
              <w:ind w:left="60"/>
              <w:spacing w:after="0"/>
              <w:rPr>
                <w:sz w:val="20"/>
                <w:szCs w:val="20"/>
                <w:color w:val="auto"/>
              </w:rPr>
            </w:pPr>
            <w:r>
              <w:rPr>
                <w:rFonts w:ascii="Arial" w:cs="Arial" w:eastAsia="Arial" w:hAnsi="Arial"/>
                <w:sz w:val="10"/>
                <w:szCs w:val="10"/>
                <w:b w:val="1"/>
                <w:bCs w:val="1"/>
                <w:color w:val="auto"/>
              </w:rPr>
              <w:t>Skechers USA, Inc.</w:t>
            </w:r>
          </w:p>
        </w:tc>
        <w:tc>
          <w:tcPr>
            <w:tcW w:w="0" w:type="dxa"/>
            <w:vAlign w:val="bottom"/>
          </w:tcPr>
          <w:p>
            <w:pPr>
              <w:spacing w:after="0"/>
              <w:rPr>
                <w:sz w:val="1"/>
                <w:szCs w:val="1"/>
                <w:color w:val="auto"/>
              </w:rPr>
            </w:pPr>
          </w:p>
        </w:tc>
      </w:tr>
      <w:tr>
        <w:trPr>
          <w:trHeight w:val="59"/>
        </w:trPr>
        <w:tc>
          <w:tcPr>
            <w:tcW w:w="1140" w:type="dxa"/>
            <w:vAlign w:val="bottom"/>
            <w:tcBorders>
              <w:left w:val="single" w:sz="8" w:color="FF0000"/>
            </w:tcBorders>
            <w:vMerge w:val="restart"/>
          </w:tcPr>
          <w:p>
            <w:pPr>
              <w:ind w:left="80"/>
              <w:spacing w:after="0" w:line="108" w:lineRule="exact"/>
              <w:rPr>
                <w:sz w:val="20"/>
                <w:szCs w:val="20"/>
                <w:color w:val="auto"/>
              </w:rPr>
            </w:pPr>
            <w:r>
              <w:rPr>
                <w:rFonts w:ascii="Arial" w:cs="Arial" w:eastAsia="Arial" w:hAnsi="Arial"/>
                <w:sz w:val="10"/>
                <w:szCs w:val="10"/>
                <w:b w:val="1"/>
                <w:bCs w:val="1"/>
                <w:color w:val="D60011"/>
              </w:rPr>
              <w:t>COMPENSATION</w:t>
            </w:r>
          </w:p>
        </w:tc>
        <w:tc>
          <w:tcPr>
            <w:tcW w:w="4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820" w:type="dxa"/>
            <w:vAlign w:val="bottom"/>
            <w:tcBorders>
              <w:right w:val="single" w:sz="8" w:color="FF000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FF0000"/>
            </w:tcBorders>
            <w:vMerge w:val="continue"/>
          </w:tcPr>
          <w:p>
            <w:pPr>
              <w:spacing w:after="0"/>
              <w:rPr>
                <w:sz w:val="4"/>
                <w:szCs w:val="4"/>
                <w:color w:val="auto"/>
              </w:rPr>
            </w:pPr>
          </w:p>
        </w:tc>
        <w:tc>
          <w:tcPr>
            <w:tcW w:w="420" w:type="dxa"/>
            <w:vAlign w:val="bottom"/>
            <w:vMerge w:val="restart"/>
          </w:tcPr>
          <w:p>
            <w:pPr>
              <w:ind w:left="240"/>
              <w:spacing w:after="0"/>
              <w:rPr>
                <w:sz w:val="20"/>
                <w:szCs w:val="20"/>
                <w:color w:val="auto"/>
              </w:rPr>
            </w:pPr>
            <w:r>
              <w:rPr>
                <w:rFonts w:ascii="Arial" w:cs="Arial" w:eastAsia="Arial" w:hAnsi="Arial"/>
                <w:sz w:val="10"/>
                <w:szCs w:val="10"/>
                <w:b w:val="1"/>
                <w:bCs w:val="1"/>
                <w:color w:val="D60011"/>
              </w:rPr>
              <w:t>►</w:t>
            </w:r>
          </w:p>
        </w:tc>
        <w:tc>
          <w:tcPr>
            <w:tcW w:w="16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American Eagle</w:t>
            </w:r>
          </w:p>
        </w:tc>
        <w:tc>
          <w:tcPr>
            <w:tcW w:w="380" w:type="dxa"/>
            <w:vAlign w:val="bottom"/>
            <w:vMerge w:val="restart"/>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Levi Strauss &amp; Co.</w:t>
            </w:r>
          </w:p>
        </w:tc>
        <w:tc>
          <w:tcPr>
            <w:tcW w:w="420" w:type="dxa"/>
            <w:vAlign w:val="bottom"/>
            <w:vMerge w:val="restart"/>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vMerge w:val="restart"/>
          </w:tcPr>
          <w:p>
            <w:pPr>
              <w:ind w:left="60"/>
              <w:spacing w:after="0"/>
              <w:rPr>
                <w:sz w:val="20"/>
                <w:szCs w:val="20"/>
                <w:color w:val="auto"/>
              </w:rPr>
            </w:pPr>
            <w:r>
              <w:rPr>
                <w:rFonts w:ascii="Arial" w:cs="Arial" w:eastAsia="Arial" w:hAnsi="Arial"/>
                <w:sz w:val="10"/>
                <w:szCs w:val="10"/>
                <w:b w:val="1"/>
                <w:bCs w:val="1"/>
                <w:color w:val="auto"/>
              </w:rPr>
              <w:t>Tapestry, Inc.</w:t>
            </w:r>
          </w:p>
        </w:tc>
        <w:tc>
          <w:tcPr>
            <w:tcW w:w="0" w:type="dxa"/>
            <w:vAlign w:val="bottom"/>
          </w:tcPr>
          <w:p>
            <w:pPr>
              <w:spacing w:after="0"/>
              <w:rPr>
                <w:sz w:val="1"/>
                <w:szCs w:val="1"/>
                <w:color w:val="auto"/>
              </w:rPr>
            </w:pPr>
          </w:p>
        </w:tc>
      </w:tr>
      <w:tr>
        <w:trPr>
          <w:trHeight w:val="95"/>
        </w:trPr>
        <w:tc>
          <w:tcPr>
            <w:tcW w:w="1140" w:type="dxa"/>
            <w:vAlign w:val="bottom"/>
            <w:tcBorders>
              <w:left w:val="single" w:sz="8" w:color="FF0000"/>
            </w:tcBorders>
            <w:vMerge w:val="restart"/>
          </w:tcPr>
          <w:p>
            <w:pPr>
              <w:ind w:left="80"/>
              <w:spacing w:after="0"/>
              <w:rPr>
                <w:sz w:val="20"/>
                <w:szCs w:val="20"/>
                <w:color w:val="auto"/>
              </w:rPr>
            </w:pPr>
            <w:r>
              <w:rPr>
                <w:rFonts w:ascii="Arial" w:cs="Arial" w:eastAsia="Arial" w:hAnsi="Arial"/>
                <w:sz w:val="10"/>
                <w:szCs w:val="10"/>
                <w:b w:val="1"/>
                <w:bCs w:val="1"/>
                <w:color w:val="D60011"/>
              </w:rPr>
              <w:t>DECISIONS</w:t>
            </w:r>
          </w:p>
        </w:tc>
        <w:tc>
          <w:tcPr>
            <w:tcW w:w="4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820" w:type="dxa"/>
            <w:vAlign w:val="bottom"/>
            <w:tcBorders>
              <w:right w:val="single" w:sz="8" w:color="FF000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FF0000"/>
            </w:tcBorders>
            <w:vMerge w:val="continue"/>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Outfitters, Inc.</w:t>
            </w:r>
          </w:p>
        </w:tc>
        <w:tc>
          <w:tcPr>
            <w:tcW w:w="380" w:type="dxa"/>
            <w:vAlign w:val="bottom"/>
            <w:vMerge w:val="restart"/>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The ODP Corporation</w:t>
            </w:r>
          </w:p>
        </w:tc>
        <w:tc>
          <w:tcPr>
            <w:tcW w:w="420" w:type="dxa"/>
            <w:vAlign w:val="bottom"/>
            <w:vMerge w:val="restart"/>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vMerge w:val="restart"/>
          </w:tcPr>
          <w:p>
            <w:pPr>
              <w:ind w:left="60"/>
              <w:spacing w:after="0"/>
              <w:rPr>
                <w:sz w:val="20"/>
                <w:szCs w:val="20"/>
                <w:color w:val="auto"/>
              </w:rPr>
            </w:pPr>
            <w:r>
              <w:rPr>
                <w:rFonts w:ascii="Arial" w:cs="Arial" w:eastAsia="Arial" w:hAnsi="Arial"/>
                <w:sz w:val="10"/>
                <w:szCs w:val="10"/>
                <w:b w:val="1"/>
                <w:bCs w:val="1"/>
                <w:color w:val="auto"/>
              </w:rPr>
              <w:t>Tractor Supply Co.</w:t>
            </w:r>
          </w:p>
        </w:tc>
        <w:tc>
          <w:tcPr>
            <w:tcW w:w="0" w:type="dxa"/>
            <w:vAlign w:val="bottom"/>
          </w:tcPr>
          <w:p>
            <w:pPr>
              <w:spacing w:after="0" w:line="20" w:lineRule="exact"/>
              <w:rPr>
                <w:sz w:val="1"/>
                <w:szCs w:val="1"/>
                <w:color w:val="auto"/>
              </w:rPr>
            </w:pPr>
          </w:p>
        </w:tc>
      </w:tr>
      <w:tr>
        <w:trPr>
          <w:trHeight w:val="108"/>
        </w:trPr>
        <w:tc>
          <w:tcPr>
            <w:tcW w:w="1140" w:type="dxa"/>
            <w:vAlign w:val="bottom"/>
            <w:tcBorders>
              <w:left w:val="single" w:sz="8" w:color="FF0000"/>
            </w:tcBorders>
          </w:tcPr>
          <w:p>
            <w:pPr>
              <w:spacing w:after="0"/>
              <w:rPr>
                <w:sz w:val="9"/>
                <w:szCs w:val="9"/>
                <w:color w:val="auto"/>
              </w:rPr>
            </w:pPr>
          </w:p>
        </w:tc>
        <w:tc>
          <w:tcPr>
            <w:tcW w:w="4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820" w:type="dxa"/>
            <w:vAlign w:val="bottom"/>
            <w:tcBorders>
              <w:right w:val="single" w:sz="8" w:color="FF000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2020" w:type="dxa"/>
            <w:vAlign w:val="bottom"/>
            <w:gridSpan w:val="2"/>
          </w:tcPr>
          <w:p>
            <w:pPr>
              <w:ind w:left="24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b w:val="1"/>
                <w:bCs w:val="1"/>
                <w:color w:val="000000"/>
              </w:rPr>
              <w:t>Bath and Body Works,</w:t>
            </w:r>
          </w:p>
        </w:tc>
        <w:tc>
          <w:tcPr>
            <w:tcW w:w="380" w:type="dxa"/>
            <w:vAlign w:val="bottom"/>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Pr>
          <w:p>
            <w:pPr>
              <w:ind w:left="80"/>
              <w:spacing w:after="0"/>
              <w:rPr>
                <w:sz w:val="20"/>
                <w:szCs w:val="20"/>
                <w:color w:val="auto"/>
              </w:rPr>
            </w:pPr>
            <w:r>
              <w:rPr>
                <w:rFonts w:ascii="Arial" w:cs="Arial" w:eastAsia="Arial" w:hAnsi="Arial"/>
                <w:sz w:val="10"/>
                <w:szCs w:val="10"/>
                <w:b w:val="1"/>
                <w:bCs w:val="1"/>
                <w:color w:val="auto"/>
              </w:rPr>
              <w:t>Petco Health and</w:t>
            </w:r>
          </w:p>
        </w:tc>
        <w:tc>
          <w:tcPr>
            <w:tcW w:w="420" w:type="dxa"/>
            <w:vAlign w:val="bottom"/>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tcPr>
          <w:p>
            <w:pPr>
              <w:ind w:left="60"/>
              <w:spacing w:after="0"/>
              <w:rPr>
                <w:sz w:val="20"/>
                <w:szCs w:val="20"/>
                <w:color w:val="auto"/>
              </w:rPr>
            </w:pPr>
            <w:r>
              <w:rPr>
                <w:rFonts w:ascii="Arial" w:cs="Arial" w:eastAsia="Arial" w:hAnsi="Arial"/>
                <w:sz w:val="10"/>
                <w:szCs w:val="10"/>
                <w:b w:val="1"/>
                <w:bCs w:val="1"/>
                <w:color w:val="auto"/>
              </w:rPr>
              <w:t>Ulta Beauty, Inc.</w:t>
            </w: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ind w:left="60"/>
              <w:spacing w:after="0"/>
              <w:rPr>
                <w:sz w:val="20"/>
                <w:szCs w:val="20"/>
                <w:color w:val="auto"/>
              </w:rPr>
            </w:pPr>
            <w:r>
              <w:rPr>
                <w:rFonts w:ascii="Arial" w:cs="Arial" w:eastAsia="Arial" w:hAnsi="Arial"/>
                <w:sz w:val="10"/>
                <w:szCs w:val="10"/>
                <w:b w:val="1"/>
                <w:bCs w:val="1"/>
                <w:color w:val="auto"/>
              </w:rPr>
              <w:t>Inc. f/k/a L Brands, Inc.</w:t>
            </w:r>
          </w:p>
        </w:tc>
        <w:tc>
          <w:tcPr>
            <w:tcW w:w="3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Arial" w:cs="Arial" w:eastAsia="Arial" w:hAnsi="Arial"/>
                <w:sz w:val="10"/>
                <w:szCs w:val="10"/>
                <w:b w:val="1"/>
                <w:bCs w:val="1"/>
                <w:color w:val="auto"/>
              </w:rPr>
              <w:t>Wellness Company, Inc.</w:t>
            </w:r>
          </w:p>
        </w:tc>
        <w:tc>
          <w:tcPr>
            <w:tcW w:w="420" w:type="dxa"/>
            <w:vAlign w:val="bottom"/>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tcPr>
          <w:p>
            <w:pPr>
              <w:ind w:left="60"/>
              <w:spacing w:after="0"/>
              <w:rPr>
                <w:sz w:val="20"/>
                <w:szCs w:val="20"/>
                <w:color w:val="auto"/>
              </w:rPr>
            </w:pPr>
            <w:r>
              <w:rPr>
                <w:rFonts w:ascii="Arial" w:cs="Arial" w:eastAsia="Arial" w:hAnsi="Arial"/>
                <w:sz w:val="10"/>
                <w:szCs w:val="10"/>
                <w:b w:val="1"/>
                <w:bCs w:val="1"/>
                <w:color w:val="auto"/>
              </w:rPr>
              <w:t>Under Armour, Inc.</w:t>
            </w: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2020" w:type="dxa"/>
            <w:vAlign w:val="bottom"/>
            <w:gridSpan w:val="2"/>
          </w:tcPr>
          <w:p>
            <w:pPr>
              <w:ind w:left="24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b w:val="1"/>
                <w:bCs w:val="1"/>
                <w:color w:val="000000"/>
              </w:rPr>
              <w:t>Bed Bath &amp; Beyond, Inc.</w:t>
            </w:r>
          </w:p>
        </w:tc>
        <w:tc>
          <w:tcPr>
            <w:tcW w:w="380" w:type="dxa"/>
            <w:vAlign w:val="bottom"/>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Pr>
          <w:p>
            <w:pPr>
              <w:ind w:left="80"/>
              <w:spacing w:after="0"/>
              <w:rPr>
                <w:sz w:val="20"/>
                <w:szCs w:val="20"/>
                <w:color w:val="auto"/>
              </w:rPr>
            </w:pPr>
            <w:r>
              <w:rPr>
                <w:rFonts w:ascii="Arial" w:cs="Arial" w:eastAsia="Arial" w:hAnsi="Arial"/>
                <w:sz w:val="10"/>
                <w:szCs w:val="10"/>
                <w:b w:val="1"/>
                <w:bCs w:val="1"/>
                <w:color w:val="auto"/>
              </w:rPr>
              <w:t>PVH Corp.</w:t>
            </w:r>
          </w:p>
        </w:tc>
        <w:tc>
          <w:tcPr>
            <w:tcW w:w="420" w:type="dxa"/>
            <w:vAlign w:val="bottom"/>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tcPr>
          <w:p>
            <w:pPr>
              <w:ind w:left="60"/>
              <w:spacing w:after="0"/>
              <w:rPr>
                <w:sz w:val="20"/>
                <w:szCs w:val="20"/>
                <w:color w:val="auto"/>
              </w:rPr>
            </w:pPr>
            <w:r>
              <w:rPr>
                <w:rFonts w:ascii="Arial" w:cs="Arial" w:eastAsia="Arial" w:hAnsi="Arial"/>
                <w:sz w:val="10"/>
                <w:szCs w:val="10"/>
                <w:b w:val="1"/>
                <w:bCs w:val="1"/>
                <w:color w:val="auto"/>
              </w:rPr>
              <w:t>Urban Outfitters, Inc.</w:t>
            </w: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0"/>
                <w:szCs w:val="10"/>
                <w:b w:val="1"/>
                <w:bCs w:val="1"/>
                <w:color w:val="D60011"/>
              </w:rPr>
              <w:t>►</w:t>
            </w:r>
          </w:p>
        </w:tc>
        <w:tc>
          <w:tcPr>
            <w:tcW w:w="1600" w:type="dxa"/>
            <w:vAlign w:val="bottom"/>
          </w:tcPr>
          <w:p>
            <w:pPr>
              <w:ind w:left="60"/>
              <w:spacing w:after="0"/>
              <w:rPr>
                <w:sz w:val="20"/>
                <w:szCs w:val="20"/>
                <w:color w:val="auto"/>
              </w:rPr>
            </w:pPr>
            <w:r>
              <w:rPr>
                <w:rFonts w:ascii="Arial" w:cs="Arial" w:eastAsia="Arial" w:hAnsi="Arial"/>
                <w:sz w:val="10"/>
                <w:szCs w:val="10"/>
                <w:b w:val="1"/>
                <w:bCs w:val="1"/>
                <w:color w:val="auto"/>
              </w:rPr>
              <w:t>Burlington Stores, Inc.</w:t>
            </w:r>
          </w:p>
        </w:tc>
        <w:tc>
          <w:tcPr>
            <w:tcW w:w="380" w:type="dxa"/>
            <w:vAlign w:val="bottom"/>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Pr>
          <w:p>
            <w:pPr>
              <w:ind w:left="80"/>
              <w:spacing w:after="0"/>
              <w:rPr>
                <w:sz w:val="20"/>
                <w:szCs w:val="20"/>
                <w:color w:val="auto"/>
              </w:rPr>
            </w:pPr>
            <w:r>
              <w:rPr>
                <w:rFonts w:ascii="Arial" w:cs="Arial" w:eastAsia="Arial" w:hAnsi="Arial"/>
                <w:sz w:val="10"/>
                <w:szCs w:val="10"/>
                <w:b w:val="1"/>
                <w:bCs w:val="1"/>
                <w:color w:val="auto"/>
              </w:rPr>
              <w:t>Qurate Retail, Inc.</w:t>
            </w:r>
          </w:p>
        </w:tc>
        <w:tc>
          <w:tcPr>
            <w:tcW w:w="420" w:type="dxa"/>
            <w:vAlign w:val="bottom"/>
          </w:tcPr>
          <w:p>
            <w:pPr>
              <w:ind w:left="260"/>
              <w:spacing w:after="0"/>
              <w:rPr>
                <w:sz w:val="20"/>
                <w:szCs w:val="20"/>
                <w:color w:val="auto"/>
              </w:rPr>
            </w:pPr>
            <w:r>
              <w:rPr>
                <w:rFonts w:ascii="Arial" w:cs="Arial" w:eastAsia="Arial" w:hAnsi="Arial"/>
                <w:sz w:val="10"/>
                <w:szCs w:val="10"/>
                <w:b w:val="1"/>
                <w:bCs w:val="1"/>
                <w:color w:val="D60011"/>
              </w:rPr>
              <w:t>►</w:t>
            </w:r>
          </w:p>
        </w:tc>
        <w:tc>
          <w:tcPr>
            <w:tcW w:w="1820" w:type="dxa"/>
            <w:vAlign w:val="bottom"/>
            <w:tcBorders>
              <w:right w:val="single" w:sz="8" w:color="FF0000"/>
            </w:tcBorders>
          </w:tcPr>
          <w:p>
            <w:pPr>
              <w:ind w:left="60"/>
              <w:spacing w:after="0"/>
              <w:rPr>
                <w:sz w:val="20"/>
                <w:szCs w:val="20"/>
                <w:color w:val="auto"/>
              </w:rPr>
            </w:pPr>
            <w:r>
              <w:rPr>
                <w:rFonts w:ascii="Arial" w:cs="Arial" w:eastAsia="Arial" w:hAnsi="Arial"/>
                <w:sz w:val="10"/>
                <w:szCs w:val="10"/>
                <w:b w:val="1"/>
                <w:bCs w:val="1"/>
                <w:color w:val="auto"/>
              </w:rPr>
              <w:t>Williams Sonoma, Inc.</w:t>
            </w: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420" w:type="dxa"/>
            <w:vAlign w:val="bottom"/>
          </w:tcPr>
          <w:p>
            <w:pPr>
              <w:ind w:left="240"/>
              <w:spacing w:after="0"/>
              <w:rPr>
                <w:sz w:val="20"/>
                <w:szCs w:val="20"/>
                <w:color w:val="auto"/>
              </w:rPr>
            </w:pPr>
            <w:r>
              <w:rPr>
                <w:rFonts w:ascii="Arial" w:cs="Arial" w:eastAsia="Arial" w:hAnsi="Arial"/>
                <w:sz w:val="10"/>
                <w:szCs w:val="10"/>
                <w:b w:val="1"/>
                <w:bCs w:val="1"/>
                <w:color w:val="D60011"/>
              </w:rPr>
              <w:t>►</w:t>
            </w:r>
          </w:p>
        </w:tc>
        <w:tc>
          <w:tcPr>
            <w:tcW w:w="1600" w:type="dxa"/>
            <w:vAlign w:val="bottom"/>
          </w:tcPr>
          <w:p>
            <w:pPr>
              <w:ind w:left="60"/>
              <w:spacing w:after="0"/>
              <w:rPr>
                <w:sz w:val="20"/>
                <w:szCs w:val="20"/>
                <w:color w:val="auto"/>
              </w:rPr>
            </w:pPr>
            <w:r>
              <w:rPr>
                <w:rFonts w:ascii="Arial" w:cs="Arial" w:eastAsia="Arial" w:hAnsi="Arial"/>
                <w:sz w:val="10"/>
                <w:szCs w:val="10"/>
                <w:b w:val="1"/>
                <w:bCs w:val="1"/>
                <w:color w:val="auto"/>
              </w:rPr>
              <w:t>Capri Holdings Limited</w:t>
            </w:r>
          </w:p>
        </w:tc>
        <w:tc>
          <w:tcPr>
            <w:tcW w:w="380" w:type="dxa"/>
            <w:vAlign w:val="bottom"/>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Pr>
          <w:p>
            <w:pPr>
              <w:ind w:left="80"/>
              <w:spacing w:after="0"/>
              <w:rPr>
                <w:sz w:val="20"/>
                <w:szCs w:val="20"/>
                <w:color w:val="auto"/>
              </w:rPr>
            </w:pPr>
            <w:r>
              <w:rPr>
                <w:rFonts w:ascii="Arial" w:cs="Arial" w:eastAsia="Arial" w:hAnsi="Arial"/>
                <w:sz w:val="10"/>
                <w:szCs w:val="10"/>
                <w:b w:val="1"/>
                <w:bCs w:val="1"/>
                <w:color w:val="auto"/>
              </w:rPr>
              <w:t>Ralph Lauren Corp.</w:t>
            </w:r>
          </w:p>
        </w:tc>
        <w:tc>
          <w:tcPr>
            <w:tcW w:w="420" w:type="dxa"/>
            <w:vAlign w:val="bottom"/>
          </w:tcPr>
          <w:p>
            <w:pPr>
              <w:spacing w:after="0"/>
              <w:rPr>
                <w:sz w:val="12"/>
                <w:szCs w:val="12"/>
                <w:color w:val="auto"/>
              </w:rPr>
            </w:pPr>
          </w:p>
        </w:tc>
        <w:tc>
          <w:tcPr>
            <w:tcW w:w="1820" w:type="dxa"/>
            <w:vAlign w:val="bottom"/>
            <w:tcBorders>
              <w:right w:val="single" w:sz="8" w:color="FF0000"/>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FF0000"/>
            </w:tcBorders>
          </w:tcPr>
          <w:p>
            <w:pPr>
              <w:spacing w:after="0"/>
              <w:rPr>
                <w:sz w:val="12"/>
                <w:szCs w:val="12"/>
                <w:color w:val="auto"/>
              </w:rPr>
            </w:pPr>
          </w:p>
        </w:tc>
        <w:tc>
          <w:tcPr>
            <w:tcW w:w="2020" w:type="dxa"/>
            <w:vAlign w:val="bottom"/>
            <w:gridSpan w:val="2"/>
          </w:tcPr>
          <w:p>
            <w:pPr>
              <w:ind w:left="240"/>
              <w:spacing w:after="0"/>
              <w:rPr>
                <w:sz w:val="20"/>
                <w:szCs w:val="20"/>
                <w:color w:val="auto"/>
              </w:rPr>
            </w:pPr>
            <w:r>
              <w:rPr>
                <w:rFonts w:ascii="Arial" w:cs="Arial" w:eastAsia="Arial" w:hAnsi="Arial"/>
                <w:sz w:val="10"/>
                <w:szCs w:val="10"/>
                <w:b w:val="1"/>
                <w:bCs w:val="1"/>
                <w:color w:val="D60011"/>
              </w:rPr>
              <w:t xml:space="preserve">►   </w:t>
            </w:r>
            <w:r>
              <w:rPr>
                <w:rFonts w:ascii="Arial" w:cs="Arial" w:eastAsia="Arial" w:hAnsi="Arial"/>
                <w:sz w:val="10"/>
                <w:szCs w:val="10"/>
                <w:b w:val="1"/>
                <w:bCs w:val="1"/>
                <w:color w:val="000000"/>
              </w:rPr>
              <w:t>Dick’s Sporting Goods Inc.</w:t>
            </w:r>
          </w:p>
        </w:tc>
        <w:tc>
          <w:tcPr>
            <w:tcW w:w="380" w:type="dxa"/>
            <w:vAlign w:val="bottom"/>
          </w:tcPr>
          <w:p>
            <w:pPr>
              <w:ind w:left="220"/>
              <w:spacing w:after="0"/>
              <w:rPr>
                <w:sz w:val="20"/>
                <w:szCs w:val="20"/>
                <w:color w:val="auto"/>
              </w:rPr>
            </w:pPr>
            <w:r>
              <w:rPr>
                <w:rFonts w:ascii="Arial" w:cs="Arial" w:eastAsia="Arial" w:hAnsi="Arial"/>
                <w:sz w:val="10"/>
                <w:szCs w:val="10"/>
                <w:b w:val="1"/>
                <w:bCs w:val="1"/>
                <w:color w:val="D60011"/>
              </w:rPr>
              <w:t>►</w:t>
            </w:r>
          </w:p>
        </w:tc>
        <w:tc>
          <w:tcPr>
            <w:tcW w:w="1560" w:type="dxa"/>
            <w:vAlign w:val="bottom"/>
          </w:tcPr>
          <w:p>
            <w:pPr>
              <w:ind w:left="80"/>
              <w:spacing w:after="0"/>
              <w:rPr>
                <w:sz w:val="20"/>
                <w:szCs w:val="20"/>
                <w:color w:val="auto"/>
              </w:rPr>
            </w:pPr>
            <w:r>
              <w:rPr>
                <w:rFonts w:ascii="Arial" w:cs="Arial" w:eastAsia="Arial" w:hAnsi="Arial"/>
                <w:sz w:val="10"/>
                <w:szCs w:val="10"/>
                <w:b w:val="1"/>
                <w:bCs w:val="1"/>
                <w:color w:val="auto"/>
              </w:rPr>
              <w:t>Sally Beauty Holdings, Inc.</w:t>
            </w:r>
          </w:p>
        </w:tc>
        <w:tc>
          <w:tcPr>
            <w:tcW w:w="420" w:type="dxa"/>
            <w:vAlign w:val="bottom"/>
          </w:tcPr>
          <w:p>
            <w:pPr>
              <w:spacing w:after="0"/>
              <w:rPr>
                <w:sz w:val="12"/>
                <w:szCs w:val="12"/>
                <w:color w:val="auto"/>
              </w:rPr>
            </w:pPr>
          </w:p>
        </w:tc>
        <w:tc>
          <w:tcPr>
            <w:tcW w:w="1820" w:type="dxa"/>
            <w:vAlign w:val="bottom"/>
            <w:tcBorders>
              <w:right w:val="single" w:sz="8" w:color="FF0000"/>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40" w:type="dxa"/>
            <w:vAlign w:val="bottom"/>
            <w:tcBorders>
              <w:left w:val="single" w:sz="8" w:color="FF0000"/>
              <w:bottom w:val="single" w:sz="8" w:color="FF0000"/>
            </w:tcBorders>
          </w:tcPr>
          <w:p>
            <w:pPr>
              <w:spacing w:after="0"/>
              <w:rPr>
                <w:sz w:val="10"/>
                <w:szCs w:val="10"/>
                <w:color w:val="auto"/>
              </w:rPr>
            </w:pPr>
          </w:p>
        </w:tc>
        <w:tc>
          <w:tcPr>
            <w:tcW w:w="420" w:type="dxa"/>
            <w:vAlign w:val="bottom"/>
            <w:tcBorders>
              <w:bottom w:val="single" w:sz="8" w:color="FF0000"/>
            </w:tcBorders>
          </w:tcPr>
          <w:p>
            <w:pPr>
              <w:spacing w:after="0"/>
              <w:rPr>
                <w:sz w:val="10"/>
                <w:szCs w:val="10"/>
                <w:color w:val="auto"/>
              </w:rPr>
            </w:pPr>
          </w:p>
        </w:tc>
        <w:tc>
          <w:tcPr>
            <w:tcW w:w="1600" w:type="dxa"/>
            <w:vAlign w:val="bottom"/>
            <w:tcBorders>
              <w:bottom w:val="single" w:sz="8" w:color="FF0000"/>
            </w:tcBorders>
          </w:tcPr>
          <w:p>
            <w:pPr>
              <w:spacing w:after="0"/>
              <w:rPr>
                <w:sz w:val="10"/>
                <w:szCs w:val="10"/>
                <w:color w:val="auto"/>
              </w:rPr>
            </w:pPr>
          </w:p>
        </w:tc>
        <w:tc>
          <w:tcPr>
            <w:tcW w:w="380" w:type="dxa"/>
            <w:vAlign w:val="bottom"/>
            <w:tcBorders>
              <w:bottom w:val="single" w:sz="8" w:color="FF0000"/>
            </w:tcBorders>
          </w:tcPr>
          <w:p>
            <w:pPr>
              <w:spacing w:after="0"/>
              <w:rPr>
                <w:sz w:val="10"/>
                <w:szCs w:val="10"/>
                <w:color w:val="auto"/>
              </w:rPr>
            </w:pPr>
          </w:p>
        </w:tc>
        <w:tc>
          <w:tcPr>
            <w:tcW w:w="1560" w:type="dxa"/>
            <w:vAlign w:val="bottom"/>
            <w:tcBorders>
              <w:bottom w:val="single" w:sz="8" w:color="FF0000"/>
            </w:tcBorders>
          </w:tcPr>
          <w:p>
            <w:pPr>
              <w:spacing w:after="0"/>
              <w:rPr>
                <w:sz w:val="10"/>
                <w:szCs w:val="10"/>
                <w:color w:val="auto"/>
              </w:rPr>
            </w:pPr>
          </w:p>
        </w:tc>
        <w:tc>
          <w:tcPr>
            <w:tcW w:w="420" w:type="dxa"/>
            <w:vAlign w:val="bottom"/>
            <w:tcBorders>
              <w:bottom w:val="single" w:sz="8" w:color="FF0000"/>
            </w:tcBorders>
          </w:tcPr>
          <w:p>
            <w:pPr>
              <w:spacing w:after="0"/>
              <w:rPr>
                <w:sz w:val="10"/>
                <w:szCs w:val="10"/>
                <w:color w:val="auto"/>
              </w:rPr>
            </w:pPr>
          </w:p>
        </w:tc>
        <w:tc>
          <w:tcPr>
            <w:tcW w:w="1820" w:type="dxa"/>
            <w:vAlign w:val="bottom"/>
            <w:tcBorders>
              <w:bottom w:val="single" w:sz="8" w:color="FF0000"/>
              <w:right w:val="single" w:sz="8" w:color="FF000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-1463675</wp:posOffset>
            </wp:positionV>
            <wp:extent cx="139700" cy="825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9700" cy="8255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-1086485</wp:posOffset>
            </wp:positionV>
            <wp:extent cx="139700" cy="825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9700" cy="8255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-1605280</wp:posOffset>
            </wp:positionV>
            <wp:extent cx="125730" cy="800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5730" cy="8001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-1302385</wp:posOffset>
            </wp:positionV>
            <wp:extent cx="125730" cy="1314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5730" cy="131445"/>
                    </a:xfrm>
                    <a:prstGeom prst="rect">
                      <a:avLst/>
                    </a:prstGeom>
                    <a:noFill/>
                  </pic:spPr>
                </pic:pic>
              </a:graphicData>
            </a:graphic>
          </wp:anchor>
        </w:drawing>
      </w:r>
    </w:p>
    <w:p>
      <w:pPr>
        <w:spacing w:after="0" w:line="8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USE OF COMPENSATION CONSULTANTS</w:t>
      </w:r>
    </w:p>
    <w:p>
      <w:pPr>
        <w:spacing w:after="0" w:line="137" w:lineRule="exact"/>
        <w:rPr>
          <w:sz w:val="20"/>
          <w:szCs w:val="20"/>
          <w:color w:val="auto"/>
        </w:rPr>
      </w:pPr>
    </w:p>
    <w:p>
      <w:pPr>
        <w:ind w:left="840" w:right="959"/>
        <w:spacing w:after="0" w:line="242" w:lineRule="auto"/>
        <w:rPr>
          <w:sz w:val="20"/>
          <w:szCs w:val="20"/>
          <w:color w:val="auto"/>
        </w:rPr>
      </w:pPr>
      <w:r>
        <w:rPr>
          <w:rFonts w:ascii="Arial" w:cs="Arial" w:eastAsia="Arial" w:hAnsi="Arial"/>
          <w:sz w:val="11"/>
          <w:szCs w:val="11"/>
          <w:color w:val="auto"/>
        </w:rPr>
        <w:t>The Human Capital Committee has retained CAP, a nationally-recognized compensation consultant that is independent and performs no work for management, as its advisor. CAP reports directly to the Human Capital Committee, meets with the Human Capital Committee privately without management present, and regularly communicates privately with the Human Capital Committee Chair. CAP also meets with the Responsibility Committee regarding non-employee directors’ compensation and reports on related governance and trends. The Human Capital Committee has assessed the independence of CAP based on standards promulgated by the SEC and concluded that no conflict of interest exists that would prevent it from serving as an independent consultant to the Human Capital Committee. Each year, CAP reviews a report on risk in relation to the Company’s compensation policies and practices, provides a pay-for-performance analysis of our executive compensation program, and reviews the CEO’s compensation. In addition, each year CAP reviews and makes recommendations regarding the compensation program for non-employee directors, and the Human Capital Committee considers CAP’s report on the program. In 2021, management utilized the services of ClearBridge Compensation Group, a nationally-recognized compensation consultant, to provide advice on the executive compensation program and plan design.</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MANAGEMENT INVOLVEMENT IN DEVELOPING THE COMPENSATION PROGRAM</w:t>
      </w:r>
    </w:p>
    <w:p>
      <w:pPr>
        <w:spacing w:after="0" w:line="137" w:lineRule="exact"/>
        <w:rPr>
          <w:sz w:val="20"/>
          <w:szCs w:val="20"/>
          <w:color w:val="auto"/>
        </w:rPr>
      </w:pPr>
    </w:p>
    <w:p>
      <w:pPr>
        <w:ind w:left="840" w:right="1239"/>
        <w:spacing w:after="0" w:line="243" w:lineRule="auto"/>
        <w:rPr>
          <w:sz w:val="20"/>
          <w:szCs w:val="20"/>
          <w:color w:val="auto"/>
        </w:rPr>
      </w:pPr>
      <w:r>
        <w:rPr>
          <w:rFonts w:ascii="Arial" w:cs="Arial" w:eastAsia="Arial" w:hAnsi="Arial"/>
          <w:sz w:val="11"/>
          <w:szCs w:val="11"/>
          <w:color w:val="auto"/>
        </w:rPr>
        <w:t>Management is involved in various aspects of developing the executive compensation program. Our Chief Human Resources Officer, Vice President-Total Rewards, and staff in the Human Resources Department work with our CEO to develop compensation recommendations for all corporate and executive officers other than the CEO. The CEO or the Chief Human Resources Officer reviews these proposals with the Human Capital Committee Chair, and may make changes to the recommendations based upon her input, before the recommendations are presented to the Human Capital Committee for review. As part of her responsibilities, the Lead Independent Director also attends all Human Capital Committee meetings and advises the Human Capital Committee Chair in fulfilling her designated role and responsibilities. Our General Counsel also attends meetings of the Human Capital Committee and participates in some of these discussions and preparations.</w:t>
      </w:r>
    </w:p>
    <w:p>
      <w:pPr>
        <w:spacing w:after="0" w:line="106" w:lineRule="exact"/>
        <w:rPr>
          <w:sz w:val="20"/>
          <w:szCs w:val="20"/>
          <w:color w:val="auto"/>
        </w:rPr>
      </w:pPr>
    </w:p>
    <w:p>
      <w:pPr>
        <w:ind w:left="1520" w:hanging="388"/>
        <w:spacing w:after="0"/>
        <w:tabs>
          <w:tab w:leader="none" w:pos="1520" w:val="left"/>
        </w:tabs>
        <w:numPr>
          <w:ilvl w:val="0"/>
          <w:numId w:val="108"/>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72" w:name="page73"/>
    <w:bookmarkEnd w:id="72"/>
    <w:p>
      <w:pPr>
        <w:spacing w:after="0" w:line="222"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ADDITIONAL INFORMATION</w:t>
      </w:r>
    </w:p>
    <w:p>
      <w:pPr>
        <w:spacing w:after="0" w:line="127"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KEY COMPENSATION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103505</wp:posOffset>
            </wp:positionV>
            <wp:extent cx="20574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342"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16510</wp:posOffset>
            </wp:positionV>
            <wp:extent cx="22917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91715" cy="5715"/>
                    </a:xfrm>
                    <a:prstGeom prst="rect">
                      <a:avLst/>
                    </a:prstGeom>
                    <a:noFill/>
                  </pic:spPr>
                </pic:pic>
              </a:graphicData>
            </a:graphic>
          </wp:anchor>
        </w:drawing>
      </w:r>
    </w:p>
    <w:p>
      <w:pPr>
        <w:spacing w:after="0" w:line="34" w:lineRule="exact"/>
        <w:rPr>
          <w:sz w:val="20"/>
          <w:szCs w:val="20"/>
          <w:color w:val="auto"/>
        </w:rPr>
      </w:pPr>
    </w:p>
    <w:p>
      <w:pPr>
        <w:ind w:left="2180" w:right="260" w:hanging="11"/>
        <w:spacing w:after="0" w:line="256" w:lineRule="auto"/>
        <w:rPr>
          <w:sz w:val="20"/>
          <w:szCs w:val="20"/>
          <w:color w:val="auto"/>
        </w:rPr>
      </w:pPr>
      <w:r>
        <w:rPr>
          <w:rFonts w:ascii="Arial" w:cs="Arial" w:eastAsia="Arial" w:hAnsi="Arial"/>
          <w:sz w:val="11"/>
          <w:szCs w:val="11"/>
          <w:color w:val="auto"/>
        </w:rPr>
        <w:t>Align executive pay closely with Company’s performance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-147955</wp:posOffset>
            </wp:positionV>
            <wp:extent cx="57150" cy="457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ind w:left="2180" w:right="1000"/>
        <w:spacing w:after="0" w:line="290" w:lineRule="auto"/>
        <w:rPr>
          <w:sz w:val="20"/>
          <w:szCs w:val="20"/>
          <w:color w:val="auto"/>
        </w:rPr>
      </w:pPr>
      <w:r>
        <w:rPr>
          <w:rFonts w:ascii="Arial" w:cs="Arial" w:eastAsia="Arial" w:hAnsi="Arial"/>
          <w:sz w:val="11"/>
          <w:szCs w:val="11"/>
          <w:color w:val="auto"/>
        </w:rPr>
        <w:t>Set rigorous and objective performance goals Maintain a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-170815</wp:posOffset>
            </wp:positionV>
            <wp:extent cx="57150" cy="457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150" cy="4572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-73660</wp:posOffset>
            </wp:positionV>
            <wp:extent cx="57150" cy="457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Impose and monitor meaningful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7150" cy="457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ind w:left="2180" w:right="220" w:hanging="5"/>
        <w:spacing w:after="0" w:line="264" w:lineRule="auto"/>
        <w:rPr>
          <w:sz w:val="20"/>
          <w:szCs w:val="20"/>
          <w:color w:val="auto"/>
        </w:rPr>
      </w:pPr>
      <w:r>
        <w:rPr>
          <w:rFonts w:ascii="Arial" w:cs="Arial" w:eastAsia="Arial" w:hAnsi="Arial"/>
          <w:sz w:val="11"/>
          <w:szCs w:val="11"/>
          <w:color w:val="auto"/>
        </w:rPr>
        <w:t>Require a one-year time-based vesting period for earned PSU payouts following attainment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-153670</wp:posOffset>
            </wp:positionV>
            <wp:extent cx="57150" cy="457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ind w:left="2180" w:right="40" w:hanging="5"/>
        <w:spacing w:after="0" w:line="264" w:lineRule="auto"/>
        <w:rPr>
          <w:sz w:val="20"/>
          <w:szCs w:val="20"/>
          <w:color w:val="auto"/>
        </w:rPr>
      </w:pPr>
      <w:r>
        <w:rPr>
          <w:rFonts w:ascii="Arial" w:cs="Arial" w:eastAsia="Arial" w:hAnsi="Arial"/>
          <w:sz w:val="11"/>
          <w:szCs w:val="11"/>
          <w:color w:val="auto"/>
        </w:rPr>
        <w:t>Include double-trigger change in control provisions in employment agreements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-153670</wp:posOffset>
            </wp:positionV>
            <wp:extent cx="57150" cy="457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Mitigate undue risk in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7150" cy="457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ind w:left="2180" w:hanging="5"/>
        <w:spacing w:after="0" w:line="264" w:lineRule="auto"/>
        <w:rPr>
          <w:sz w:val="20"/>
          <w:szCs w:val="20"/>
          <w:color w:val="auto"/>
        </w:rPr>
      </w:pPr>
      <w:r>
        <w:rPr>
          <w:rFonts w:ascii="Arial" w:cs="Arial" w:eastAsia="Arial" w:hAnsi="Arial"/>
          <w:sz w:val="11"/>
          <w:szCs w:val="11"/>
          <w:color w:val="auto"/>
        </w:rPr>
        <w:t>Retain independent compensation consultant to advise the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-153670</wp:posOffset>
            </wp:positionV>
            <wp:extent cx="57150" cy="457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Hold annual “Say-on-Pay”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7150" cy="457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spacing w:after="0" w:line="7" w:lineRule="exact"/>
        <w:rPr>
          <w:sz w:val="20"/>
          <w:szCs w:val="20"/>
          <w:color w:val="auto"/>
        </w:rPr>
      </w:pPr>
    </w:p>
    <w:p>
      <w:pPr>
        <w:ind w:left="2180" w:right="200" w:hanging="5"/>
        <w:spacing w:after="0" w:line="268" w:lineRule="auto"/>
        <w:rPr>
          <w:sz w:val="20"/>
          <w:szCs w:val="20"/>
          <w:color w:val="auto"/>
        </w:rPr>
      </w:pPr>
      <w:r>
        <w:rPr>
          <w:rFonts w:ascii="Arial" w:cs="Arial" w:eastAsia="Arial" w:hAnsi="Arial"/>
          <w:sz w:val="11"/>
          <w:szCs w:val="11"/>
          <w:color w:val="auto"/>
        </w:rPr>
        <w:t>Conduct shareholder engagement outreach to regularly obtain feedback on compensation and other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-156210</wp:posOffset>
            </wp:positionV>
            <wp:extent cx="57150" cy="457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A0005"/>
        </w:rPr>
        <w:t>CLAWBACK POLICY</w:t>
      </w:r>
    </w:p>
    <w:p>
      <w:pPr>
        <w:spacing w:after="0" w:line="20" w:lineRule="exact"/>
        <w:rPr>
          <w:sz w:val="20"/>
          <w:szCs w:val="20"/>
          <w:color w:val="auto"/>
        </w:rPr>
      </w:pPr>
      <w:r>
        <w:rPr>
          <w:sz w:val="20"/>
          <w:szCs w:val="20"/>
          <w:color w:val="auto"/>
        </w:rPr>
        <w:br w:type="column"/>
      </w:r>
    </w:p>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485775</wp:posOffset>
            </wp:positionV>
            <wp:extent cx="160020" cy="2114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0020" cy="21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28028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80285" cy="5715"/>
                    </a:xfrm>
                    <a:prstGeom prst="rect">
                      <a:avLst/>
                    </a:prstGeom>
                    <a:noFill/>
                  </pic:spPr>
                </pic:pic>
              </a:graphicData>
            </a:graphic>
          </wp:anchor>
        </w:drawing>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No changes to in-flight performance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40005"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0005" cy="34290"/>
                    </a:xfrm>
                    <a:prstGeom prst="rect">
                      <a:avLst/>
                    </a:prstGeom>
                    <a:noFill/>
                  </pic:spPr>
                </pic:pic>
              </a:graphicData>
            </a:graphic>
          </wp:anchor>
        </w:drawing>
      </w:r>
    </w:p>
    <w:p>
      <w:pPr>
        <w:jc w:val="both"/>
        <w:ind w:left="220" w:right="2020" w:hanging="2"/>
        <w:spacing w:after="0" w:line="253" w:lineRule="auto"/>
        <w:rPr>
          <w:sz w:val="20"/>
          <w:szCs w:val="20"/>
          <w:color w:val="auto"/>
        </w:rPr>
      </w:pPr>
      <w:r>
        <w:rPr>
          <w:rFonts w:ascii="Arial" w:cs="Arial" w:eastAsia="Arial" w:hAnsi="Arial"/>
          <w:sz w:val="11"/>
          <w:szCs w:val="11"/>
          <w:color w:val="auto"/>
        </w:rPr>
        <w:t>No tax gross-up for any compensation, benefit, perquisite, or change in control payments (other than the IAP and relocation program that is available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40005"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0005" cy="342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1"/>
          <w:szCs w:val="11"/>
          <w:color w:val="auto"/>
        </w:rPr>
        <w:t>No hedging or pledging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40005"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005" cy="34290"/>
                    </a:xfrm>
                    <a:prstGeom prst="rect">
                      <a:avLst/>
                    </a:prstGeom>
                    <a:noFill/>
                  </pic:spPr>
                </pic:pic>
              </a:graphicData>
            </a:graphic>
          </wp:anchor>
        </w:drawing>
      </w:r>
    </w:p>
    <w:p>
      <w:pPr>
        <w:spacing w:after="0" w:line="7" w:lineRule="exact"/>
        <w:rPr>
          <w:sz w:val="20"/>
          <w:szCs w:val="20"/>
          <w:color w:val="auto"/>
        </w:rPr>
      </w:pPr>
    </w:p>
    <w:p>
      <w:pPr>
        <w:ind w:left="220" w:right="2580"/>
        <w:spacing w:after="0" w:line="309" w:lineRule="auto"/>
        <w:rPr>
          <w:sz w:val="20"/>
          <w:szCs w:val="20"/>
          <w:color w:val="auto"/>
        </w:rPr>
      </w:pPr>
      <w:r>
        <w:rPr>
          <w:rFonts w:ascii="Arial" w:cs="Arial" w:eastAsia="Arial" w:hAnsi="Arial"/>
          <w:sz w:val="10"/>
          <w:szCs w:val="10"/>
          <w:color w:val="auto"/>
        </w:rPr>
        <w:t>No repricing of stock options without shareholder approval No stock options granted below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40005"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00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-61595</wp:posOffset>
            </wp:positionV>
            <wp:extent cx="40005"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0005" cy="342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1"/>
          <w:szCs w:val="11"/>
          <w:color w:val="auto"/>
        </w:rPr>
        <w:t>No dividends or dividend equivalents on RSUs or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40005"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005" cy="342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No excessive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40005"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005" cy="34290"/>
                    </a:xfrm>
                    <a:prstGeom prst="rect">
                      <a:avLst/>
                    </a:prstGeom>
                    <a:noFill/>
                  </pic:spPr>
                </pic:pic>
              </a:graphicData>
            </a:graphic>
          </wp:anchor>
        </w:drawing>
      </w:r>
    </w:p>
    <w:p>
      <w:pPr>
        <w:spacing w:after="0" w:line="1116" w:lineRule="exact"/>
        <w:rPr>
          <w:sz w:val="20"/>
          <w:szCs w:val="20"/>
          <w:color w:val="auto"/>
        </w:rPr>
      </w:pPr>
    </w:p>
    <w:p>
      <w:pPr>
        <w:sectPr>
          <w:pgSz w:w="11900" w:h="16838" w:orient="portrait"/>
          <w:cols w:equalWidth="0" w:num="2">
            <w:col w:w="5360" w:space="360"/>
            <w:col w:w="5580"/>
          </w:cols>
          <w:pgMar w:left="300" w:top="565" w:right="299" w:bottom="1440" w:gutter="0" w:footer="0" w:header="0"/>
        </w:sectPr>
      </w:pPr>
    </w:p>
    <w:p>
      <w:pPr>
        <w:ind w:left="1980" w:right="2000"/>
        <w:spacing w:after="0" w:line="241" w:lineRule="auto"/>
        <w:rPr>
          <w:sz w:val="20"/>
          <w:szCs w:val="20"/>
          <w:color w:val="auto"/>
        </w:rPr>
      </w:pPr>
      <w:r>
        <w:rPr>
          <w:rFonts w:ascii="Arial" w:cs="Arial" w:eastAsia="Arial" w:hAnsi="Arial"/>
          <w:sz w:val="11"/>
          <w:szCs w:val="11"/>
          <w:color w:val="auto"/>
        </w:rPr>
        <w:t>We have adopted a clawback policy that provides for the recovery of incentive compensation paid in cash or equity if the Human Capital Committee determines that the participant (1) engaged in fraud or gross misconduct which results in an accounting adjustment, whether or not the adjustment results in a restatement of our financial statements, or (2) committed a significant legal or compliance violation of the Code of Business Conduct or other policies. The Human Capital Committee is closely monitoring the proposed SEC rules regarding recoupment of incentive-based compensation, and will amend our policy as necessary.</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STOCK OWNERSHIP GUIDELINES</w:t>
      </w:r>
    </w:p>
    <w:p>
      <w:pPr>
        <w:spacing w:after="0" w:line="11" w:lineRule="exact"/>
        <w:rPr>
          <w:sz w:val="20"/>
          <w:szCs w:val="20"/>
          <w:color w:val="auto"/>
        </w:rPr>
      </w:pPr>
    </w:p>
    <w:p>
      <w:pPr>
        <w:ind w:left="1980" w:right="2500"/>
        <w:spacing w:after="0" w:line="249" w:lineRule="auto"/>
        <w:rPr>
          <w:sz w:val="20"/>
          <w:szCs w:val="20"/>
          <w:color w:val="auto"/>
        </w:rPr>
      </w:pPr>
      <w:r>
        <w:rPr>
          <w:rFonts w:ascii="Arial" w:cs="Arial" w:eastAsia="Arial" w:hAnsi="Arial"/>
          <w:sz w:val="11"/>
          <w:szCs w:val="11"/>
          <w:color w:val="auto"/>
        </w:rPr>
        <w:t>We have meaningful stock ownership guidelines for our senior executives. At the end of 2021, all of the NEOs met or exceeded their applicable ownership guidelines. These guidelines are described on page 32.</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COMPENSATION PROGRAM AND RISK</w:t>
      </w:r>
    </w:p>
    <w:p>
      <w:pPr>
        <w:spacing w:after="0" w:line="137" w:lineRule="exact"/>
        <w:rPr>
          <w:sz w:val="20"/>
          <w:szCs w:val="20"/>
          <w:color w:val="auto"/>
        </w:rPr>
      </w:pPr>
    </w:p>
    <w:p>
      <w:pPr>
        <w:ind w:left="1980" w:right="2100"/>
        <w:spacing w:after="0" w:line="244" w:lineRule="auto"/>
        <w:rPr>
          <w:sz w:val="20"/>
          <w:szCs w:val="20"/>
          <w:color w:val="auto"/>
        </w:rPr>
      </w:pPr>
      <w:r>
        <w:rPr>
          <w:rFonts w:ascii="Arial" w:cs="Arial" w:eastAsia="Arial" w:hAnsi="Arial"/>
          <w:sz w:val="11"/>
          <w:szCs w:val="11"/>
          <w:color w:val="auto"/>
        </w:rPr>
        <w:t>We believe that our compensation program encourages our NEOs to take action to improve the Company’s performance without encouraging them to take undue risk. The Annual Incentive Plan and PSU awards are paid based upon performance as compared to the Company’s annual and two-year financial plans, respectively, which are prepared each year by management, reviewed by the Finance Committee, and approved by the Board. No incentive awards are earned or paid unless the applicable performance goals are achieved. We believe that, on balance, the plans are rigorous, but reasonably achievable under normal business conditions. This encourages our executives to manage the business well without pressuring them to take undue risks in order to obtain a payout.</w:t>
      </w:r>
    </w:p>
    <w:p>
      <w:pPr>
        <w:spacing w:after="0" w:line="110" w:lineRule="exact"/>
        <w:rPr>
          <w:sz w:val="20"/>
          <w:szCs w:val="20"/>
          <w:color w:val="auto"/>
        </w:rPr>
      </w:pPr>
    </w:p>
    <w:p>
      <w:pPr>
        <w:ind w:left="1980" w:right="2020"/>
        <w:spacing w:after="0" w:line="243" w:lineRule="auto"/>
        <w:rPr>
          <w:sz w:val="20"/>
          <w:szCs w:val="20"/>
          <w:color w:val="auto"/>
        </w:rPr>
      </w:pPr>
      <w:r>
        <w:rPr>
          <w:rFonts w:ascii="Arial" w:cs="Arial" w:eastAsia="Arial" w:hAnsi="Arial"/>
          <w:sz w:val="11"/>
          <w:szCs w:val="11"/>
          <w:color w:val="auto"/>
        </w:rPr>
        <w:t>Our LTI awards for the NEOs are designed with a similar goal in mind. We believe that our LTI awards are reasonable in relation to overall compensation. Stock options normally vest ratably over a three-year period and have a 10-year term, and RSUs cliff vest generally after a period of three years, thereby each reducing the risk that an executive will take short-term action to inflate the price of the Company’s stock for a brief period. PSU payouts are calculated at the conclusion of a two-year performance period, but are not actually paid to the participant until after an additional year of vesting has been satisfied. In addition to serving as a retention vehicle, this also requires that the executive continues to have the value of their award at risk and dependent on fluctuations in stock price, for an additional year. It also allows a year to pass in which any issues concerning the Company’s operating or financial performance may come to light before payments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76200</wp:posOffset>
            </wp:positionV>
            <wp:extent cx="365760" cy="222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67</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type w:val="continuous"/>
        </w:sectPr>
      </w:pPr>
    </w:p>
    <w:bookmarkStart w:id="73" w:name="page74"/>
    <w:bookmarkEnd w:id="73"/>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17" w:lineRule="exact"/>
        <w:rPr>
          <w:sz w:val="20"/>
          <w:szCs w:val="20"/>
          <w:color w:val="auto"/>
        </w:rPr>
      </w:pPr>
    </w:p>
    <w:p>
      <w:pPr>
        <w:ind w:left="840" w:right="1299"/>
        <w:spacing w:after="0" w:line="268" w:lineRule="auto"/>
        <w:rPr>
          <w:sz w:val="20"/>
          <w:szCs w:val="20"/>
          <w:color w:val="auto"/>
        </w:rPr>
      </w:pPr>
      <w:r>
        <w:rPr>
          <w:rFonts w:ascii="Arial" w:cs="Arial" w:eastAsia="Arial" w:hAnsi="Arial"/>
          <w:sz w:val="11"/>
          <w:szCs w:val="11"/>
          <w:color w:val="auto"/>
        </w:rPr>
        <w:t>In addition, there are certain other factors related to our compensation programs for the NEOs that we believe help reduce the likelihood that our compensation programs will encourage our executives to take undue risk, as described below.</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150"/>
        </w:trPr>
        <w:tc>
          <w:tcPr>
            <w:tcW w:w="2080" w:type="dxa"/>
            <w:vAlign w:val="bottom"/>
            <w:tcBorders>
              <w:bottom w:val="single" w:sz="8" w:color="FF0000"/>
            </w:tcBorders>
          </w:tcPr>
          <w:p>
            <w:pPr>
              <w:ind w:left="80"/>
              <w:spacing w:after="0"/>
              <w:rPr>
                <w:sz w:val="20"/>
                <w:szCs w:val="20"/>
                <w:color w:val="auto"/>
              </w:rPr>
            </w:pPr>
            <w:r>
              <w:rPr>
                <w:rFonts w:ascii="Arial" w:cs="Arial" w:eastAsia="Arial" w:hAnsi="Arial"/>
                <w:sz w:val="10"/>
                <w:szCs w:val="10"/>
                <w:b w:val="1"/>
                <w:bCs w:val="1"/>
                <w:color w:val="auto"/>
              </w:rPr>
              <w:t>Factor</w:t>
            </w:r>
          </w:p>
        </w:tc>
        <w:tc>
          <w:tcPr>
            <w:tcW w:w="5260" w:type="dxa"/>
            <w:vAlign w:val="bottom"/>
            <w:tcBorders>
              <w:bottom w:val="single" w:sz="8" w:color="FF0000"/>
            </w:tcBorders>
          </w:tcPr>
          <w:p>
            <w:pPr>
              <w:ind w:left="220"/>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11"/>
        </w:trPr>
        <w:tc>
          <w:tcPr>
            <w:tcW w:w="2080" w:type="dxa"/>
            <w:vAlign w:val="bottom"/>
          </w:tcPr>
          <w:p>
            <w:pPr>
              <w:spacing w:after="0"/>
              <w:rPr>
                <w:sz w:val="9"/>
                <w:szCs w:val="9"/>
                <w:color w:val="auto"/>
              </w:rPr>
            </w:pPr>
          </w:p>
        </w:tc>
        <w:tc>
          <w:tcPr>
            <w:tcW w:w="5260" w:type="dxa"/>
            <w:vAlign w:val="bottom"/>
          </w:tcPr>
          <w:p>
            <w:pPr>
              <w:ind w:left="220"/>
              <w:spacing w:after="0" w:line="112" w:lineRule="exact"/>
              <w:rPr>
                <w:sz w:val="20"/>
                <w:szCs w:val="20"/>
                <w:color w:val="auto"/>
              </w:rPr>
            </w:pPr>
            <w:r>
              <w:rPr>
                <w:rFonts w:ascii="Arial" w:cs="Arial" w:eastAsia="Arial" w:hAnsi="Arial"/>
                <w:sz w:val="10"/>
                <w:szCs w:val="10"/>
                <w:color w:val="auto"/>
                <w:w w:val="99"/>
              </w:rPr>
              <w:t>As a retail company, we believe that one of the potential risks we have is that management will attempt to achieve</w:t>
            </w:r>
          </w:p>
        </w:tc>
        <w:tc>
          <w:tcPr>
            <w:tcW w:w="0" w:type="dxa"/>
            <w:vAlign w:val="bottom"/>
          </w:tcPr>
          <w:p>
            <w:pPr>
              <w:spacing w:after="0"/>
              <w:rPr>
                <w:sz w:val="1"/>
                <w:szCs w:val="1"/>
                <w:color w:val="auto"/>
              </w:rPr>
            </w:pPr>
          </w:p>
        </w:tc>
      </w:tr>
      <w:tr>
        <w:trPr>
          <w:trHeight w:val="108"/>
        </w:trPr>
        <w:tc>
          <w:tcPr>
            <w:tcW w:w="2080" w:type="dxa"/>
            <w:vAlign w:val="bottom"/>
            <w:vMerge w:val="restart"/>
          </w:tcPr>
          <w:p>
            <w:pPr>
              <w:ind w:left="80"/>
              <w:spacing w:after="0"/>
              <w:rPr>
                <w:sz w:val="20"/>
                <w:szCs w:val="20"/>
                <w:color w:val="auto"/>
              </w:rPr>
            </w:pPr>
            <w:r>
              <w:rPr>
                <w:rFonts w:ascii="Arial" w:cs="Arial" w:eastAsia="Arial" w:hAnsi="Arial"/>
                <w:sz w:val="10"/>
                <w:szCs w:val="10"/>
                <w:b w:val="1"/>
                <w:bCs w:val="1"/>
                <w:color w:val="CE2C2F"/>
              </w:rPr>
              <w:t>ROIC as PSU Award Measurement</w:t>
            </w:r>
          </w:p>
        </w:tc>
        <w:tc>
          <w:tcPr>
            <w:tcW w:w="5260" w:type="dxa"/>
            <w:vAlign w:val="bottom"/>
          </w:tcPr>
          <w:p>
            <w:pPr>
              <w:ind w:left="220"/>
              <w:spacing w:after="0" w:line="108" w:lineRule="exact"/>
              <w:rPr>
                <w:sz w:val="20"/>
                <w:szCs w:val="20"/>
                <w:color w:val="auto"/>
              </w:rPr>
            </w:pPr>
            <w:r>
              <w:rPr>
                <w:rFonts w:ascii="Arial" w:cs="Arial" w:eastAsia="Arial" w:hAnsi="Arial"/>
                <w:sz w:val="10"/>
                <w:szCs w:val="10"/>
                <w:color w:val="auto"/>
              </w:rPr>
              <w:t>profit targets without taking into account the capital used, particularly working capital invested in inventory and</w:t>
            </w:r>
          </w:p>
        </w:tc>
        <w:tc>
          <w:tcPr>
            <w:tcW w:w="0" w:type="dxa"/>
            <w:vAlign w:val="bottom"/>
          </w:tcPr>
          <w:p>
            <w:pPr>
              <w:spacing w:after="0"/>
              <w:rPr>
                <w:sz w:val="1"/>
                <w:szCs w:val="1"/>
                <w:color w:val="auto"/>
              </w:rPr>
            </w:pPr>
          </w:p>
        </w:tc>
      </w:tr>
      <w:tr>
        <w:trPr>
          <w:trHeight w:val="108"/>
        </w:trPr>
        <w:tc>
          <w:tcPr>
            <w:tcW w:w="2080" w:type="dxa"/>
            <w:vAlign w:val="bottom"/>
            <w:vMerge w:val="continue"/>
          </w:tcPr>
          <w:p>
            <w:pPr>
              <w:spacing w:after="0"/>
              <w:rPr>
                <w:sz w:val="9"/>
                <w:szCs w:val="9"/>
                <w:color w:val="auto"/>
              </w:rPr>
            </w:pPr>
          </w:p>
        </w:tc>
        <w:tc>
          <w:tcPr>
            <w:tcW w:w="5260" w:type="dxa"/>
            <w:vAlign w:val="bottom"/>
          </w:tcPr>
          <w:p>
            <w:pPr>
              <w:ind w:left="220"/>
              <w:spacing w:after="0" w:line="108" w:lineRule="exact"/>
              <w:rPr>
                <w:sz w:val="20"/>
                <w:szCs w:val="20"/>
                <w:color w:val="auto"/>
              </w:rPr>
            </w:pPr>
            <w:r>
              <w:rPr>
                <w:rFonts w:ascii="Arial" w:cs="Arial" w:eastAsia="Arial" w:hAnsi="Arial"/>
                <w:sz w:val="10"/>
                <w:szCs w:val="10"/>
                <w:color w:val="auto"/>
              </w:rPr>
              <w:t>operating leases. We have, therefore, designed our PSU awards for senior management, including the NEOs, to</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5260" w:type="dxa"/>
            <w:vAlign w:val="bottom"/>
          </w:tcPr>
          <w:p>
            <w:pPr>
              <w:ind w:left="220"/>
              <w:spacing w:after="0" w:line="108" w:lineRule="exact"/>
              <w:rPr>
                <w:sz w:val="20"/>
                <w:szCs w:val="20"/>
                <w:color w:val="auto"/>
              </w:rPr>
            </w:pPr>
            <w:r>
              <w:rPr>
                <w:rFonts w:ascii="Arial" w:cs="Arial" w:eastAsia="Arial" w:hAnsi="Arial"/>
                <w:sz w:val="10"/>
                <w:szCs w:val="10"/>
                <w:color w:val="auto"/>
                <w:w w:val="97"/>
              </w:rPr>
              <w:t>take into account ROIC as well as Two-Year Average After-Tax Income in determining whether a PSU award payout</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999999"/>
            </w:tcBorders>
          </w:tcPr>
          <w:p>
            <w:pPr>
              <w:spacing w:after="0"/>
              <w:rPr>
                <w:sz w:val="11"/>
                <w:szCs w:val="11"/>
                <w:color w:val="auto"/>
              </w:rPr>
            </w:pPr>
          </w:p>
        </w:tc>
        <w:tc>
          <w:tcPr>
            <w:tcW w:w="5260" w:type="dxa"/>
            <w:vAlign w:val="bottom"/>
            <w:tcBorders>
              <w:bottom w:val="single" w:sz="8" w:color="999999"/>
            </w:tcBorders>
          </w:tcPr>
          <w:p>
            <w:pPr>
              <w:ind w:left="220"/>
              <w:spacing w:after="0"/>
              <w:rPr>
                <w:sz w:val="20"/>
                <w:szCs w:val="20"/>
                <w:color w:val="auto"/>
              </w:rPr>
            </w:pPr>
            <w:r>
              <w:rPr>
                <w:rFonts w:ascii="Arial" w:cs="Arial" w:eastAsia="Arial" w:hAnsi="Arial"/>
                <w:sz w:val="10"/>
                <w:szCs w:val="10"/>
                <w:color w:val="auto"/>
              </w:rPr>
              <w:t>will be paid.</w:t>
            </w:r>
          </w:p>
        </w:tc>
        <w:tc>
          <w:tcPr>
            <w:tcW w:w="0" w:type="dxa"/>
            <w:vAlign w:val="bottom"/>
          </w:tcPr>
          <w:p>
            <w:pPr>
              <w:spacing w:after="0"/>
              <w:rPr>
                <w:sz w:val="1"/>
                <w:szCs w:val="1"/>
                <w:color w:val="auto"/>
              </w:rPr>
            </w:pPr>
          </w:p>
        </w:tc>
      </w:tr>
      <w:tr>
        <w:trPr>
          <w:trHeight w:val="113"/>
        </w:trPr>
        <w:tc>
          <w:tcPr>
            <w:tcW w:w="2080" w:type="dxa"/>
            <w:vAlign w:val="bottom"/>
            <w:vMerge w:val="restart"/>
          </w:tcPr>
          <w:p>
            <w:pPr>
              <w:ind w:left="80"/>
              <w:spacing w:after="0"/>
              <w:rPr>
                <w:sz w:val="20"/>
                <w:szCs w:val="20"/>
                <w:color w:val="auto"/>
              </w:rPr>
            </w:pPr>
            <w:r>
              <w:rPr>
                <w:rFonts w:ascii="Arial" w:cs="Arial" w:eastAsia="Arial" w:hAnsi="Arial"/>
                <w:sz w:val="10"/>
                <w:szCs w:val="10"/>
                <w:b w:val="1"/>
                <w:bCs w:val="1"/>
                <w:color w:val="CE2C2F"/>
              </w:rPr>
              <w:t>No Bonus Payments to Executives with</w:t>
            </w:r>
          </w:p>
        </w:tc>
        <w:tc>
          <w:tcPr>
            <w:tcW w:w="5260" w:type="dxa"/>
            <w:vAlign w:val="bottom"/>
          </w:tcPr>
          <w:p>
            <w:pPr>
              <w:ind w:left="220"/>
              <w:spacing w:after="0" w:line="114" w:lineRule="exact"/>
              <w:rPr>
                <w:sz w:val="20"/>
                <w:szCs w:val="20"/>
                <w:color w:val="auto"/>
              </w:rPr>
            </w:pPr>
            <w:r>
              <w:rPr>
                <w:rFonts w:ascii="Arial" w:cs="Arial" w:eastAsia="Arial" w:hAnsi="Arial"/>
                <w:sz w:val="10"/>
                <w:szCs w:val="10"/>
                <w:color w:val="auto"/>
              </w:rPr>
              <w:t>We have designed our plans so that executives who receive a “Not Meeting Performance” rating under the</w:t>
            </w:r>
          </w:p>
        </w:tc>
        <w:tc>
          <w:tcPr>
            <w:tcW w:w="0" w:type="dxa"/>
            <w:vAlign w:val="bottom"/>
          </w:tcPr>
          <w:p>
            <w:pPr>
              <w:spacing w:after="0"/>
              <w:rPr>
                <w:sz w:val="1"/>
                <w:szCs w:val="1"/>
                <w:color w:val="auto"/>
              </w:rPr>
            </w:pPr>
          </w:p>
        </w:tc>
      </w:tr>
      <w:tr>
        <w:trPr>
          <w:trHeight w:val="106"/>
        </w:trPr>
        <w:tc>
          <w:tcPr>
            <w:tcW w:w="2080" w:type="dxa"/>
            <w:vAlign w:val="bottom"/>
            <w:vMerge w:val="continue"/>
          </w:tcPr>
          <w:p>
            <w:pPr>
              <w:spacing w:after="0"/>
              <w:rPr>
                <w:sz w:val="9"/>
                <w:szCs w:val="9"/>
                <w:color w:val="auto"/>
              </w:rPr>
            </w:pPr>
          </w:p>
        </w:tc>
        <w:tc>
          <w:tcPr>
            <w:tcW w:w="5260" w:type="dxa"/>
            <w:vAlign w:val="bottom"/>
          </w:tcPr>
          <w:p>
            <w:pPr>
              <w:ind w:left="220"/>
              <w:spacing w:after="0" w:line="106" w:lineRule="exact"/>
              <w:rPr>
                <w:sz w:val="20"/>
                <w:szCs w:val="20"/>
                <w:color w:val="auto"/>
              </w:rPr>
            </w:pPr>
            <w:r>
              <w:rPr>
                <w:rFonts w:ascii="Arial" w:cs="Arial" w:eastAsia="Arial" w:hAnsi="Arial"/>
                <w:sz w:val="10"/>
                <w:szCs w:val="10"/>
                <w:color w:val="auto"/>
                <w:w w:val="98"/>
              </w:rPr>
              <w:t>Company’s annual performance appraisal process are not eligible to receive an annual incentive payout. This helps</w:t>
            </w:r>
          </w:p>
        </w:tc>
        <w:tc>
          <w:tcPr>
            <w:tcW w:w="0" w:type="dxa"/>
            <w:vAlign w:val="bottom"/>
          </w:tcPr>
          <w:p>
            <w:pPr>
              <w:spacing w:after="0"/>
              <w:rPr>
                <w:sz w:val="1"/>
                <w:szCs w:val="1"/>
                <w:color w:val="auto"/>
              </w:rPr>
            </w:pPr>
          </w:p>
        </w:tc>
      </w:tr>
      <w:tr>
        <w:trPr>
          <w:trHeight w:val="110"/>
        </w:trPr>
        <w:tc>
          <w:tcPr>
            <w:tcW w:w="2080" w:type="dxa"/>
            <w:vAlign w:val="bottom"/>
          </w:tcPr>
          <w:p>
            <w:pPr>
              <w:ind w:left="80"/>
              <w:spacing w:after="0" w:line="110" w:lineRule="exact"/>
              <w:rPr>
                <w:sz w:val="20"/>
                <w:szCs w:val="20"/>
                <w:color w:val="auto"/>
              </w:rPr>
            </w:pPr>
            <w:r>
              <w:rPr>
                <w:rFonts w:ascii="Arial" w:cs="Arial" w:eastAsia="Arial" w:hAnsi="Arial"/>
                <w:sz w:val="10"/>
                <w:szCs w:val="10"/>
                <w:b w:val="1"/>
                <w:bCs w:val="1"/>
                <w:color w:val="CE2C2F"/>
              </w:rPr>
              <w:t>Poor Performance Ratings</w:t>
            </w:r>
          </w:p>
        </w:tc>
        <w:tc>
          <w:tcPr>
            <w:tcW w:w="5260" w:type="dxa"/>
            <w:vAlign w:val="bottom"/>
          </w:tcPr>
          <w:p>
            <w:pPr>
              <w:ind w:left="220"/>
              <w:spacing w:after="0" w:line="110" w:lineRule="exact"/>
              <w:rPr>
                <w:sz w:val="20"/>
                <w:szCs w:val="20"/>
                <w:color w:val="auto"/>
              </w:rPr>
            </w:pPr>
            <w:r>
              <w:rPr>
                <w:rFonts w:ascii="Arial" w:cs="Arial" w:eastAsia="Arial" w:hAnsi="Arial"/>
                <w:sz w:val="10"/>
                <w:szCs w:val="10"/>
                <w:color w:val="auto"/>
                <w:w w:val="98"/>
              </w:rPr>
              <w:t>prevent an individual executive from taking any action inconsistent with the business plan or otherwise exposing the</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999999"/>
            </w:tcBorders>
          </w:tcPr>
          <w:p>
            <w:pPr>
              <w:spacing w:after="0"/>
              <w:rPr>
                <w:sz w:val="11"/>
                <w:szCs w:val="11"/>
                <w:color w:val="auto"/>
              </w:rPr>
            </w:pPr>
          </w:p>
        </w:tc>
        <w:tc>
          <w:tcPr>
            <w:tcW w:w="5260" w:type="dxa"/>
            <w:vAlign w:val="bottom"/>
            <w:tcBorders>
              <w:bottom w:val="single" w:sz="8" w:color="999999"/>
            </w:tcBorders>
          </w:tcPr>
          <w:p>
            <w:pPr>
              <w:ind w:left="220"/>
              <w:spacing w:after="0"/>
              <w:rPr>
                <w:sz w:val="20"/>
                <w:szCs w:val="20"/>
                <w:color w:val="auto"/>
              </w:rPr>
            </w:pPr>
            <w:r>
              <w:rPr>
                <w:rFonts w:ascii="Arial" w:cs="Arial" w:eastAsia="Arial" w:hAnsi="Arial"/>
                <w:sz w:val="10"/>
                <w:szCs w:val="10"/>
                <w:color w:val="auto"/>
              </w:rPr>
              <w:t>Company to undue risk.</w:t>
            </w:r>
          </w:p>
        </w:tc>
        <w:tc>
          <w:tcPr>
            <w:tcW w:w="0" w:type="dxa"/>
            <w:vAlign w:val="bottom"/>
          </w:tcPr>
          <w:p>
            <w:pPr>
              <w:spacing w:after="0"/>
              <w:rPr>
                <w:sz w:val="1"/>
                <w:szCs w:val="1"/>
                <w:color w:val="auto"/>
              </w:rPr>
            </w:pPr>
          </w:p>
        </w:tc>
      </w:tr>
      <w:tr>
        <w:trPr>
          <w:trHeight w:val="113"/>
        </w:trPr>
        <w:tc>
          <w:tcPr>
            <w:tcW w:w="2080" w:type="dxa"/>
            <w:vAlign w:val="bottom"/>
            <w:vMerge w:val="restart"/>
          </w:tcPr>
          <w:p>
            <w:pPr>
              <w:ind w:left="80"/>
              <w:spacing w:after="0"/>
              <w:rPr>
                <w:sz w:val="20"/>
                <w:szCs w:val="20"/>
                <w:color w:val="auto"/>
              </w:rPr>
            </w:pPr>
            <w:r>
              <w:rPr>
                <w:rFonts w:ascii="Arial" w:cs="Arial" w:eastAsia="Arial" w:hAnsi="Arial"/>
                <w:sz w:val="10"/>
                <w:szCs w:val="10"/>
                <w:b w:val="1"/>
                <w:bCs w:val="1"/>
                <w:color w:val="CE2C2F"/>
              </w:rPr>
              <w:t>Incentive Targets</w:t>
            </w:r>
          </w:p>
        </w:tc>
        <w:tc>
          <w:tcPr>
            <w:tcW w:w="5260" w:type="dxa"/>
            <w:vAlign w:val="bottom"/>
          </w:tcPr>
          <w:p>
            <w:pPr>
              <w:ind w:left="220"/>
              <w:spacing w:after="0" w:line="114" w:lineRule="exact"/>
              <w:rPr>
                <w:sz w:val="20"/>
                <w:szCs w:val="20"/>
                <w:color w:val="auto"/>
              </w:rPr>
            </w:pPr>
            <w:r>
              <w:rPr>
                <w:rFonts w:ascii="Arial" w:cs="Arial" w:eastAsia="Arial" w:hAnsi="Arial"/>
                <w:sz w:val="10"/>
                <w:szCs w:val="10"/>
                <w:color w:val="auto"/>
              </w:rPr>
              <w:t>Annual Incentive Plan targets are based on the financial plan that is reviewed by the Finance Committee and</w:t>
            </w:r>
          </w:p>
        </w:tc>
        <w:tc>
          <w:tcPr>
            <w:tcW w:w="0" w:type="dxa"/>
            <w:vAlign w:val="bottom"/>
          </w:tcPr>
          <w:p>
            <w:pPr>
              <w:spacing w:after="0"/>
              <w:rPr>
                <w:sz w:val="1"/>
                <w:szCs w:val="1"/>
                <w:color w:val="auto"/>
              </w:rPr>
            </w:pPr>
          </w:p>
        </w:tc>
      </w:tr>
      <w:tr>
        <w:trPr>
          <w:trHeight w:val="75"/>
        </w:trPr>
        <w:tc>
          <w:tcPr>
            <w:tcW w:w="2080" w:type="dxa"/>
            <w:vAlign w:val="bottom"/>
            <w:vMerge w:val="continue"/>
          </w:tcPr>
          <w:p>
            <w:pPr>
              <w:spacing w:after="0"/>
              <w:rPr>
                <w:sz w:val="6"/>
                <w:szCs w:val="6"/>
                <w:color w:val="auto"/>
              </w:rPr>
            </w:pPr>
          </w:p>
        </w:tc>
        <w:tc>
          <w:tcPr>
            <w:tcW w:w="5260" w:type="dxa"/>
            <w:vAlign w:val="bottom"/>
            <w:vMerge w:val="restart"/>
          </w:tcPr>
          <w:p>
            <w:pPr>
              <w:ind w:left="220"/>
              <w:spacing w:after="0"/>
              <w:rPr>
                <w:sz w:val="20"/>
                <w:szCs w:val="20"/>
                <w:color w:val="auto"/>
              </w:rPr>
            </w:pPr>
            <w:r>
              <w:rPr>
                <w:rFonts w:ascii="Arial" w:cs="Arial" w:eastAsia="Arial" w:hAnsi="Arial"/>
                <w:sz w:val="10"/>
                <w:szCs w:val="10"/>
                <w:color w:val="auto"/>
              </w:rPr>
              <w:t>approved by the Board.</w:t>
            </w:r>
          </w:p>
        </w:tc>
        <w:tc>
          <w:tcPr>
            <w:tcW w:w="0" w:type="dxa"/>
            <w:vAlign w:val="bottom"/>
          </w:tcPr>
          <w:p>
            <w:pPr>
              <w:spacing w:after="0"/>
              <w:rPr>
                <w:sz w:val="1"/>
                <w:szCs w:val="1"/>
                <w:color w:val="auto"/>
              </w:rPr>
            </w:pPr>
          </w:p>
        </w:tc>
      </w:tr>
      <w:tr>
        <w:trPr>
          <w:trHeight w:val="53"/>
        </w:trPr>
        <w:tc>
          <w:tcPr>
            <w:tcW w:w="2080" w:type="dxa"/>
            <w:vAlign w:val="bottom"/>
            <w:tcBorders>
              <w:bottom w:val="single" w:sz="8" w:color="999999"/>
            </w:tcBorders>
          </w:tcPr>
          <w:p>
            <w:pPr>
              <w:spacing w:after="0"/>
              <w:rPr>
                <w:sz w:val="4"/>
                <w:szCs w:val="4"/>
                <w:color w:val="auto"/>
              </w:rPr>
            </w:pPr>
          </w:p>
        </w:tc>
        <w:tc>
          <w:tcPr>
            <w:tcW w:w="5260" w:type="dxa"/>
            <w:vAlign w:val="bottom"/>
            <w:tcBorders>
              <w:bottom w:val="single" w:sz="8" w:color="999999"/>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80" w:type="dxa"/>
            <w:vAlign w:val="bottom"/>
            <w:tcBorders>
              <w:bottom w:val="single" w:sz="8" w:color="999999"/>
            </w:tcBorders>
          </w:tcPr>
          <w:p>
            <w:pPr>
              <w:ind w:left="80"/>
              <w:spacing w:after="0"/>
              <w:rPr>
                <w:sz w:val="20"/>
                <w:szCs w:val="20"/>
                <w:color w:val="auto"/>
              </w:rPr>
            </w:pPr>
            <w:r>
              <w:rPr>
                <w:rFonts w:ascii="Arial" w:cs="Arial" w:eastAsia="Arial" w:hAnsi="Arial"/>
                <w:sz w:val="10"/>
                <w:szCs w:val="10"/>
                <w:b w:val="1"/>
                <w:bCs w:val="1"/>
                <w:color w:val="CE2C2F"/>
              </w:rPr>
              <w:t>Annual Incentive Payout Caps</w:t>
            </w:r>
          </w:p>
        </w:tc>
        <w:tc>
          <w:tcPr>
            <w:tcW w:w="5260" w:type="dxa"/>
            <w:vAlign w:val="bottom"/>
            <w:tcBorders>
              <w:bottom w:val="single" w:sz="8" w:color="999999"/>
            </w:tcBorders>
          </w:tcPr>
          <w:p>
            <w:pPr>
              <w:ind w:left="220"/>
              <w:spacing w:after="0"/>
              <w:rPr>
                <w:sz w:val="20"/>
                <w:szCs w:val="20"/>
                <w:color w:val="auto"/>
              </w:rPr>
            </w:pPr>
            <w:r>
              <w:rPr>
                <w:rFonts w:ascii="Arial" w:cs="Arial" w:eastAsia="Arial" w:hAnsi="Arial"/>
                <w:sz w:val="10"/>
                <w:szCs w:val="10"/>
                <w:color w:val="auto"/>
              </w:rPr>
              <w:t>Annual incentive payouts to executives are capped and do not include excessive leverage.</w:t>
            </w:r>
          </w:p>
        </w:tc>
        <w:tc>
          <w:tcPr>
            <w:tcW w:w="0" w:type="dxa"/>
            <w:vAlign w:val="bottom"/>
          </w:tcPr>
          <w:p>
            <w:pPr>
              <w:spacing w:after="0"/>
              <w:rPr>
                <w:sz w:val="1"/>
                <w:szCs w:val="1"/>
                <w:color w:val="auto"/>
              </w:rPr>
            </w:pPr>
          </w:p>
        </w:tc>
      </w:tr>
      <w:tr>
        <w:trPr>
          <w:trHeight w:val="133"/>
        </w:trPr>
        <w:tc>
          <w:tcPr>
            <w:tcW w:w="2080" w:type="dxa"/>
            <w:vAlign w:val="bottom"/>
            <w:tcBorders>
              <w:bottom w:val="single" w:sz="8" w:color="FF0000"/>
            </w:tcBorders>
          </w:tcPr>
          <w:p>
            <w:pPr>
              <w:ind w:left="80"/>
              <w:spacing w:after="0"/>
              <w:rPr>
                <w:sz w:val="20"/>
                <w:szCs w:val="20"/>
                <w:color w:val="auto"/>
              </w:rPr>
            </w:pPr>
            <w:r>
              <w:rPr>
                <w:rFonts w:ascii="Arial" w:cs="Arial" w:eastAsia="Arial" w:hAnsi="Arial"/>
                <w:sz w:val="10"/>
                <w:szCs w:val="10"/>
                <w:b w:val="1"/>
                <w:bCs w:val="1"/>
                <w:color w:val="CE2C2F"/>
              </w:rPr>
              <w:t>Mix of Components</w:t>
            </w:r>
          </w:p>
        </w:tc>
        <w:tc>
          <w:tcPr>
            <w:tcW w:w="5260" w:type="dxa"/>
            <w:vAlign w:val="bottom"/>
            <w:tcBorders>
              <w:bottom w:val="single" w:sz="8" w:color="FF0000"/>
            </w:tcBorders>
          </w:tcPr>
          <w:p>
            <w:pPr>
              <w:ind w:left="220"/>
              <w:spacing w:after="0"/>
              <w:rPr>
                <w:sz w:val="20"/>
                <w:szCs w:val="20"/>
                <w:color w:val="auto"/>
              </w:rPr>
            </w:pPr>
            <w:r>
              <w:rPr>
                <w:rFonts w:ascii="Arial" w:cs="Arial" w:eastAsia="Arial" w:hAnsi="Arial"/>
                <w:sz w:val="10"/>
                <w:szCs w:val="10"/>
                <w:color w:val="auto"/>
                <w:w w:val="98"/>
              </w:rPr>
              <w:t>We use a mix of annual and long-term incentive components, as well as a mix between the use of cash and equity.</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DELEGATION OF AUTHORITY</w:t>
      </w:r>
    </w:p>
    <w:p>
      <w:pPr>
        <w:spacing w:after="0" w:line="137" w:lineRule="exact"/>
        <w:rPr>
          <w:sz w:val="20"/>
          <w:szCs w:val="20"/>
          <w:color w:val="auto"/>
        </w:rPr>
      </w:pPr>
    </w:p>
    <w:p>
      <w:pPr>
        <w:ind w:left="840" w:right="859"/>
        <w:spacing w:after="0" w:line="243" w:lineRule="auto"/>
        <w:rPr>
          <w:sz w:val="20"/>
          <w:szCs w:val="20"/>
          <w:color w:val="auto"/>
        </w:rPr>
      </w:pPr>
      <w:r>
        <w:rPr>
          <w:rFonts w:ascii="Arial" w:cs="Arial" w:eastAsia="Arial" w:hAnsi="Arial"/>
          <w:sz w:val="11"/>
          <w:szCs w:val="11"/>
          <w:color w:val="auto"/>
        </w:rPr>
        <w:t>The Human Capital Committee currently has delegated authority to its Chair to approve, between committee meetings, RSU awards up to 7,500 RSUs per individual award and stock option awards up to 25,000 shares per individual award, in both cases only to executives who are not corporate or executive officers of the Company, or general managers. It is expected that the Chair would use this authority to approve awards made during the course of the year in connection with promotions, new hires, or special retention purposes. Options are priced at fair market value on the date the Chair signs the approval, which is the grant date for awards made under this delegation authority. Similarly, the value of RSU awards is based on the fair market value on the date the Chair signs the approval. The Chair used this authority twice during 2021. The Human Capital Committee has not delegated authority to management to make stock option, RSU, or other equity-based awards.</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ACCOUNTING AND TAX CONSIDERATIONS</w:t>
      </w:r>
    </w:p>
    <w:p>
      <w:pPr>
        <w:spacing w:after="0" w:line="137" w:lineRule="exact"/>
        <w:rPr>
          <w:sz w:val="20"/>
          <w:szCs w:val="20"/>
          <w:color w:val="auto"/>
        </w:rPr>
      </w:pPr>
    </w:p>
    <w:p>
      <w:pPr>
        <w:ind w:left="840" w:right="899"/>
        <w:spacing w:after="0" w:line="248" w:lineRule="auto"/>
        <w:rPr>
          <w:sz w:val="20"/>
          <w:szCs w:val="20"/>
          <w:color w:val="auto"/>
        </w:rPr>
      </w:pPr>
      <w:r>
        <w:rPr>
          <w:rFonts w:ascii="Arial" w:cs="Arial" w:eastAsia="Arial" w:hAnsi="Arial"/>
          <w:sz w:val="11"/>
          <w:szCs w:val="11"/>
          <w:color w:val="auto"/>
        </w:rPr>
        <w:t>While we review both the accounting and tax effects of various components of compensation, these effects are not a significant factor in the Human Capital Committee’s allocation of compensation among the different components. The Human Capital Committee believes that in certain instances it is in the best interests of the Company and our shareholders to have the flexibility to pay compensation that is not tax deductible so that we may provide compensation consistent with our program and objectives.</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2022 COMPENSATION PROGRAM DESIGN CHANGES</w:t>
      </w:r>
    </w:p>
    <w:p>
      <w:pPr>
        <w:spacing w:after="0" w:line="136" w:lineRule="exact"/>
        <w:rPr>
          <w:sz w:val="20"/>
          <w:szCs w:val="20"/>
          <w:color w:val="auto"/>
        </w:rPr>
      </w:pPr>
    </w:p>
    <w:p>
      <w:pPr>
        <w:ind w:left="840" w:right="999"/>
        <w:spacing w:after="0" w:line="273" w:lineRule="auto"/>
        <w:rPr>
          <w:sz w:val="20"/>
          <w:szCs w:val="20"/>
          <w:color w:val="auto"/>
        </w:rPr>
      </w:pPr>
      <w:r>
        <w:rPr>
          <w:rFonts w:ascii="Arial" w:cs="Arial" w:eastAsia="Arial" w:hAnsi="Arial"/>
          <w:sz w:val="10"/>
          <w:szCs w:val="10"/>
          <w:color w:val="auto"/>
        </w:rPr>
        <w:t>In March 2022, the Human Capital Committee established the performance goals under the Annual Incentive Plan for the 2022 fiscal year and PSU awards for the performance period beginning in 2022. Under the Annual Incentive Plan, the goals are based (a) 80% on Adjusted Pre-Tax Income, and</w:t>
      </w:r>
    </w:p>
    <w:p>
      <w:pPr>
        <w:ind w:left="840" w:right="839" w:hanging="8"/>
        <w:spacing w:after="0"/>
        <w:tabs>
          <w:tab w:leader="none" w:pos="1002" w:val="left"/>
        </w:tabs>
        <w:numPr>
          <w:ilvl w:val="0"/>
          <w:numId w:val="109"/>
        </w:numPr>
        <w:rPr>
          <w:rFonts w:ascii="Arial" w:cs="Arial" w:eastAsia="Arial" w:hAnsi="Arial"/>
          <w:sz w:val="11"/>
          <w:szCs w:val="11"/>
          <w:color w:val="auto"/>
        </w:rPr>
      </w:pPr>
      <w:r>
        <w:rPr>
          <w:rFonts w:ascii="Arial" w:cs="Arial" w:eastAsia="Arial" w:hAnsi="Arial"/>
          <w:sz w:val="11"/>
          <w:szCs w:val="11"/>
          <w:color w:val="auto"/>
        </w:rPr>
        <w:t>20% on NPS. Under the PSU awards, the preliminary goals are based (a) 70% on Two-Year Average After-Tax Income, and (b) 30% on Two-Year Average ROIC. The preliminary PSU payout would be adjusted by a TSR modifier, to represent the Company’s TSR percent rank over a three-year performance period commencing at the beginning of the 2022 fiscal year relative to the companies in the S&amp;P 1500 Specialty Retail Index, such that it is multiplied by between 75% for TSR below the 30th percentile to 125% for TSR above the 80th percentile. The TSR modifier is designed to enhance the alignment of internal incentive plan payouts with changes in external shareholder value. Additionally, recognizing the Company’s change in vendor mix and expected substantial investments in the business, the Human Capital Committee reduced the maximum payouts to 150% of target from 200% in prior years for participants under the Annual Incentive Plan and PSU awards (notwithstanding the TSR modifier), respectively, to ensure alignment between management’s payouts and shareholders’ expectations if the target goals are exceeded. The Human Capital Committee believes that the introduction of a TSR modifier to the PSU awards and a reduction in the maximum payouts under the Annual Incentive Plan and PSU awards are appropriate in a year in which all parties–management and shareholders–are making important investments in our Company’s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76200</wp:posOffset>
            </wp:positionV>
            <wp:extent cx="365760" cy="2171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104" w:lineRule="exact"/>
        <w:rPr>
          <w:sz w:val="20"/>
          <w:szCs w:val="20"/>
          <w:color w:val="auto"/>
        </w:rPr>
      </w:pPr>
    </w:p>
    <w:p>
      <w:pPr>
        <w:ind w:left="1520" w:hanging="460"/>
        <w:spacing w:after="0"/>
        <w:tabs>
          <w:tab w:leader="none" w:pos="1520" w:val="left"/>
        </w:tabs>
        <w:numPr>
          <w:ilvl w:val="0"/>
          <w:numId w:val="110"/>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74" w:name="page75"/>
    <w:bookmarkEnd w:id="74"/>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HUMAN CAPITAL COMMITTEE REPORT</w:t>
      </w:r>
    </w:p>
    <w:p>
      <w:pPr>
        <w:spacing w:after="0" w:line="145" w:lineRule="exact"/>
        <w:rPr>
          <w:sz w:val="20"/>
          <w:szCs w:val="20"/>
          <w:color w:val="auto"/>
        </w:rPr>
      </w:pPr>
    </w:p>
    <w:p>
      <w:pPr>
        <w:ind w:left="1980" w:right="2100"/>
        <w:spacing w:after="0" w:line="268" w:lineRule="auto"/>
        <w:rPr>
          <w:sz w:val="20"/>
          <w:szCs w:val="20"/>
          <w:color w:val="auto"/>
        </w:rPr>
      </w:pPr>
      <w:r>
        <w:rPr>
          <w:rFonts w:ascii="Arial" w:cs="Arial" w:eastAsia="Arial" w:hAnsi="Arial"/>
          <w:sz w:val="11"/>
          <w:szCs w:val="11"/>
          <w:color w:val="auto"/>
        </w:rPr>
        <w:t>The Human Capital Committee has reviewed and discussed the CD&amp;A with management and, based on that review and discussion, has recommended to the Board that the CD&amp;A be included in this Proxy Statement.</w:t>
      </w:r>
    </w:p>
    <w:p>
      <w:pPr>
        <w:spacing w:after="0" w:line="8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MEMBERS OF THE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92075</wp:posOffset>
            </wp:positionV>
            <wp:extent cx="2011680" cy="794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11680" cy="79438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92075</wp:posOffset>
            </wp:positionV>
            <wp:extent cx="754380" cy="794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54380" cy="79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Arial" w:cs="Arial" w:eastAsia="Arial" w:hAnsi="Arial"/>
                <w:sz w:val="14"/>
                <w:szCs w:val="14"/>
                <w:b w:val="1"/>
                <w:bCs w:val="1"/>
                <w:color w:val="D60011"/>
              </w:rPr>
              <w:t>KIMBERLY</w:t>
            </w:r>
          </w:p>
        </w:tc>
        <w:tc>
          <w:tcPr>
            <w:tcW w:w="1780" w:type="dxa"/>
            <w:vAlign w:val="bottom"/>
          </w:tcPr>
          <w:p>
            <w:pPr>
              <w:ind w:left="500"/>
              <w:spacing w:after="0"/>
              <w:rPr>
                <w:sz w:val="20"/>
                <w:szCs w:val="20"/>
                <w:color w:val="auto"/>
              </w:rPr>
            </w:pPr>
            <w:r>
              <w:rPr>
                <w:rFonts w:ascii="Arial" w:cs="Arial" w:eastAsia="Arial" w:hAnsi="Arial"/>
                <w:sz w:val="14"/>
                <w:szCs w:val="14"/>
                <w:b w:val="1"/>
                <w:bCs w:val="1"/>
                <w:color w:val="auto"/>
              </w:rPr>
              <w:t>ALAN D.</w:t>
            </w:r>
          </w:p>
        </w:tc>
        <w:tc>
          <w:tcPr>
            <w:tcW w:w="2020" w:type="dxa"/>
            <w:vAlign w:val="bottom"/>
          </w:tcPr>
          <w:p>
            <w:pPr>
              <w:ind w:left="560"/>
              <w:spacing w:after="0"/>
              <w:rPr>
                <w:sz w:val="20"/>
                <w:szCs w:val="20"/>
                <w:color w:val="auto"/>
              </w:rPr>
            </w:pPr>
            <w:r>
              <w:rPr>
                <w:rFonts w:ascii="Arial" w:cs="Arial" w:eastAsia="Arial" w:hAnsi="Arial"/>
                <w:sz w:val="14"/>
                <w:szCs w:val="14"/>
                <w:b w:val="1"/>
                <w:bCs w:val="1"/>
                <w:color w:val="auto"/>
              </w:rPr>
              <w:t>GUILLERMO G.</w:t>
            </w: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DARLENE</w:t>
            </w:r>
          </w:p>
        </w:tc>
      </w:tr>
      <w:tr>
        <w:trPr>
          <w:trHeight w:val="198"/>
        </w:trPr>
        <w:tc>
          <w:tcPr>
            <w:tcW w:w="1320" w:type="dxa"/>
            <w:vAlign w:val="bottom"/>
          </w:tcPr>
          <w:p>
            <w:pPr>
              <w:spacing w:after="0"/>
              <w:rPr>
                <w:sz w:val="20"/>
                <w:szCs w:val="20"/>
                <w:color w:val="auto"/>
              </w:rPr>
            </w:pPr>
            <w:r>
              <w:rPr>
                <w:rFonts w:ascii="Arial" w:cs="Arial" w:eastAsia="Arial" w:hAnsi="Arial"/>
                <w:sz w:val="14"/>
                <w:szCs w:val="14"/>
                <w:b w:val="1"/>
                <w:bCs w:val="1"/>
                <w:color w:val="D60011"/>
              </w:rPr>
              <w:t>UNDERHILL</w:t>
            </w:r>
          </w:p>
        </w:tc>
        <w:tc>
          <w:tcPr>
            <w:tcW w:w="1780" w:type="dxa"/>
            <w:vAlign w:val="bottom"/>
          </w:tcPr>
          <w:p>
            <w:pPr>
              <w:ind w:left="500"/>
              <w:spacing w:after="0"/>
              <w:rPr>
                <w:sz w:val="20"/>
                <w:szCs w:val="20"/>
                <w:color w:val="auto"/>
              </w:rPr>
            </w:pPr>
            <w:r>
              <w:rPr>
                <w:rFonts w:ascii="Arial" w:cs="Arial" w:eastAsia="Arial" w:hAnsi="Arial"/>
                <w:sz w:val="14"/>
                <w:szCs w:val="14"/>
                <w:b w:val="1"/>
                <w:bCs w:val="1"/>
                <w:color w:val="auto"/>
              </w:rPr>
              <w:t>FELDMAN</w:t>
            </w:r>
          </w:p>
        </w:tc>
        <w:tc>
          <w:tcPr>
            <w:tcW w:w="2020" w:type="dxa"/>
            <w:vAlign w:val="bottom"/>
          </w:tcPr>
          <w:p>
            <w:pPr>
              <w:ind w:left="560"/>
              <w:spacing w:after="0"/>
              <w:rPr>
                <w:sz w:val="20"/>
                <w:szCs w:val="20"/>
                <w:color w:val="auto"/>
              </w:rPr>
            </w:pPr>
            <w:r>
              <w:rPr>
                <w:rFonts w:ascii="Arial" w:cs="Arial" w:eastAsia="Arial" w:hAnsi="Arial"/>
                <w:sz w:val="14"/>
                <w:szCs w:val="14"/>
                <w:b w:val="1"/>
                <w:bCs w:val="1"/>
                <w:color w:val="auto"/>
              </w:rPr>
              <w:t>MARMOL</w:t>
            </w: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NICOSIA</w:t>
            </w:r>
          </w:p>
        </w:tc>
      </w:tr>
      <w:tr>
        <w:trPr>
          <w:trHeight w:val="247"/>
        </w:trPr>
        <w:tc>
          <w:tcPr>
            <w:tcW w:w="1320" w:type="dxa"/>
            <w:vAlign w:val="bottom"/>
          </w:tcPr>
          <w:p>
            <w:pPr>
              <w:spacing w:after="0"/>
              <w:rPr>
                <w:sz w:val="20"/>
                <w:szCs w:val="20"/>
                <w:color w:val="auto"/>
              </w:rPr>
            </w:pPr>
            <w:r>
              <w:rPr>
                <w:rFonts w:ascii="Arial" w:cs="Arial" w:eastAsia="Arial" w:hAnsi="Arial"/>
                <w:sz w:val="11"/>
                <w:szCs w:val="11"/>
                <w:b w:val="1"/>
                <w:bCs w:val="1"/>
                <w:color w:val="auto"/>
              </w:rPr>
              <w:t>Chair</w:t>
            </w:r>
          </w:p>
        </w:tc>
        <w:tc>
          <w:tcPr>
            <w:tcW w:w="1780" w:type="dxa"/>
            <w:vAlign w:val="bottom"/>
          </w:tcPr>
          <w:p>
            <w:pPr>
              <w:ind w:left="500"/>
              <w:spacing w:after="0"/>
              <w:rPr>
                <w:sz w:val="20"/>
                <w:szCs w:val="20"/>
                <w:color w:val="auto"/>
              </w:rPr>
            </w:pPr>
            <w:r>
              <w:rPr>
                <w:rFonts w:ascii="Arial" w:cs="Arial" w:eastAsia="Arial" w:hAnsi="Arial"/>
                <w:sz w:val="11"/>
                <w:szCs w:val="11"/>
                <w:b w:val="1"/>
                <w:bCs w:val="1"/>
                <w:color w:val="auto"/>
              </w:rPr>
              <w:t>Member</w:t>
            </w:r>
          </w:p>
        </w:tc>
        <w:tc>
          <w:tcPr>
            <w:tcW w:w="2020" w:type="dxa"/>
            <w:vAlign w:val="bottom"/>
          </w:tcPr>
          <w:p>
            <w:pPr>
              <w:ind w:left="560"/>
              <w:spacing w:after="0"/>
              <w:rPr>
                <w:sz w:val="20"/>
                <w:szCs w:val="20"/>
                <w:color w:val="auto"/>
              </w:rPr>
            </w:pPr>
            <w:r>
              <w:rPr>
                <w:rFonts w:ascii="Arial" w:cs="Arial" w:eastAsia="Arial" w:hAnsi="Arial"/>
                <w:sz w:val="11"/>
                <w:szCs w:val="11"/>
                <w:b w:val="1"/>
                <w:bCs w:val="1"/>
                <w:color w:val="auto"/>
              </w:rPr>
              <w:t>Member</w:t>
            </w:r>
          </w:p>
        </w:tc>
        <w:tc>
          <w:tcPr>
            <w:tcW w:w="1080" w:type="dxa"/>
            <w:vAlign w:val="bottom"/>
          </w:tcPr>
          <w:p>
            <w:pPr>
              <w:ind w:left="380"/>
              <w:spacing w:after="0"/>
              <w:rPr>
                <w:sz w:val="20"/>
                <w:szCs w:val="20"/>
                <w:color w:val="auto"/>
              </w:rPr>
            </w:pPr>
            <w:r>
              <w:rPr>
                <w:rFonts w:ascii="Arial" w:cs="Arial" w:eastAsia="Arial" w:hAnsi="Arial"/>
                <w:sz w:val="11"/>
                <w:szCs w:val="11"/>
                <w:b w:val="1"/>
                <w:bCs w:val="1"/>
                <w:color w:val="auto"/>
              </w:rPr>
              <w:t>Member</w:t>
            </w:r>
          </w:p>
        </w:tc>
      </w:tr>
    </w:tbl>
    <w:p>
      <w:pPr>
        <w:spacing w:after="0" w:line="88" w:lineRule="exact"/>
        <w:rPr>
          <w:sz w:val="20"/>
          <w:szCs w:val="20"/>
          <w:color w:val="auto"/>
        </w:rPr>
      </w:pPr>
    </w:p>
    <w:p>
      <w:pPr>
        <w:ind w:left="1980" w:right="2580"/>
        <w:spacing w:after="0" w:line="288" w:lineRule="auto"/>
        <w:rPr>
          <w:sz w:val="20"/>
          <w:szCs w:val="20"/>
          <w:color w:val="auto"/>
        </w:rPr>
      </w:pPr>
      <w:r>
        <w:rPr>
          <w:rFonts w:ascii="Arial" w:cs="Arial" w:eastAsia="Arial" w:hAnsi="Arial"/>
          <w:sz w:val="24"/>
          <w:szCs w:val="24"/>
          <w:b w:val="1"/>
          <w:bCs w:val="1"/>
          <w:color w:val="auto"/>
        </w:rPr>
        <w:t>HUMAN CAPITAL COMMITTEE INTERLOCKS AND INSIDER PARTICIPATION</w:t>
      </w:r>
    </w:p>
    <w:p>
      <w:pPr>
        <w:spacing w:after="0" w:line="38" w:lineRule="exact"/>
        <w:rPr>
          <w:sz w:val="20"/>
          <w:szCs w:val="20"/>
          <w:color w:val="auto"/>
        </w:rPr>
      </w:pPr>
    </w:p>
    <w:p>
      <w:pPr>
        <w:ind w:left="1980" w:right="2040"/>
        <w:spacing w:after="0" w:line="253" w:lineRule="auto"/>
        <w:rPr>
          <w:sz w:val="20"/>
          <w:szCs w:val="20"/>
          <w:color w:val="auto"/>
        </w:rPr>
      </w:pPr>
      <w:r>
        <w:rPr>
          <w:rFonts w:ascii="Arial" w:cs="Arial" w:eastAsia="Arial" w:hAnsi="Arial"/>
          <w:sz w:val="11"/>
          <w:szCs w:val="11"/>
          <w:color w:val="auto"/>
        </w:rPr>
        <w:t>Ms. Underhill, Mr. Feldman, Mr. Marmol, and Ms. Nicosia served on the Human Capital Committee during 2021. In addition, Ms. Clark served on the Human Capital Committee during 2021 prior to her retirement in May 2021. None of the committee members was an officer or employee of the Company or any of its subsidiaries, and there were no interlocks with other companies within the meaning of the SEC’s proxy rules.</w:t>
      </w:r>
    </w:p>
    <w:p>
      <w:pPr>
        <w:spacing w:after="0" w:line="88"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COMPENSATION AND RISK</w:t>
      </w:r>
    </w:p>
    <w:p>
      <w:pPr>
        <w:spacing w:after="0" w:line="145" w:lineRule="exact"/>
        <w:rPr>
          <w:sz w:val="20"/>
          <w:szCs w:val="20"/>
          <w:color w:val="auto"/>
        </w:rPr>
      </w:pPr>
    </w:p>
    <w:p>
      <w:pPr>
        <w:ind w:left="1980" w:right="2120"/>
        <w:spacing w:after="0" w:line="243" w:lineRule="auto"/>
        <w:rPr>
          <w:sz w:val="20"/>
          <w:szCs w:val="20"/>
          <w:color w:val="auto"/>
        </w:rPr>
      </w:pPr>
      <w:r>
        <w:rPr>
          <w:rFonts w:ascii="Arial" w:cs="Arial" w:eastAsia="Arial" w:hAnsi="Arial"/>
          <w:sz w:val="11"/>
          <w:szCs w:val="11"/>
          <w:color w:val="auto"/>
        </w:rPr>
        <w:t>The Company has completed a risk-related review and assessment of our compensation program and concluded that our compensation policies and practices, including executive compensation, are not reasonably likely to result in a material adverse effect on the Company. As part of this review, the independent compensation consultant to the Human Capital Committee reviewed risk in relation to the Company’s compensation policies and practices with the Company’s human resources executives directly involved in compensation matters. The consultant reviewed the compensation policies and practices in effect for corporate and division team members through the manager level, store managers, and store team members, and reviewed the features we have built into the compensation programs to discourage excessive risk taking by team members, including a balance between different elements of compensation, differing time periods for different elements, consistent Company-wide programs, plan performance targets based on the corporate budgeting process, and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74930</wp:posOffset>
            </wp:positionV>
            <wp:extent cx="365760" cy="2228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69</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75" w:name="page76"/>
    <w:bookmarkEnd w:id="7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2700" w:type="dxa"/>
            <w:vAlign w:val="bottom"/>
          </w:tcPr>
          <w:p>
            <w:pPr>
              <w:spacing w:after="0"/>
              <w:rPr>
                <w:sz w:val="20"/>
                <w:szCs w:val="20"/>
                <w:color w:val="auto"/>
              </w:rPr>
            </w:pPr>
            <w:r>
              <w:rPr>
                <w:rFonts w:ascii="Arial" w:cs="Arial" w:eastAsia="Arial" w:hAnsi="Arial"/>
                <w:sz w:val="10"/>
                <w:szCs w:val="10"/>
                <w:b w:val="1"/>
                <w:bCs w:val="1"/>
                <w:color w:val="D60010"/>
              </w:rPr>
              <w:t>EXECUTIVE COMPENSATION</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0" w:type="dxa"/>
            <w:vAlign w:val="bottom"/>
            <w:gridSpan w:val="2"/>
          </w:tcPr>
          <w:p>
            <w:pPr>
              <w:jc w:val="right"/>
              <w:spacing w:after="0"/>
              <w:rPr>
                <w:sz w:val="20"/>
                <w:szCs w:val="20"/>
                <w:color w:val="auto"/>
              </w:rPr>
            </w:pPr>
            <w:r>
              <w:rPr>
                <w:rFonts w:ascii="Arial" w:cs="Arial" w:eastAsia="Arial" w:hAnsi="Arial"/>
                <w:sz w:val="10"/>
                <w:szCs w:val="10"/>
                <w:b w:val="1"/>
                <w:bCs w:val="1"/>
                <w:color w:val="D60010"/>
              </w:rPr>
              <w:t>EXECUTIVE COMPENSATION</w:t>
            </w:r>
          </w:p>
        </w:tc>
        <w:tc>
          <w:tcPr>
            <w:tcW w:w="0" w:type="dxa"/>
            <w:vAlign w:val="bottom"/>
          </w:tcPr>
          <w:p>
            <w:pPr>
              <w:spacing w:after="0"/>
              <w:rPr>
                <w:sz w:val="1"/>
                <w:szCs w:val="1"/>
                <w:color w:val="auto"/>
              </w:rPr>
            </w:pPr>
          </w:p>
        </w:tc>
      </w:tr>
      <w:tr>
        <w:trPr>
          <w:trHeight w:val="414"/>
        </w:trPr>
        <w:tc>
          <w:tcPr>
            <w:tcW w:w="4560" w:type="dxa"/>
            <w:vAlign w:val="bottom"/>
            <w:gridSpan w:val="4"/>
          </w:tcPr>
          <w:p>
            <w:pPr>
              <w:spacing w:after="0"/>
              <w:rPr>
                <w:sz w:val="20"/>
                <w:szCs w:val="20"/>
                <w:color w:val="auto"/>
              </w:rPr>
            </w:pPr>
            <w:r>
              <w:rPr>
                <w:rFonts w:ascii="Arial" w:cs="Arial" w:eastAsia="Arial" w:hAnsi="Arial"/>
                <w:sz w:val="24"/>
                <w:szCs w:val="24"/>
                <w:b w:val="1"/>
                <w:bCs w:val="1"/>
                <w:color w:val="auto"/>
              </w:rPr>
              <w:t>SUMMARY COMPENSATION TABLE</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(a)</w:t>
            </w:r>
          </w:p>
        </w:tc>
        <w:tc>
          <w:tcPr>
            <w:tcW w:w="520" w:type="dxa"/>
            <w:vAlign w:val="bottom"/>
            <w:tcBorders>
              <w:bottom w:val="single" w:sz="8" w:color="D60011"/>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70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b w:val="1"/>
                <w:bCs w:val="1"/>
                <w:color w:val="auto"/>
              </w:rPr>
              <w:t>(c)</w:t>
            </w:r>
          </w:p>
        </w:tc>
        <w:tc>
          <w:tcPr>
            <w:tcW w:w="640" w:type="dxa"/>
            <w:vAlign w:val="bottom"/>
            <w:tcBorders>
              <w:bottom w:val="single" w:sz="8" w:color="D60011"/>
            </w:tcBorders>
          </w:tcPr>
          <w:p>
            <w:pPr>
              <w:jc w:val="right"/>
              <w:ind w:right="132"/>
              <w:spacing w:after="0"/>
              <w:rPr>
                <w:sz w:val="20"/>
                <w:szCs w:val="20"/>
                <w:color w:val="auto"/>
              </w:rPr>
            </w:pPr>
            <w:r>
              <w:rPr>
                <w:rFonts w:ascii="Arial" w:cs="Arial" w:eastAsia="Arial" w:hAnsi="Arial"/>
                <w:sz w:val="10"/>
                <w:szCs w:val="10"/>
                <w:b w:val="1"/>
                <w:bCs w:val="1"/>
                <w:color w:val="auto"/>
              </w:rPr>
              <w:t>(d)</w:t>
            </w:r>
          </w:p>
        </w:tc>
        <w:tc>
          <w:tcPr>
            <w:tcW w:w="680" w:type="dxa"/>
            <w:vAlign w:val="bottom"/>
            <w:tcBorders>
              <w:bottom w:val="single" w:sz="8" w:color="D60011"/>
            </w:tcBorders>
          </w:tcPr>
          <w:p>
            <w:pPr>
              <w:jc w:val="right"/>
              <w:ind w:right="13"/>
              <w:spacing w:after="0"/>
              <w:rPr>
                <w:sz w:val="20"/>
                <w:szCs w:val="20"/>
                <w:color w:val="auto"/>
              </w:rPr>
            </w:pPr>
            <w:r>
              <w:rPr>
                <w:rFonts w:ascii="Arial" w:cs="Arial" w:eastAsia="Arial" w:hAnsi="Arial"/>
                <w:sz w:val="10"/>
                <w:szCs w:val="10"/>
                <w:b w:val="1"/>
                <w:bCs w:val="1"/>
                <w:color w:val="auto"/>
              </w:rPr>
              <w:t>(e)</w:t>
            </w:r>
          </w:p>
        </w:tc>
        <w:tc>
          <w:tcPr>
            <w:tcW w:w="820" w:type="dxa"/>
            <w:vAlign w:val="bottom"/>
            <w:tcBorders>
              <w:bottom w:val="single" w:sz="8" w:color="D60011"/>
            </w:tcBorders>
          </w:tcPr>
          <w:p>
            <w:pPr>
              <w:jc w:val="right"/>
              <w:ind w:right="272"/>
              <w:spacing w:after="0"/>
              <w:rPr>
                <w:sz w:val="20"/>
                <w:szCs w:val="20"/>
                <w:color w:val="auto"/>
              </w:rPr>
            </w:pPr>
            <w:r>
              <w:rPr>
                <w:rFonts w:ascii="Arial" w:cs="Arial" w:eastAsia="Arial" w:hAnsi="Arial"/>
                <w:sz w:val="10"/>
                <w:szCs w:val="10"/>
                <w:b w:val="1"/>
                <w:bCs w:val="1"/>
                <w:color w:val="auto"/>
              </w:rPr>
              <w:t>(f)</w:t>
            </w:r>
          </w:p>
        </w:tc>
        <w:tc>
          <w:tcPr>
            <w:tcW w:w="1520" w:type="dxa"/>
            <w:vAlign w:val="bottom"/>
            <w:tcBorders>
              <w:bottom w:val="single" w:sz="8" w:color="D60011"/>
            </w:tcBorders>
          </w:tcPr>
          <w:p>
            <w:pPr>
              <w:jc w:val="right"/>
              <w:ind w:right="213"/>
              <w:spacing w:after="0"/>
              <w:rPr>
                <w:sz w:val="20"/>
                <w:szCs w:val="20"/>
                <w:color w:val="auto"/>
              </w:rPr>
            </w:pPr>
            <w:r>
              <w:rPr>
                <w:rFonts w:ascii="Arial" w:cs="Arial" w:eastAsia="Arial" w:hAnsi="Arial"/>
                <w:sz w:val="10"/>
                <w:szCs w:val="10"/>
                <w:b w:val="1"/>
                <w:bCs w:val="1"/>
                <w:color w:val="auto"/>
              </w:rPr>
              <w:t>(g)</w:t>
            </w:r>
          </w:p>
        </w:tc>
        <w:tc>
          <w:tcPr>
            <w:tcW w:w="1720" w:type="dxa"/>
            <w:vAlign w:val="bottom"/>
            <w:tcBorders>
              <w:bottom w:val="single" w:sz="8" w:color="D60011"/>
            </w:tcBorders>
          </w:tcPr>
          <w:p>
            <w:pPr>
              <w:jc w:val="right"/>
              <w:ind w:right="132"/>
              <w:spacing w:after="0"/>
              <w:rPr>
                <w:sz w:val="20"/>
                <w:szCs w:val="20"/>
                <w:color w:val="auto"/>
              </w:rPr>
            </w:pPr>
            <w:r>
              <w:rPr>
                <w:rFonts w:ascii="Arial" w:cs="Arial" w:eastAsia="Arial" w:hAnsi="Arial"/>
                <w:sz w:val="10"/>
                <w:szCs w:val="10"/>
                <w:b w:val="1"/>
                <w:bCs w:val="1"/>
                <w:color w:val="auto"/>
              </w:rPr>
              <w:t>(h)</w:t>
            </w:r>
          </w:p>
        </w:tc>
        <w:tc>
          <w:tcPr>
            <w:tcW w:w="1160" w:type="dxa"/>
            <w:vAlign w:val="bottom"/>
            <w:tcBorders>
              <w:bottom w:val="single" w:sz="8" w:color="D60011"/>
            </w:tcBorders>
          </w:tcPr>
          <w:p>
            <w:pPr>
              <w:jc w:val="right"/>
              <w:ind w:right="272"/>
              <w:spacing w:after="0"/>
              <w:rPr>
                <w:sz w:val="20"/>
                <w:szCs w:val="20"/>
                <w:color w:val="auto"/>
              </w:rPr>
            </w:pPr>
            <w:r>
              <w:rPr>
                <w:rFonts w:ascii="Arial" w:cs="Arial" w:eastAsia="Arial" w:hAnsi="Arial"/>
                <w:sz w:val="10"/>
                <w:szCs w:val="10"/>
                <w:b w:val="1"/>
                <w:bCs w:val="1"/>
                <w:color w:val="auto"/>
              </w:rPr>
              <w:t>(i)</w:t>
            </w:r>
          </w:p>
        </w:tc>
        <w:tc>
          <w:tcPr>
            <w:tcW w:w="840" w:type="dxa"/>
            <w:vAlign w:val="bottom"/>
            <w:tcBorders>
              <w:bottom w:val="single" w:sz="8" w:color="D60011"/>
            </w:tcBorders>
          </w:tcPr>
          <w:p>
            <w:pPr>
              <w:jc w:val="right"/>
              <w:ind w:right="92"/>
              <w:spacing w:after="0"/>
              <w:rPr>
                <w:sz w:val="20"/>
                <w:szCs w:val="20"/>
                <w:color w:val="auto"/>
              </w:rPr>
            </w:pPr>
            <w:r>
              <w:rPr>
                <w:rFonts w:ascii="Arial" w:cs="Arial" w:eastAsia="Arial" w:hAnsi="Arial"/>
                <w:sz w:val="10"/>
                <w:szCs w:val="10"/>
                <w:b w:val="1"/>
                <w:bCs w:val="1"/>
                <w:color w:val="auto"/>
              </w:rPr>
              <w:t>(j)</w:t>
            </w: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720" w:type="dxa"/>
            <w:vAlign w:val="bottom"/>
          </w:tcPr>
          <w:p>
            <w:pPr>
              <w:jc w:val="right"/>
              <w:ind w:right="152"/>
              <w:spacing w:after="0" w:line="109" w:lineRule="exact"/>
              <w:rPr>
                <w:sz w:val="20"/>
                <w:szCs w:val="20"/>
                <w:color w:val="auto"/>
              </w:rPr>
            </w:pPr>
            <w:r>
              <w:rPr>
                <w:rFonts w:ascii="Arial" w:cs="Arial" w:eastAsia="Arial" w:hAnsi="Arial"/>
                <w:sz w:val="10"/>
                <w:szCs w:val="10"/>
                <w:b w:val="1"/>
                <w:bCs w:val="1"/>
                <w:color w:val="auto"/>
              </w:rPr>
              <w:t>Change in Pension Value</w:t>
            </w: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jc w:val="right"/>
              <w:ind w:right="13"/>
              <w:spacing w:after="0" w:line="108" w:lineRule="exact"/>
              <w:rPr>
                <w:sz w:val="20"/>
                <w:szCs w:val="20"/>
                <w:color w:val="auto"/>
              </w:rPr>
            </w:pPr>
            <w:r>
              <w:rPr>
                <w:rFonts w:ascii="Arial" w:cs="Arial" w:eastAsia="Arial" w:hAnsi="Arial"/>
                <w:sz w:val="10"/>
                <w:szCs w:val="10"/>
                <w:b w:val="1"/>
                <w:bCs w:val="1"/>
                <w:color w:val="auto"/>
              </w:rPr>
              <w:t>Stock</w:t>
            </w:r>
          </w:p>
        </w:tc>
        <w:tc>
          <w:tcPr>
            <w:tcW w:w="820" w:type="dxa"/>
            <w:vAlign w:val="bottom"/>
          </w:tcPr>
          <w:p>
            <w:pPr>
              <w:jc w:val="right"/>
              <w:ind w:right="272"/>
              <w:spacing w:after="0" w:line="108" w:lineRule="exact"/>
              <w:rPr>
                <w:sz w:val="20"/>
                <w:szCs w:val="20"/>
                <w:color w:val="auto"/>
              </w:rPr>
            </w:pPr>
            <w:r>
              <w:rPr>
                <w:rFonts w:ascii="Arial" w:cs="Arial" w:eastAsia="Arial" w:hAnsi="Arial"/>
                <w:sz w:val="10"/>
                <w:szCs w:val="10"/>
                <w:b w:val="1"/>
                <w:bCs w:val="1"/>
                <w:color w:val="auto"/>
              </w:rPr>
              <w:t>Option</w:t>
            </w:r>
          </w:p>
        </w:tc>
        <w:tc>
          <w:tcPr>
            <w:tcW w:w="1520" w:type="dxa"/>
            <w:vAlign w:val="bottom"/>
          </w:tcPr>
          <w:p>
            <w:pPr>
              <w:jc w:val="right"/>
              <w:ind w:right="213"/>
              <w:spacing w:after="0" w:line="108" w:lineRule="exact"/>
              <w:rPr>
                <w:sz w:val="20"/>
                <w:szCs w:val="20"/>
                <w:color w:val="auto"/>
              </w:rPr>
            </w:pPr>
            <w:r>
              <w:rPr>
                <w:rFonts w:ascii="Arial" w:cs="Arial" w:eastAsia="Arial" w:hAnsi="Arial"/>
                <w:sz w:val="10"/>
                <w:szCs w:val="10"/>
                <w:b w:val="1"/>
                <w:bCs w:val="1"/>
                <w:color w:val="auto"/>
              </w:rPr>
              <w:t>Non-Equity Incentive</w:t>
            </w:r>
          </w:p>
        </w:tc>
        <w:tc>
          <w:tcPr>
            <w:tcW w:w="1720" w:type="dxa"/>
            <w:vAlign w:val="bottom"/>
          </w:tcPr>
          <w:p>
            <w:pPr>
              <w:jc w:val="right"/>
              <w:ind w:right="152"/>
              <w:spacing w:after="0" w:line="108" w:lineRule="exact"/>
              <w:rPr>
                <w:sz w:val="20"/>
                <w:szCs w:val="20"/>
                <w:color w:val="auto"/>
              </w:rPr>
            </w:pPr>
            <w:r>
              <w:rPr>
                <w:rFonts w:ascii="Arial" w:cs="Arial" w:eastAsia="Arial" w:hAnsi="Arial"/>
                <w:sz w:val="10"/>
                <w:szCs w:val="10"/>
                <w:b w:val="1"/>
                <w:bCs w:val="1"/>
                <w:color w:val="auto"/>
              </w:rPr>
              <w:t>and Non-Qualified Deferred</w:t>
            </w:r>
          </w:p>
        </w:tc>
        <w:tc>
          <w:tcPr>
            <w:tcW w:w="1160" w:type="dxa"/>
            <w:vAlign w:val="bottom"/>
          </w:tcPr>
          <w:p>
            <w:pPr>
              <w:jc w:val="right"/>
              <w:ind w:right="292"/>
              <w:spacing w:after="0" w:line="108" w:lineRule="exact"/>
              <w:rPr>
                <w:sz w:val="20"/>
                <w:szCs w:val="20"/>
                <w:color w:val="auto"/>
              </w:rPr>
            </w:pPr>
            <w:r>
              <w:rPr>
                <w:rFonts w:ascii="Arial" w:cs="Arial" w:eastAsia="Arial" w:hAnsi="Arial"/>
                <w:sz w:val="10"/>
                <w:szCs w:val="10"/>
                <w:b w:val="1"/>
                <w:bCs w:val="1"/>
                <w:color w:val="auto"/>
              </w:rPr>
              <w:t>All Other</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b w:val="1"/>
                <w:bCs w:val="1"/>
                <w:color w:val="auto"/>
              </w:rPr>
              <w:t>Salary</w:t>
            </w:r>
          </w:p>
        </w:tc>
        <w:tc>
          <w:tcPr>
            <w:tcW w:w="640" w:type="dxa"/>
            <w:vAlign w:val="bottom"/>
          </w:tcPr>
          <w:p>
            <w:pPr>
              <w:jc w:val="right"/>
              <w:ind w:right="152"/>
              <w:spacing w:after="0"/>
              <w:rPr>
                <w:sz w:val="20"/>
                <w:szCs w:val="20"/>
                <w:color w:val="auto"/>
              </w:rPr>
            </w:pPr>
            <w:r>
              <w:rPr>
                <w:rFonts w:ascii="Arial" w:cs="Arial" w:eastAsia="Arial" w:hAnsi="Arial"/>
                <w:sz w:val="10"/>
                <w:szCs w:val="10"/>
                <w:b w:val="1"/>
                <w:bCs w:val="1"/>
                <w:color w:val="auto"/>
              </w:rPr>
              <w:t>Bonus</w:t>
            </w:r>
          </w:p>
        </w:tc>
        <w:tc>
          <w:tcPr>
            <w:tcW w:w="680" w:type="dxa"/>
            <w:vAlign w:val="bottom"/>
          </w:tcPr>
          <w:p>
            <w:pPr>
              <w:jc w:val="right"/>
              <w:ind w:right="53"/>
              <w:spacing w:after="0"/>
              <w:rPr>
                <w:sz w:val="20"/>
                <w:szCs w:val="20"/>
                <w:color w:val="auto"/>
              </w:rPr>
            </w:pPr>
            <w:r>
              <w:rPr>
                <w:rFonts w:ascii="Arial" w:cs="Arial" w:eastAsia="Arial" w:hAnsi="Arial"/>
                <w:sz w:val="10"/>
                <w:szCs w:val="10"/>
                <w:b w:val="1"/>
                <w:bCs w:val="1"/>
                <w:color w:val="auto"/>
              </w:rPr>
              <w:t>Awards</w:t>
            </w:r>
          </w:p>
        </w:tc>
        <w:tc>
          <w:tcPr>
            <w:tcW w:w="820" w:type="dxa"/>
            <w:vAlign w:val="bottom"/>
          </w:tcPr>
          <w:p>
            <w:pPr>
              <w:jc w:val="right"/>
              <w:ind w:right="272"/>
              <w:spacing w:after="0"/>
              <w:rPr>
                <w:sz w:val="20"/>
                <w:szCs w:val="20"/>
                <w:color w:val="auto"/>
              </w:rPr>
            </w:pPr>
            <w:r>
              <w:rPr>
                <w:rFonts w:ascii="Arial" w:cs="Arial" w:eastAsia="Arial" w:hAnsi="Arial"/>
                <w:sz w:val="10"/>
                <w:szCs w:val="10"/>
                <w:b w:val="1"/>
                <w:bCs w:val="1"/>
                <w:color w:val="auto"/>
              </w:rPr>
              <w:t>Awards</w:t>
            </w:r>
          </w:p>
        </w:tc>
        <w:tc>
          <w:tcPr>
            <w:tcW w:w="1520" w:type="dxa"/>
            <w:vAlign w:val="bottom"/>
          </w:tcPr>
          <w:p>
            <w:pPr>
              <w:jc w:val="right"/>
              <w:ind w:right="233"/>
              <w:spacing w:after="0"/>
              <w:rPr>
                <w:sz w:val="20"/>
                <w:szCs w:val="20"/>
                <w:color w:val="auto"/>
              </w:rPr>
            </w:pPr>
            <w:r>
              <w:rPr>
                <w:rFonts w:ascii="Arial" w:cs="Arial" w:eastAsia="Arial" w:hAnsi="Arial"/>
                <w:sz w:val="10"/>
                <w:szCs w:val="10"/>
                <w:b w:val="1"/>
                <w:bCs w:val="1"/>
                <w:color w:val="auto"/>
              </w:rPr>
              <w:t>Plan Compensation</w:t>
            </w:r>
          </w:p>
        </w:tc>
        <w:tc>
          <w:tcPr>
            <w:tcW w:w="1720" w:type="dxa"/>
            <w:vAlign w:val="bottom"/>
          </w:tcPr>
          <w:p>
            <w:pPr>
              <w:jc w:val="right"/>
              <w:ind w:right="152"/>
              <w:spacing w:after="0"/>
              <w:rPr>
                <w:sz w:val="20"/>
                <w:szCs w:val="20"/>
                <w:color w:val="auto"/>
              </w:rPr>
            </w:pPr>
            <w:r>
              <w:rPr>
                <w:rFonts w:ascii="Arial" w:cs="Arial" w:eastAsia="Arial" w:hAnsi="Arial"/>
                <w:sz w:val="10"/>
                <w:szCs w:val="10"/>
                <w:b w:val="1"/>
                <w:bCs w:val="1"/>
                <w:color w:val="auto"/>
              </w:rPr>
              <w:t>Compensation Earnings</w:t>
            </w:r>
          </w:p>
        </w:tc>
        <w:tc>
          <w:tcPr>
            <w:tcW w:w="1160" w:type="dxa"/>
            <w:vAlign w:val="bottom"/>
          </w:tcPr>
          <w:p>
            <w:pPr>
              <w:jc w:val="right"/>
              <w:ind w:right="272"/>
              <w:spacing w:after="0"/>
              <w:rPr>
                <w:sz w:val="20"/>
                <w:szCs w:val="20"/>
                <w:color w:val="auto"/>
              </w:rPr>
            </w:pPr>
            <w:r>
              <w:rPr>
                <w:rFonts w:ascii="Arial" w:cs="Arial" w:eastAsia="Arial" w:hAnsi="Arial"/>
                <w:sz w:val="10"/>
                <w:szCs w:val="10"/>
                <w:b w:val="1"/>
                <w:bCs w:val="1"/>
                <w:color w:val="auto"/>
              </w:rPr>
              <w:t>Compensation</w:t>
            </w:r>
          </w:p>
        </w:tc>
        <w:tc>
          <w:tcPr>
            <w:tcW w:w="840" w:type="dxa"/>
            <w:vAlign w:val="bottom"/>
          </w:tcPr>
          <w:p>
            <w:pPr>
              <w:jc w:val="right"/>
              <w:ind w:right="9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4"/>
        </w:trPr>
        <w:tc>
          <w:tcPr>
            <w:tcW w:w="270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Name and Principal Position</w:t>
            </w:r>
          </w:p>
        </w:tc>
        <w:tc>
          <w:tcPr>
            <w:tcW w:w="520" w:type="dxa"/>
            <w:vAlign w:val="bottom"/>
            <w:tcBorders>
              <w:bottom w:val="single" w:sz="8" w:color="E31F25"/>
            </w:tcBorders>
          </w:tcPr>
          <w:p>
            <w:pPr>
              <w:jc w:val="center"/>
              <w:spacing w:after="0"/>
              <w:rPr>
                <w:sz w:val="20"/>
                <w:szCs w:val="20"/>
                <w:color w:val="auto"/>
              </w:rPr>
            </w:pPr>
            <w:r>
              <w:rPr>
                <w:rFonts w:ascii="Arial" w:cs="Arial" w:eastAsia="Arial" w:hAnsi="Arial"/>
                <w:sz w:val="10"/>
                <w:szCs w:val="10"/>
                <w:b w:val="1"/>
                <w:bCs w:val="1"/>
                <w:color w:val="auto"/>
                <w:w w:val="92"/>
              </w:rPr>
              <w:t>Year</w:t>
            </w:r>
          </w:p>
        </w:tc>
        <w:tc>
          <w:tcPr>
            <w:tcW w:w="700" w:type="dxa"/>
            <w:vAlign w:val="bottom"/>
            <w:tcBorders>
              <w:bottom w:val="single" w:sz="8" w:color="E31F25"/>
            </w:tcBorders>
          </w:tcPr>
          <w:p>
            <w:pPr>
              <w:jc w:val="right"/>
              <w:ind w:right="5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(1)</w:t>
            </w:r>
          </w:p>
        </w:tc>
        <w:tc>
          <w:tcPr>
            <w:tcW w:w="640" w:type="dxa"/>
            <w:vAlign w:val="bottom"/>
            <w:tcBorders>
              <w:bottom w:val="single" w:sz="8" w:color="E31F25"/>
            </w:tcBorders>
          </w:tcPr>
          <w:p>
            <w:pPr>
              <w:jc w:val="right"/>
              <w:ind w:right="13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(2)</w:t>
            </w:r>
          </w:p>
        </w:tc>
        <w:tc>
          <w:tcPr>
            <w:tcW w:w="680" w:type="dxa"/>
            <w:vAlign w:val="bottom"/>
            <w:tcBorders>
              <w:bottom w:val="single" w:sz="8" w:color="E31F25"/>
            </w:tcBorders>
          </w:tcPr>
          <w:p>
            <w:pPr>
              <w:jc w:val="right"/>
              <w:ind w:right="13"/>
              <w:spacing w:after="0" w:line="145"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7"/>
                <w:szCs w:val="7"/>
                <w:b w:val="1"/>
                <w:bCs w:val="1"/>
                <w:color w:val="auto"/>
              </w:rPr>
              <w:t>(3)(4)</w:t>
            </w:r>
          </w:p>
        </w:tc>
        <w:tc>
          <w:tcPr>
            <w:tcW w:w="820" w:type="dxa"/>
            <w:vAlign w:val="bottom"/>
            <w:tcBorders>
              <w:bottom w:val="single" w:sz="8" w:color="E31F25"/>
            </w:tcBorders>
          </w:tcPr>
          <w:p>
            <w:pPr>
              <w:jc w:val="right"/>
              <w:ind w:right="27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(3)</w:t>
            </w:r>
          </w:p>
        </w:tc>
        <w:tc>
          <w:tcPr>
            <w:tcW w:w="1520" w:type="dxa"/>
            <w:vAlign w:val="bottom"/>
            <w:tcBorders>
              <w:bottom w:val="single" w:sz="8" w:color="E31F25"/>
            </w:tcBorders>
          </w:tcPr>
          <w:p>
            <w:pPr>
              <w:jc w:val="right"/>
              <w:ind w:right="213"/>
              <w:spacing w:after="0" w:line="145"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7"/>
                <w:szCs w:val="7"/>
                <w:b w:val="1"/>
                <w:bCs w:val="1"/>
                <w:color w:val="auto"/>
              </w:rPr>
              <w:t>(1)(5)</w:t>
            </w:r>
          </w:p>
        </w:tc>
        <w:tc>
          <w:tcPr>
            <w:tcW w:w="1720" w:type="dxa"/>
            <w:vAlign w:val="bottom"/>
            <w:tcBorders>
              <w:bottom w:val="single" w:sz="8" w:color="E31F25"/>
            </w:tcBorders>
          </w:tcPr>
          <w:p>
            <w:pPr>
              <w:jc w:val="right"/>
              <w:ind w:right="13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(6)</w:t>
            </w:r>
          </w:p>
        </w:tc>
        <w:tc>
          <w:tcPr>
            <w:tcW w:w="1160" w:type="dxa"/>
            <w:vAlign w:val="bottom"/>
            <w:tcBorders>
              <w:bottom w:val="single" w:sz="8" w:color="E31F25"/>
            </w:tcBorders>
          </w:tcPr>
          <w:p>
            <w:pPr>
              <w:jc w:val="right"/>
              <w:ind w:right="27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(7)</w:t>
            </w:r>
          </w:p>
        </w:tc>
        <w:tc>
          <w:tcPr>
            <w:tcW w:w="84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0"/>
        </w:trPr>
        <w:tc>
          <w:tcPr>
            <w:tcW w:w="2700" w:type="dxa"/>
            <w:vAlign w:val="bottom"/>
          </w:tcPr>
          <w:p>
            <w:pPr>
              <w:ind w:left="20"/>
              <w:spacing w:after="0"/>
              <w:rPr>
                <w:sz w:val="20"/>
                <w:szCs w:val="20"/>
                <w:color w:val="auto"/>
              </w:rPr>
            </w:pPr>
            <w:r>
              <w:rPr>
                <w:rFonts w:ascii="Arial" w:cs="Arial" w:eastAsia="Arial" w:hAnsi="Arial"/>
                <w:sz w:val="10"/>
                <w:szCs w:val="10"/>
                <w:b w:val="1"/>
                <w:bCs w:val="1"/>
                <w:color w:val="D60011"/>
              </w:rPr>
              <w:t>Richard A. Johnson</w:t>
            </w:r>
          </w:p>
        </w:tc>
        <w:tc>
          <w:tcPr>
            <w:tcW w:w="520" w:type="dxa"/>
            <w:vAlign w:val="bottom"/>
            <w:tcBorders>
              <w:bottom w:val="single" w:sz="8" w:color="CCCCCC"/>
            </w:tcBorders>
          </w:tcPr>
          <w:p>
            <w:pPr>
              <w:jc w:val="center"/>
              <w:spacing w:after="0"/>
              <w:rPr>
                <w:sz w:val="20"/>
                <w:szCs w:val="20"/>
                <w:color w:val="auto"/>
              </w:rPr>
            </w:pPr>
            <w:r>
              <w:rPr>
                <w:rFonts w:ascii="Arial" w:cs="Arial" w:eastAsia="Arial" w:hAnsi="Arial"/>
                <w:sz w:val="10"/>
                <w:szCs w:val="10"/>
                <w:color w:val="auto"/>
                <w:w w:val="89"/>
              </w:rPr>
              <w:t>2021</w:t>
            </w:r>
          </w:p>
        </w:tc>
        <w:tc>
          <w:tcPr>
            <w:tcW w:w="7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1,150,000</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3"/>
              <w:spacing w:after="0"/>
              <w:rPr>
                <w:sz w:val="20"/>
                <w:szCs w:val="20"/>
                <w:color w:val="auto"/>
              </w:rPr>
            </w:pPr>
            <w:r>
              <w:rPr>
                <w:rFonts w:ascii="Arial" w:cs="Arial" w:eastAsia="Arial" w:hAnsi="Arial"/>
                <w:sz w:val="10"/>
                <w:szCs w:val="10"/>
                <w:color w:val="auto"/>
              </w:rPr>
              <w:t>6,440,063</w:t>
            </w:r>
          </w:p>
        </w:tc>
        <w:tc>
          <w:tcPr>
            <w:tcW w:w="82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1,610,012</w:t>
            </w:r>
          </w:p>
        </w:tc>
        <w:tc>
          <w:tcPr>
            <w:tcW w:w="1520" w:type="dxa"/>
            <w:vAlign w:val="bottom"/>
            <w:tcBorders>
              <w:bottom w:val="single" w:sz="8" w:color="CCCCCC"/>
            </w:tcBorders>
          </w:tcPr>
          <w:p>
            <w:pPr>
              <w:jc w:val="right"/>
              <w:ind w:right="213"/>
              <w:spacing w:after="0"/>
              <w:rPr>
                <w:sz w:val="20"/>
                <w:szCs w:val="20"/>
                <w:color w:val="auto"/>
              </w:rPr>
            </w:pPr>
            <w:r>
              <w:rPr>
                <w:rFonts w:ascii="Arial" w:cs="Arial" w:eastAsia="Arial" w:hAnsi="Arial"/>
                <w:sz w:val="10"/>
                <w:szCs w:val="10"/>
                <w:color w:val="auto"/>
              </w:rPr>
              <w:t>4,169,900</w:t>
            </w:r>
          </w:p>
        </w:tc>
        <w:tc>
          <w:tcPr>
            <w:tcW w:w="172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1,038,044</w:t>
            </w:r>
          </w:p>
        </w:tc>
        <w:tc>
          <w:tcPr>
            <w:tcW w:w="116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50,306</w:t>
            </w:r>
          </w:p>
        </w:tc>
        <w:tc>
          <w:tcPr>
            <w:tcW w:w="84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14,458,325</w:t>
            </w:r>
          </w:p>
        </w:tc>
        <w:tc>
          <w:tcPr>
            <w:tcW w:w="0" w:type="dxa"/>
            <w:vAlign w:val="bottom"/>
          </w:tcPr>
          <w:p>
            <w:pPr>
              <w:spacing w:after="0"/>
              <w:rPr>
                <w:sz w:val="1"/>
                <w:szCs w:val="1"/>
                <w:color w:val="auto"/>
              </w:rPr>
            </w:pPr>
          </w:p>
        </w:tc>
      </w:tr>
      <w:tr>
        <w:trPr>
          <w:trHeight w:val="113"/>
        </w:trPr>
        <w:tc>
          <w:tcPr>
            <w:tcW w:w="2700" w:type="dxa"/>
            <w:vAlign w:val="bottom"/>
          </w:tcPr>
          <w:p>
            <w:pPr>
              <w:ind w:left="20"/>
              <w:spacing w:after="0" w:line="114" w:lineRule="exact"/>
              <w:rPr>
                <w:sz w:val="20"/>
                <w:szCs w:val="20"/>
                <w:color w:val="auto"/>
              </w:rPr>
            </w:pPr>
            <w:r>
              <w:rPr>
                <w:rFonts w:ascii="Arial" w:cs="Arial" w:eastAsia="Arial" w:hAnsi="Arial"/>
                <w:sz w:val="10"/>
                <w:szCs w:val="10"/>
                <w:color w:val="auto"/>
              </w:rPr>
              <w:t>Chairman, President and</w:t>
            </w:r>
          </w:p>
        </w:tc>
        <w:tc>
          <w:tcPr>
            <w:tcW w:w="520" w:type="dxa"/>
            <w:vAlign w:val="bottom"/>
          </w:tcPr>
          <w:p>
            <w:pPr>
              <w:jc w:val="center"/>
              <w:spacing w:after="0" w:line="114" w:lineRule="exact"/>
              <w:rPr>
                <w:sz w:val="20"/>
                <w:szCs w:val="20"/>
                <w:color w:val="auto"/>
              </w:rPr>
            </w:pPr>
            <w:r>
              <w:rPr>
                <w:rFonts w:ascii="Arial" w:cs="Arial" w:eastAsia="Arial" w:hAnsi="Arial"/>
                <w:sz w:val="10"/>
                <w:szCs w:val="10"/>
                <w:color w:val="auto"/>
                <w:w w:val="89"/>
              </w:rPr>
              <w:t>2020</w:t>
            </w:r>
          </w:p>
        </w:tc>
        <w:tc>
          <w:tcPr>
            <w:tcW w:w="700" w:type="dxa"/>
            <w:vAlign w:val="bottom"/>
          </w:tcPr>
          <w:p>
            <w:pPr>
              <w:jc w:val="right"/>
              <w:ind w:right="52"/>
              <w:spacing w:after="0" w:line="114" w:lineRule="exact"/>
              <w:rPr>
                <w:sz w:val="20"/>
                <w:szCs w:val="20"/>
                <w:color w:val="auto"/>
              </w:rPr>
            </w:pPr>
            <w:r>
              <w:rPr>
                <w:rFonts w:ascii="Arial" w:cs="Arial" w:eastAsia="Arial" w:hAnsi="Arial"/>
                <w:sz w:val="10"/>
                <w:szCs w:val="10"/>
                <w:color w:val="auto"/>
              </w:rPr>
              <w:t>996,667</w:t>
            </w:r>
          </w:p>
        </w:tc>
        <w:tc>
          <w:tcPr>
            <w:tcW w:w="640" w:type="dxa"/>
            <w:vAlign w:val="bottom"/>
          </w:tcPr>
          <w:p>
            <w:pPr>
              <w:jc w:val="right"/>
              <w:ind w:right="132"/>
              <w:spacing w:after="0" w:line="114"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3"/>
              <w:spacing w:after="0" w:line="114" w:lineRule="exact"/>
              <w:rPr>
                <w:sz w:val="20"/>
                <w:szCs w:val="20"/>
                <w:color w:val="auto"/>
              </w:rPr>
            </w:pPr>
            <w:r>
              <w:rPr>
                <w:rFonts w:ascii="Arial" w:cs="Arial" w:eastAsia="Arial" w:hAnsi="Arial"/>
                <w:sz w:val="10"/>
                <w:szCs w:val="10"/>
                <w:color w:val="auto"/>
              </w:rPr>
              <w:t>4,937,518</w:t>
            </w:r>
          </w:p>
        </w:tc>
        <w:tc>
          <w:tcPr>
            <w:tcW w:w="820" w:type="dxa"/>
            <w:vAlign w:val="bottom"/>
          </w:tcPr>
          <w:p>
            <w:pPr>
              <w:jc w:val="right"/>
              <w:ind w:right="272"/>
              <w:spacing w:after="0" w:line="114" w:lineRule="exact"/>
              <w:rPr>
                <w:sz w:val="20"/>
                <w:szCs w:val="20"/>
                <w:color w:val="auto"/>
              </w:rPr>
            </w:pPr>
            <w:r>
              <w:rPr>
                <w:rFonts w:ascii="Arial" w:cs="Arial" w:eastAsia="Arial" w:hAnsi="Arial"/>
                <w:sz w:val="10"/>
                <w:szCs w:val="10"/>
                <w:color w:val="auto"/>
              </w:rPr>
              <w:t>1,200,002</w:t>
            </w:r>
          </w:p>
        </w:tc>
        <w:tc>
          <w:tcPr>
            <w:tcW w:w="1520" w:type="dxa"/>
            <w:vAlign w:val="bottom"/>
          </w:tcPr>
          <w:p>
            <w:pPr>
              <w:jc w:val="right"/>
              <w:ind w:right="213"/>
              <w:spacing w:after="0" w:line="114" w:lineRule="exact"/>
              <w:rPr>
                <w:sz w:val="20"/>
                <w:szCs w:val="20"/>
                <w:color w:val="auto"/>
              </w:rPr>
            </w:pPr>
            <w:r>
              <w:rPr>
                <w:rFonts w:ascii="Arial" w:cs="Arial" w:eastAsia="Arial" w:hAnsi="Arial"/>
                <w:sz w:val="10"/>
                <w:szCs w:val="10"/>
                <w:color w:val="auto"/>
              </w:rPr>
              <w:t>3,847,900</w:t>
            </w:r>
          </w:p>
        </w:tc>
        <w:tc>
          <w:tcPr>
            <w:tcW w:w="1720" w:type="dxa"/>
            <w:vAlign w:val="bottom"/>
          </w:tcPr>
          <w:p>
            <w:pPr>
              <w:jc w:val="right"/>
              <w:ind w:right="132"/>
              <w:spacing w:after="0" w:line="114" w:lineRule="exact"/>
              <w:rPr>
                <w:sz w:val="20"/>
                <w:szCs w:val="20"/>
                <w:color w:val="auto"/>
              </w:rPr>
            </w:pPr>
            <w:r>
              <w:rPr>
                <w:rFonts w:ascii="Arial" w:cs="Arial" w:eastAsia="Arial" w:hAnsi="Arial"/>
                <w:sz w:val="10"/>
                <w:szCs w:val="10"/>
                <w:color w:val="auto"/>
              </w:rPr>
              <w:t>880,582</w:t>
            </w:r>
          </w:p>
        </w:tc>
        <w:tc>
          <w:tcPr>
            <w:tcW w:w="1160" w:type="dxa"/>
            <w:vAlign w:val="bottom"/>
          </w:tcPr>
          <w:p>
            <w:pPr>
              <w:jc w:val="right"/>
              <w:ind w:right="272"/>
              <w:spacing w:after="0" w:line="114" w:lineRule="exact"/>
              <w:rPr>
                <w:sz w:val="20"/>
                <w:szCs w:val="20"/>
                <w:color w:val="auto"/>
              </w:rPr>
            </w:pPr>
            <w:r>
              <w:rPr>
                <w:rFonts w:ascii="Arial" w:cs="Arial" w:eastAsia="Arial" w:hAnsi="Arial"/>
                <w:sz w:val="10"/>
                <w:szCs w:val="10"/>
                <w:color w:val="auto"/>
              </w:rPr>
              <w:t>78,651</w:t>
            </w:r>
          </w:p>
        </w:tc>
        <w:tc>
          <w:tcPr>
            <w:tcW w:w="840" w:type="dxa"/>
            <w:vAlign w:val="bottom"/>
          </w:tcPr>
          <w:p>
            <w:pPr>
              <w:jc w:val="right"/>
              <w:ind w:right="92"/>
              <w:spacing w:after="0" w:line="114" w:lineRule="exact"/>
              <w:rPr>
                <w:sz w:val="20"/>
                <w:szCs w:val="20"/>
                <w:color w:val="auto"/>
              </w:rPr>
            </w:pPr>
            <w:r>
              <w:rPr>
                <w:rFonts w:ascii="Arial" w:cs="Arial" w:eastAsia="Arial" w:hAnsi="Arial"/>
                <w:sz w:val="10"/>
                <w:szCs w:val="10"/>
                <w:color w:val="auto"/>
              </w:rPr>
              <w:t>11,941,320</w:t>
            </w:r>
          </w:p>
        </w:tc>
        <w:tc>
          <w:tcPr>
            <w:tcW w:w="0" w:type="dxa"/>
            <w:vAlign w:val="bottom"/>
          </w:tcPr>
          <w:p>
            <w:pPr>
              <w:spacing w:after="0"/>
              <w:rPr>
                <w:sz w:val="1"/>
                <w:szCs w:val="1"/>
                <w:color w:val="auto"/>
              </w:rPr>
            </w:pPr>
          </w:p>
        </w:tc>
      </w:tr>
      <w:tr>
        <w:trPr>
          <w:trHeight w:val="23"/>
        </w:trPr>
        <w:tc>
          <w:tcPr>
            <w:tcW w:w="2700" w:type="dxa"/>
            <w:vAlign w:val="bottom"/>
            <w:vMerge w:val="restart"/>
          </w:tcPr>
          <w:p>
            <w:pPr>
              <w:ind w:left="20"/>
              <w:spacing w:after="0"/>
              <w:rPr>
                <w:sz w:val="20"/>
                <w:szCs w:val="20"/>
                <w:color w:val="auto"/>
              </w:rPr>
            </w:pPr>
            <w:r>
              <w:rPr>
                <w:rFonts w:ascii="Arial" w:cs="Arial" w:eastAsia="Arial" w:hAnsi="Arial"/>
                <w:sz w:val="10"/>
                <w:szCs w:val="10"/>
                <w:color w:val="auto"/>
              </w:rPr>
              <w:t>Chief Executive Officer</w:t>
            </w:r>
          </w:p>
        </w:tc>
        <w:tc>
          <w:tcPr>
            <w:tcW w:w="520" w:type="dxa"/>
            <w:vAlign w:val="bottom"/>
            <w:tcBorders>
              <w:bottom w:val="single" w:sz="8" w:color="CCCCCC"/>
            </w:tcBorders>
          </w:tcPr>
          <w:p>
            <w:pPr>
              <w:spacing w:after="0" w:line="20" w:lineRule="exact"/>
              <w:rPr>
                <w:sz w:val="1"/>
                <w:szCs w:val="1"/>
                <w:color w:val="auto"/>
              </w:rPr>
            </w:pPr>
          </w:p>
        </w:tc>
        <w:tc>
          <w:tcPr>
            <w:tcW w:w="700" w:type="dxa"/>
            <w:vAlign w:val="bottom"/>
            <w:tcBorders>
              <w:bottom w:val="single" w:sz="8" w:color="CCCCCC"/>
            </w:tcBorders>
          </w:tcPr>
          <w:p>
            <w:pPr>
              <w:spacing w:after="0" w:line="20" w:lineRule="exact"/>
              <w:rPr>
                <w:sz w:val="1"/>
                <w:szCs w:val="1"/>
                <w:color w:val="auto"/>
              </w:rPr>
            </w:pPr>
          </w:p>
        </w:tc>
        <w:tc>
          <w:tcPr>
            <w:tcW w:w="640" w:type="dxa"/>
            <w:vAlign w:val="bottom"/>
            <w:tcBorders>
              <w:bottom w:val="single" w:sz="8" w:color="CCCCCC"/>
            </w:tcBorders>
          </w:tcPr>
          <w:p>
            <w:pPr>
              <w:spacing w:after="0" w:line="20" w:lineRule="exact"/>
              <w:rPr>
                <w:sz w:val="1"/>
                <w:szCs w:val="1"/>
                <w:color w:val="auto"/>
              </w:rPr>
            </w:pPr>
          </w:p>
        </w:tc>
        <w:tc>
          <w:tcPr>
            <w:tcW w:w="680" w:type="dxa"/>
            <w:vAlign w:val="bottom"/>
            <w:tcBorders>
              <w:bottom w:val="single" w:sz="8" w:color="CCCCCC"/>
            </w:tcBorders>
          </w:tcPr>
          <w:p>
            <w:pPr>
              <w:spacing w:after="0" w:line="20" w:lineRule="exact"/>
              <w:rPr>
                <w:sz w:val="1"/>
                <w:szCs w:val="1"/>
                <w:color w:val="auto"/>
              </w:rPr>
            </w:pPr>
          </w:p>
        </w:tc>
        <w:tc>
          <w:tcPr>
            <w:tcW w:w="820" w:type="dxa"/>
            <w:vAlign w:val="bottom"/>
            <w:tcBorders>
              <w:bottom w:val="single" w:sz="8" w:color="CCCCCC"/>
            </w:tcBorders>
          </w:tcPr>
          <w:p>
            <w:pPr>
              <w:spacing w:after="0" w:line="20" w:lineRule="exact"/>
              <w:rPr>
                <w:sz w:val="1"/>
                <w:szCs w:val="1"/>
                <w:color w:val="auto"/>
              </w:rPr>
            </w:pPr>
          </w:p>
        </w:tc>
        <w:tc>
          <w:tcPr>
            <w:tcW w:w="1520" w:type="dxa"/>
            <w:vAlign w:val="bottom"/>
            <w:tcBorders>
              <w:bottom w:val="single" w:sz="8" w:color="CCCCCC"/>
            </w:tcBorders>
          </w:tcPr>
          <w:p>
            <w:pPr>
              <w:spacing w:after="0" w:line="20" w:lineRule="exact"/>
              <w:rPr>
                <w:sz w:val="1"/>
                <w:szCs w:val="1"/>
                <w:color w:val="auto"/>
              </w:rPr>
            </w:pPr>
          </w:p>
        </w:tc>
        <w:tc>
          <w:tcPr>
            <w:tcW w:w="1720" w:type="dxa"/>
            <w:vAlign w:val="bottom"/>
            <w:tcBorders>
              <w:bottom w:val="single" w:sz="8" w:color="CCCCCC"/>
            </w:tcBorders>
          </w:tcPr>
          <w:p>
            <w:pPr>
              <w:spacing w:after="0" w:line="20" w:lineRule="exact"/>
              <w:rPr>
                <w:sz w:val="1"/>
                <w:szCs w:val="1"/>
                <w:color w:val="auto"/>
              </w:rPr>
            </w:pPr>
          </w:p>
        </w:tc>
        <w:tc>
          <w:tcPr>
            <w:tcW w:w="1160" w:type="dxa"/>
            <w:vAlign w:val="bottom"/>
            <w:tcBorders>
              <w:bottom w:val="single" w:sz="8" w:color="CCCCCC"/>
            </w:tcBorders>
          </w:tcPr>
          <w:p>
            <w:pPr>
              <w:spacing w:after="0" w:line="20" w:lineRule="exact"/>
              <w:rPr>
                <w:sz w:val="1"/>
                <w:szCs w:val="1"/>
                <w:color w:val="auto"/>
              </w:rPr>
            </w:pPr>
          </w:p>
        </w:tc>
        <w:tc>
          <w:tcPr>
            <w:tcW w:w="840" w:type="dxa"/>
            <w:vAlign w:val="bottom"/>
            <w:tcBorders>
              <w:bottom w:val="single" w:sz="8" w:color="CCCC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
        </w:trPr>
        <w:tc>
          <w:tcPr>
            <w:tcW w:w="2700" w:type="dxa"/>
            <w:vAlign w:val="bottom"/>
            <w:vMerge w:val="continue"/>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10"/>
                <w:szCs w:val="10"/>
                <w:color w:val="auto"/>
                <w:w w:val="89"/>
              </w:rPr>
              <w:t>2019</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1,137,500</w:t>
            </w:r>
          </w:p>
        </w:tc>
        <w:tc>
          <w:tcPr>
            <w:tcW w:w="64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
              <w:spacing w:after="0"/>
              <w:rPr>
                <w:sz w:val="20"/>
                <w:szCs w:val="20"/>
                <w:color w:val="auto"/>
              </w:rPr>
            </w:pPr>
            <w:r>
              <w:rPr>
                <w:rFonts w:ascii="Arial" w:cs="Arial" w:eastAsia="Arial" w:hAnsi="Arial"/>
                <w:sz w:val="10"/>
                <w:szCs w:val="10"/>
                <w:color w:val="auto"/>
              </w:rPr>
              <w:t>4,937,521</w:t>
            </w:r>
          </w:p>
        </w:tc>
        <w:tc>
          <w:tcPr>
            <w:tcW w:w="820" w:type="dxa"/>
            <w:vAlign w:val="bottom"/>
            <w:vMerge w:val="restart"/>
          </w:tcPr>
          <w:p>
            <w:pPr>
              <w:jc w:val="right"/>
              <w:ind w:right="272"/>
              <w:spacing w:after="0"/>
              <w:rPr>
                <w:sz w:val="20"/>
                <w:szCs w:val="20"/>
                <w:color w:val="auto"/>
              </w:rPr>
            </w:pPr>
            <w:r>
              <w:rPr>
                <w:rFonts w:ascii="Arial" w:cs="Arial" w:eastAsia="Arial" w:hAnsi="Arial"/>
                <w:sz w:val="10"/>
                <w:szCs w:val="10"/>
                <w:color w:val="auto"/>
              </w:rPr>
              <w:t>1,200,004</w:t>
            </w:r>
          </w:p>
        </w:tc>
        <w:tc>
          <w:tcPr>
            <w:tcW w:w="1520" w:type="dxa"/>
            <w:vAlign w:val="bottom"/>
            <w:vMerge w:val="restart"/>
          </w:tcPr>
          <w:p>
            <w:pPr>
              <w:jc w:val="right"/>
              <w:ind w:right="213"/>
              <w:spacing w:after="0"/>
              <w:rPr>
                <w:sz w:val="20"/>
                <w:szCs w:val="20"/>
                <w:color w:val="auto"/>
              </w:rPr>
            </w:pPr>
            <w:r>
              <w:rPr>
                <w:rFonts w:ascii="Arial" w:cs="Arial" w:eastAsia="Arial" w:hAnsi="Arial"/>
                <w:sz w:val="10"/>
                <w:szCs w:val="10"/>
                <w:color w:val="auto"/>
              </w:rPr>
              <w:t>1,378,650</w:t>
            </w:r>
          </w:p>
        </w:tc>
        <w:tc>
          <w:tcPr>
            <w:tcW w:w="1720" w:type="dxa"/>
            <w:vAlign w:val="bottom"/>
            <w:vMerge w:val="restart"/>
          </w:tcPr>
          <w:p>
            <w:pPr>
              <w:jc w:val="right"/>
              <w:ind w:right="132"/>
              <w:spacing w:after="0"/>
              <w:rPr>
                <w:sz w:val="20"/>
                <w:szCs w:val="20"/>
                <w:color w:val="auto"/>
              </w:rPr>
            </w:pPr>
            <w:r>
              <w:rPr>
                <w:rFonts w:ascii="Arial" w:cs="Arial" w:eastAsia="Arial" w:hAnsi="Arial"/>
                <w:sz w:val="10"/>
                <w:szCs w:val="10"/>
                <w:color w:val="auto"/>
              </w:rPr>
              <w:t>521,588</w:t>
            </w:r>
          </w:p>
        </w:tc>
        <w:tc>
          <w:tcPr>
            <w:tcW w:w="1160" w:type="dxa"/>
            <w:vAlign w:val="bottom"/>
            <w:vMerge w:val="restart"/>
          </w:tcPr>
          <w:p>
            <w:pPr>
              <w:jc w:val="right"/>
              <w:ind w:right="272"/>
              <w:spacing w:after="0"/>
              <w:rPr>
                <w:sz w:val="20"/>
                <w:szCs w:val="20"/>
                <w:color w:val="auto"/>
              </w:rPr>
            </w:pPr>
            <w:r>
              <w:rPr>
                <w:rFonts w:ascii="Arial" w:cs="Arial" w:eastAsia="Arial" w:hAnsi="Arial"/>
                <w:sz w:val="10"/>
                <w:szCs w:val="10"/>
                <w:color w:val="auto"/>
              </w:rPr>
              <w:t>46,942</w:t>
            </w:r>
          </w:p>
        </w:tc>
        <w:tc>
          <w:tcPr>
            <w:tcW w:w="840" w:type="dxa"/>
            <w:vAlign w:val="bottom"/>
            <w:vMerge w:val="restart"/>
          </w:tcPr>
          <w:p>
            <w:pPr>
              <w:jc w:val="right"/>
              <w:ind w:right="92"/>
              <w:spacing w:after="0"/>
              <w:rPr>
                <w:sz w:val="20"/>
                <w:szCs w:val="20"/>
                <w:color w:val="auto"/>
              </w:rPr>
            </w:pPr>
            <w:r>
              <w:rPr>
                <w:rFonts w:ascii="Arial" w:cs="Arial" w:eastAsia="Arial" w:hAnsi="Arial"/>
                <w:sz w:val="10"/>
                <w:szCs w:val="10"/>
                <w:color w:val="auto"/>
              </w:rPr>
              <w:t>9,222,205</w:t>
            </w:r>
          </w:p>
        </w:tc>
        <w:tc>
          <w:tcPr>
            <w:tcW w:w="0" w:type="dxa"/>
            <w:vAlign w:val="bottom"/>
          </w:tcPr>
          <w:p>
            <w:pPr>
              <w:spacing w:after="0"/>
              <w:rPr>
                <w:sz w:val="1"/>
                <w:szCs w:val="1"/>
                <w:color w:val="auto"/>
              </w:rPr>
            </w:pPr>
          </w:p>
        </w:tc>
      </w:tr>
      <w:tr>
        <w:trPr>
          <w:trHeight w:val="48"/>
        </w:trPr>
        <w:tc>
          <w:tcPr>
            <w:tcW w:w="2700" w:type="dxa"/>
            <w:vAlign w:val="bottom"/>
            <w:tcBorders>
              <w:bottom w:val="single" w:sz="8" w:color="E31F25"/>
            </w:tcBorders>
          </w:tcPr>
          <w:p>
            <w:pPr>
              <w:spacing w:after="0"/>
              <w:rPr>
                <w:sz w:val="4"/>
                <w:szCs w:val="4"/>
                <w:color w:val="auto"/>
              </w:rPr>
            </w:pPr>
          </w:p>
        </w:tc>
        <w:tc>
          <w:tcPr>
            <w:tcW w:w="520" w:type="dxa"/>
            <w:vAlign w:val="bottom"/>
            <w:tcBorders>
              <w:bottom w:val="single" w:sz="8" w:color="E31F25"/>
            </w:tcBorders>
            <w:vMerge w:val="continue"/>
          </w:tcPr>
          <w:p>
            <w:pPr>
              <w:spacing w:after="0"/>
              <w:rPr>
                <w:sz w:val="4"/>
                <w:szCs w:val="4"/>
                <w:color w:val="auto"/>
              </w:rPr>
            </w:pPr>
          </w:p>
        </w:tc>
        <w:tc>
          <w:tcPr>
            <w:tcW w:w="700" w:type="dxa"/>
            <w:vAlign w:val="bottom"/>
            <w:tcBorders>
              <w:bottom w:val="single" w:sz="8" w:color="E31F25"/>
            </w:tcBorders>
            <w:vMerge w:val="continue"/>
          </w:tcPr>
          <w:p>
            <w:pPr>
              <w:spacing w:after="0"/>
              <w:rPr>
                <w:sz w:val="4"/>
                <w:szCs w:val="4"/>
                <w:color w:val="auto"/>
              </w:rPr>
            </w:pPr>
          </w:p>
        </w:tc>
        <w:tc>
          <w:tcPr>
            <w:tcW w:w="640" w:type="dxa"/>
            <w:vAlign w:val="bottom"/>
            <w:tcBorders>
              <w:bottom w:val="single" w:sz="8" w:color="E31F25"/>
            </w:tcBorders>
            <w:vMerge w:val="continue"/>
          </w:tcPr>
          <w:p>
            <w:pPr>
              <w:spacing w:after="0"/>
              <w:rPr>
                <w:sz w:val="4"/>
                <w:szCs w:val="4"/>
                <w:color w:val="auto"/>
              </w:rPr>
            </w:pPr>
          </w:p>
        </w:tc>
        <w:tc>
          <w:tcPr>
            <w:tcW w:w="680" w:type="dxa"/>
            <w:vAlign w:val="bottom"/>
            <w:tcBorders>
              <w:bottom w:val="single" w:sz="8" w:color="E31F25"/>
            </w:tcBorders>
            <w:vMerge w:val="continue"/>
          </w:tcPr>
          <w:p>
            <w:pPr>
              <w:spacing w:after="0"/>
              <w:rPr>
                <w:sz w:val="4"/>
                <w:szCs w:val="4"/>
                <w:color w:val="auto"/>
              </w:rPr>
            </w:pPr>
          </w:p>
        </w:tc>
        <w:tc>
          <w:tcPr>
            <w:tcW w:w="820" w:type="dxa"/>
            <w:vAlign w:val="bottom"/>
            <w:tcBorders>
              <w:bottom w:val="single" w:sz="8" w:color="E31F25"/>
            </w:tcBorders>
            <w:vMerge w:val="continue"/>
          </w:tcPr>
          <w:p>
            <w:pPr>
              <w:spacing w:after="0"/>
              <w:rPr>
                <w:sz w:val="4"/>
                <w:szCs w:val="4"/>
                <w:color w:val="auto"/>
              </w:rPr>
            </w:pPr>
          </w:p>
        </w:tc>
        <w:tc>
          <w:tcPr>
            <w:tcW w:w="1520" w:type="dxa"/>
            <w:vAlign w:val="bottom"/>
            <w:tcBorders>
              <w:bottom w:val="single" w:sz="8" w:color="E31F25"/>
            </w:tcBorders>
            <w:vMerge w:val="continue"/>
          </w:tcPr>
          <w:p>
            <w:pPr>
              <w:spacing w:after="0"/>
              <w:rPr>
                <w:sz w:val="4"/>
                <w:szCs w:val="4"/>
                <w:color w:val="auto"/>
              </w:rPr>
            </w:pPr>
          </w:p>
        </w:tc>
        <w:tc>
          <w:tcPr>
            <w:tcW w:w="1720" w:type="dxa"/>
            <w:vAlign w:val="bottom"/>
            <w:tcBorders>
              <w:bottom w:val="single" w:sz="8" w:color="E31F25"/>
            </w:tcBorders>
            <w:vMerge w:val="continue"/>
          </w:tcPr>
          <w:p>
            <w:pPr>
              <w:spacing w:after="0"/>
              <w:rPr>
                <w:sz w:val="4"/>
                <w:szCs w:val="4"/>
                <w:color w:val="auto"/>
              </w:rPr>
            </w:pPr>
          </w:p>
        </w:tc>
        <w:tc>
          <w:tcPr>
            <w:tcW w:w="1160" w:type="dxa"/>
            <w:vAlign w:val="bottom"/>
            <w:tcBorders>
              <w:bottom w:val="single" w:sz="8" w:color="E31F25"/>
            </w:tcBorders>
            <w:vMerge w:val="continue"/>
          </w:tcPr>
          <w:p>
            <w:pPr>
              <w:spacing w:after="0"/>
              <w:rPr>
                <w:sz w:val="4"/>
                <w:szCs w:val="4"/>
                <w:color w:val="auto"/>
              </w:rPr>
            </w:pPr>
          </w:p>
        </w:tc>
        <w:tc>
          <w:tcPr>
            <w:tcW w:w="840" w:type="dxa"/>
            <w:vAlign w:val="bottom"/>
            <w:tcBorders>
              <w:bottom w:val="single" w:sz="8" w:color="E31F2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rPr>
                <w:sz w:val="20"/>
                <w:szCs w:val="20"/>
                <w:color w:val="auto"/>
              </w:rPr>
            </w:pPr>
            <w:r>
              <w:rPr>
                <w:rFonts w:ascii="Arial" w:cs="Arial" w:eastAsia="Arial" w:hAnsi="Arial"/>
                <w:sz w:val="10"/>
                <w:szCs w:val="10"/>
                <w:b w:val="1"/>
                <w:bCs w:val="1"/>
                <w:color w:val="D60011"/>
              </w:rPr>
              <w:t>Andrew E. Page</w:t>
            </w:r>
          </w:p>
        </w:tc>
        <w:tc>
          <w:tcPr>
            <w:tcW w:w="520" w:type="dxa"/>
            <w:vAlign w:val="bottom"/>
          </w:tcPr>
          <w:p>
            <w:pPr>
              <w:jc w:val="center"/>
              <w:spacing w:after="0"/>
              <w:rPr>
                <w:sz w:val="20"/>
                <w:szCs w:val="20"/>
                <w:color w:val="auto"/>
              </w:rPr>
            </w:pPr>
            <w:r>
              <w:rPr>
                <w:rFonts w:ascii="Arial" w:cs="Arial" w:eastAsia="Arial" w:hAnsi="Arial"/>
                <w:sz w:val="10"/>
                <w:szCs w:val="10"/>
                <w:color w:val="auto"/>
                <w:w w:val="89"/>
              </w:rPr>
              <w:t>2021</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496,193</w:t>
            </w:r>
          </w:p>
        </w:tc>
        <w:tc>
          <w:tcPr>
            <w:tcW w:w="640" w:type="dxa"/>
            <w:vAlign w:val="bottom"/>
          </w:tcPr>
          <w:p>
            <w:pPr>
              <w:jc w:val="right"/>
              <w:ind w:right="132"/>
              <w:spacing w:after="0"/>
              <w:rPr>
                <w:sz w:val="20"/>
                <w:szCs w:val="20"/>
                <w:color w:val="auto"/>
              </w:rPr>
            </w:pPr>
            <w:r>
              <w:rPr>
                <w:rFonts w:ascii="Arial" w:cs="Arial" w:eastAsia="Arial" w:hAnsi="Arial"/>
                <w:sz w:val="10"/>
                <w:szCs w:val="10"/>
                <w:color w:val="auto"/>
              </w:rPr>
              <w:t>500,000</w:t>
            </w: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1,656,881</w:t>
            </w:r>
          </w:p>
        </w:tc>
        <w:tc>
          <w:tcPr>
            <w:tcW w:w="820" w:type="dxa"/>
            <w:vAlign w:val="bottom"/>
          </w:tcPr>
          <w:p>
            <w:pPr>
              <w:jc w:val="right"/>
              <w:ind w:right="272"/>
              <w:spacing w:after="0"/>
              <w:rPr>
                <w:sz w:val="20"/>
                <w:szCs w:val="20"/>
                <w:color w:val="auto"/>
              </w:rPr>
            </w:pPr>
            <w:r>
              <w:rPr>
                <w:rFonts w:ascii="Arial" w:cs="Arial" w:eastAsia="Arial" w:hAnsi="Arial"/>
                <w:sz w:val="10"/>
                <w:szCs w:val="10"/>
                <w:color w:val="auto"/>
              </w:rPr>
              <w:t>184,503</w:t>
            </w:r>
          </w:p>
        </w:tc>
        <w:tc>
          <w:tcPr>
            <w:tcW w:w="1520" w:type="dxa"/>
            <w:vAlign w:val="bottom"/>
          </w:tcPr>
          <w:p>
            <w:pPr>
              <w:jc w:val="right"/>
              <w:ind w:right="213"/>
              <w:spacing w:after="0"/>
              <w:rPr>
                <w:sz w:val="20"/>
                <w:szCs w:val="20"/>
                <w:color w:val="auto"/>
              </w:rPr>
            </w:pPr>
            <w:r>
              <w:rPr>
                <w:rFonts w:ascii="Arial" w:cs="Arial" w:eastAsia="Arial" w:hAnsi="Arial"/>
                <w:sz w:val="10"/>
                <w:szCs w:val="10"/>
                <w:color w:val="auto"/>
              </w:rPr>
              <w:t>675,870</w:t>
            </w:r>
          </w:p>
        </w:tc>
        <w:tc>
          <w:tcPr>
            <w:tcW w:w="172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21,048</w:t>
            </w: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3,534,495</w:t>
            </w:r>
          </w:p>
        </w:tc>
        <w:tc>
          <w:tcPr>
            <w:tcW w:w="0" w:type="dxa"/>
            <w:vAlign w:val="bottom"/>
          </w:tcPr>
          <w:p>
            <w:pPr>
              <w:spacing w:after="0"/>
              <w:rPr>
                <w:sz w:val="1"/>
                <w:szCs w:val="1"/>
                <w:color w:val="auto"/>
              </w:rPr>
            </w:pPr>
          </w:p>
        </w:tc>
      </w:tr>
      <w:tr>
        <w:trPr>
          <w:trHeight w:val="108"/>
        </w:trPr>
        <w:tc>
          <w:tcPr>
            <w:tcW w:w="2700" w:type="dxa"/>
            <w:vAlign w:val="bottom"/>
          </w:tcPr>
          <w:p>
            <w:pPr>
              <w:ind w:left="20"/>
              <w:spacing w:after="0" w:line="108" w:lineRule="exact"/>
              <w:rPr>
                <w:sz w:val="20"/>
                <w:szCs w:val="20"/>
                <w:color w:val="auto"/>
              </w:rPr>
            </w:pPr>
            <w:r>
              <w:rPr>
                <w:rFonts w:ascii="Arial" w:cs="Arial" w:eastAsia="Arial" w:hAnsi="Arial"/>
                <w:sz w:val="10"/>
                <w:szCs w:val="10"/>
                <w:color w:val="auto"/>
              </w:rPr>
              <w:t>Executive Vice President and</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00" w:type="dxa"/>
            <w:vAlign w:val="bottom"/>
          </w:tcPr>
          <w:p>
            <w:pPr>
              <w:ind w:left="20"/>
              <w:spacing w:after="0"/>
              <w:rPr>
                <w:sz w:val="20"/>
                <w:szCs w:val="20"/>
                <w:color w:val="auto"/>
              </w:rPr>
            </w:pPr>
            <w:r>
              <w:rPr>
                <w:rFonts w:ascii="Arial" w:cs="Arial" w:eastAsia="Arial" w:hAnsi="Arial"/>
                <w:sz w:val="10"/>
                <w:szCs w:val="10"/>
                <w:color w:val="auto"/>
              </w:rPr>
              <w:t>Chief Financial Officer</w:t>
            </w: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700" w:type="dxa"/>
            <w:vAlign w:val="bottom"/>
            <w:tcBorders>
              <w:bottom w:val="single" w:sz="8" w:color="E31F25"/>
            </w:tcBorders>
          </w:tcPr>
          <w:p>
            <w:pPr>
              <w:spacing w:after="0"/>
              <w:rPr>
                <w:sz w:val="3"/>
                <w:szCs w:val="3"/>
                <w:color w:val="auto"/>
              </w:rPr>
            </w:pPr>
          </w:p>
        </w:tc>
        <w:tc>
          <w:tcPr>
            <w:tcW w:w="520" w:type="dxa"/>
            <w:vAlign w:val="bottom"/>
            <w:tcBorders>
              <w:bottom w:val="single" w:sz="8" w:color="E31F25"/>
            </w:tcBorders>
          </w:tcPr>
          <w:p>
            <w:pPr>
              <w:spacing w:after="0"/>
              <w:rPr>
                <w:sz w:val="3"/>
                <w:szCs w:val="3"/>
                <w:color w:val="auto"/>
              </w:rPr>
            </w:pPr>
          </w:p>
        </w:tc>
        <w:tc>
          <w:tcPr>
            <w:tcW w:w="700" w:type="dxa"/>
            <w:vAlign w:val="bottom"/>
            <w:tcBorders>
              <w:bottom w:val="single" w:sz="8" w:color="E31F25"/>
            </w:tcBorders>
          </w:tcPr>
          <w:p>
            <w:pPr>
              <w:spacing w:after="0"/>
              <w:rPr>
                <w:sz w:val="3"/>
                <w:szCs w:val="3"/>
                <w:color w:val="auto"/>
              </w:rPr>
            </w:pPr>
          </w:p>
        </w:tc>
        <w:tc>
          <w:tcPr>
            <w:tcW w:w="640" w:type="dxa"/>
            <w:vAlign w:val="bottom"/>
            <w:tcBorders>
              <w:bottom w:val="single" w:sz="8" w:color="E31F25"/>
            </w:tcBorders>
          </w:tcPr>
          <w:p>
            <w:pPr>
              <w:spacing w:after="0"/>
              <w:rPr>
                <w:sz w:val="3"/>
                <w:szCs w:val="3"/>
                <w:color w:val="auto"/>
              </w:rPr>
            </w:pPr>
          </w:p>
        </w:tc>
        <w:tc>
          <w:tcPr>
            <w:tcW w:w="680" w:type="dxa"/>
            <w:vAlign w:val="bottom"/>
            <w:tcBorders>
              <w:bottom w:val="single" w:sz="8" w:color="E31F25"/>
            </w:tcBorders>
          </w:tcPr>
          <w:p>
            <w:pPr>
              <w:spacing w:after="0"/>
              <w:rPr>
                <w:sz w:val="3"/>
                <w:szCs w:val="3"/>
                <w:color w:val="auto"/>
              </w:rPr>
            </w:pPr>
          </w:p>
        </w:tc>
        <w:tc>
          <w:tcPr>
            <w:tcW w:w="820" w:type="dxa"/>
            <w:vAlign w:val="bottom"/>
            <w:tcBorders>
              <w:bottom w:val="single" w:sz="8" w:color="E31F25"/>
            </w:tcBorders>
          </w:tcPr>
          <w:p>
            <w:pPr>
              <w:spacing w:after="0"/>
              <w:rPr>
                <w:sz w:val="3"/>
                <w:szCs w:val="3"/>
                <w:color w:val="auto"/>
              </w:rPr>
            </w:pPr>
          </w:p>
        </w:tc>
        <w:tc>
          <w:tcPr>
            <w:tcW w:w="1520" w:type="dxa"/>
            <w:vAlign w:val="bottom"/>
            <w:tcBorders>
              <w:bottom w:val="single" w:sz="8" w:color="E31F25"/>
            </w:tcBorders>
          </w:tcPr>
          <w:p>
            <w:pPr>
              <w:spacing w:after="0"/>
              <w:rPr>
                <w:sz w:val="3"/>
                <w:szCs w:val="3"/>
                <w:color w:val="auto"/>
              </w:rPr>
            </w:pPr>
          </w:p>
        </w:tc>
        <w:tc>
          <w:tcPr>
            <w:tcW w:w="1720" w:type="dxa"/>
            <w:vAlign w:val="bottom"/>
            <w:tcBorders>
              <w:bottom w:val="single" w:sz="8" w:color="E31F25"/>
            </w:tcBorders>
          </w:tcPr>
          <w:p>
            <w:pPr>
              <w:spacing w:after="0"/>
              <w:rPr>
                <w:sz w:val="3"/>
                <w:szCs w:val="3"/>
                <w:color w:val="auto"/>
              </w:rPr>
            </w:pPr>
          </w:p>
        </w:tc>
        <w:tc>
          <w:tcPr>
            <w:tcW w:w="1160" w:type="dxa"/>
            <w:vAlign w:val="bottom"/>
            <w:tcBorders>
              <w:bottom w:val="single" w:sz="8" w:color="E31F25"/>
            </w:tcBorders>
          </w:tcPr>
          <w:p>
            <w:pPr>
              <w:spacing w:after="0"/>
              <w:rPr>
                <w:sz w:val="3"/>
                <w:szCs w:val="3"/>
                <w:color w:val="auto"/>
              </w:rPr>
            </w:pPr>
          </w:p>
        </w:tc>
        <w:tc>
          <w:tcPr>
            <w:tcW w:w="840" w:type="dxa"/>
            <w:vAlign w:val="bottom"/>
            <w:tcBorders>
              <w:bottom w:val="single" w:sz="8" w:color="E31F25"/>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rPr>
                <w:sz w:val="20"/>
                <w:szCs w:val="20"/>
                <w:color w:val="auto"/>
              </w:rPr>
            </w:pPr>
            <w:r>
              <w:rPr>
                <w:rFonts w:ascii="Arial" w:cs="Arial" w:eastAsia="Arial" w:hAnsi="Arial"/>
                <w:sz w:val="10"/>
                <w:szCs w:val="10"/>
                <w:b w:val="1"/>
                <w:bCs w:val="1"/>
                <w:color w:val="D60011"/>
              </w:rPr>
              <w:t>Franklin R. Bracken</w:t>
            </w:r>
          </w:p>
        </w:tc>
        <w:tc>
          <w:tcPr>
            <w:tcW w:w="520" w:type="dxa"/>
            <w:vAlign w:val="bottom"/>
          </w:tcPr>
          <w:p>
            <w:pPr>
              <w:jc w:val="center"/>
              <w:spacing w:after="0"/>
              <w:rPr>
                <w:sz w:val="20"/>
                <w:szCs w:val="20"/>
                <w:color w:val="auto"/>
              </w:rPr>
            </w:pPr>
            <w:r>
              <w:rPr>
                <w:rFonts w:ascii="Arial" w:cs="Arial" w:eastAsia="Arial" w:hAnsi="Arial"/>
                <w:sz w:val="10"/>
                <w:szCs w:val="10"/>
                <w:color w:val="auto"/>
                <w:w w:val="89"/>
              </w:rPr>
              <w:t>2021</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643,542</w:t>
            </w:r>
          </w:p>
        </w:tc>
        <w:tc>
          <w:tcPr>
            <w:tcW w:w="64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1,396,860</w:t>
            </w:r>
          </w:p>
        </w:tc>
        <w:tc>
          <w:tcPr>
            <w:tcW w:w="820" w:type="dxa"/>
            <w:vAlign w:val="bottom"/>
          </w:tcPr>
          <w:p>
            <w:pPr>
              <w:jc w:val="right"/>
              <w:ind w:right="272"/>
              <w:spacing w:after="0"/>
              <w:rPr>
                <w:sz w:val="20"/>
                <w:szCs w:val="20"/>
                <w:color w:val="auto"/>
              </w:rPr>
            </w:pPr>
            <w:r>
              <w:rPr>
                <w:rFonts w:ascii="Arial" w:cs="Arial" w:eastAsia="Arial" w:hAnsi="Arial"/>
                <w:sz w:val="10"/>
                <w:szCs w:val="10"/>
                <w:color w:val="auto"/>
              </w:rPr>
              <w:t>199,212</w:t>
            </w:r>
          </w:p>
        </w:tc>
        <w:tc>
          <w:tcPr>
            <w:tcW w:w="1520" w:type="dxa"/>
            <w:vAlign w:val="bottom"/>
          </w:tcPr>
          <w:p>
            <w:pPr>
              <w:jc w:val="right"/>
              <w:ind w:right="213"/>
              <w:spacing w:after="0"/>
              <w:rPr>
                <w:sz w:val="20"/>
                <w:szCs w:val="20"/>
                <w:color w:val="auto"/>
              </w:rPr>
            </w:pPr>
            <w:r>
              <w:rPr>
                <w:rFonts w:ascii="Arial" w:cs="Arial" w:eastAsia="Arial" w:hAnsi="Arial"/>
                <w:sz w:val="10"/>
                <w:szCs w:val="10"/>
                <w:color w:val="auto"/>
              </w:rPr>
              <w:t>943,273</w:t>
            </w:r>
          </w:p>
        </w:tc>
        <w:tc>
          <w:tcPr>
            <w:tcW w:w="172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272"/>
              <w:spacing w:after="0"/>
              <w:rPr>
                <w:sz w:val="20"/>
                <w:szCs w:val="20"/>
                <w:color w:val="auto"/>
              </w:rPr>
            </w:pPr>
            <w:r>
              <w:rPr>
                <w:rFonts w:ascii="Arial" w:cs="Arial" w:eastAsia="Arial" w:hAnsi="Arial"/>
                <w:sz w:val="10"/>
                <w:szCs w:val="10"/>
                <w:color w:val="auto"/>
              </w:rPr>
              <w:t>231,301</w:t>
            </w: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3,414,188</w:t>
            </w:r>
          </w:p>
        </w:tc>
        <w:tc>
          <w:tcPr>
            <w:tcW w:w="0" w:type="dxa"/>
            <w:vAlign w:val="bottom"/>
          </w:tcPr>
          <w:p>
            <w:pPr>
              <w:spacing w:after="0"/>
              <w:rPr>
                <w:sz w:val="1"/>
                <w:szCs w:val="1"/>
                <w:color w:val="auto"/>
              </w:rPr>
            </w:pPr>
          </w:p>
        </w:tc>
      </w:tr>
      <w:tr>
        <w:trPr>
          <w:trHeight w:val="108"/>
        </w:trPr>
        <w:tc>
          <w:tcPr>
            <w:tcW w:w="2700" w:type="dxa"/>
            <w:vAlign w:val="bottom"/>
          </w:tcPr>
          <w:p>
            <w:pPr>
              <w:ind w:left="20"/>
              <w:spacing w:after="0" w:line="108" w:lineRule="exact"/>
              <w:rPr>
                <w:sz w:val="20"/>
                <w:szCs w:val="20"/>
                <w:color w:val="auto"/>
              </w:rPr>
            </w:pPr>
            <w:r>
              <w:rPr>
                <w:rFonts w:ascii="Arial" w:cs="Arial" w:eastAsia="Arial" w:hAnsi="Arial"/>
                <w:sz w:val="10"/>
                <w:szCs w:val="10"/>
                <w:color w:val="auto"/>
              </w:rPr>
              <w:t>Executive Vice President and</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00" w:type="dxa"/>
            <w:vAlign w:val="bottom"/>
          </w:tcPr>
          <w:p>
            <w:pPr>
              <w:ind w:left="20"/>
              <w:spacing w:after="0"/>
              <w:rPr>
                <w:sz w:val="20"/>
                <w:szCs w:val="20"/>
                <w:color w:val="auto"/>
              </w:rPr>
            </w:pPr>
            <w:r>
              <w:rPr>
                <w:rFonts w:ascii="Arial" w:cs="Arial" w:eastAsia="Arial" w:hAnsi="Arial"/>
                <w:sz w:val="10"/>
                <w:szCs w:val="10"/>
                <w:color w:val="auto"/>
              </w:rPr>
              <w:t>Chief Operating Officer</w:t>
            </w: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700" w:type="dxa"/>
            <w:vAlign w:val="bottom"/>
            <w:tcBorders>
              <w:bottom w:val="single" w:sz="8" w:color="E31F25"/>
            </w:tcBorders>
          </w:tcPr>
          <w:p>
            <w:pPr>
              <w:spacing w:after="0"/>
              <w:rPr>
                <w:sz w:val="3"/>
                <w:szCs w:val="3"/>
                <w:color w:val="auto"/>
              </w:rPr>
            </w:pPr>
          </w:p>
        </w:tc>
        <w:tc>
          <w:tcPr>
            <w:tcW w:w="520" w:type="dxa"/>
            <w:vAlign w:val="bottom"/>
            <w:tcBorders>
              <w:bottom w:val="single" w:sz="8" w:color="E31F25"/>
            </w:tcBorders>
          </w:tcPr>
          <w:p>
            <w:pPr>
              <w:spacing w:after="0"/>
              <w:rPr>
                <w:sz w:val="3"/>
                <w:szCs w:val="3"/>
                <w:color w:val="auto"/>
              </w:rPr>
            </w:pPr>
          </w:p>
        </w:tc>
        <w:tc>
          <w:tcPr>
            <w:tcW w:w="700" w:type="dxa"/>
            <w:vAlign w:val="bottom"/>
            <w:tcBorders>
              <w:bottom w:val="single" w:sz="8" w:color="E31F25"/>
            </w:tcBorders>
          </w:tcPr>
          <w:p>
            <w:pPr>
              <w:spacing w:after="0"/>
              <w:rPr>
                <w:sz w:val="3"/>
                <w:szCs w:val="3"/>
                <w:color w:val="auto"/>
              </w:rPr>
            </w:pPr>
          </w:p>
        </w:tc>
        <w:tc>
          <w:tcPr>
            <w:tcW w:w="640" w:type="dxa"/>
            <w:vAlign w:val="bottom"/>
            <w:tcBorders>
              <w:bottom w:val="single" w:sz="8" w:color="E31F25"/>
            </w:tcBorders>
          </w:tcPr>
          <w:p>
            <w:pPr>
              <w:spacing w:after="0"/>
              <w:rPr>
                <w:sz w:val="3"/>
                <w:szCs w:val="3"/>
                <w:color w:val="auto"/>
              </w:rPr>
            </w:pPr>
          </w:p>
        </w:tc>
        <w:tc>
          <w:tcPr>
            <w:tcW w:w="680" w:type="dxa"/>
            <w:vAlign w:val="bottom"/>
            <w:tcBorders>
              <w:bottom w:val="single" w:sz="8" w:color="E31F25"/>
            </w:tcBorders>
          </w:tcPr>
          <w:p>
            <w:pPr>
              <w:spacing w:after="0"/>
              <w:rPr>
                <w:sz w:val="3"/>
                <w:szCs w:val="3"/>
                <w:color w:val="auto"/>
              </w:rPr>
            </w:pPr>
          </w:p>
        </w:tc>
        <w:tc>
          <w:tcPr>
            <w:tcW w:w="820" w:type="dxa"/>
            <w:vAlign w:val="bottom"/>
            <w:tcBorders>
              <w:bottom w:val="single" w:sz="8" w:color="E31F25"/>
            </w:tcBorders>
          </w:tcPr>
          <w:p>
            <w:pPr>
              <w:spacing w:after="0"/>
              <w:rPr>
                <w:sz w:val="3"/>
                <w:szCs w:val="3"/>
                <w:color w:val="auto"/>
              </w:rPr>
            </w:pPr>
          </w:p>
        </w:tc>
        <w:tc>
          <w:tcPr>
            <w:tcW w:w="1520" w:type="dxa"/>
            <w:vAlign w:val="bottom"/>
            <w:tcBorders>
              <w:bottom w:val="single" w:sz="8" w:color="E31F25"/>
            </w:tcBorders>
          </w:tcPr>
          <w:p>
            <w:pPr>
              <w:spacing w:after="0"/>
              <w:rPr>
                <w:sz w:val="3"/>
                <w:szCs w:val="3"/>
                <w:color w:val="auto"/>
              </w:rPr>
            </w:pPr>
          </w:p>
        </w:tc>
        <w:tc>
          <w:tcPr>
            <w:tcW w:w="1720" w:type="dxa"/>
            <w:vAlign w:val="bottom"/>
            <w:tcBorders>
              <w:bottom w:val="single" w:sz="8" w:color="E31F25"/>
            </w:tcBorders>
          </w:tcPr>
          <w:p>
            <w:pPr>
              <w:spacing w:after="0"/>
              <w:rPr>
                <w:sz w:val="3"/>
                <w:szCs w:val="3"/>
                <w:color w:val="auto"/>
              </w:rPr>
            </w:pPr>
          </w:p>
        </w:tc>
        <w:tc>
          <w:tcPr>
            <w:tcW w:w="1160" w:type="dxa"/>
            <w:vAlign w:val="bottom"/>
            <w:tcBorders>
              <w:bottom w:val="single" w:sz="8" w:color="E31F25"/>
            </w:tcBorders>
          </w:tcPr>
          <w:p>
            <w:pPr>
              <w:spacing w:after="0"/>
              <w:rPr>
                <w:sz w:val="3"/>
                <w:szCs w:val="3"/>
                <w:color w:val="auto"/>
              </w:rPr>
            </w:pPr>
          </w:p>
        </w:tc>
        <w:tc>
          <w:tcPr>
            <w:tcW w:w="840" w:type="dxa"/>
            <w:vAlign w:val="bottom"/>
            <w:tcBorders>
              <w:bottom w:val="single" w:sz="8" w:color="E31F25"/>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700" w:type="dxa"/>
            <w:vAlign w:val="bottom"/>
          </w:tcPr>
          <w:p>
            <w:pPr>
              <w:ind w:left="20"/>
              <w:spacing w:after="0"/>
              <w:rPr>
                <w:sz w:val="20"/>
                <w:szCs w:val="20"/>
                <w:color w:val="auto"/>
              </w:rPr>
            </w:pPr>
            <w:r>
              <w:rPr>
                <w:rFonts w:ascii="Arial" w:cs="Arial" w:eastAsia="Arial" w:hAnsi="Arial"/>
                <w:sz w:val="10"/>
                <w:szCs w:val="10"/>
                <w:b w:val="1"/>
                <w:bCs w:val="1"/>
                <w:color w:val="D60011"/>
              </w:rPr>
              <w:t>W. Scott Martin</w:t>
            </w:r>
          </w:p>
        </w:tc>
        <w:tc>
          <w:tcPr>
            <w:tcW w:w="520" w:type="dxa"/>
            <w:vAlign w:val="bottom"/>
            <w:tcBorders>
              <w:bottom w:val="single" w:sz="8" w:color="CCCCCC"/>
            </w:tcBorders>
          </w:tcPr>
          <w:p>
            <w:pPr>
              <w:jc w:val="center"/>
              <w:spacing w:after="0"/>
              <w:rPr>
                <w:sz w:val="20"/>
                <w:szCs w:val="20"/>
                <w:color w:val="auto"/>
              </w:rPr>
            </w:pPr>
            <w:r>
              <w:rPr>
                <w:rFonts w:ascii="Arial" w:cs="Arial" w:eastAsia="Arial" w:hAnsi="Arial"/>
                <w:sz w:val="10"/>
                <w:szCs w:val="10"/>
                <w:color w:val="auto"/>
                <w:w w:val="89"/>
              </w:rPr>
              <w:t>2021</w:t>
            </w:r>
          </w:p>
        </w:tc>
        <w:tc>
          <w:tcPr>
            <w:tcW w:w="7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611,250</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3"/>
              <w:spacing w:after="0"/>
              <w:rPr>
                <w:sz w:val="20"/>
                <w:szCs w:val="20"/>
                <w:color w:val="auto"/>
              </w:rPr>
            </w:pPr>
            <w:r>
              <w:rPr>
                <w:rFonts w:ascii="Arial" w:cs="Arial" w:eastAsia="Arial" w:hAnsi="Arial"/>
                <w:sz w:val="10"/>
                <w:szCs w:val="10"/>
                <w:color w:val="auto"/>
              </w:rPr>
              <w:t>979,079</w:t>
            </w:r>
          </w:p>
        </w:tc>
        <w:tc>
          <w:tcPr>
            <w:tcW w:w="82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199,212</w:t>
            </w:r>
          </w:p>
        </w:tc>
        <w:tc>
          <w:tcPr>
            <w:tcW w:w="1520" w:type="dxa"/>
            <w:vAlign w:val="bottom"/>
            <w:tcBorders>
              <w:bottom w:val="single" w:sz="8" w:color="CCCCCC"/>
            </w:tcBorders>
          </w:tcPr>
          <w:p>
            <w:pPr>
              <w:jc w:val="right"/>
              <w:ind w:right="213"/>
              <w:spacing w:after="0"/>
              <w:rPr>
                <w:sz w:val="20"/>
                <w:szCs w:val="20"/>
                <w:color w:val="auto"/>
              </w:rPr>
            </w:pPr>
            <w:r>
              <w:rPr>
                <w:rFonts w:ascii="Arial" w:cs="Arial" w:eastAsia="Arial" w:hAnsi="Arial"/>
                <w:sz w:val="10"/>
                <w:szCs w:val="10"/>
                <w:color w:val="auto"/>
              </w:rPr>
              <w:t>856,032</w:t>
            </w:r>
          </w:p>
        </w:tc>
        <w:tc>
          <w:tcPr>
            <w:tcW w:w="172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161,918</w:t>
            </w:r>
          </w:p>
        </w:tc>
        <w:tc>
          <w:tcPr>
            <w:tcW w:w="116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79,963</w:t>
            </w:r>
          </w:p>
        </w:tc>
        <w:tc>
          <w:tcPr>
            <w:tcW w:w="84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2,887,454</w:t>
            </w:r>
          </w:p>
        </w:tc>
        <w:tc>
          <w:tcPr>
            <w:tcW w:w="0" w:type="dxa"/>
            <w:vAlign w:val="bottom"/>
          </w:tcPr>
          <w:p>
            <w:pPr>
              <w:spacing w:after="0"/>
              <w:rPr>
                <w:sz w:val="1"/>
                <w:szCs w:val="1"/>
                <w:color w:val="auto"/>
              </w:rPr>
            </w:pPr>
          </w:p>
        </w:tc>
      </w:tr>
      <w:tr>
        <w:trPr>
          <w:trHeight w:val="97"/>
        </w:trPr>
        <w:tc>
          <w:tcPr>
            <w:tcW w:w="2700" w:type="dxa"/>
            <w:vAlign w:val="bottom"/>
          </w:tcPr>
          <w:p>
            <w:pPr>
              <w:ind w:left="20"/>
              <w:spacing w:after="0" w:line="97" w:lineRule="exact"/>
              <w:rPr>
                <w:sz w:val="20"/>
                <w:szCs w:val="20"/>
                <w:color w:val="auto"/>
              </w:rPr>
            </w:pPr>
            <w:r>
              <w:rPr>
                <w:rFonts w:ascii="Arial" w:cs="Arial" w:eastAsia="Arial" w:hAnsi="Arial"/>
                <w:sz w:val="10"/>
                <w:szCs w:val="10"/>
                <w:color w:val="auto"/>
              </w:rPr>
              <w:t>Executive Vice President,</w:t>
            </w:r>
          </w:p>
        </w:tc>
        <w:tc>
          <w:tcPr>
            <w:tcW w:w="520" w:type="dxa"/>
            <w:vAlign w:val="bottom"/>
          </w:tcPr>
          <w:p>
            <w:pPr>
              <w:jc w:val="center"/>
              <w:spacing w:after="0" w:line="97" w:lineRule="exact"/>
              <w:rPr>
                <w:sz w:val="20"/>
                <w:szCs w:val="20"/>
                <w:color w:val="auto"/>
              </w:rPr>
            </w:pPr>
            <w:r>
              <w:rPr>
                <w:rFonts w:ascii="Arial" w:cs="Arial" w:eastAsia="Arial" w:hAnsi="Arial"/>
                <w:sz w:val="10"/>
                <w:szCs w:val="10"/>
                <w:color w:val="auto"/>
                <w:w w:val="89"/>
              </w:rPr>
              <w:t>2020</w:t>
            </w:r>
          </w:p>
        </w:tc>
        <w:tc>
          <w:tcPr>
            <w:tcW w:w="700" w:type="dxa"/>
            <w:vAlign w:val="bottom"/>
          </w:tcPr>
          <w:p>
            <w:pPr>
              <w:jc w:val="right"/>
              <w:ind w:right="52"/>
              <w:spacing w:after="0" w:line="97" w:lineRule="exact"/>
              <w:rPr>
                <w:sz w:val="20"/>
                <w:szCs w:val="20"/>
                <w:color w:val="auto"/>
              </w:rPr>
            </w:pPr>
            <w:r>
              <w:rPr>
                <w:rFonts w:ascii="Arial" w:cs="Arial" w:eastAsia="Arial" w:hAnsi="Arial"/>
                <w:sz w:val="10"/>
                <w:szCs w:val="10"/>
                <w:color w:val="auto"/>
              </w:rPr>
              <w:t>538,659</w:t>
            </w:r>
          </w:p>
        </w:tc>
        <w:tc>
          <w:tcPr>
            <w:tcW w:w="640" w:type="dxa"/>
            <w:vAlign w:val="bottom"/>
          </w:tcPr>
          <w:p>
            <w:pPr>
              <w:jc w:val="right"/>
              <w:ind w:right="132"/>
              <w:spacing w:after="0" w:line="97" w:lineRule="exact"/>
              <w:rPr>
                <w:sz w:val="20"/>
                <w:szCs w:val="20"/>
                <w:color w:val="auto"/>
              </w:rPr>
            </w:pPr>
            <w:r>
              <w:rPr>
                <w:rFonts w:ascii="Arial" w:cs="Arial" w:eastAsia="Arial" w:hAnsi="Arial"/>
                <w:sz w:val="10"/>
                <w:szCs w:val="10"/>
                <w:color w:val="auto"/>
              </w:rPr>
              <w:t>—</w:t>
            </w:r>
          </w:p>
        </w:tc>
        <w:tc>
          <w:tcPr>
            <w:tcW w:w="680" w:type="dxa"/>
            <w:vAlign w:val="bottom"/>
          </w:tcPr>
          <w:p>
            <w:pPr>
              <w:jc w:val="right"/>
              <w:ind w:right="13"/>
              <w:spacing w:after="0" w:line="97" w:lineRule="exact"/>
              <w:rPr>
                <w:sz w:val="20"/>
                <w:szCs w:val="20"/>
                <w:color w:val="auto"/>
              </w:rPr>
            </w:pPr>
            <w:r>
              <w:rPr>
                <w:rFonts w:ascii="Arial" w:cs="Arial" w:eastAsia="Arial" w:hAnsi="Arial"/>
                <w:sz w:val="10"/>
                <w:szCs w:val="10"/>
                <w:color w:val="auto"/>
              </w:rPr>
              <w:t>641,277</w:t>
            </w:r>
          </w:p>
        </w:tc>
        <w:tc>
          <w:tcPr>
            <w:tcW w:w="820" w:type="dxa"/>
            <w:vAlign w:val="bottom"/>
          </w:tcPr>
          <w:p>
            <w:pPr>
              <w:jc w:val="right"/>
              <w:ind w:right="272"/>
              <w:spacing w:after="0" w:line="97" w:lineRule="exact"/>
              <w:rPr>
                <w:sz w:val="20"/>
                <w:szCs w:val="20"/>
                <w:color w:val="auto"/>
              </w:rPr>
            </w:pPr>
            <w:r>
              <w:rPr>
                <w:rFonts w:ascii="Arial" w:cs="Arial" w:eastAsia="Arial" w:hAnsi="Arial"/>
                <w:sz w:val="10"/>
                <w:szCs w:val="10"/>
                <w:color w:val="auto"/>
              </w:rPr>
              <w:t>200,000</w:t>
            </w:r>
          </w:p>
        </w:tc>
        <w:tc>
          <w:tcPr>
            <w:tcW w:w="1520" w:type="dxa"/>
            <w:vAlign w:val="bottom"/>
          </w:tcPr>
          <w:p>
            <w:pPr>
              <w:jc w:val="right"/>
              <w:ind w:right="213"/>
              <w:spacing w:after="0" w:line="97" w:lineRule="exact"/>
              <w:rPr>
                <w:sz w:val="20"/>
                <w:szCs w:val="20"/>
                <w:color w:val="auto"/>
              </w:rPr>
            </w:pPr>
            <w:r>
              <w:rPr>
                <w:rFonts w:ascii="Arial" w:cs="Arial" w:eastAsia="Arial" w:hAnsi="Arial"/>
                <w:sz w:val="10"/>
                <w:szCs w:val="10"/>
                <w:color w:val="auto"/>
              </w:rPr>
              <w:t>549,398</w:t>
            </w:r>
          </w:p>
        </w:tc>
        <w:tc>
          <w:tcPr>
            <w:tcW w:w="1720" w:type="dxa"/>
            <w:vAlign w:val="bottom"/>
          </w:tcPr>
          <w:p>
            <w:pPr>
              <w:jc w:val="right"/>
              <w:ind w:right="132"/>
              <w:spacing w:after="0" w:line="97" w:lineRule="exact"/>
              <w:rPr>
                <w:sz w:val="20"/>
                <w:szCs w:val="20"/>
                <w:color w:val="auto"/>
              </w:rPr>
            </w:pPr>
            <w:r>
              <w:rPr>
                <w:rFonts w:ascii="Arial" w:cs="Arial" w:eastAsia="Arial" w:hAnsi="Arial"/>
                <w:sz w:val="10"/>
                <w:szCs w:val="10"/>
                <w:color w:val="auto"/>
              </w:rPr>
              <w:t>133,364</w:t>
            </w:r>
          </w:p>
        </w:tc>
        <w:tc>
          <w:tcPr>
            <w:tcW w:w="1160" w:type="dxa"/>
            <w:vAlign w:val="bottom"/>
          </w:tcPr>
          <w:p>
            <w:pPr>
              <w:jc w:val="right"/>
              <w:ind w:right="272"/>
              <w:spacing w:after="0" w:line="97" w:lineRule="exact"/>
              <w:rPr>
                <w:sz w:val="20"/>
                <w:szCs w:val="20"/>
                <w:color w:val="auto"/>
              </w:rPr>
            </w:pPr>
            <w:r>
              <w:rPr>
                <w:rFonts w:ascii="Arial" w:cs="Arial" w:eastAsia="Arial" w:hAnsi="Arial"/>
                <w:sz w:val="10"/>
                <w:szCs w:val="10"/>
                <w:color w:val="auto"/>
              </w:rPr>
              <w:t>64,429</w:t>
            </w:r>
          </w:p>
        </w:tc>
        <w:tc>
          <w:tcPr>
            <w:tcW w:w="840" w:type="dxa"/>
            <w:vAlign w:val="bottom"/>
          </w:tcPr>
          <w:p>
            <w:pPr>
              <w:jc w:val="right"/>
              <w:ind w:right="92"/>
              <w:spacing w:after="0" w:line="97" w:lineRule="exact"/>
              <w:rPr>
                <w:sz w:val="20"/>
                <w:szCs w:val="20"/>
                <w:color w:val="auto"/>
              </w:rPr>
            </w:pPr>
            <w:r>
              <w:rPr>
                <w:rFonts w:ascii="Arial" w:cs="Arial" w:eastAsia="Arial" w:hAnsi="Arial"/>
                <w:sz w:val="10"/>
                <w:szCs w:val="10"/>
                <w:color w:val="auto"/>
              </w:rPr>
              <w:t>2,127,127</w:t>
            </w:r>
          </w:p>
        </w:tc>
        <w:tc>
          <w:tcPr>
            <w:tcW w:w="0" w:type="dxa"/>
            <w:vAlign w:val="bottom"/>
          </w:tcPr>
          <w:p>
            <w:pPr>
              <w:spacing w:after="0"/>
              <w:rPr>
                <w:sz w:val="1"/>
                <w:szCs w:val="1"/>
                <w:color w:val="auto"/>
              </w:rPr>
            </w:pPr>
          </w:p>
        </w:tc>
      </w:tr>
      <w:tr>
        <w:trPr>
          <w:trHeight w:val="36"/>
        </w:trPr>
        <w:tc>
          <w:tcPr>
            <w:tcW w:w="2700" w:type="dxa"/>
            <w:vAlign w:val="bottom"/>
            <w:vMerge w:val="restart"/>
          </w:tcPr>
          <w:p>
            <w:pPr>
              <w:ind w:left="20"/>
              <w:spacing w:after="0" w:line="104" w:lineRule="exact"/>
              <w:rPr>
                <w:sz w:val="20"/>
                <w:szCs w:val="20"/>
                <w:color w:val="auto"/>
              </w:rPr>
            </w:pPr>
            <w:r>
              <w:rPr>
                <w:rFonts w:ascii="Arial" w:cs="Arial" w:eastAsia="Arial" w:hAnsi="Arial"/>
                <w:sz w:val="10"/>
                <w:szCs w:val="10"/>
                <w:color w:val="auto"/>
              </w:rPr>
              <w:t>Chief Strategy and Corporate</w:t>
            </w:r>
          </w:p>
        </w:tc>
        <w:tc>
          <w:tcPr>
            <w:tcW w:w="520" w:type="dxa"/>
            <w:vAlign w:val="bottom"/>
            <w:tcBorders>
              <w:bottom w:val="single" w:sz="8" w:color="CCCCCC"/>
            </w:tcBorders>
          </w:tcPr>
          <w:p>
            <w:pPr>
              <w:spacing w:after="0"/>
              <w:rPr>
                <w:sz w:val="3"/>
                <w:szCs w:val="3"/>
                <w:color w:val="auto"/>
              </w:rPr>
            </w:pPr>
          </w:p>
        </w:tc>
        <w:tc>
          <w:tcPr>
            <w:tcW w:w="700" w:type="dxa"/>
            <w:vAlign w:val="bottom"/>
            <w:tcBorders>
              <w:bottom w:val="single" w:sz="8" w:color="CCCCCC"/>
            </w:tcBorders>
          </w:tcPr>
          <w:p>
            <w:pPr>
              <w:spacing w:after="0"/>
              <w:rPr>
                <w:sz w:val="3"/>
                <w:szCs w:val="3"/>
                <w:color w:val="auto"/>
              </w:rPr>
            </w:pPr>
          </w:p>
        </w:tc>
        <w:tc>
          <w:tcPr>
            <w:tcW w:w="640" w:type="dxa"/>
            <w:vAlign w:val="bottom"/>
            <w:tcBorders>
              <w:bottom w:val="single" w:sz="8" w:color="CCCCCC"/>
            </w:tcBorders>
          </w:tcPr>
          <w:p>
            <w:pPr>
              <w:spacing w:after="0"/>
              <w:rPr>
                <w:sz w:val="3"/>
                <w:szCs w:val="3"/>
                <w:color w:val="auto"/>
              </w:rPr>
            </w:pPr>
          </w:p>
        </w:tc>
        <w:tc>
          <w:tcPr>
            <w:tcW w:w="680" w:type="dxa"/>
            <w:vAlign w:val="bottom"/>
            <w:tcBorders>
              <w:bottom w:val="single" w:sz="8" w:color="CCCCCC"/>
            </w:tcBorders>
          </w:tcPr>
          <w:p>
            <w:pPr>
              <w:spacing w:after="0"/>
              <w:rPr>
                <w:sz w:val="3"/>
                <w:szCs w:val="3"/>
                <w:color w:val="auto"/>
              </w:rPr>
            </w:pPr>
          </w:p>
        </w:tc>
        <w:tc>
          <w:tcPr>
            <w:tcW w:w="820" w:type="dxa"/>
            <w:vAlign w:val="bottom"/>
            <w:tcBorders>
              <w:bottom w:val="single" w:sz="8" w:color="CCCCCC"/>
            </w:tcBorders>
          </w:tcPr>
          <w:p>
            <w:pPr>
              <w:spacing w:after="0"/>
              <w:rPr>
                <w:sz w:val="3"/>
                <w:szCs w:val="3"/>
                <w:color w:val="auto"/>
              </w:rPr>
            </w:pPr>
          </w:p>
        </w:tc>
        <w:tc>
          <w:tcPr>
            <w:tcW w:w="1520" w:type="dxa"/>
            <w:vAlign w:val="bottom"/>
            <w:tcBorders>
              <w:bottom w:val="single" w:sz="8" w:color="CCCCCC"/>
            </w:tcBorders>
          </w:tcPr>
          <w:p>
            <w:pPr>
              <w:spacing w:after="0"/>
              <w:rPr>
                <w:sz w:val="3"/>
                <w:szCs w:val="3"/>
                <w:color w:val="auto"/>
              </w:rPr>
            </w:pPr>
          </w:p>
        </w:tc>
        <w:tc>
          <w:tcPr>
            <w:tcW w:w="1720" w:type="dxa"/>
            <w:vAlign w:val="bottom"/>
            <w:tcBorders>
              <w:bottom w:val="single" w:sz="8" w:color="CCCCCC"/>
            </w:tcBorders>
          </w:tcPr>
          <w:p>
            <w:pPr>
              <w:spacing w:after="0"/>
              <w:rPr>
                <w:sz w:val="3"/>
                <w:szCs w:val="3"/>
                <w:color w:val="auto"/>
              </w:rPr>
            </w:pPr>
          </w:p>
        </w:tc>
        <w:tc>
          <w:tcPr>
            <w:tcW w:w="1160" w:type="dxa"/>
            <w:vAlign w:val="bottom"/>
            <w:tcBorders>
              <w:bottom w:val="single" w:sz="8" w:color="CCCCCC"/>
            </w:tcBorders>
          </w:tcPr>
          <w:p>
            <w:pPr>
              <w:spacing w:after="0"/>
              <w:rPr>
                <w:sz w:val="3"/>
                <w:szCs w:val="3"/>
                <w:color w:val="auto"/>
              </w:rPr>
            </w:pPr>
          </w:p>
        </w:tc>
        <w:tc>
          <w:tcPr>
            <w:tcW w:w="84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2700" w:type="dxa"/>
            <w:vAlign w:val="bottom"/>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0"/>
                <w:szCs w:val="10"/>
                <w:color w:val="auto"/>
                <w:w w:val="89"/>
              </w:rPr>
              <w:t>2019</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518,750</w:t>
            </w:r>
          </w:p>
        </w:tc>
        <w:tc>
          <w:tcPr>
            <w:tcW w:w="64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
              <w:spacing w:after="0"/>
              <w:rPr>
                <w:sz w:val="20"/>
                <w:szCs w:val="20"/>
                <w:color w:val="auto"/>
              </w:rPr>
            </w:pPr>
            <w:r>
              <w:rPr>
                <w:rFonts w:ascii="Arial" w:cs="Arial" w:eastAsia="Arial" w:hAnsi="Arial"/>
                <w:sz w:val="10"/>
                <w:szCs w:val="10"/>
                <w:color w:val="auto"/>
              </w:rPr>
              <w:t>612,563</w:t>
            </w:r>
          </w:p>
        </w:tc>
        <w:tc>
          <w:tcPr>
            <w:tcW w:w="820" w:type="dxa"/>
            <w:vAlign w:val="bottom"/>
            <w:vMerge w:val="restart"/>
          </w:tcPr>
          <w:p>
            <w:pPr>
              <w:jc w:val="right"/>
              <w:ind w:right="272"/>
              <w:spacing w:after="0"/>
              <w:rPr>
                <w:sz w:val="20"/>
                <w:szCs w:val="20"/>
                <w:color w:val="auto"/>
              </w:rPr>
            </w:pPr>
            <w:r>
              <w:rPr>
                <w:rFonts w:ascii="Arial" w:cs="Arial" w:eastAsia="Arial" w:hAnsi="Arial"/>
                <w:sz w:val="10"/>
                <w:szCs w:val="10"/>
                <w:color w:val="auto"/>
              </w:rPr>
              <w:t>200,015</w:t>
            </w:r>
          </w:p>
        </w:tc>
        <w:tc>
          <w:tcPr>
            <w:tcW w:w="1520" w:type="dxa"/>
            <w:vAlign w:val="bottom"/>
            <w:vMerge w:val="restart"/>
          </w:tcPr>
          <w:p>
            <w:pPr>
              <w:jc w:val="right"/>
              <w:ind w:right="213"/>
              <w:spacing w:after="0"/>
              <w:rPr>
                <w:sz w:val="20"/>
                <w:szCs w:val="20"/>
                <w:color w:val="auto"/>
              </w:rPr>
            </w:pPr>
            <w:r>
              <w:rPr>
                <w:rFonts w:ascii="Arial" w:cs="Arial" w:eastAsia="Arial" w:hAnsi="Arial"/>
                <w:sz w:val="10"/>
                <w:szCs w:val="10"/>
                <w:color w:val="auto"/>
              </w:rPr>
              <w:t>204,336</w:t>
            </w:r>
          </w:p>
        </w:tc>
        <w:tc>
          <w:tcPr>
            <w:tcW w:w="1720" w:type="dxa"/>
            <w:vAlign w:val="bottom"/>
            <w:vMerge w:val="restart"/>
          </w:tcPr>
          <w:p>
            <w:pPr>
              <w:jc w:val="right"/>
              <w:ind w:right="132"/>
              <w:spacing w:after="0"/>
              <w:rPr>
                <w:sz w:val="20"/>
                <w:szCs w:val="20"/>
                <w:color w:val="auto"/>
              </w:rPr>
            </w:pPr>
            <w:r>
              <w:rPr>
                <w:rFonts w:ascii="Arial" w:cs="Arial" w:eastAsia="Arial" w:hAnsi="Arial"/>
                <w:sz w:val="10"/>
                <w:szCs w:val="10"/>
                <w:color w:val="auto"/>
              </w:rPr>
              <w:t>63,354</w:t>
            </w:r>
          </w:p>
        </w:tc>
        <w:tc>
          <w:tcPr>
            <w:tcW w:w="1160" w:type="dxa"/>
            <w:vAlign w:val="bottom"/>
            <w:vMerge w:val="restart"/>
          </w:tcPr>
          <w:p>
            <w:pPr>
              <w:jc w:val="right"/>
              <w:ind w:right="272"/>
              <w:spacing w:after="0"/>
              <w:rPr>
                <w:sz w:val="20"/>
                <w:szCs w:val="20"/>
                <w:color w:val="auto"/>
              </w:rPr>
            </w:pPr>
            <w:r>
              <w:rPr>
                <w:rFonts w:ascii="Arial" w:cs="Arial" w:eastAsia="Arial" w:hAnsi="Arial"/>
                <w:sz w:val="10"/>
                <w:szCs w:val="10"/>
                <w:color w:val="auto"/>
              </w:rPr>
              <w:t>24,622</w:t>
            </w:r>
          </w:p>
        </w:tc>
        <w:tc>
          <w:tcPr>
            <w:tcW w:w="840" w:type="dxa"/>
            <w:vAlign w:val="bottom"/>
            <w:vMerge w:val="restart"/>
          </w:tcPr>
          <w:p>
            <w:pPr>
              <w:jc w:val="right"/>
              <w:spacing w:after="0"/>
              <w:rPr>
                <w:sz w:val="20"/>
                <w:szCs w:val="20"/>
                <w:color w:val="auto"/>
              </w:rPr>
            </w:pPr>
            <w:r>
              <w:rPr>
                <w:rFonts w:ascii="Arial" w:cs="Arial" w:eastAsia="Arial" w:hAnsi="Arial"/>
                <w:sz w:val="10"/>
                <w:szCs w:val="10"/>
                <w:color w:val="auto"/>
              </w:rPr>
              <w:t>1,623,640</w:t>
            </w:r>
            <w:r>
              <w:rPr>
                <w:rFonts w:ascii="Arial" w:cs="Arial" w:eastAsia="Arial" w:hAnsi="Arial"/>
                <w:sz w:val="15"/>
                <w:szCs w:val="15"/>
                <w:color w:val="auto"/>
                <w:vertAlign w:val="superscript"/>
              </w:rPr>
              <w:t>(8)</w:t>
            </w:r>
          </w:p>
        </w:tc>
        <w:tc>
          <w:tcPr>
            <w:tcW w:w="0" w:type="dxa"/>
            <w:vAlign w:val="bottom"/>
          </w:tcPr>
          <w:p>
            <w:pPr>
              <w:spacing w:after="0"/>
              <w:rPr>
                <w:sz w:val="1"/>
                <w:szCs w:val="1"/>
                <w:color w:val="auto"/>
              </w:rPr>
            </w:pPr>
          </w:p>
        </w:tc>
      </w:tr>
      <w:tr>
        <w:trPr>
          <w:trHeight w:val="158"/>
        </w:trPr>
        <w:tc>
          <w:tcPr>
            <w:tcW w:w="2700" w:type="dxa"/>
            <w:vAlign w:val="bottom"/>
            <w:tcBorders>
              <w:bottom w:val="single" w:sz="8" w:color="E31F25"/>
            </w:tcBorders>
          </w:tcPr>
          <w:p>
            <w:pPr>
              <w:ind w:left="20"/>
              <w:spacing w:after="0"/>
              <w:rPr>
                <w:sz w:val="20"/>
                <w:szCs w:val="20"/>
                <w:color w:val="auto"/>
              </w:rPr>
            </w:pPr>
            <w:r>
              <w:rPr>
                <w:rFonts w:ascii="Arial" w:cs="Arial" w:eastAsia="Arial" w:hAnsi="Arial"/>
                <w:sz w:val="10"/>
                <w:szCs w:val="10"/>
                <w:color w:val="auto"/>
              </w:rPr>
              <w:t>Development Officer</w:t>
            </w:r>
          </w:p>
        </w:tc>
        <w:tc>
          <w:tcPr>
            <w:tcW w:w="520" w:type="dxa"/>
            <w:vAlign w:val="bottom"/>
            <w:tcBorders>
              <w:bottom w:val="single" w:sz="8" w:color="E31F25"/>
            </w:tcBorders>
            <w:vMerge w:val="continue"/>
          </w:tcPr>
          <w:p>
            <w:pPr>
              <w:spacing w:after="0"/>
              <w:rPr>
                <w:sz w:val="13"/>
                <w:szCs w:val="13"/>
                <w:color w:val="auto"/>
              </w:rPr>
            </w:pPr>
          </w:p>
        </w:tc>
        <w:tc>
          <w:tcPr>
            <w:tcW w:w="700" w:type="dxa"/>
            <w:vAlign w:val="bottom"/>
            <w:tcBorders>
              <w:bottom w:val="single" w:sz="8" w:color="E31F25"/>
            </w:tcBorders>
            <w:vMerge w:val="continue"/>
          </w:tcPr>
          <w:p>
            <w:pPr>
              <w:spacing w:after="0"/>
              <w:rPr>
                <w:sz w:val="13"/>
                <w:szCs w:val="13"/>
                <w:color w:val="auto"/>
              </w:rPr>
            </w:pPr>
          </w:p>
        </w:tc>
        <w:tc>
          <w:tcPr>
            <w:tcW w:w="640" w:type="dxa"/>
            <w:vAlign w:val="bottom"/>
            <w:tcBorders>
              <w:bottom w:val="single" w:sz="8" w:color="E31F25"/>
            </w:tcBorders>
            <w:vMerge w:val="continue"/>
          </w:tcPr>
          <w:p>
            <w:pPr>
              <w:spacing w:after="0"/>
              <w:rPr>
                <w:sz w:val="13"/>
                <w:szCs w:val="13"/>
                <w:color w:val="auto"/>
              </w:rPr>
            </w:pPr>
          </w:p>
        </w:tc>
        <w:tc>
          <w:tcPr>
            <w:tcW w:w="680" w:type="dxa"/>
            <w:vAlign w:val="bottom"/>
            <w:tcBorders>
              <w:bottom w:val="single" w:sz="8" w:color="E31F25"/>
            </w:tcBorders>
            <w:vMerge w:val="continue"/>
          </w:tcPr>
          <w:p>
            <w:pPr>
              <w:spacing w:after="0"/>
              <w:rPr>
                <w:sz w:val="13"/>
                <w:szCs w:val="13"/>
                <w:color w:val="auto"/>
              </w:rPr>
            </w:pPr>
          </w:p>
        </w:tc>
        <w:tc>
          <w:tcPr>
            <w:tcW w:w="820" w:type="dxa"/>
            <w:vAlign w:val="bottom"/>
            <w:tcBorders>
              <w:bottom w:val="single" w:sz="8" w:color="E31F25"/>
            </w:tcBorders>
            <w:vMerge w:val="continue"/>
          </w:tcPr>
          <w:p>
            <w:pPr>
              <w:spacing w:after="0"/>
              <w:rPr>
                <w:sz w:val="13"/>
                <w:szCs w:val="13"/>
                <w:color w:val="auto"/>
              </w:rPr>
            </w:pPr>
          </w:p>
        </w:tc>
        <w:tc>
          <w:tcPr>
            <w:tcW w:w="1520" w:type="dxa"/>
            <w:vAlign w:val="bottom"/>
            <w:tcBorders>
              <w:bottom w:val="single" w:sz="8" w:color="E31F25"/>
            </w:tcBorders>
            <w:vMerge w:val="continue"/>
          </w:tcPr>
          <w:p>
            <w:pPr>
              <w:spacing w:after="0"/>
              <w:rPr>
                <w:sz w:val="13"/>
                <w:szCs w:val="13"/>
                <w:color w:val="auto"/>
              </w:rPr>
            </w:pPr>
          </w:p>
        </w:tc>
        <w:tc>
          <w:tcPr>
            <w:tcW w:w="1720" w:type="dxa"/>
            <w:vAlign w:val="bottom"/>
            <w:tcBorders>
              <w:bottom w:val="single" w:sz="8" w:color="E31F25"/>
            </w:tcBorders>
            <w:vMerge w:val="continue"/>
          </w:tcPr>
          <w:p>
            <w:pPr>
              <w:spacing w:after="0"/>
              <w:rPr>
                <w:sz w:val="13"/>
                <w:szCs w:val="13"/>
                <w:color w:val="auto"/>
              </w:rPr>
            </w:pPr>
          </w:p>
        </w:tc>
        <w:tc>
          <w:tcPr>
            <w:tcW w:w="1160" w:type="dxa"/>
            <w:vAlign w:val="bottom"/>
            <w:tcBorders>
              <w:bottom w:val="single" w:sz="8" w:color="E31F25"/>
            </w:tcBorders>
            <w:vMerge w:val="continue"/>
          </w:tcPr>
          <w:p>
            <w:pPr>
              <w:spacing w:after="0"/>
              <w:rPr>
                <w:sz w:val="13"/>
                <w:szCs w:val="13"/>
                <w:color w:val="auto"/>
              </w:rPr>
            </w:pPr>
          </w:p>
        </w:tc>
        <w:tc>
          <w:tcPr>
            <w:tcW w:w="840" w:type="dxa"/>
            <w:vAlign w:val="bottom"/>
            <w:tcBorders>
              <w:bottom w:val="single" w:sz="8" w:color="E31F25"/>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rPr>
                <w:sz w:val="20"/>
                <w:szCs w:val="20"/>
                <w:color w:val="auto"/>
              </w:rPr>
            </w:pPr>
            <w:r>
              <w:rPr>
                <w:rFonts w:ascii="Arial" w:cs="Arial" w:eastAsia="Arial" w:hAnsi="Arial"/>
                <w:sz w:val="10"/>
                <w:szCs w:val="10"/>
                <w:b w:val="1"/>
                <w:bCs w:val="1"/>
                <w:color w:val="D60011"/>
              </w:rPr>
              <w:t>Andrew I. Gray</w:t>
            </w:r>
          </w:p>
        </w:tc>
        <w:tc>
          <w:tcPr>
            <w:tcW w:w="520" w:type="dxa"/>
            <w:vAlign w:val="bottom"/>
            <w:tcBorders>
              <w:bottom w:val="single" w:sz="8" w:color="CCCCCC"/>
            </w:tcBorders>
          </w:tcPr>
          <w:p>
            <w:pPr>
              <w:jc w:val="center"/>
              <w:spacing w:after="0"/>
              <w:rPr>
                <w:sz w:val="20"/>
                <w:szCs w:val="20"/>
                <w:color w:val="auto"/>
              </w:rPr>
            </w:pPr>
            <w:r>
              <w:rPr>
                <w:rFonts w:ascii="Arial" w:cs="Arial" w:eastAsia="Arial" w:hAnsi="Arial"/>
                <w:sz w:val="10"/>
                <w:szCs w:val="10"/>
                <w:color w:val="auto"/>
                <w:w w:val="89"/>
              </w:rPr>
              <w:t>2021</w:t>
            </w:r>
          </w:p>
        </w:tc>
        <w:tc>
          <w:tcPr>
            <w:tcW w:w="7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611,250</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3"/>
              <w:spacing w:after="0"/>
              <w:rPr>
                <w:sz w:val="20"/>
                <w:szCs w:val="20"/>
                <w:color w:val="auto"/>
              </w:rPr>
            </w:pPr>
            <w:r>
              <w:rPr>
                <w:rFonts w:ascii="Arial" w:cs="Arial" w:eastAsia="Arial" w:hAnsi="Arial"/>
                <w:sz w:val="10"/>
                <w:szCs w:val="10"/>
                <w:color w:val="auto"/>
              </w:rPr>
              <w:t>1,079,089</w:t>
            </w:r>
          </w:p>
        </w:tc>
        <w:tc>
          <w:tcPr>
            <w:tcW w:w="82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194,763</w:t>
            </w:r>
          </w:p>
        </w:tc>
        <w:tc>
          <w:tcPr>
            <w:tcW w:w="1520" w:type="dxa"/>
            <w:vAlign w:val="bottom"/>
            <w:tcBorders>
              <w:bottom w:val="single" w:sz="8" w:color="CCCCCC"/>
            </w:tcBorders>
          </w:tcPr>
          <w:p>
            <w:pPr>
              <w:jc w:val="right"/>
              <w:ind w:right="213"/>
              <w:spacing w:after="0"/>
              <w:rPr>
                <w:sz w:val="20"/>
                <w:szCs w:val="20"/>
                <w:color w:val="auto"/>
              </w:rPr>
            </w:pPr>
            <w:r>
              <w:rPr>
                <w:rFonts w:ascii="Arial" w:cs="Arial" w:eastAsia="Arial" w:hAnsi="Arial"/>
                <w:sz w:val="10"/>
                <w:szCs w:val="10"/>
                <w:color w:val="auto"/>
              </w:rPr>
              <w:t>831,273</w:t>
            </w:r>
          </w:p>
        </w:tc>
        <w:tc>
          <w:tcPr>
            <w:tcW w:w="172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81,944</w:t>
            </w:r>
          </w:p>
        </w:tc>
        <w:tc>
          <w:tcPr>
            <w:tcW w:w="116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62,034</w:t>
            </w:r>
          </w:p>
        </w:tc>
        <w:tc>
          <w:tcPr>
            <w:tcW w:w="84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2,860,353</w:t>
            </w:r>
          </w:p>
        </w:tc>
        <w:tc>
          <w:tcPr>
            <w:tcW w:w="0" w:type="dxa"/>
            <w:vAlign w:val="bottom"/>
          </w:tcPr>
          <w:p>
            <w:pPr>
              <w:spacing w:after="0"/>
              <w:rPr>
                <w:sz w:val="1"/>
                <w:szCs w:val="1"/>
                <w:color w:val="auto"/>
              </w:rPr>
            </w:pPr>
          </w:p>
        </w:tc>
      </w:tr>
      <w:tr>
        <w:trPr>
          <w:trHeight w:val="126"/>
        </w:trPr>
        <w:tc>
          <w:tcPr>
            <w:tcW w:w="2700" w:type="dxa"/>
            <w:vAlign w:val="bottom"/>
          </w:tcPr>
          <w:p>
            <w:pPr>
              <w:ind w:left="20"/>
              <w:spacing w:after="0" w:line="102" w:lineRule="exact"/>
              <w:rPr>
                <w:sz w:val="20"/>
                <w:szCs w:val="20"/>
                <w:color w:val="auto"/>
              </w:rPr>
            </w:pPr>
            <w:r>
              <w:rPr>
                <w:rFonts w:ascii="Arial" w:cs="Arial" w:eastAsia="Arial" w:hAnsi="Arial"/>
                <w:sz w:val="10"/>
                <w:szCs w:val="10"/>
                <w:color w:val="auto"/>
              </w:rPr>
              <w:t>Executive Vice President and</w:t>
            </w:r>
          </w:p>
        </w:tc>
        <w:tc>
          <w:tcPr>
            <w:tcW w:w="520" w:type="dxa"/>
            <w:vAlign w:val="bottom"/>
          </w:tcPr>
          <w:p>
            <w:pPr>
              <w:jc w:val="center"/>
              <w:spacing w:after="0"/>
              <w:rPr>
                <w:sz w:val="20"/>
                <w:szCs w:val="20"/>
                <w:color w:val="auto"/>
              </w:rPr>
            </w:pPr>
            <w:r>
              <w:rPr>
                <w:rFonts w:ascii="Arial" w:cs="Arial" w:eastAsia="Arial" w:hAnsi="Arial"/>
                <w:sz w:val="10"/>
                <w:szCs w:val="10"/>
                <w:color w:val="auto"/>
                <w:w w:val="89"/>
              </w:rPr>
              <w:t>2020</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512,663</w:t>
            </w:r>
          </w:p>
        </w:tc>
        <w:tc>
          <w:tcPr>
            <w:tcW w:w="64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3"/>
              <w:spacing w:after="0"/>
              <w:rPr>
                <w:sz w:val="20"/>
                <w:szCs w:val="20"/>
                <w:color w:val="auto"/>
              </w:rPr>
            </w:pPr>
            <w:r>
              <w:rPr>
                <w:rFonts w:ascii="Arial" w:cs="Arial" w:eastAsia="Arial" w:hAnsi="Arial"/>
                <w:sz w:val="10"/>
                <w:szCs w:val="10"/>
                <w:color w:val="auto"/>
              </w:rPr>
              <w:t>419,349</w:t>
            </w:r>
          </w:p>
        </w:tc>
        <w:tc>
          <w:tcPr>
            <w:tcW w:w="820" w:type="dxa"/>
            <w:vAlign w:val="bottom"/>
          </w:tcPr>
          <w:p>
            <w:pPr>
              <w:jc w:val="right"/>
              <w:ind w:right="272"/>
              <w:spacing w:after="0"/>
              <w:rPr>
                <w:sz w:val="20"/>
                <w:szCs w:val="20"/>
                <w:color w:val="auto"/>
              </w:rPr>
            </w:pPr>
            <w:r>
              <w:rPr>
                <w:rFonts w:ascii="Arial" w:cs="Arial" w:eastAsia="Arial" w:hAnsi="Arial"/>
                <w:sz w:val="10"/>
                <w:szCs w:val="10"/>
                <w:color w:val="auto"/>
              </w:rPr>
              <w:t>75,002</w:t>
            </w:r>
          </w:p>
        </w:tc>
        <w:tc>
          <w:tcPr>
            <w:tcW w:w="1520" w:type="dxa"/>
            <w:vAlign w:val="bottom"/>
          </w:tcPr>
          <w:p>
            <w:pPr>
              <w:jc w:val="right"/>
              <w:ind w:right="213"/>
              <w:spacing w:after="0"/>
              <w:rPr>
                <w:sz w:val="20"/>
                <w:szCs w:val="20"/>
                <w:color w:val="auto"/>
              </w:rPr>
            </w:pPr>
            <w:r>
              <w:rPr>
                <w:rFonts w:ascii="Arial" w:cs="Arial" w:eastAsia="Arial" w:hAnsi="Arial"/>
                <w:sz w:val="10"/>
                <w:szCs w:val="10"/>
                <w:color w:val="auto"/>
              </w:rPr>
              <w:t>613,695</w:t>
            </w:r>
          </w:p>
        </w:tc>
        <w:tc>
          <w:tcPr>
            <w:tcW w:w="1720" w:type="dxa"/>
            <w:vAlign w:val="bottom"/>
          </w:tcPr>
          <w:p>
            <w:pPr>
              <w:jc w:val="right"/>
              <w:ind w:right="132"/>
              <w:spacing w:after="0"/>
              <w:rPr>
                <w:sz w:val="20"/>
                <w:szCs w:val="20"/>
                <w:color w:val="auto"/>
              </w:rPr>
            </w:pPr>
            <w:r>
              <w:rPr>
                <w:rFonts w:ascii="Arial" w:cs="Arial" w:eastAsia="Arial" w:hAnsi="Arial"/>
                <w:sz w:val="10"/>
                <w:szCs w:val="10"/>
                <w:color w:val="auto"/>
              </w:rPr>
              <w:t>60,216</w:t>
            </w:r>
          </w:p>
        </w:tc>
        <w:tc>
          <w:tcPr>
            <w:tcW w:w="1160" w:type="dxa"/>
            <w:vAlign w:val="bottom"/>
          </w:tcPr>
          <w:p>
            <w:pPr>
              <w:jc w:val="right"/>
              <w:ind w:right="172"/>
              <w:spacing w:after="0" w:line="126" w:lineRule="exact"/>
              <w:rPr>
                <w:sz w:val="20"/>
                <w:szCs w:val="20"/>
                <w:color w:val="auto"/>
              </w:rPr>
            </w:pPr>
            <w:r>
              <w:rPr>
                <w:rFonts w:ascii="Arial" w:cs="Arial" w:eastAsia="Arial" w:hAnsi="Arial"/>
                <w:sz w:val="9"/>
                <w:szCs w:val="9"/>
                <w:color w:val="auto"/>
              </w:rPr>
              <w:t>202,416</w:t>
            </w:r>
            <w:r>
              <w:rPr>
                <w:rFonts w:ascii="Arial" w:cs="Arial" w:eastAsia="Arial" w:hAnsi="Arial"/>
                <w:sz w:val="14"/>
                <w:szCs w:val="14"/>
                <w:color w:val="auto"/>
                <w:vertAlign w:val="superscript"/>
              </w:rPr>
              <w:t>(8)</w:t>
            </w:r>
          </w:p>
        </w:tc>
        <w:tc>
          <w:tcPr>
            <w:tcW w:w="840" w:type="dxa"/>
            <w:vAlign w:val="bottom"/>
          </w:tcPr>
          <w:p>
            <w:pPr>
              <w:jc w:val="right"/>
              <w:spacing w:after="0" w:line="126" w:lineRule="exact"/>
              <w:rPr>
                <w:sz w:val="20"/>
                <w:szCs w:val="20"/>
                <w:color w:val="auto"/>
              </w:rPr>
            </w:pPr>
            <w:r>
              <w:rPr>
                <w:rFonts w:ascii="Arial" w:cs="Arial" w:eastAsia="Arial" w:hAnsi="Arial"/>
                <w:sz w:val="9"/>
                <w:szCs w:val="9"/>
                <w:color w:val="auto"/>
              </w:rPr>
              <w:t>1,883,341</w:t>
            </w:r>
            <w:r>
              <w:rPr>
                <w:rFonts w:ascii="Arial" w:cs="Arial" w:eastAsia="Arial" w:hAnsi="Arial"/>
                <w:sz w:val="14"/>
                <w:szCs w:val="14"/>
                <w:color w:val="auto"/>
                <w:vertAlign w:val="superscript"/>
              </w:rPr>
              <w:t>(8)</w:t>
            </w:r>
          </w:p>
        </w:tc>
        <w:tc>
          <w:tcPr>
            <w:tcW w:w="0" w:type="dxa"/>
            <w:vAlign w:val="bottom"/>
          </w:tcPr>
          <w:p>
            <w:pPr>
              <w:spacing w:after="0"/>
              <w:rPr>
                <w:sz w:val="1"/>
                <w:szCs w:val="1"/>
                <w:color w:val="auto"/>
              </w:rPr>
            </w:pPr>
          </w:p>
        </w:tc>
      </w:tr>
      <w:tr>
        <w:trPr>
          <w:trHeight w:val="108"/>
        </w:trPr>
        <w:tc>
          <w:tcPr>
            <w:tcW w:w="2700" w:type="dxa"/>
            <w:vAlign w:val="bottom"/>
            <w:tcBorders>
              <w:bottom w:val="single" w:sz="8" w:color="E31F25"/>
            </w:tcBorders>
          </w:tcPr>
          <w:p>
            <w:pPr>
              <w:ind w:left="20"/>
              <w:spacing w:after="0" w:line="108" w:lineRule="exact"/>
              <w:rPr>
                <w:sz w:val="20"/>
                <w:szCs w:val="20"/>
                <w:color w:val="auto"/>
              </w:rPr>
            </w:pPr>
            <w:r>
              <w:rPr>
                <w:rFonts w:ascii="Arial" w:cs="Arial" w:eastAsia="Arial" w:hAnsi="Arial"/>
                <w:sz w:val="10"/>
                <w:szCs w:val="10"/>
                <w:color w:val="auto"/>
              </w:rPr>
              <w:t>Chief Commercial Officer</w:t>
            </w:r>
          </w:p>
        </w:tc>
        <w:tc>
          <w:tcPr>
            <w:tcW w:w="520" w:type="dxa"/>
            <w:vAlign w:val="bottom"/>
            <w:tcBorders>
              <w:bottom w:val="single" w:sz="8" w:color="E31F25"/>
            </w:tcBorders>
          </w:tcPr>
          <w:p>
            <w:pPr>
              <w:spacing w:after="0"/>
              <w:rPr>
                <w:sz w:val="9"/>
                <w:szCs w:val="9"/>
                <w:color w:val="auto"/>
              </w:rPr>
            </w:pPr>
          </w:p>
        </w:tc>
        <w:tc>
          <w:tcPr>
            <w:tcW w:w="700" w:type="dxa"/>
            <w:vAlign w:val="bottom"/>
            <w:tcBorders>
              <w:bottom w:val="single" w:sz="8" w:color="E31F25"/>
            </w:tcBorders>
          </w:tcPr>
          <w:p>
            <w:pPr>
              <w:spacing w:after="0"/>
              <w:rPr>
                <w:sz w:val="9"/>
                <w:szCs w:val="9"/>
                <w:color w:val="auto"/>
              </w:rPr>
            </w:pPr>
          </w:p>
        </w:tc>
        <w:tc>
          <w:tcPr>
            <w:tcW w:w="640" w:type="dxa"/>
            <w:vAlign w:val="bottom"/>
            <w:tcBorders>
              <w:bottom w:val="single" w:sz="8" w:color="E31F25"/>
            </w:tcBorders>
          </w:tcPr>
          <w:p>
            <w:pPr>
              <w:spacing w:after="0"/>
              <w:rPr>
                <w:sz w:val="9"/>
                <w:szCs w:val="9"/>
                <w:color w:val="auto"/>
              </w:rPr>
            </w:pPr>
          </w:p>
        </w:tc>
        <w:tc>
          <w:tcPr>
            <w:tcW w:w="680" w:type="dxa"/>
            <w:vAlign w:val="bottom"/>
            <w:tcBorders>
              <w:bottom w:val="single" w:sz="8" w:color="E31F25"/>
            </w:tcBorders>
          </w:tcPr>
          <w:p>
            <w:pPr>
              <w:spacing w:after="0"/>
              <w:rPr>
                <w:sz w:val="9"/>
                <w:szCs w:val="9"/>
                <w:color w:val="auto"/>
              </w:rPr>
            </w:pPr>
          </w:p>
        </w:tc>
        <w:tc>
          <w:tcPr>
            <w:tcW w:w="820" w:type="dxa"/>
            <w:vAlign w:val="bottom"/>
            <w:tcBorders>
              <w:bottom w:val="single" w:sz="8" w:color="E31F25"/>
            </w:tcBorders>
          </w:tcPr>
          <w:p>
            <w:pPr>
              <w:spacing w:after="0"/>
              <w:rPr>
                <w:sz w:val="9"/>
                <w:szCs w:val="9"/>
                <w:color w:val="auto"/>
              </w:rPr>
            </w:pPr>
          </w:p>
        </w:tc>
        <w:tc>
          <w:tcPr>
            <w:tcW w:w="1520" w:type="dxa"/>
            <w:vAlign w:val="bottom"/>
            <w:tcBorders>
              <w:bottom w:val="single" w:sz="8" w:color="E31F25"/>
            </w:tcBorders>
          </w:tcPr>
          <w:p>
            <w:pPr>
              <w:spacing w:after="0"/>
              <w:rPr>
                <w:sz w:val="9"/>
                <w:szCs w:val="9"/>
                <w:color w:val="auto"/>
              </w:rPr>
            </w:pPr>
          </w:p>
        </w:tc>
        <w:tc>
          <w:tcPr>
            <w:tcW w:w="1720" w:type="dxa"/>
            <w:vAlign w:val="bottom"/>
            <w:tcBorders>
              <w:bottom w:val="single" w:sz="8" w:color="E31F25"/>
            </w:tcBorders>
          </w:tcPr>
          <w:p>
            <w:pPr>
              <w:spacing w:after="0"/>
              <w:rPr>
                <w:sz w:val="9"/>
                <w:szCs w:val="9"/>
                <w:color w:val="auto"/>
              </w:rPr>
            </w:pPr>
          </w:p>
        </w:tc>
        <w:tc>
          <w:tcPr>
            <w:tcW w:w="1160" w:type="dxa"/>
            <w:vAlign w:val="bottom"/>
            <w:tcBorders>
              <w:bottom w:val="single" w:sz="8" w:color="E31F25"/>
            </w:tcBorders>
          </w:tcPr>
          <w:p>
            <w:pPr>
              <w:spacing w:after="0"/>
              <w:rPr>
                <w:sz w:val="9"/>
                <w:szCs w:val="9"/>
                <w:color w:val="auto"/>
              </w:rPr>
            </w:pPr>
          </w:p>
        </w:tc>
        <w:tc>
          <w:tcPr>
            <w:tcW w:w="840" w:type="dxa"/>
            <w:vAlign w:val="bottom"/>
            <w:tcBorders>
              <w:bottom w:val="single" w:sz="8" w:color="E31F25"/>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700" w:type="dxa"/>
            <w:vAlign w:val="bottom"/>
          </w:tcPr>
          <w:p>
            <w:pPr>
              <w:ind w:left="20"/>
              <w:spacing w:after="0" w:line="133" w:lineRule="exact"/>
              <w:rPr>
                <w:sz w:val="20"/>
                <w:szCs w:val="20"/>
                <w:color w:val="auto"/>
              </w:rPr>
            </w:pPr>
            <w:r>
              <w:rPr>
                <w:rFonts w:ascii="Arial" w:cs="Arial" w:eastAsia="Arial" w:hAnsi="Arial"/>
                <w:sz w:val="10"/>
                <w:szCs w:val="10"/>
                <w:b w:val="1"/>
                <w:bCs w:val="1"/>
                <w:color w:val="D60011"/>
              </w:rPr>
              <w:t>Lauren B. Peters</w:t>
            </w:r>
            <w:r>
              <w:rPr>
                <w:rFonts w:ascii="Arial" w:cs="Arial" w:eastAsia="Arial" w:hAnsi="Arial"/>
                <w:sz w:val="15"/>
                <w:szCs w:val="15"/>
                <w:b w:val="1"/>
                <w:bCs w:val="1"/>
                <w:color w:val="D60011"/>
                <w:vertAlign w:val="superscript"/>
              </w:rPr>
              <w:t>(9)</w:t>
            </w:r>
          </w:p>
        </w:tc>
        <w:tc>
          <w:tcPr>
            <w:tcW w:w="520" w:type="dxa"/>
            <w:vAlign w:val="bottom"/>
            <w:tcBorders>
              <w:bottom w:val="single" w:sz="8" w:color="CCCCCC"/>
            </w:tcBorders>
          </w:tcPr>
          <w:p>
            <w:pPr>
              <w:jc w:val="center"/>
              <w:spacing w:after="0"/>
              <w:rPr>
                <w:sz w:val="20"/>
                <w:szCs w:val="20"/>
                <w:color w:val="auto"/>
              </w:rPr>
            </w:pPr>
            <w:r>
              <w:rPr>
                <w:rFonts w:ascii="Arial" w:cs="Arial" w:eastAsia="Arial" w:hAnsi="Arial"/>
                <w:sz w:val="10"/>
                <w:szCs w:val="10"/>
                <w:color w:val="auto"/>
                <w:w w:val="89"/>
              </w:rPr>
              <w:t>2021</w:t>
            </w:r>
          </w:p>
        </w:tc>
        <w:tc>
          <w:tcPr>
            <w:tcW w:w="7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175,000</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3"/>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CCCCCC"/>
            </w:tcBorders>
          </w:tcPr>
          <w:p>
            <w:pPr>
              <w:jc w:val="right"/>
              <w:ind w:right="213"/>
              <w:spacing w:after="0"/>
              <w:rPr>
                <w:sz w:val="20"/>
                <w:szCs w:val="20"/>
                <w:color w:val="auto"/>
              </w:rPr>
            </w:pPr>
            <w:r>
              <w:rPr>
                <w:rFonts w:ascii="Arial" w:cs="Arial" w:eastAsia="Arial" w:hAnsi="Arial"/>
                <w:sz w:val="10"/>
                <w:szCs w:val="10"/>
                <w:color w:val="auto"/>
              </w:rPr>
              <w:t>—</w:t>
            </w:r>
          </w:p>
        </w:tc>
        <w:tc>
          <w:tcPr>
            <w:tcW w:w="172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70,762</w:t>
            </w:r>
          </w:p>
        </w:tc>
        <w:tc>
          <w:tcPr>
            <w:tcW w:w="84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245,762</w:t>
            </w: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rPr>
                <w:sz w:val="20"/>
                <w:szCs w:val="20"/>
                <w:color w:val="auto"/>
              </w:rPr>
            </w:pPr>
            <w:r>
              <w:rPr>
                <w:rFonts w:ascii="Arial" w:cs="Arial" w:eastAsia="Arial" w:hAnsi="Arial"/>
                <w:sz w:val="10"/>
                <w:szCs w:val="10"/>
                <w:color w:val="auto"/>
              </w:rPr>
              <w:t>Former Executive Vice President</w:t>
            </w:r>
          </w:p>
        </w:tc>
        <w:tc>
          <w:tcPr>
            <w:tcW w:w="520" w:type="dxa"/>
            <w:vAlign w:val="bottom"/>
            <w:tcBorders>
              <w:bottom w:val="single" w:sz="8" w:color="CCCCCC"/>
            </w:tcBorders>
          </w:tcPr>
          <w:p>
            <w:pPr>
              <w:jc w:val="center"/>
              <w:spacing w:after="0"/>
              <w:rPr>
                <w:sz w:val="20"/>
                <w:szCs w:val="20"/>
                <w:color w:val="auto"/>
              </w:rPr>
            </w:pPr>
            <w:r>
              <w:rPr>
                <w:rFonts w:ascii="Arial" w:cs="Arial" w:eastAsia="Arial" w:hAnsi="Arial"/>
                <w:sz w:val="10"/>
                <w:szCs w:val="10"/>
                <w:color w:val="auto"/>
                <w:w w:val="89"/>
              </w:rPr>
              <w:t>2020</w:t>
            </w:r>
          </w:p>
        </w:tc>
        <w:tc>
          <w:tcPr>
            <w:tcW w:w="7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653,333</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3"/>
              <w:spacing w:after="0"/>
              <w:rPr>
                <w:sz w:val="20"/>
                <w:szCs w:val="20"/>
                <w:color w:val="auto"/>
              </w:rPr>
            </w:pPr>
            <w:r>
              <w:rPr>
                <w:rFonts w:ascii="Arial" w:cs="Arial" w:eastAsia="Arial" w:hAnsi="Arial"/>
                <w:sz w:val="10"/>
                <w:szCs w:val="10"/>
                <w:color w:val="auto"/>
              </w:rPr>
              <w:t>673,111</w:t>
            </w:r>
          </w:p>
        </w:tc>
        <w:tc>
          <w:tcPr>
            <w:tcW w:w="82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250,002</w:t>
            </w:r>
          </w:p>
        </w:tc>
        <w:tc>
          <w:tcPr>
            <w:tcW w:w="1520" w:type="dxa"/>
            <w:vAlign w:val="bottom"/>
            <w:tcBorders>
              <w:bottom w:val="single" w:sz="8" w:color="CCCCCC"/>
            </w:tcBorders>
          </w:tcPr>
          <w:p>
            <w:pPr>
              <w:jc w:val="right"/>
              <w:ind w:right="213"/>
              <w:spacing w:after="0"/>
              <w:rPr>
                <w:sz w:val="20"/>
                <w:szCs w:val="20"/>
                <w:color w:val="auto"/>
              </w:rPr>
            </w:pPr>
            <w:r>
              <w:rPr>
                <w:rFonts w:ascii="Arial" w:cs="Arial" w:eastAsia="Arial" w:hAnsi="Arial"/>
                <w:sz w:val="10"/>
                <w:szCs w:val="10"/>
                <w:color w:val="auto"/>
              </w:rPr>
              <w:t>878,325</w:t>
            </w:r>
          </w:p>
        </w:tc>
        <w:tc>
          <w:tcPr>
            <w:tcW w:w="172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384,221</w:t>
            </w:r>
          </w:p>
        </w:tc>
        <w:tc>
          <w:tcPr>
            <w:tcW w:w="116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81,301</w:t>
            </w:r>
          </w:p>
        </w:tc>
        <w:tc>
          <w:tcPr>
            <w:tcW w:w="84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2,920,293</w:t>
            </w:r>
          </w:p>
        </w:tc>
        <w:tc>
          <w:tcPr>
            <w:tcW w:w="0" w:type="dxa"/>
            <w:vAlign w:val="bottom"/>
          </w:tcPr>
          <w:p>
            <w:pPr>
              <w:spacing w:after="0"/>
              <w:rPr>
                <w:sz w:val="1"/>
                <w:szCs w:val="1"/>
                <w:color w:val="auto"/>
              </w:rPr>
            </w:pPr>
          </w:p>
        </w:tc>
      </w:tr>
      <w:tr>
        <w:trPr>
          <w:trHeight w:val="102"/>
        </w:trPr>
        <w:tc>
          <w:tcPr>
            <w:tcW w:w="2700" w:type="dxa"/>
            <w:vAlign w:val="bottom"/>
          </w:tcPr>
          <w:p>
            <w:pPr>
              <w:ind w:left="20"/>
              <w:spacing w:after="0" w:line="102" w:lineRule="exact"/>
              <w:rPr>
                <w:sz w:val="20"/>
                <w:szCs w:val="20"/>
                <w:color w:val="auto"/>
              </w:rPr>
            </w:pPr>
            <w:r>
              <w:rPr>
                <w:rFonts w:ascii="Arial" w:cs="Arial" w:eastAsia="Arial" w:hAnsi="Arial"/>
                <w:sz w:val="10"/>
                <w:szCs w:val="10"/>
                <w:color w:val="auto"/>
              </w:rPr>
              <w:t>and Chief Financial Officer</w:t>
            </w:r>
          </w:p>
        </w:tc>
        <w:tc>
          <w:tcPr>
            <w:tcW w:w="520" w:type="dxa"/>
            <w:vAlign w:val="bottom"/>
            <w:vMerge w:val="restart"/>
          </w:tcPr>
          <w:p>
            <w:pPr>
              <w:jc w:val="center"/>
              <w:spacing w:after="0"/>
              <w:rPr>
                <w:sz w:val="20"/>
                <w:szCs w:val="20"/>
                <w:color w:val="auto"/>
              </w:rPr>
            </w:pPr>
            <w:r>
              <w:rPr>
                <w:rFonts w:ascii="Arial" w:cs="Arial" w:eastAsia="Arial" w:hAnsi="Arial"/>
                <w:sz w:val="10"/>
                <w:szCs w:val="10"/>
                <w:color w:val="auto"/>
                <w:w w:val="89"/>
              </w:rPr>
              <w:t>2019</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693,750</w:t>
            </w:r>
          </w:p>
        </w:tc>
        <w:tc>
          <w:tcPr>
            <w:tcW w:w="64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
              <w:spacing w:after="0"/>
              <w:rPr>
                <w:sz w:val="20"/>
                <w:szCs w:val="20"/>
                <w:color w:val="auto"/>
              </w:rPr>
            </w:pPr>
            <w:r>
              <w:rPr>
                <w:rFonts w:ascii="Arial" w:cs="Arial" w:eastAsia="Arial" w:hAnsi="Arial"/>
                <w:sz w:val="10"/>
                <w:szCs w:val="10"/>
                <w:color w:val="auto"/>
              </w:rPr>
              <w:t>950,053</w:t>
            </w:r>
          </w:p>
        </w:tc>
        <w:tc>
          <w:tcPr>
            <w:tcW w:w="820" w:type="dxa"/>
            <w:vAlign w:val="bottom"/>
            <w:vMerge w:val="restart"/>
          </w:tcPr>
          <w:p>
            <w:pPr>
              <w:jc w:val="right"/>
              <w:ind w:right="272"/>
              <w:spacing w:after="0"/>
              <w:rPr>
                <w:sz w:val="20"/>
                <w:szCs w:val="20"/>
                <w:color w:val="auto"/>
              </w:rPr>
            </w:pPr>
            <w:r>
              <w:rPr>
                <w:rFonts w:ascii="Arial" w:cs="Arial" w:eastAsia="Arial" w:hAnsi="Arial"/>
                <w:sz w:val="10"/>
                <w:szCs w:val="10"/>
                <w:color w:val="auto"/>
              </w:rPr>
              <w:t>250,006</w:t>
            </w:r>
          </w:p>
        </w:tc>
        <w:tc>
          <w:tcPr>
            <w:tcW w:w="1520" w:type="dxa"/>
            <w:vAlign w:val="bottom"/>
            <w:vMerge w:val="restart"/>
          </w:tcPr>
          <w:p>
            <w:pPr>
              <w:jc w:val="right"/>
              <w:ind w:right="213"/>
              <w:spacing w:after="0"/>
              <w:rPr>
                <w:sz w:val="20"/>
                <w:szCs w:val="20"/>
                <w:color w:val="auto"/>
              </w:rPr>
            </w:pPr>
            <w:r>
              <w:rPr>
                <w:rFonts w:ascii="Arial" w:cs="Arial" w:eastAsia="Arial" w:hAnsi="Arial"/>
                <w:sz w:val="10"/>
                <w:szCs w:val="10"/>
                <w:color w:val="auto"/>
              </w:rPr>
              <w:t>315,309</w:t>
            </w:r>
          </w:p>
        </w:tc>
        <w:tc>
          <w:tcPr>
            <w:tcW w:w="1720" w:type="dxa"/>
            <w:vAlign w:val="bottom"/>
            <w:vMerge w:val="restart"/>
          </w:tcPr>
          <w:p>
            <w:pPr>
              <w:jc w:val="right"/>
              <w:ind w:right="132"/>
              <w:spacing w:after="0"/>
              <w:rPr>
                <w:sz w:val="20"/>
                <w:szCs w:val="20"/>
                <w:color w:val="auto"/>
              </w:rPr>
            </w:pPr>
            <w:r>
              <w:rPr>
                <w:rFonts w:ascii="Arial" w:cs="Arial" w:eastAsia="Arial" w:hAnsi="Arial"/>
                <w:sz w:val="10"/>
                <w:szCs w:val="10"/>
                <w:color w:val="auto"/>
              </w:rPr>
              <w:t>298,364</w:t>
            </w:r>
          </w:p>
        </w:tc>
        <w:tc>
          <w:tcPr>
            <w:tcW w:w="1160" w:type="dxa"/>
            <w:vAlign w:val="bottom"/>
            <w:vMerge w:val="restart"/>
          </w:tcPr>
          <w:p>
            <w:pPr>
              <w:jc w:val="right"/>
              <w:ind w:right="272"/>
              <w:spacing w:after="0"/>
              <w:rPr>
                <w:sz w:val="20"/>
                <w:szCs w:val="20"/>
                <w:color w:val="auto"/>
              </w:rPr>
            </w:pPr>
            <w:r>
              <w:rPr>
                <w:rFonts w:ascii="Arial" w:cs="Arial" w:eastAsia="Arial" w:hAnsi="Arial"/>
                <w:sz w:val="10"/>
                <w:szCs w:val="10"/>
                <w:color w:val="auto"/>
              </w:rPr>
              <w:t>18,455</w:t>
            </w:r>
          </w:p>
        </w:tc>
        <w:tc>
          <w:tcPr>
            <w:tcW w:w="840" w:type="dxa"/>
            <w:vAlign w:val="bottom"/>
            <w:vMerge w:val="restart"/>
          </w:tcPr>
          <w:p>
            <w:pPr>
              <w:jc w:val="right"/>
              <w:ind w:right="92"/>
              <w:spacing w:after="0"/>
              <w:rPr>
                <w:sz w:val="20"/>
                <w:szCs w:val="20"/>
                <w:color w:val="auto"/>
              </w:rPr>
            </w:pPr>
            <w:r>
              <w:rPr>
                <w:rFonts w:ascii="Arial" w:cs="Arial" w:eastAsia="Arial" w:hAnsi="Arial"/>
                <w:sz w:val="10"/>
                <w:szCs w:val="10"/>
                <w:color w:val="auto"/>
              </w:rPr>
              <w:t>2,525,937</w:t>
            </w:r>
          </w:p>
        </w:tc>
        <w:tc>
          <w:tcPr>
            <w:tcW w:w="0" w:type="dxa"/>
            <w:vAlign w:val="bottom"/>
          </w:tcPr>
          <w:p>
            <w:pPr>
              <w:spacing w:after="0"/>
              <w:rPr>
                <w:sz w:val="1"/>
                <w:szCs w:val="1"/>
                <w:color w:val="auto"/>
              </w:rPr>
            </w:pPr>
          </w:p>
        </w:tc>
      </w:tr>
      <w:tr>
        <w:trPr>
          <w:trHeight w:val="39"/>
        </w:trPr>
        <w:tc>
          <w:tcPr>
            <w:tcW w:w="2700" w:type="dxa"/>
            <w:vAlign w:val="bottom"/>
            <w:tcBorders>
              <w:bottom w:val="single" w:sz="8" w:color="E31F25"/>
            </w:tcBorders>
          </w:tcPr>
          <w:p>
            <w:pPr>
              <w:spacing w:after="0"/>
              <w:rPr>
                <w:sz w:val="3"/>
                <w:szCs w:val="3"/>
                <w:color w:val="auto"/>
              </w:rPr>
            </w:pPr>
          </w:p>
        </w:tc>
        <w:tc>
          <w:tcPr>
            <w:tcW w:w="520" w:type="dxa"/>
            <w:vAlign w:val="bottom"/>
            <w:tcBorders>
              <w:bottom w:val="single" w:sz="8" w:color="E31F25"/>
            </w:tcBorders>
            <w:vMerge w:val="continue"/>
          </w:tcPr>
          <w:p>
            <w:pPr>
              <w:spacing w:after="0"/>
              <w:rPr>
                <w:sz w:val="3"/>
                <w:szCs w:val="3"/>
                <w:color w:val="auto"/>
              </w:rPr>
            </w:pPr>
          </w:p>
        </w:tc>
        <w:tc>
          <w:tcPr>
            <w:tcW w:w="700" w:type="dxa"/>
            <w:vAlign w:val="bottom"/>
            <w:tcBorders>
              <w:bottom w:val="single" w:sz="8" w:color="E31F25"/>
            </w:tcBorders>
            <w:vMerge w:val="continue"/>
          </w:tcPr>
          <w:p>
            <w:pPr>
              <w:spacing w:after="0"/>
              <w:rPr>
                <w:sz w:val="3"/>
                <w:szCs w:val="3"/>
                <w:color w:val="auto"/>
              </w:rPr>
            </w:pPr>
          </w:p>
        </w:tc>
        <w:tc>
          <w:tcPr>
            <w:tcW w:w="640" w:type="dxa"/>
            <w:vAlign w:val="bottom"/>
            <w:tcBorders>
              <w:bottom w:val="single" w:sz="8" w:color="E31F25"/>
            </w:tcBorders>
            <w:vMerge w:val="continue"/>
          </w:tcPr>
          <w:p>
            <w:pPr>
              <w:spacing w:after="0"/>
              <w:rPr>
                <w:sz w:val="3"/>
                <w:szCs w:val="3"/>
                <w:color w:val="auto"/>
              </w:rPr>
            </w:pPr>
          </w:p>
        </w:tc>
        <w:tc>
          <w:tcPr>
            <w:tcW w:w="680" w:type="dxa"/>
            <w:vAlign w:val="bottom"/>
            <w:tcBorders>
              <w:bottom w:val="single" w:sz="8" w:color="E31F25"/>
            </w:tcBorders>
            <w:vMerge w:val="continue"/>
          </w:tcPr>
          <w:p>
            <w:pPr>
              <w:spacing w:after="0"/>
              <w:rPr>
                <w:sz w:val="3"/>
                <w:szCs w:val="3"/>
                <w:color w:val="auto"/>
              </w:rPr>
            </w:pPr>
          </w:p>
        </w:tc>
        <w:tc>
          <w:tcPr>
            <w:tcW w:w="820" w:type="dxa"/>
            <w:vAlign w:val="bottom"/>
            <w:tcBorders>
              <w:bottom w:val="single" w:sz="8" w:color="E31F25"/>
            </w:tcBorders>
            <w:vMerge w:val="continue"/>
          </w:tcPr>
          <w:p>
            <w:pPr>
              <w:spacing w:after="0"/>
              <w:rPr>
                <w:sz w:val="3"/>
                <w:szCs w:val="3"/>
                <w:color w:val="auto"/>
              </w:rPr>
            </w:pPr>
          </w:p>
        </w:tc>
        <w:tc>
          <w:tcPr>
            <w:tcW w:w="1520" w:type="dxa"/>
            <w:vAlign w:val="bottom"/>
            <w:tcBorders>
              <w:bottom w:val="single" w:sz="8" w:color="E31F25"/>
            </w:tcBorders>
            <w:vMerge w:val="continue"/>
          </w:tcPr>
          <w:p>
            <w:pPr>
              <w:spacing w:after="0"/>
              <w:rPr>
                <w:sz w:val="3"/>
                <w:szCs w:val="3"/>
                <w:color w:val="auto"/>
              </w:rPr>
            </w:pPr>
          </w:p>
        </w:tc>
        <w:tc>
          <w:tcPr>
            <w:tcW w:w="1720" w:type="dxa"/>
            <w:vAlign w:val="bottom"/>
            <w:tcBorders>
              <w:bottom w:val="single" w:sz="8" w:color="E31F25"/>
            </w:tcBorders>
            <w:vMerge w:val="continue"/>
          </w:tcPr>
          <w:p>
            <w:pPr>
              <w:spacing w:after="0"/>
              <w:rPr>
                <w:sz w:val="3"/>
                <w:szCs w:val="3"/>
                <w:color w:val="auto"/>
              </w:rPr>
            </w:pPr>
          </w:p>
        </w:tc>
        <w:tc>
          <w:tcPr>
            <w:tcW w:w="1160" w:type="dxa"/>
            <w:vAlign w:val="bottom"/>
            <w:tcBorders>
              <w:bottom w:val="single" w:sz="8" w:color="E31F25"/>
            </w:tcBorders>
            <w:vMerge w:val="continue"/>
          </w:tcPr>
          <w:p>
            <w:pPr>
              <w:spacing w:after="0"/>
              <w:rPr>
                <w:sz w:val="3"/>
                <w:szCs w:val="3"/>
                <w:color w:val="auto"/>
              </w:rPr>
            </w:pPr>
          </w:p>
        </w:tc>
        <w:tc>
          <w:tcPr>
            <w:tcW w:w="840" w:type="dxa"/>
            <w:vAlign w:val="bottom"/>
            <w:tcBorders>
              <w:bottom w:val="single" w:sz="8" w:color="E31F25"/>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700" w:type="dxa"/>
            <w:vAlign w:val="bottom"/>
            <w:vMerge w:val="restart"/>
          </w:tcPr>
          <w:p>
            <w:pPr>
              <w:ind w:left="20"/>
              <w:spacing w:after="0"/>
              <w:rPr>
                <w:sz w:val="20"/>
                <w:szCs w:val="20"/>
                <w:color w:val="auto"/>
              </w:rPr>
            </w:pPr>
            <w:r>
              <w:rPr>
                <w:rFonts w:ascii="Arial" w:cs="Arial" w:eastAsia="Arial" w:hAnsi="Arial"/>
                <w:sz w:val="10"/>
                <w:szCs w:val="10"/>
                <w:b w:val="1"/>
                <w:bCs w:val="1"/>
                <w:color w:val="D60011"/>
              </w:rPr>
              <w:t>Vijay Talwar</w:t>
            </w:r>
            <w:r>
              <w:rPr>
                <w:rFonts w:ascii="Arial" w:cs="Arial" w:eastAsia="Arial" w:hAnsi="Arial"/>
                <w:sz w:val="15"/>
                <w:szCs w:val="15"/>
                <w:b w:val="1"/>
                <w:bCs w:val="1"/>
                <w:color w:val="D60011"/>
                <w:vertAlign w:val="superscript"/>
              </w:rPr>
              <w:t>(10)</w:t>
            </w:r>
          </w:p>
        </w:tc>
        <w:tc>
          <w:tcPr>
            <w:tcW w:w="520" w:type="dxa"/>
            <w:vAlign w:val="bottom"/>
            <w:tcBorders>
              <w:bottom w:val="single" w:sz="8" w:color="CCCCCC"/>
            </w:tcBorders>
          </w:tcPr>
          <w:p>
            <w:pPr>
              <w:jc w:val="center"/>
              <w:spacing w:after="0"/>
              <w:rPr>
                <w:sz w:val="20"/>
                <w:szCs w:val="20"/>
                <w:color w:val="auto"/>
              </w:rPr>
            </w:pPr>
            <w:r>
              <w:rPr>
                <w:rFonts w:ascii="Arial" w:cs="Arial" w:eastAsia="Arial" w:hAnsi="Arial"/>
                <w:sz w:val="10"/>
                <w:szCs w:val="10"/>
                <w:color w:val="auto"/>
                <w:w w:val="89"/>
              </w:rPr>
              <w:t>2021</w:t>
            </w:r>
          </w:p>
        </w:tc>
        <w:tc>
          <w:tcPr>
            <w:tcW w:w="7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576,920</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3"/>
              <w:spacing w:after="0"/>
              <w:rPr>
                <w:sz w:val="20"/>
                <w:szCs w:val="20"/>
                <w:color w:val="auto"/>
              </w:rPr>
            </w:pPr>
            <w:r>
              <w:rPr>
                <w:rFonts w:ascii="Arial" w:cs="Arial" w:eastAsia="Arial" w:hAnsi="Arial"/>
                <w:sz w:val="10"/>
                <w:szCs w:val="10"/>
                <w:color w:val="auto"/>
              </w:rPr>
              <w:t>808,332</w:t>
            </w:r>
          </w:p>
        </w:tc>
        <w:tc>
          <w:tcPr>
            <w:tcW w:w="82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202,071</w:t>
            </w:r>
          </w:p>
        </w:tc>
        <w:tc>
          <w:tcPr>
            <w:tcW w:w="1520" w:type="dxa"/>
            <w:vAlign w:val="bottom"/>
            <w:tcBorders>
              <w:bottom w:val="single" w:sz="8" w:color="CCCCCC"/>
            </w:tcBorders>
          </w:tcPr>
          <w:p>
            <w:pPr>
              <w:jc w:val="right"/>
              <w:ind w:right="213"/>
              <w:spacing w:after="0"/>
              <w:rPr>
                <w:sz w:val="20"/>
                <w:szCs w:val="20"/>
                <w:color w:val="auto"/>
              </w:rPr>
            </w:pPr>
            <w:r>
              <w:rPr>
                <w:rFonts w:ascii="Arial" w:cs="Arial" w:eastAsia="Arial" w:hAnsi="Arial"/>
                <w:sz w:val="10"/>
                <w:szCs w:val="10"/>
                <w:color w:val="auto"/>
              </w:rPr>
              <w:t>—</w:t>
            </w:r>
          </w:p>
        </w:tc>
        <w:tc>
          <w:tcPr>
            <w:tcW w:w="172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72"/>
              <w:spacing w:after="0"/>
              <w:rPr>
                <w:sz w:val="20"/>
                <w:szCs w:val="20"/>
                <w:color w:val="auto"/>
              </w:rPr>
            </w:pPr>
            <w:r>
              <w:rPr>
                <w:rFonts w:ascii="Arial" w:cs="Arial" w:eastAsia="Arial" w:hAnsi="Arial"/>
                <w:sz w:val="10"/>
                <w:szCs w:val="10"/>
                <w:color w:val="auto"/>
              </w:rPr>
              <w:t>2,296,335</w:t>
            </w:r>
          </w:p>
        </w:tc>
        <w:tc>
          <w:tcPr>
            <w:tcW w:w="84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3,883,658</w:t>
            </w:r>
          </w:p>
        </w:tc>
        <w:tc>
          <w:tcPr>
            <w:tcW w:w="0" w:type="dxa"/>
            <w:vAlign w:val="bottom"/>
          </w:tcPr>
          <w:p>
            <w:pPr>
              <w:spacing w:after="0"/>
              <w:rPr>
                <w:sz w:val="1"/>
                <w:szCs w:val="1"/>
                <w:color w:val="auto"/>
              </w:rPr>
            </w:pPr>
          </w:p>
        </w:tc>
      </w:tr>
      <w:tr>
        <w:trPr>
          <w:trHeight w:val="32"/>
        </w:trPr>
        <w:tc>
          <w:tcPr>
            <w:tcW w:w="2700" w:type="dxa"/>
            <w:vAlign w:val="bottom"/>
            <w:vMerge w:val="continue"/>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Arial" w:cs="Arial" w:eastAsia="Arial" w:hAnsi="Arial"/>
                <w:sz w:val="10"/>
                <w:szCs w:val="10"/>
                <w:color w:val="auto"/>
                <w:w w:val="89"/>
              </w:rPr>
              <w:t>2020</w:t>
            </w:r>
          </w:p>
        </w:tc>
        <w:tc>
          <w:tcPr>
            <w:tcW w:w="700" w:type="dxa"/>
            <w:vAlign w:val="bottom"/>
            <w:vMerge w:val="restart"/>
          </w:tcPr>
          <w:p>
            <w:pPr>
              <w:jc w:val="right"/>
              <w:ind w:right="52"/>
              <w:spacing w:after="0"/>
              <w:rPr>
                <w:sz w:val="20"/>
                <w:szCs w:val="20"/>
                <w:color w:val="auto"/>
              </w:rPr>
            </w:pPr>
            <w:r>
              <w:rPr>
                <w:rFonts w:ascii="Arial" w:cs="Arial" w:eastAsia="Arial" w:hAnsi="Arial"/>
                <w:sz w:val="10"/>
                <w:szCs w:val="10"/>
                <w:color w:val="auto"/>
              </w:rPr>
              <w:t>606,667</w:t>
            </w:r>
          </w:p>
        </w:tc>
        <w:tc>
          <w:tcPr>
            <w:tcW w:w="640" w:type="dxa"/>
            <w:vAlign w:val="bottom"/>
            <w:vMerge w:val="restart"/>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
              <w:spacing w:after="0"/>
              <w:rPr>
                <w:sz w:val="20"/>
                <w:szCs w:val="20"/>
                <w:color w:val="auto"/>
              </w:rPr>
            </w:pPr>
            <w:r>
              <w:rPr>
                <w:rFonts w:ascii="Arial" w:cs="Arial" w:eastAsia="Arial" w:hAnsi="Arial"/>
                <w:sz w:val="10"/>
                <w:szCs w:val="10"/>
                <w:color w:val="auto"/>
              </w:rPr>
              <w:t>737,544</w:t>
            </w:r>
          </w:p>
        </w:tc>
        <w:tc>
          <w:tcPr>
            <w:tcW w:w="820" w:type="dxa"/>
            <w:vAlign w:val="bottom"/>
            <w:vMerge w:val="restart"/>
          </w:tcPr>
          <w:p>
            <w:pPr>
              <w:jc w:val="right"/>
              <w:ind w:right="272"/>
              <w:spacing w:after="0"/>
              <w:rPr>
                <w:sz w:val="20"/>
                <w:szCs w:val="20"/>
                <w:color w:val="auto"/>
              </w:rPr>
            </w:pPr>
            <w:r>
              <w:rPr>
                <w:rFonts w:ascii="Arial" w:cs="Arial" w:eastAsia="Arial" w:hAnsi="Arial"/>
                <w:sz w:val="10"/>
                <w:szCs w:val="10"/>
                <w:color w:val="auto"/>
              </w:rPr>
              <w:t>250,002</w:t>
            </w:r>
          </w:p>
        </w:tc>
        <w:tc>
          <w:tcPr>
            <w:tcW w:w="1520" w:type="dxa"/>
            <w:vAlign w:val="bottom"/>
            <w:vMerge w:val="restart"/>
          </w:tcPr>
          <w:p>
            <w:pPr>
              <w:jc w:val="right"/>
              <w:ind w:right="213"/>
              <w:spacing w:after="0"/>
              <w:rPr>
                <w:sz w:val="20"/>
                <w:szCs w:val="20"/>
                <w:color w:val="auto"/>
              </w:rPr>
            </w:pPr>
            <w:r>
              <w:rPr>
                <w:rFonts w:ascii="Arial" w:cs="Arial" w:eastAsia="Arial" w:hAnsi="Arial"/>
                <w:sz w:val="10"/>
                <w:szCs w:val="10"/>
                <w:color w:val="auto"/>
              </w:rPr>
              <w:t>780,000</w:t>
            </w:r>
          </w:p>
        </w:tc>
        <w:tc>
          <w:tcPr>
            <w:tcW w:w="1720" w:type="dxa"/>
            <w:vAlign w:val="bottom"/>
            <w:vMerge w:val="restart"/>
          </w:tcPr>
          <w:p>
            <w:pPr>
              <w:jc w:val="right"/>
              <w:ind w:right="132"/>
              <w:spacing w:after="0"/>
              <w:rPr>
                <w:sz w:val="20"/>
                <w:szCs w:val="20"/>
                <w:color w:val="auto"/>
              </w:rPr>
            </w:pPr>
            <w:r>
              <w:rPr>
                <w:rFonts w:ascii="Arial" w:cs="Arial" w:eastAsia="Arial" w:hAnsi="Arial"/>
                <w:sz w:val="10"/>
                <w:szCs w:val="10"/>
                <w:color w:val="auto"/>
              </w:rPr>
              <w:t>170,661</w:t>
            </w:r>
          </w:p>
        </w:tc>
        <w:tc>
          <w:tcPr>
            <w:tcW w:w="1160" w:type="dxa"/>
            <w:vAlign w:val="bottom"/>
            <w:vMerge w:val="restart"/>
          </w:tcPr>
          <w:p>
            <w:pPr>
              <w:jc w:val="right"/>
              <w:ind w:right="172"/>
              <w:spacing w:after="0" w:line="141" w:lineRule="exact"/>
              <w:rPr>
                <w:sz w:val="20"/>
                <w:szCs w:val="20"/>
                <w:color w:val="auto"/>
              </w:rPr>
            </w:pPr>
            <w:r>
              <w:rPr>
                <w:rFonts w:ascii="Arial" w:cs="Arial" w:eastAsia="Arial" w:hAnsi="Arial"/>
                <w:sz w:val="10"/>
                <w:szCs w:val="10"/>
                <w:color w:val="auto"/>
              </w:rPr>
              <w:t>265,480</w:t>
            </w:r>
            <w:r>
              <w:rPr>
                <w:rFonts w:ascii="Arial" w:cs="Arial" w:eastAsia="Arial" w:hAnsi="Arial"/>
                <w:sz w:val="15"/>
                <w:szCs w:val="15"/>
                <w:color w:val="auto"/>
                <w:vertAlign w:val="superscript"/>
              </w:rPr>
              <w:t>(8)</w:t>
            </w:r>
          </w:p>
        </w:tc>
        <w:tc>
          <w:tcPr>
            <w:tcW w:w="840" w:type="dxa"/>
            <w:vAlign w:val="bottom"/>
            <w:vMerge w:val="restart"/>
          </w:tcPr>
          <w:p>
            <w:pPr>
              <w:jc w:val="right"/>
              <w:spacing w:after="0" w:line="141" w:lineRule="exact"/>
              <w:rPr>
                <w:sz w:val="20"/>
                <w:szCs w:val="20"/>
                <w:color w:val="auto"/>
              </w:rPr>
            </w:pPr>
            <w:r>
              <w:rPr>
                <w:rFonts w:ascii="Arial" w:cs="Arial" w:eastAsia="Arial" w:hAnsi="Arial"/>
                <w:sz w:val="10"/>
                <w:szCs w:val="10"/>
                <w:color w:val="auto"/>
              </w:rPr>
              <w:t>2,810,354</w:t>
            </w:r>
            <w:r>
              <w:rPr>
                <w:rFonts w:ascii="Arial" w:cs="Arial" w:eastAsia="Arial" w:hAnsi="Arial"/>
                <w:sz w:val="15"/>
                <w:szCs w:val="15"/>
                <w:color w:val="auto"/>
                <w:vertAlign w:val="superscript"/>
              </w:rPr>
              <w:t>(8)</w:t>
            </w:r>
          </w:p>
        </w:tc>
        <w:tc>
          <w:tcPr>
            <w:tcW w:w="0" w:type="dxa"/>
            <w:vAlign w:val="bottom"/>
          </w:tcPr>
          <w:p>
            <w:pPr>
              <w:spacing w:after="0" w:line="20" w:lineRule="exact"/>
              <w:rPr>
                <w:sz w:val="1"/>
                <w:szCs w:val="1"/>
                <w:color w:val="auto"/>
              </w:rPr>
            </w:pPr>
          </w:p>
        </w:tc>
      </w:tr>
      <w:tr>
        <w:trPr>
          <w:trHeight w:val="116"/>
        </w:trPr>
        <w:tc>
          <w:tcPr>
            <w:tcW w:w="2700" w:type="dxa"/>
            <w:vAlign w:val="bottom"/>
          </w:tcPr>
          <w:p>
            <w:pPr>
              <w:ind w:left="20"/>
              <w:spacing w:after="0" w:line="108" w:lineRule="exact"/>
              <w:rPr>
                <w:sz w:val="20"/>
                <w:szCs w:val="20"/>
                <w:color w:val="auto"/>
              </w:rPr>
            </w:pPr>
            <w:r>
              <w:rPr>
                <w:rFonts w:ascii="Arial" w:cs="Arial" w:eastAsia="Arial" w:hAnsi="Arial"/>
                <w:sz w:val="10"/>
                <w:szCs w:val="10"/>
                <w:color w:val="auto"/>
              </w:rPr>
              <w:t>Former Executive Vice President</w:t>
            </w:r>
          </w:p>
        </w:tc>
        <w:tc>
          <w:tcPr>
            <w:tcW w:w="520" w:type="dxa"/>
            <w:vAlign w:val="bottom"/>
            <w:tcBorders>
              <w:bottom w:val="single" w:sz="8" w:color="CCCCCC"/>
            </w:tcBorders>
            <w:vMerge w:val="continue"/>
          </w:tcPr>
          <w:p>
            <w:pPr>
              <w:spacing w:after="0"/>
              <w:rPr>
                <w:sz w:val="9"/>
                <w:szCs w:val="9"/>
                <w:color w:val="auto"/>
              </w:rPr>
            </w:pPr>
          </w:p>
        </w:tc>
        <w:tc>
          <w:tcPr>
            <w:tcW w:w="700" w:type="dxa"/>
            <w:vAlign w:val="bottom"/>
            <w:tcBorders>
              <w:bottom w:val="single" w:sz="8" w:color="CCCCCC"/>
            </w:tcBorders>
            <w:vMerge w:val="continue"/>
          </w:tcPr>
          <w:p>
            <w:pPr>
              <w:spacing w:after="0"/>
              <w:rPr>
                <w:sz w:val="9"/>
                <w:szCs w:val="9"/>
                <w:color w:val="auto"/>
              </w:rPr>
            </w:pPr>
          </w:p>
        </w:tc>
        <w:tc>
          <w:tcPr>
            <w:tcW w:w="640" w:type="dxa"/>
            <w:vAlign w:val="bottom"/>
            <w:tcBorders>
              <w:bottom w:val="single" w:sz="8" w:color="CCCCCC"/>
            </w:tcBorders>
            <w:vMerge w:val="continue"/>
          </w:tcPr>
          <w:p>
            <w:pPr>
              <w:spacing w:after="0"/>
              <w:rPr>
                <w:sz w:val="9"/>
                <w:szCs w:val="9"/>
                <w:color w:val="auto"/>
              </w:rPr>
            </w:pPr>
          </w:p>
        </w:tc>
        <w:tc>
          <w:tcPr>
            <w:tcW w:w="680" w:type="dxa"/>
            <w:vAlign w:val="bottom"/>
            <w:tcBorders>
              <w:bottom w:val="single" w:sz="8" w:color="CCCCCC"/>
            </w:tcBorders>
            <w:vMerge w:val="continue"/>
          </w:tcPr>
          <w:p>
            <w:pPr>
              <w:spacing w:after="0"/>
              <w:rPr>
                <w:sz w:val="9"/>
                <w:szCs w:val="9"/>
                <w:color w:val="auto"/>
              </w:rPr>
            </w:pPr>
          </w:p>
        </w:tc>
        <w:tc>
          <w:tcPr>
            <w:tcW w:w="820" w:type="dxa"/>
            <w:vAlign w:val="bottom"/>
            <w:tcBorders>
              <w:bottom w:val="single" w:sz="8" w:color="CCCCCC"/>
            </w:tcBorders>
            <w:vMerge w:val="continue"/>
          </w:tcPr>
          <w:p>
            <w:pPr>
              <w:spacing w:after="0"/>
              <w:rPr>
                <w:sz w:val="9"/>
                <w:szCs w:val="9"/>
                <w:color w:val="auto"/>
              </w:rPr>
            </w:pPr>
          </w:p>
        </w:tc>
        <w:tc>
          <w:tcPr>
            <w:tcW w:w="1520" w:type="dxa"/>
            <w:vAlign w:val="bottom"/>
            <w:tcBorders>
              <w:bottom w:val="single" w:sz="8" w:color="CCCCCC"/>
            </w:tcBorders>
            <w:vMerge w:val="continue"/>
          </w:tcPr>
          <w:p>
            <w:pPr>
              <w:spacing w:after="0"/>
              <w:rPr>
                <w:sz w:val="9"/>
                <w:szCs w:val="9"/>
                <w:color w:val="auto"/>
              </w:rPr>
            </w:pPr>
          </w:p>
        </w:tc>
        <w:tc>
          <w:tcPr>
            <w:tcW w:w="1720" w:type="dxa"/>
            <w:vAlign w:val="bottom"/>
            <w:tcBorders>
              <w:bottom w:val="single" w:sz="8" w:color="CCCCCC"/>
            </w:tcBorders>
            <w:vMerge w:val="continue"/>
          </w:tcPr>
          <w:p>
            <w:pPr>
              <w:spacing w:after="0"/>
              <w:rPr>
                <w:sz w:val="9"/>
                <w:szCs w:val="9"/>
                <w:color w:val="auto"/>
              </w:rPr>
            </w:pPr>
          </w:p>
        </w:tc>
        <w:tc>
          <w:tcPr>
            <w:tcW w:w="1160" w:type="dxa"/>
            <w:vAlign w:val="bottom"/>
            <w:tcBorders>
              <w:bottom w:val="single" w:sz="8" w:color="CCCCCC"/>
            </w:tcBorders>
            <w:vMerge w:val="continue"/>
          </w:tcPr>
          <w:p>
            <w:pPr>
              <w:spacing w:after="0"/>
              <w:rPr>
                <w:sz w:val="9"/>
                <w:szCs w:val="9"/>
                <w:color w:val="auto"/>
              </w:rPr>
            </w:pPr>
          </w:p>
        </w:tc>
        <w:tc>
          <w:tcPr>
            <w:tcW w:w="840" w:type="dxa"/>
            <w:vAlign w:val="bottom"/>
            <w:tcBorders>
              <w:bottom w:val="single" w:sz="8" w:color="CCCCC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E31F25"/>
            </w:tcBorders>
          </w:tcPr>
          <w:p>
            <w:pPr>
              <w:ind w:left="20"/>
              <w:spacing w:after="0" w:line="102" w:lineRule="exact"/>
              <w:rPr>
                <w:sz w:val="20"/>
                <w:szCs w:val="20"/>
                <w:color w:val="auto"/>
              </w:rPr>
            </w:pPr>
            <w:r>
              <w:rPr>
                <w:rFonts w:ascii="Arial" w:cs="Arial" w:eastAsia="Arial" w:hAnsi="Arial"/>
                <w:sz w:val="10"/>
                <w:szCs w:val="10"/>
                <w:color w:val="auto"/>
              </w:rPr>
              <w:t>and Chief Executive Officer—EMEA</w:t>
            </w:r>
          </w:p>
        </w:tc>
        <w:tc>
          <w:tcPr>
            <w:tcW w:w="520" w:type="dxa"/>
            <w:vAlign w:val="bottom"/>
            <w:tcBorders>
              <w:bottom w:val="single" w:sz="8" w:color="E31F25"/>
            </w:tcBorders>
          </w:tcPr>
          <w:p>
            <w:pPr>
              <w:jc w:val="center"/>
              <w:spacing w:after="0"/>
              <w:rPr>
                <w:sz w:val="20"/>
                <w:szCs w:val="20"/>
                <w:color w:val="auto"/>
              </w:rPr>
            </w:pPr>
            <w:r>
              <w:rPr>
                <w:rFonts w:ascii="Arial" w:cs="Arial" w:eastAsia="Arial" w:hAnsi="Arial"/>
                <w:sz w:val="10"/>
                <w:szCs w:val="10"/>
                <w:color w:val="auto"/>
                <w:w w:val="89"/>
              </w:rPr>
              <w:t>2019</w:t>
            </w:r>
          </w:p>
        </w:tc>
        <w:tc>
          <w:tcPr>
            <w:tcW w:w="700" w:type="dxa"/>
            <w:vAlign w:val="bottom"/>
            <w:tcBorders>
              <w:bottom w:val="single" w:sz="8" w:color="E31F25"/>
            </w:tcBorders>
          </w:tcPr>
          <w:p>
            <w:pPr>
              <w:jc w:val="right"/>
              <w:ind w:right="52"/>
              <w:spacing w:after="0"/>
              <w:rPr>
                <w:sz w:val="20"/>
                <w:szCs w:val="20"/>
                <w:color w:val="auto"/>
              </w:rPr>
            </w:pPr>
            <w:r>
              <w:rPr>
                <w:rFonts w:ascii="Arial" w:cs="Arial" w:eastAsia="Arial" w:hAnsi="Arial"/>
                <w:sz w:val="10"/>
                <w:szCs w:val="10"/>
                <w:color w:val="auto"/>
              </w:rPr>
              <w:t>650,000</w:t>
            </w:r>
          </w:p>
        </w:tc>
        <w:tc>
          <w:tcPr>
            <w:tcW w:w="64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E31F25"/>
            </w:tcBorders>
          </w:tcPr>
          <w:p>
            <w:pPr>
              <w:jc w:val="right"/>
              <w:ind w:right="13"/>
              <w:spacing w:after="0"/>
              <w:rPr>
                <w:sz w:val="20"/>
                <w:szCs w:val="20"/>
                <w:color w:val="auto"/>
              </w:rPr>
            </w:pPr>
            <w:r>
              <w:rPr>
                <w:rFonts w:ascii="Arial" w:cs="Arial" w:eastAsia="Arial" w:hAnsi="Arial"/>
                <w:sz w:val="10"/>
                <w:szCs w:val="10"/>
                <w:color w:val="auto"/>
              </w:rPr>
              <w:t>737,575</w:t>
            </w:r>
          </w:p>
        </w:tc>
        <w:tc>
          <w:tcPr>
            <w:tcW w:w="820" w:type="dxa"/>
            <w:vAlign w:val="bottom"/>
            <w:tcBorders>
              <w:bottom w:val="single" w:sz="8" w:color="E31F25"/>
            </w:tcBorders>
          </w:tcPr>
          <w:p>
            <w:pPr>
              <w:jc w:val="right"/>
              <w:ind w:right="272"/>
              <w:spacing w:after="0"/>
              <w:rPr>
                <w:sz w:val="20"/>
                <w:szCs w:val="20"/>
                <w:color w:val="auto"/>
              </w:rPr>
            </w:pPr>
            <w:r>
              <w:rPr>
                <w:rFonts w:ascii="Arial" w:cs="Arial" w:eastAsia="Arial" w:hAnsi="Arial"/>
                <w:sz w:val="10"/>
                <w:szCs w:val="10"/>
                <w:color w:val="auto"/>
              </w:rPr>
              <w:t>250,006</w:t>
            </w:r>
          </w:p>
        </w:tc>
        <w:tc>
          <w:tcPr>
            <w:tcW w:w="1520" w:type="dxa"/>
            <w:vAlign w:val="bottom"/>
            <w:tcBorders>
              <w:bottom w:val="single" w:sz="8" w:color="E31F25"/>
            </w:tcBorders>
          </w:tcPr>
          <w:p>
            <w:pPr>
              <w:jc w:val="right"/>
              <w:ind w:right="213"/>
              <w:spacing w:after="0"/>
              <w:rPr>
                <w:sz w:val="20"/>
                <w:szCs w:val="20"/>
                <w:color w:val="auto"/>
              </w:rPr>
            </w:pPr>
            <w:r>
              <w:rPr>
                <w:rFonts w:ascii="Arial" w:cs="Arial" w:eastAsia="Arial" w:hAnsi="Arial"/>
                <w:sz w:val="10"/>
                <w:szCs w:val="10"/>
                <w:color w:val="auto"/>
              </w:rPr>
              <w:t>—</w:t>
            </w:r>
          </w:p>
        </w:tc>
        <w:tc>
          <w:tcPr>
            <w:tcW w:w="172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color w:val="auto"/>
              </w:rPr>
              <w:t>68,966</w:t>
            </w:r>
          </w:p>
        </w:tc>
        <w:tc>
          <w:tcPr>
            <w:tcW w:w="1160" w:type="dxa"/>
            <w:vAlign w:val="bottom"/>
            <w:tcBorders>
              <w:bottom w:val="single" w:sz="8" w:color="E31F25"/>
            </w:tcBorders>
          </w:tcPr>
          <w:p>
            <w:pPr>
              <w:jc w:val="right"/>
              <w:ind w:right="172"/>
              <w:spacing w:after="0" w:line="162" w:lineRule="exact"/>
              <w:rPr>
                <w:sz w:val="20"/>
                <w:szCs w:val="20"/>
                <w:color w:val="auto"/>
              </w:rPr>
            </w:pPr>
            <w:r>
              <w:rPr>
                <w:rFonts w:ascii="Arial" w:cs="Arial" w:eastAsia="Arial" w:hAnsi="Arial"/>
                <w:sz w:val="10"/>
                <w:szCs w:val="10"/>
                <w:color w:val="auto"/>
              </w:rPr>
              <w:t>790,303</w:t>
            </w:r>
            <w:r>
              <w:rPr>
                <w:rFonts w:ascii="Arial" w:cs="Arial" w:eastAsia="Arial" w:hAnsi="Arial"/>
                <w:sz w:val="15"/>
                <w:szCs w:val="15"/>
                <w:color w:val="auto"/>
                <w:vertAlign w:val="superscript"/>
              </w:rPr>
              <w:t>(8)</w:t>
            </w:r>
          </w:p>
        </w:tc>
        <w:tc>
          <w:tcPr>
            <w:tcW w:w="840" w:type="dxa"/>
            <w:vAlign w:val="bottom"/>
            <w:tcBorders>
              <w:bottom w:val="single" w:sz="8" w:color="E31F25"/>
            </w:tcBorders>
          </w:tcPr>
          <w:p>
            <w:pPr>
              <w:jc w:val="right"/>
              <w:spacing w:after="0" w:line="162" w:lineRule="exact"/>
              <w:rPr>
                <w:sz w:val="20"/>
                <w:szCs w:val="20"/>
                <w:color w:val="auto"/>
              </w:rPr>
            </w:pPr>
            <w:r>
              <w:rPr>
                <w:rFonts w:ascii="Arial" w:cs="Arial" w:eastAsia="Arial" w:hAnsi="Arial"/>
                <w:sz w:val="10"/>
                <w:szCs w:val="10"/>
                <w:color w:val="auto"/>
              </w:rPr>
              <w:t>2,496,850</w:t>
            </w:r>
            <w:r>
              <w:rPr>
                <w:rFonts w:ascii="Arial" w:cs="Arial" w:eastAsia="Arial" w:hAnsi="Arial"/>
                <w:sz w:val="15"/>
                <w:szCs w:val="15"/>
                <w:color w:val="auto"/>
                <w:vertAlign w:val="superscript"/>
              </w:rPr>
              <w:t>(8)</w:t>
            </w:r>
          </w:p>
        </w:tc>
        <w:tc>
          <w:tcPr>
            <w:tcW w:w="0" w:type="dxa"/>
            <w:vAlign w:val="bottom"/>
          </w:tcPr>
          <w:p>
            <w:pPr>
              <w:spacing w:after="0"/>
              <w:rPr>
                <w:sz w:val="1"/>
                <w:szCs w:val="1"/>
                <w:color w:val="auto"/>
              </w:rPr>
            </w:pPr>
          </w:p>
        </w:tc>
      </w:tr>
    </w:tbl>
    <w:p>
      <w:pPr>
        <w:spacing w:after="0" w:line="150" w:lineRule="exact"/>
        <w:rPr>
          <w:sz w:val="20"/>
          <w:szCs w:val="20"/>
          <w:color w:val="auto"/>
        </w:rPr>
      </w:pPr>
    </w:p>
    <w:p>
      <w:pPr>
        <w:sectPr>
          <w:pgSz w:w="11900" w:h="16838" w:orient="portrait"/>
          <w:cols w:equalWidth="0" w:num="1">
            <w:col w:w="11308"/>
          </w:cols>
          <w:pgMar w:left="292" w:top="565" w:right="299" w:bottom="1440" w:gutter="0" w:footer="0" w:header="0"/>
        </w:sectPr>
      </w:pPr>
    </w:p>
    <w:p>
      <w:pPr>
        <w:ind w:left="208" w:hanging="208"/>
        <w:spacing w:after="0" w:line="246" w:lineRule="auto"/>
        <w:tabs>
          <w:tab w:leader="none" w:pos="208" w:val="left"/>
        </w:tabs>
        <w:numPr>
          <w:ilvl w:val="0"/>
          <w:numId w:val="111"/>
        </w:numPr>
        <w:rPr>
          <w:rFonts w:ascii="Arial" w:cs="Arial" w:eastAsia="Arial" w:hAnsi="Arial"/>
          <w:sz w:val="7"/>
          <w:szCs w:val="7"/>
          <w:color w:val="auto"/>
        </w:rPr>
      </w:pPr>
      <w:r>
        <w:rPr>
          <w:rFonts w:ascii="Arial" w:cs="Arial" w:eastAsia="Arial" w:hAnsi="Arial"/>
          <w:sz w:val="8"/>
          <w:szCs w:val="8"/>
          <w:color w:val="auto"/>
        </w:rPr>
        <w:t>The amounts in columns (c) and (g) reflect the annual base salaries and non-equity incentive plan compensation, respectively, earned by our NEOs for the designated years. For 2021, these combined amounts represented the following percentages of the NEOs’ total compensation: Mr. Johnson (36.8%), Mr. Page (33.2%), Mr. Bracken (46.5%), Mr. Martin (50.8%), Mr. Gray (50.4%), Ms. Peters (71.2%), and Mr. Talwar (14.9%). Information on the NEOs’ employment agreements, as applicable, appears beginning on page 72.</w:t>
      </w:r>
    </w:p>
    <w:p>
      <w:pPr>
        <w:spacing w:after="0" w:line="115" w:lineRule="exact"/>
        <w:rPr>
          <w:rFonts w:ascii="Arial" w:cs="Arial" w:eastAsia="Arial" w:hAnsi="Arial"/>
          <w:sz w:val="7"/>
          <w:szCs w:val="7"/>
          <w:color w:val="auto"/>
        </w:rPr>
      </w:pPr>
    </w:p>
    <w:p>
      <w:pPr>
        <w:ind w:left="208" w:right="600" w:hanging="208"/>
        <w:spacing w:after="0" w:line="186" w:lineRule="auto"/>
        <w:tabs>
          <w:tab w:leader="none" w:pos="208" w:val="left"/>
        </w:tabs>
        <w:numPr>
          <w:ilvl w:val="0"/>
          <w:numId w:val="111"/>
        </w:numPr>
        <w:rPr>
          <w:rFonts w:ascii="Arial" w:cs="Arial" w:eastAsia="Arial" w:hAnsi="Arial"/>
          <w:sz w:val="16"/>
          <w:szCs w:val="16"/>
          <w:color w:val="auto"/>
          <w:vertAlign w:val="superscript"/>
        </w:rPr>
      </w:pPr>
      <w:r>
        <w:rPr>
          <w:rFonts w:ascii="Arial" w:cs="Arial" w:eastAsia="Arial" w:hAnsi="Arial"/>
          <w:sz w:val="10"/>
          <w:szCs w:val="10"/>
          <w:color w:val="auto"/>
        </w:rPr>
        <w:t>The amount in column (d) reflects the sign-on bonus that Mr. Page received in connection with the commencement of his employment in April 2021.</w:t>
      </w:r>
    </w:p>
    <w:p>
      <w:pPr>
        <w:spacing w:after="0" w:line="13" w:lineRule="exact"/>
        <w:rPr>
          <w:rFonts w:ascii="Arial" w:cs="Arial" w:eastAsia="Arial" w:hAnsi="Arial"/>
          <w:sz w:val="16"/>
          <w:szCs w:val="16"/>
          <w:color w:val="auto"/>
          <w:vertAlign w:val="superscript"/>
        </w:rPr>
      </w:pPr>
    </w:p>
    <w:p>
      <w:pPr>
        <w:ind w:left="208" w:right="20" w:hanging="208"/>
        <w:spacing w:after="0" w:line="241" w:lineRule="auto"/>
        <w:tabs>
          <w:tab w:leader="none" w:pos="208" w:val="left"/>
        </w:tabs>
        <w:numPr>
          <w:ilvl w:val="0"/>
          <w:numId w:val="111"/>
        </w:numPr>
        <w:rPr>
          <w:rFonts w:ascii="Arial" w:cs="Arial" w:eastAsia="Arial" w:hAnsi="Arial"/>
          <w:sz w:val="7"/>
          <w:szCs w:val="7"/>
          <w:color w:val="auto"/>
        </w:rPr>
      </w:pPr>
      <w:r>
        <w:rPr>
          <w:rFonts w:ascii="Arial" w:cs="Arial" w:eastAsia="Arial" w:hAnsi="Arial"/>
          <w:sz w:val="8"/>
          <w:szCs w:val="8"/>
          <w:color w:val="auto"/>
        </w:rPr>
        <w:t xml:space="preserve">The amounts reflected in columns (e) and (f) reflect the stock and option awards granted in the designated years. The amounts represent the aggregate grant date fair value of the awards granted in each respective year computed in accordance with stock-based compensation accounting rules. A discussion of the assumptions used in computing the award values may be found in Note 21 to our financial statements in our Annual Report, which is available at </w:t>
      </w:r>
      <w:r>
        <w:rPr>
          <w:rFonts w:ascii="Arial" w:cs="Arial" w:eastAsia="Arial" w:hAnsi="Arial"/>
          <w:sz w:val="8"/>
          <w:szCs w:val="8"/>
          <w:b w:val="1"/>
          <w:bCs w:val="1"/>
          <w:color w:val="D60011"/>
        </w:rPr>
        <w:t>investors.footlocker-inc.com/ar</w:t>
      </w:r>
      <w:r>
        <w:rPr>
          <w:rFonts w:ascii="Arial" w:cs="Arial" w:eastAsia="Arial" w:hAnsi="Arial"/>
          <w:sz w:val="8"/>
          <w:szCs w:val="8"/>
          <w:color w:val="auto"/>
        </w:rPr>
        <w:t xml:space="preserve">. As provided under the SEC’s rules, the amounts shown exclude the impact of estimated forfeitures related to service-based vesting conditions. See the </w:t>
      </w:r>
      <w:r>
        <w:rPr>
          <w:rFonts w:ascii="Arial" w:cs="Arial" w:eastAsia="Arial" w:hAnsi="Arial"/>
          <w:sz w:val="8"/>
          <w:szCs w:val="8"/>
          <w:b w:val="1"/>
          <w:bCs w:val="1"/>
          <w:color w:val="D60011"/>
        </w:rPr>
        <w:t>Grants of Plan-Based Awards in Fiscal 2021</w:t>
      </w:r>
      <w:r>
        <w:rPr>
          <w:rFonts w:ascii="Arial" w:cs="Arial" w:eastAsia="Arial" w:hAnsi="Arial"/>
          <w:sz w:val="8"/>
          <w:szCs w:val="8"/>
          <w:color w:val="auto"/>
        </w:rPr>
        <w:t xml:space="preserve"> beginning on page 74 for additional information on awards granted in 2021. The amounts shown in the table do not necessarily reflect the actual value that may be recognized by the NEOs.</w:t>
      </w:r>
    </w:p>
    <w:p>
      <w:pPr>
        <w:spacing w:after="0" w:line="109" w:lineRule="exact"/>
        <w:rPr>
          <w:rFonts w:ascii="Arial" w:cs="Arial" w:eastAsia="Arial" w:hAnsi="Arial"/>
          <w:sz w:val="7"/>
          <w:szCs w:val="7"/>
          <w:color w:val="auto"/>
        </w:rPr>
      </w:pPr>
    </w:p>
    <w:p>
      <w:pPr>
        <w:ind w:left="208" w:right="40" w:hanging="208"/>
        <w:spacing w:after="0"/>
        <w:tabs>
          <w:tab w:leader="none" w:pos="208" w:val="left"/>
        </w:tabs>
        <w:numPr>
          <w:ilvl w:val="0"/>
          <w:numId w:val="111"/>
        </w:numPr>
        <w:rPr>
          <w:rFonts w:ascii="Arial" w:cs="Arial" w:eastAsia="Arial" w:hAnsi="Arial"/>
          <w:sz w:val="7"/>
          <w:szCs w:val="7"/>
          <w:color w:val="auto"/>
        </w:rPr>
      </w:pPr>
      <w:r>
        <w:rPr>
          <w:rFonts w:ascii="Arial" w:cs="Arial" w:eastAsia="Arial" w:hAnsi="Arial"/>
          <w:sz w:val="8"/>
          <w:szCs w:val="8"/>
          <w:color w:val="auto"/>
        </w:rPr>
        <w:t xml:space="preserve">The amounts in column (e) include the grant date fair value of PSU awards granted for the 2021-22, 2020-21, and 2019-20 long-term performance periods, valued at grant date based upon the probable outcome of meeting the performance conditions, which is based on the target performance level. The amounts are consistent with the estimates of the aggregate compensation cost to be recognized over the service period determined at the grant date under stock-based compensation accounting rules, and exclude the effect of estimated forfeitures. Assuming the maximum performance level, the grant date fair value of the PSU awards granted for the 2021-22 long-term performance period would be $9,660,040 for Mr. Johnson; $999,044 for Mr. Page; $1,195,289 for Mr. Bracken; $1,168,537 for Mr. Martin; $1,168,537 for Mr. Gray; and $1,212,390 for Mr. Talwar. This column also includes RSU awards, where applicable. See the </w:t>
      </w:r>
      <w:r>
        <w:rPr>
          <w:rFonts w:ascii="Arial" w:cs="Arial" w:eastAsia="Arial" w:hAnsi="Arial"/>
          <w:sz w:val="8"/>
          <w:szCs w:val="8"/>
          <w:b w:val="1"/>
          <w:bCs w:val="1"/>
          <w:color w:val="D60011"/>
        </w:rPr>
        <w:t>Grants of Plan-Based Awards in Fiscal 2021</w:t>
      </w:r>
      <w:r>
        <w:rPr>
          <w:rFonts w:ascii="Arial" w:cs="Arial" w:eastAsia="Arial" w:hAnsi="Arial"/>
          <w:sz w:val="8"/>
          <w:szCs w:val="8"/>
          <w:color w:val="auto"/>
        </w:rPr>
        <w:t xml:space="preserve"> beginning on page 74 for additional information on the awards granted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365760" cy="2171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2" w:right="20" w:hanging="222"/>
        <w:spacing w:after="0" w:line="281" w:lineRule="auto"/>
        <w:tabs>
          <w:tab w:leader="none" w:pos="222" w:val="left"/>
        </w:tabs>
        <w:numPr>
          <w:ilvl w:val="0"/>
          <w:numId w:val="112"/>
        </w:numPr>
        <w:rPr>
          <w:rFonts w:ascii="Arial" w:cs="Arial" w:eastAsia="Arial" w:hAnsi="Arial"/>
          <w:sz w:val="7"/>
          <w:szCs w:val="7"/>
          <w:color w:val="auto"/>
        </w:rPr>
      </w:pPr>
      <w:r>
        <w:rPr>
          <w:rFonts w:ascii="Arial" w:cs="Arial" w:eastAsia="Arial" w:hAnsi="Arial"/>
          <w:sz w:val="8"/>
          <w:szCs w:val="8"/>
          <w:color w:val="auto"/>
        </w:rPr>
        <w:t>The amounts in column (g) reflect the cash incentive bonuses earned under the Annual Incentive Plan for the designated years, which amounts are paid to the NEO in the following year (subject to the NEO’s employment on such payment date).</w:t>
      </w:r>
    </w:p>
    <w:p>
      <w:pPr>
        <w:ind w:left="222" w:right="140" w:hanging="222"/>
        <w:spacing w:after="0" w:line="281" w:lineRule="auto"/>
        <w:tabs>
          <w:tab w:leader="none" w:pos="222" w:val="left"/>
        </w:tabs>
        <w:numPr>
          <w:ilvl w:val="0"/>
          <w:numId w:val="112"/>
        </w:numPr>
        <w:rPr>
          <w:rFonts w:ascii="Arial" w:cs="Arial" w:eastAsia="Arial" w:hAnsi="Arial"/>
          <w:sz w:val="7"/>
          <w:szCs w:val="7"/>
          <w:color w:val="auto"/>
        </w:rPr>
      </w:pPr>
      <w:r>
        <w:rPr>
          <w:rFonts w:ascii="Arial" w:cs="Arial" w:eastAsia="Arial" w:hAnsi="Arial"/>
          <w:sz w:val="8"/>
          <w:szCs w:val="8"/>
          <w:color w:val="auto"/>
        </w:rPr>
        <w:t>The amounts in column (h) represent the annual change in pension value for the designated years. See pages 87 through 88 for more information on fiscal 2021 pension benefits.</w:t>
      </w:r>
    </w:p>
    <w:p>
      <w:pPr>
        <w:ind w:left="222" w:right="320" w:hanging="222"/>
        <w:spacing w:after="0" w:line="281" w:lineRule="auto"/>
        <w:tabs>
          <w:tab w:leader="none" w:pos="222" w:val="left"/>
        </w:tabs>
        <w:numPr>
          <w:ilvl w:val="0"/>
          <w:numId w:val="112"/>
        </w:numPr>
        <w:rPr>
          <w:rFonts w:ascii="Arial" w:cs="Arial" w:eastAsia="Arial" w:hAnsi="Arial"/>
          <w:sz w:val="7"/>
          <w:szCs w:val="7"/>
          <w:color w:val="auto"/>
        </w:rPr>
      </w:pPr>
      <w:r>
        <w:rPr>
          <w:rFonts w:ascii="Arial" w:cs="Arial" w:eastAsia="Arial" w:hAnsi="Arial"/>
          <w:sz w:val="8"/>
          <w:szCs w:val="8"/>
          <w:color w:val="auto"/>
        </w:rPr>
        <w:t>The amounts in column (i) represent perquisites and other compensation attributable to the NEOs for 2021, valued at the incremental cost to the Company of providing them, which represents the actual cost, as reflected in the table below.</w:t>
      </w:r>
    </w:p>
    <w:p>
      <w:pPr>
        <w:spacing w:after="0" w:line="72" w:lineRule="exact"/>
        <w:rPr>
          <w:sz w:val="20"/>
          <w:szCs w:val="20"/>
          <w:color w:val="auto"/>
        </w:rPr>
      </w:pPr>
    </w:p>
    <w:tbl>
      <w:tblPr>
        <w:tblLayout w:type="fixed"/>
        <w:tblInd w:w="2" w:type="dxa"/>
        <w:tblCellMar>
          <w:top w:w="0" w:type="dxa"/>
          <w:left w:w="0" w:type="dxa"/>
          <w:bottom w:w="0" w:type="dxa"/>
          <w:right w:w="0" w:type="dxa"/>
        </w:tblCellMar>
      </w:tblPr>
      <w:tr>
        <w:trPr>
          <w:trHeight w:val="69"/>
        </w:trPr>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jc w:val="right"/>
              <w:ind w:right="50"/>
              <w:spacing w:after="0"/>
              <w:rPr>
                <w:sz w:val="20"/>
                <w:szCs w:val="20"/>
                <w:color w:val="auto"/>
              </w:rPr>
            </w:pPr>
            <w:r>
              <w:rPr>
                <w:rFonts w:ascii="Arial" w:cs="Arial" w:eastAsia="Arial" w:hAnsi="Arial"/>
                <w:sz w:val="6"/>
                <w:szCs w:val="6"/>
                <w:b w:val="1"/>
                <w:bCs w:val="1"/>
                <w:color w:val="auto"/>
              </w:rPr>
              <w:t>Match</w:t>
            </w: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Under</w:t>
            </w: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401(k)</w:t>
            </w: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6"/>
                <w:szCs w:val="6"/>
                <w:b w:val="1"/>
                <w:bCs w:val="1"/>
                <w:color w:val="auto"/>
              </w:rPr>
              <w:t>Car</w:t>
            </w:r>
          </w:p>
        </w:tc>
        <w:tc>
          <w:tcPr>
            <w:tcW w:w="360" w:type="dxa"/>
            <w:vAlign w:val="bottom"/>
            <w:vMerge w:val="restart"/>
          </w:tcPr>
          <w:p>
            <w:pPr>
              <w:jc w:val="right"/>
              <w:ind w:right="30"/>
              <w:spacing w:after="0"/>
              <w:rPr>
                <w:sz w:val="20"/>
                <w:szCs w:val="20"/>
                <w:color w:val="auto"/>
              </w:rPr>
            </w:pPr>
            <w:r>
              <w:rPr>
                <w:rFonts w:ascii="Arial" w:cs="Arial" w:eastAsia="Arial" w:hAnsi="Arial"/>
                <w:sz w:val="6"/>
                <w:szCs w:val="6"/>
                <w:b w:val="1"/>
                <w:bCs w:val="1"/>
                <w:color w:val="auto"/>
              </w:rPr>
              <w:t>Med.</w:t>
            </w:r>
          </w:p>
        </w:tc>
        <w:tc>
          <w:tcPr>
            <w:tcW w:w="400" w:type="dxa"/>
            <w:vAlign w:val="bottom"/>
          </w:tcPr>
          <w:p>
            <w:pPr>
              <w:jc w:val="right"/>
              <w:ind w:right="70"/>
              <w:spacing w:after="0"/>
              <w:rPr>
                <w:sz w:val="20"/>
                <w:szCs w:val="20"/>
                <w:color w:val="auto"/>
              </w:rPr>
            </w:pPr>
            <w:r>
              <w:rPr>
                <w:rFonts w:ascii="Arial" w:cs="Arial" w:eastAsia="Arial" w:hAnsi="Arial"/>
                <w:sz w:val="6"/>
                <w:szCs w:val="6"/>
                <w:b w:val="1"/>
                <w:bCs w:val="1"/>
                <w:color w:val="auto"/>
              </w:rPr>
              <w:t>Accrual</w:t>
            </w:r>
          </w:p>
        </w:tc>
        <w:tc>
          <w:tcPr>
            <w:tcW w:w="360" w:type="dxa"/>
            <w:vAlign w:val="bottom"/>
          </w:tcPr>
          <w:p>
            <w:pPr>
              <w:jc w:val="right"/>
              <w:ind w:right="70"/>
              <w:spacing w:after="0"/>
              <w:rPr>
                <w:sz w:val="20"/>
                <w:szCs w:val="20"/>
                <w:color w:val="auto"/>
              </w:rPr>
            </w:pPr>
            <w:r>
              <w:rPr>
                <w:rFonts w:ascii="Arial" w:cs="Arial" w:eastAsia="Arial" w:hAnsi="Arial"/>
                <w:sz w:val="6"/>
                <w:szCs w:val="6"/>
                <w:b w:val="1"/>
                <w:bCs w:val="1"/>
                <w:color w:val="auto"/>
              </w:rPr>
              <w:t>Supp.</w:t>
            </w:r>
          </w:p>
        </w:tc>
        <w:tc>
          <w:tcPr>
            <w:tcW w:w="340" w:type="dxa"/>
            <w:vAlign w:val="bottom"/>
          </w:tcPr>
          <w:p>
            <w:pPr>
              <w:jc w:val="right"/>
              <w:ind w:right="50"/>
              <w:spacing w:after="0"/>
              <w:rPr>
                <w:sz w:val="20"/>
                <w:szCs w:val="20"/>
                <w:color w:val="auto"/>
              </w:rPr>
            </w:pPr>
            <w:r>
              <w:rPr>
                <w:rFonts w:ascii="Arial" w:cs="Arial" w:eastAsia="Arial" w:hAnsi="Arial"/>
                <w:sz w:val="6"/>
                <w:szCs w:val="6"/>
                <w:b w:val="1"/>
                <w:bCs w:val="1"/>
                <w:color w:val="auto"/>
              </w:rPr>
              <w:t>Univ.</w:t>
            </w:r>
          </w:p>
        </w:tc>
        <w:tc>
          <w:tcPr>
            <w:tcW w:w="400" w:type="dxa"/>
            <w:vAlign w:val="bottom"/>
          </w:tcPr>
          <w:p>
            <w:pPr>
              <w:spacing w:after="0"/>
              <w:rPr>
                <w:sz w:val="6"/>
                <w:szCs w:val="6"/>
                <w:color w:val="auto"/>
              </w:rPr>
            </w:pPr>
          </w:p>
        </w:tc>
        <w:tc>
          <w:tcPr>
            <w:tcW w:w="380" w:type="dxa"/>
            <w:vAlign w:val="bottom"/>
          </w:tcPr>
          <w:p>
            <w:pPr>
              <w:jc w:val="right"/>
              <w:ind w:right="50"/>
              <w:spacing w:after="0"/>
              <w:rPr>
                <w:sz w:val="20"/>
                <w:szCs w:val="20"/>
                <w:color w:val="auto"/>
              </w:rPr>
            </w:pPr>
            <w:r>
              <w:rPr>
                <w:rFonts w:ascii="Arial" w:cs="Arial" w:eastAsia="Arial" w:hAnsi="Arial"/>
                <w:sz w:val="6"/>
                <w:szCs w:val="6"/>
                <w:b w:val="1"/>
                <w:bCs w:val="1"/>
                <w:color w:val="auto"/>
              </w:rPr>
              <w:t>and</w:t>
            </w: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6"/>
                <w:szCs w:val="6"/>
                <w:b w:val="1"/>
                <w:bCs w:val="1"/>
                <w:color w:val="auto"/>
              </w:rPr>
              <w:t>Expatriate</w:t>
            </w:r>
          </w:p>
        </w:tc>
        <w:tc>
          <w:tcPr>
            <w:tcW w:w="380" w:type="dxa"/>
            <w:vAlign w:val="bottom"/>
          </w:tcPr>
          <w:p>
            <w:pPr>
              <w:spacing w:after="0"/>
              <w:rPr>
                <w:sz w:val="6"/>
                <w:szCs w:val="6"/>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6"/>
                <w:szCs w:val="6"/>
                <w:b w:val="1"/>
                <w:bCs w:val="1"/>
                <w:color w:val="auto"/>
              </w:rPr>
              <w:t>Accrued</w:t>
            </w: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440" w:type="dxa"/>
            <w:vAlign w:val="bottom"/>
          </w:tcPr>
          <w:p>
            <w:pPr>
              <w:spacing w:after="0"/>
              <w:rPr>
                <w:sz w:val="5"/>
                <w:szCs w:val="5"/>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6"/>
                <w:szCs w:val="6"/>
                <w:b w:val="1"/>
                <w:bCs w:val="1"/>
                <w:color w:val="auto"/>
              </w:rPr>
              <w:t>Auto</w:t>
            </w:r>
          </w:p>
        </w:tc>
        <w:tc>
          <w:tcPr>
            <w:tcW w:w="38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400" w:type="dxa"/>
            <w:vAlign w:val="bottom"/>
          </w:tcPr>
          <w:p>
            <w:pPr>
              <w:jc w:val="right"/>
              <w:ind w:right="70"/>
              <w:spacing w:after="0" w:line="63" w:lineRule="exact"/>
              <w:rPr>
                <w:sz w:val="20"/>
                <w:szCs w:val="20"/>
                <w:color w:val="auto"/>
              </w:rPr>
            </w:pPr>
            <w:r>
              <w:rPr>
                <w:rFonts w:ascii="Arial" w:cs="Arial" w:eastAsia="Arial" w:hAnsi="Arial"/>
                <w:sz w:val="6"/>
                <w:szCs w:val="6"/>
                <w:b w:val="1"/>
                <w:bCs w:val="1"/>
                <w:color w:val="auto"/>
              </w:rPr>
              <w:t>for</w:t>
            </w:r>
          </w:p>
        </w:tc>
        <w:tc>
          <w:tcPr>
            <w:tcW w:w="360" w:type="dxa"/>
            <w:vAlign w:val="bottom"/>
          </w:tcPr>
          <w:p>
            <w:pPr>
              <w:jc w:val="right"/>
              <w:ind w:right="70"/>
              <w:spacing w:after="0" w:line="63" w:lineRule="exact"/>
              <w:rPr>
                <w:sz w:val="20"/>
                <w:szCs w:val="20"/>
                <w:color w:val="auto"/>
              </w:rPr>
            </w:pPr>
            <w:r>
              <w:rPr>
                <w:rFonts w:ascii="Arial" w:cs="Arial" w:eastAsia="Arial" w:hAnsi="Arial"/>
                <w:sz w:val="6"/>
                <w:szCs w:val="6"/>
                <w:b w:val="1"/>
                <w:bCs w:val="1"/>
                <w:color w:val="auto"/>
              </w:rPr>
              <w:t>LTD</w:t>
            </w:r>
          </w:p>
        </w:tc>
        <w:tc>
          <w:tcPr>
            <w:tcW w:w="34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Life</w:t>
            </w:r>
          </w:p>
        </w:tc>
        <w:tc>
          <w:tcPr>
            <w:tcW w:w="400" w:type="dxa"/>
            <w:vAlign w:val="bottom"/>
            <w:vMerge w:val="restart"/>
          </w:tcPr>
          <w:p>
            <w:pPr>
              <w:jc w:val="right"/>
              <w:ind w:right="30"/>
              <w:spacing w:after="0"/>
              <w:rPr>
                <w:sz w:val="20"/>
                <w:szCs w:val="20"/>
                <w:color w:val="auto"/>
              </w:rPr>
            </w:pPr>
            <w:r>
              <w:rPr>
                <w:rFonts w:ascii="Arial" w:cs="Arial" w:eastAsia="Arial" w:hAnsi="Arial"/>
                <w:sz w:val="6"/>
                <w:szCs w:val="6"/>
                <w:b w:val="1"/>
                <w:bCs w:val="1"/>
                <w:color w:val="auto"/>
              </w:rPr>
              <w:t>Financial</w:t>
            </w:r>
          </w:p>
        </w:tc>
        <w:tc>
          <w:tcPr>
            <w:tcW w:w="38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Excess</w:t>
            </w:r>
          </w:p>
        </w:tc>
        <w:tc>
          <w:tcPr>
            <w:tcW w:w="400" w:type="dxa"/>
            <w:vAlign w:val="bottom"/>
          </w:tcPr>
          <w:p>
            <w:pPr>
              <w:spacing w:after="0"/>
              <w:rPr>
                <w:sz w:val="5"/>
                <w:szCs w:val="5"/>
                <w:color w:val="auto"/>
              </w:rPr>
            </w:pPr>
          </w:p>
        </w:tc>
        <w:tc>
          <w:tcPr>
            <w:tcW w:w="380" w:type="dxa"/>
            <w:vAlign w:val="bottom"/>
            <w:vMerge w:val="restart"/>
          </w:tcPr>
          <w:p>
            <w:pPr>
              <w:jc w:val="right"/>
              <w:ind w:right="30"/>
              <w:spacing w:after="0"/>
              <w:rPr>
                <w:sz w:val="20"/>
                <w:szCs w:val="20"/>
                <w:color w:val="auto"/>
              </w:rPr>
            </w:pPr>
            <w:r>
              <w:rPr>
                <w:rFonts w:ascii="Arial" w:cs="Arial" w:eastAsia="Arial" w:hAnsi="Arial"/>
                <w:sz w:val="6"/>
                <w:szCs w:val="6"/>
                <w:b w:val="1"/>
                <w:bCs w:val="1"/>
                <w:color w:val="auto"/>
              </w:rPr>
              <w:t>Foreign</w:t>
            </w:r>
          </w:p>
        </w:tc>
        <w:tc>
          <w:tcPr>
            <w:tcW w:w="420" w:type="dxa"/>
            <w:vAlign w:val="bottom"/>
            <w:vMerge w:val="continue"/>
          </w:tcPr>
          <w:p>
            <w:pPr>
              <w:spacing w:after="0"/>
              <w:rPr>
                <w:sz w:val="5"/>
                <w:szCs w:val="5"/>
                <w:color w:val="auto"/>
              </w:rPr>
            </w:pPr>
          </w:p>
        </w:tc>
        <w:tc>
          <w:tcPr>
            <w:tcW w:w="380" w:type="dxa"/>
            <w:vAlign w:val="bottom"/>
            <w:vMerge w:val="restart"/>
          </w:tcPr>
          <w:p>
            <w:pPr>
              <w:jc w:val="right"/>
              <w:ind w:right="10"/>
              <w:spacing w:after="0"/>
              <w:rPr>
                <w:sz w:val="20"/>
                <w:szCs w:val="20"/>
                <w:color w:val="auto"/>
              </w:rPr>
            </w:pPr>
            <w:r>
              <w:rPr>
                <w:rFonts w:ascii="Arial" w:cs="Arial" w:eastAsia="Arial" w:hAnsi="Arial"/>
                <w:sz w:val="6"/>
                <w:szCs w:val="6"/>
                <w:b w:val="1"/>
                <w:bCs w:val="1"/>
                <w:color w:val="auto"/>
              </w:rPr>
              <w:t>Vacation</w:t>
            </w: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80" w:type="dxa"/>
            <w:vAlign w:val="bottom"/>
          </w:tcPr>
          <w:p>
            <w:pPr>
              <w:jc w:val="right"/>
              <w:ind w:right="30"/>
              <w:spacing w:after="0" w:line="63" w:lineRule="exact"/>
              <w:rPr>
                <w:sz w:val="20"/>
                <w:szCs w:val="20"/>
                <w:color w:val="auto"/>
              </w:rPr>
            </w:pPr>
            <w:r>
              <w:rPr>
                <w:rFonts w:ascii="Arial" w:cs="Arial" w:eastAsia="Arial" w:hAnsi="Arial"/>
                <w:sz w:val="6"/>
                <w:szCs w:val="6"/>
                <w:b w:val="1"/>
                <w:bCs w:val="1"/>
                <w:color w:val="auto"/>
              </w:rPr>
              <w:t>Service</w:t>
            </w:r>
          </w:p>
        </w:tc>
        <w:tc>
          <w:tcPr>
            <w:tcW w:w="360" w:type="dxa"/>
            <w:vAlign w:val="bottom"/>
          </w:tcPr>
          <w:p>
            <w:pPr>
              <w:jc w:val="right"/>
              <w:ind w:right="30"/>
              <w:spacing w:after="0" w:line="63" w:lineRule="exact"/>
              <w:rPr>
                <w:sz w:val="20"/>
                <w:szCs w:val="20"/>
                <w:color w:val="auto"/>
              </w:rPr>
            </w:pPr>
            <w:r>
              <w:rPr>
                <w:rFonts w:ascii="Arial" w:cs="Arial" w:eastAsia="Arial" w:hAnsi="Arial"/>
                <w:sz w:val="6"/>
                <w:szCs w:val="6"/>
                <w:b w:val="1"/>
                <w:bCs w:val="1"/>
                <w:color w:val="auto"/>
              </w:rPr>
              <w:t>Expense</w:t>
            </w:r>
          </w:p>
        </w:tc>
        <w:tc>
          <w:tcPr>
            <w:tcW w:w="400" w:type="dxa"/>
            <w:vAlign w:val="bottom"/>
          </w:tcPr>
          <w:p>
            <w:pPr>
              <w:jc w:val="right"/>
              <w:ind w:right="70"/>
              <w:spacing w:after="0" w:line="63" w:lineRule="exact"/>
              <w:rPr>
                <w:sz w:val="20"/>
                <w:szCs w:val="20"/>
                <w:color w:val="auto"/>
              </w:rPr>
            </w:pPr>
            <w:r>
              <w:rPr>
                <w:rFonts w:ascii="Arial" w:cs="Arial" w:eastAsia="Arial" w:hAnsi="Arial"/>
                <w:sz w:val="6"/>
                <w:szCs w:val="6"/>
                <w:b w:val="1"/>
                <w:bCs w:val="1"/>
                <w:color w:val="auto"/>
              </w:rPr>
              <w:t>Post-Ret.</w:t>
            </w:r>
          </w:p>
        </w:tc>
        <w:tc>
          <w:tcPr>
            <w:tcW w:w="360" w:type="dxa"/>
            <w:vAlign w:val="bottom"/>
          </w:tcPr>
          <w:p>
            <w:pPr>
              <w:jc w:val="right"/>
              <w:ind w:right="70"/>
              <w:spacing w:after="0" w:line="63" w:lineRule="exact"/>
              <w:rPr>
                <w:sz w:val="20"/>
                <w:szCs w:val="20"/>
                <w:color w:val="auto"/>
              </w:rPr>
            </w:pPr>
            <w:r>
              <w:rPr>
                <w:rFonts w:ascii="Arial" w:cs="Arial" w:eastAsia="Arial" w:hAnsi="Arial"/>
                <w:sz w:val="6"/>
                <w:szCs w:val="6"/>
                <w:b w:val="1"/>
                <w:bCs w:val="1"/>
                <w:color w:val="auto"/>
              </w:rPr>
              <w:t>Ins.</w:t>
            </w:r>
          </w:p>
        </w:tc>
        <w:tc>
          <w:tcPr>
            <w:tcW w:w="34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Ins.</w:t>
            </w:r>
          </w:p>
        </w:tc>
        <w:tc>
          <w:tcPr>
            <w:tcW w:w="400" w:type="dxa"/>
            <w:vAlign w:val="bottom"/>
            <w:vMerge w:val="continue"/>
          </w:tcPr>
          <w:p>
            <w:pPr>
              <w:spacing w:after="0"/>
              <w:rPr>
                <w:sz w:val="5"/>
                <w:szCs w:val="5"/>
                <w:color w:val="auto"/>
              </w:rPr>
            </w:pPr>
          </w:p>
        </w:tc>
        <w:tc>
          <w:tcPr>
            <w:tcW w:w="38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Savings</w:t>
            </w:r>
          </w:p>
        </w:tc>
        <w:tc>
          <w:tcPr>
            <w:tcW w:w="400" w:type="dxa"/>
            <w:vAlign w:val="bottom"/>
            <w:vMerge w:val="restart"/>
          </w:tcPr>
          <w:p>
            <w:pPr>
              <w:jc w:val="right"/>
              <w:ind w:right="50"/>
              <w:spacing w:after="0"/>
              <w:rPr>
                <w:sz w:val="20"/>
                <w:szCs w:val="20"/>
                <w:color w:val="auto"/>
              </w:rPr>
            </w:pPr>
            <w:r>
              <w:rPr>
                <w:rFonts w:ascii="Arial" w:cs="Arial" w:eastAsia="Arial" w:hAnsi="Arial"/>
                <w:sz w:val="6"/>
                <w:szCs w:val="6"/>
                <w:b w:val="1"/>
                <w:bCs w:val="1"/>
                <w:color w:val="auto"/>
              </w:rPr>
              <w:t>Relo.</w:t>
            </w:r>
          </w:p>
        </w:tc>
        <w:tc>
          <w:tcPr>
            <w:tcW w:w="380" w:type="dxa"/>
            <w:vAlign w:val="bottom"/>
            <w:vMerge w:val="continue"/>
          </w:tcPr>
          <w:p>
            <w:pPr>
              <w:spacing w:after="0"/>
              <w:rPr>
                <w:sz w:val="5"/>
                <w:szCs w:val="5"/>
                <w:color w:val="auto"/>
              </w:rPr>
            </w:pPr>
          </w:p>
        </w:tc>
        <w:tc>
          <w:tcPr>
            <w:tcW w:w="42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Tax</w:t>
            </w:r>
          </w:p>
        </w:tc>
        <w:tc>
          <w:tcPr>
            <w:tcW w:w="380" w:type="dxa"/>
            <w:vAlign w:val="bottom"/>
            <w:vMerge w:val="continue"/>
          </w:tcPr>
          <w:p>
            <w:pPr>
              <w:spacing w:after="0"/>
              <w:rPr>
                <w:sz w:val="5"/>
                <w:szCs w:val="5"/>
                <w:color w:val="auto"/>
              </w:rPr>
            </w:pPr>
          </w:p>
        </w:tc>
        <w:tc>
          <w:tcPr>
            <w:tcW w:w="420" w:type="dxa"/>
            <w:vAlign w:val="bottom"/>
          </w:tcPr>
          <w:p>
            <w:pPr>
              <w:jc w:val="right"/>
              <w:ind w:right="30"/>
              <w:spacing w:after="0" w:line="63" w:lineRule="exact"/>
              <w:rPr>
                <w:sz w:val="20"/>
                <w:szCs w:val="20"/>
                <w:color w:val="auto"/>
              </w:rPr>
            </w:pPr>
            <w:r>
              <w:rPr>
                <w:rFonts w:ascii="Arial" w:cs="Arial" w:eastAsia="Arial" w:hAnsi="Arial"/>
                <w:sz w:val="6"/>
                <w:szCs w:val="6"/>
                <w:b w:val="1"/>
                <w:bCs w:val="1"/>
                <w:color w:val="auto"/>
              </w:rPr>
              <w:t>Severance</w:t>
            </w:r>
          </w:p>
        </w:tc>
        <w:tc>
          <w:tcPr>
            <w:tcW w:w="360" w:type="dxa"/>
            <w:vAlign w:val="bottom"/>
            <w:vMerge w:val="restart"/>
          </w:tcPr>
          <w:p>
            <w:pPr>
              <w:jc w:val="right"/>
              <w:ind w:right="10"/>
              <w:spacing w:after="0"/>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63"/>
        </w:trPr>
        <w:tc>
          <w:tcPr>
            <w:tcW w:w="440" w:type="dxa"/>
            <w:vAlign w:val="bottom"/>
            <w:vMerge w:val="restart"/>
          </w:tcPr>
          <w:p>
            <w:pPr>
              <w:ind w:left="20"/>
              <w:spacing w:after="0"/>
              <w:rPr>
                <w:sz w:val="20"/>
                <w:szCs w:val="20"/>
                <w:color w:val="auto"/>
              </w:rPr>
            </w:pPr>
            <w:r>
              <w:rPr>
                <w:rFonts w:ascii="Arial" w:cs="Arial" w:eastAsia="Arial" w:hAnsi="Arial"/>
                <w:sz w:val="6"/>
                <w:szCs w:val="6"/>
                <w:b w:val="1"/>
                <w:bCs w:val="1"/>
                <w:color w:val="auto"/>
              </w:rPr>
              <w:t>Name</w:t>
            </w:r>
          </w:p>
        </w:tc>
        <w:tc>
          <w:tcPr>
            <w:tcW w:w="460" w:type="dxa"/>
            <w:vAlign w:val="bottom"/>
          </w:tcPr>
          <w:p>
            <w:pPr>
              <w:jc w:val="right"/>
              <w:ind w:right="70"/>
              <w:spacing w:after="0" w:line="63" w:lineRule="exact"/>
              <w:rPr>
                <w:sz w:val="20"/>
                <w:szCs w:val="20"/>
                <w:color w:val="auto"/>
              </w:rPr>
            </w:pPr>
            <w:r>
              <w:rPr>
                <w:rFonts w:ascii="Arial" w:cs="Arial" w:eastAsia="Arial" w:hAnsi="Arial"/>
                <w:sz w:val="6"/>
                <w:szCs w:val="6"/>
                <w:b w:val="1"/>
                <w:bCs w:val="1"/>
                <w:color w:val="auto"/>
              </w:rPr>
              <w:t>Allow.</w:t>
            </w:r>
          </w:p>
        </w:tc>
        <w:tc>
          <w:tcPr>
            <w:tcW w:w="380" w:type="dxa"/>
            <w:vAlign w:val="bottom"/>
          </w:tcPr>
          <w:p>
            <w:pPr>
              <w:jc w:val="right"/>
              <w:ind w:right="30"/>
              <w:spacing w:after="0" w:line="63" w:lineRule="exact"/>
              <w:rPr>
                <w:sz w:val="20"/>
                <w:szCs w:val="20"/>
                <w:color w:val="auto"/>
              </w:rPr>
            </w:pPr>
            <w:r>
              <w:rPr>
                <w:rFonts w:ascii="Arial" w:cs="Arial" w:eastAsia="Arial" w:hAnsi="Arial"/>
                <w:sz w:val="6"/>
                <w:szCs w:val="6"/>
                <w:b w:val="1"/>
                <w:bCs w:val="1"/>
                <w:color w:val="auto"/>
              </w:rPr>
              <w:t>Reimb.</w:t>
            </w:r>
          </w:p>
        </w:tc>
        <w:tc>
          <w:tcPr>
            <w:tcW w:w="360" w:type="dxa"/>
            <w:vAlign w:val="bottom"/>
          </w:tcPr>
          <w:p>
            <w:pPr>
              <w:jc w:val="right"/>
              <w:ind w:right="30"/>
              <w:spacing w:after="0" w:line="63" w:lineRule="exact"/>
              <w:rPr>
                <w:sz w:val="20"/>
                <w:szCs w:val="20"/>
                <w:color w:val="auto"/>
              </w:rPr>
            </w:pPr>
            <w:r>
              <w:rPr>
                <w:rFonts w:ascii="Arial" w:cs="Arial" w:eastAsia="Arial" w:hAnsi="Arial"/>
                <w:sz w:val="6"/>
                <w:szCs w:val="6"/>
                <w:b w:val="1"/>
                <w:bCs w:val="1"/>
                <w:color w:val="auto"/>
              </w:rPr>
              <w:t>Reimb.</w:t>
            </w:r>
          </w:p>
        </w:tc>
        <w:tc>
          <w:tcPr>
            <w:tcW w:w="400" w:type="dxa"/>
            <w:vAlign w:val="bottom"/>
          </w:tcPr>
          <w:p>
            <w:pPr>
              <w:jc w:val="right"/>
              <w:ind w:right="70"/>
              <w:spacing w:after="0" w:line="63" w:lineRule="exact"/>
              <w:rPr>
                <w:sz w:val="20"/>
                <w:szCs w:val="20"/>
                <w:color w:val="auto"/>
              </w:rPr>
            </w:pPr>
            <w:r>
              <w:rPr>
                <w:rFonts w:ascii="Arial" w:cs="Arial" w:eastAsia="Arial" w:hAnsi="Arial"/>
                <w:sz w:val="6"/>
                <w:szCs w:val="6"/>
                <w:b w:val="1"/>
                <w:bCs w:val="1"/>
                <w:color w:val="auto"/>
              </w:rPr>
              <w:t>Med.</w:t>
            </w:r>
          </w:p>
        </w:tc>
        <w:tc>
          <w:tcPr>
            <w:tcW w:w="360" w:type="dxa"/>
            <w:vAlign w:val="bottom"/>
          </w:tcPr>
          <w:p>
            <w:pPr>
              <w:jc w:val="right"/>
              <w:ind w:right="70"/>
              <w:spacing w:after="0" w:line="63" w:lineRule="exact"/>
              <w:rPr>
                <w:sz w:val="20"/>
                <w:szCs w:val="20"/>
                <w:color w:val="auto"/>
              </w:rPr>
            </w:pPr>
            <w:r>
              <w:rPr>
                <w:rFonts w:ascii="Arial" w:cs="Arial" w:eastAsia="Arial" w:hAnsi="Arial"/>
                <w:sz w:val="6"/>
                <w:szCs w:val="6"/>
                <w:b w:val="1"/>
                <w:bCs w:val="1"/>
                <w:color w:val="auto"/>
              </w:rPr>
              <w:t>Prem.</w:t>
            </w:r>
          </w:p>
        </w:tc>
        <w:tc>
          <w:tcPr>
            <w:tcW w:w="34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Prem.</w:t>
            </w:r>
          </w:p>
        </w:tc>
        <w:tc>
          <w:tcPr>
            <w:tcW w:w="40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Planning</w:t>
            </w:r>
          </w:p>
        </w:tc>
        <w:tc>
          <w:tcPr>
            <w:tcW w:w="38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Plans</w:t>
            </w:r>
          </w:p>
        </w:tc>
        <w:tc>
          <w:tcPr>
            <w:tcW w:w="400" w:type="dxa"/>
            <w:vAlign w:val="bottom"/>
            <w:vMerge w:val="continue"/>
          </w:tcPr>
          <w:p>
            <w:pPr>
              <w:spacing w:after="0"/>
              <w:rPr>
                <w:sz w:val="5"/>
                <w:szCs w:val="5"/>
                <w:color w:val="auto"/>
              </w:rPr>
            </w:pPr>
          </w:p>
        </w:tc>
        <w:tc>
          <w:tcPr>
            <w:tcW w:w="380" w:type="dxa"/>
            <w:vAlign w:val="bottom"/>
          </w:tcPr>
          <w:p>
            <w:pPr>
              <w:jc w:val="right"/>
              <w:ind w:right="30"/>
              <w:spacing w:after="0" w:line="63" w:lineRule="exact"/>
              <w:rPr>
                <w:sz w:val="20"/>
                <w:szCs w:val="20"/>
                <w:color w:val="auto"/>
              </w:rPr>
            </w:pPr>
            <w:r>
              <w:rPr>
                <w:rFonts w:ascii="Arial" w:cs="Arial" w:eastAsia="Arial" w:hAnsi="Arial"/>
                <w:sz w:val="6"/>
                <w:szCs w:val="6"/>
                <w:b w:val="1"/>
                <w:bCs w:val="1"/>
                <w:color w:val="auto"/>
              </w:rPr>
              <w:t>Earnings</w:t>
            </w:r>
          </w:p>
        </w:tc>
        <w:tc>
          <w:tcPr>
            <w:tcW w:w="42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Payments</w:t>
            </w:r>
          </w:p>
        </w:tc>
        <w:tc>
          <w:tcPr>
            <w:tcW w:w="380" w:type="dxa"/>
            <w:vAlign w:val="bottom"/>
          </w:tcPr>
          <w:p>
            <w:pPr>
              <w:jc w:val="right"/>
              <w:ind w:right="30"/>
              <w:spacing w:after="0" w:line="63" w:lineRule="exact"/>
              <w:rPr>
                <w:sz w:val="20"/>
                <w:szCs w:val="20"/>
                <w:color w:val="auto"/>
              </w:rPr>
            </w:pPr>
            <w:r>
              <w:rPr>
                <w:rFonts w:ascii="Arial" w:cs="Arial" w:eastAsia="Arial" w:hAnsi="Arial"/>
                <w:sz w:val="6"/>
                <w:szCs w:val="6"/>
                <w:b w:val="1"/>
                <w:bCs w:val="1"/>
                <w:color w:val="auto"/>
              </w:rPr>
              <w:t>Payout</w:t>
            </w:r>
          </w:p>
        </w:tc>
        <w:tc>
          <w:tcPr>
            <w:tcW w:w="420" w:type="dxa"/>
            <w:vAlign w:val="bottom"/>
          </w:tcPr>
          <w:p>
            <w:pPr>
              <w:jc w:val="right"/>
              <w:ind w:right="50"/>
              <w:spacing w:after="0" w:line="63" w:lineRule="exact"/>
              <w:rPr>
                <w:sz w:val="20"/>
                <w:szCs w:val="20"/>
                <w:color w:val="auto"/>
              </w:rPr>
            </w:pPr>
            <w:r>
              <w:rPr>
                <w:rFonts w:ascii="Arial" w:cs="Arial" w:eastAsia="Arial" w:hAnsi="Arial"/>
                <w:sz w:val="6"/>
                <w:szCs w:val="6"/>
                <w:b w:val="1"/>
                <w:bCs w:val="1"/>
                <w:color w:val="auto"/>
              </w:rPr>
              <w:t>Benefits</w:t>
            </w: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40" w:type="dxa"/>
            <w:vAlign w:val="bottom"/>
            <w:tcBorders>
              <w:bottom w:val="single" w:sz="8" w:color="E31F25"/>
            </w:tcBorders>
            <w:vMerge w:val="continue"/>
          </w:tcPr>
          <w:p>
            <w:pPr>
              <w:spacing w:after="0"/>
              <w:rPr>
                <w:sz w:val="6"/>
                <w:szCs w:val="6"/>
                <w:color w:val="auto"/>
              </w:rPr>
            </w:pPr>
          </w:p>
        </w:tc>
        <w:tc>
          <w:tcPr>
            <w:tcW w:w="460" w:type="dxa"/>
            <w:vAlign w:val="bottom"/>
            <w:tcBorders>
              <w:bottom w:val="single" w:sz="8" w:color="E31F25"/>
            </w:tcBorders>
          </w:tcPr>
          <w:p>
            <w:pPr>
              <w:jc w:val="right"/>
              <w:ind w:right="50"/>
              <w:spacing w:after="0"/>
              <w:rPr>
                <w:sz w:val="20"/>
                <w:szCs w:val="20"/>
                <w:color w:val="auto"/>
              </w:rPr>
            </w:pPr>
            <w:r>
              <w:rPr>
                <w:rFonts w:ascii="Arial" w:cs="Arial" w:eastAsia="Arial" w:hAnsi="Arial"/>
                <w:sz w:val="6"/>
                <w:szCs w:val="6"/>
                <w:b w:val="1"/>
                <w:bCs w:val="1"/>
                <w:color w:val="auto"/>
              </w:rPr>
              <w:t>($)</w:t>
            </w:r>
          </w:p>
        </w:tc>
        <w:tc>
          <w:tcPr>
            <w:tcW w:w="380" w:type="dxa"/>
            <w:vAlign w:val="bottom"/>
            <w:tcBorders>
              <w:bottom w:val="single" w:sz="8" w:color="E31F25"/>
            </w:tcBorders>
          </w:tcPr>
          <w:p>
            <w:pPr>
              <w:jc w:val="right"/>
              <w:ind w:right="30"/>
              <w:spacing w:after="0"/>
              <w:rPr>
                <w:sz w:val="20"/>
                <w:szCs w:val="20"/>
                <w:color w:val="auto"/>
              </w:rPr>
            </w:pPr>
            <w:r>
              <w:rPr>
                <w:rFonts w:ascii="Arial" w:cs="Arial" w:eastAsia="Arial" w:hAnsi="Arial"/>
                <w:sz w:val="6"/>
                <w:szCs w:val="6"/>
                <w:b w:val="1"/>
                <w:bCs w:val="1"/>
                <w:color w:val="auto"/>
              </w:rPr>
              <w:t>($)</w:t>
            </w:r>
          </w:p>
        </w:tc>
        <w:tc>
          <w:tcPr>
            <w:tcW w:w="360" w:type="dxa"/>
            <w:vAlign w:val="bottom"/>
            <w:tcBorders>
              <w:bottom w:val="single" w:sz="8" w:color="E31F25"/>
            </w:tcBorders>
          </w:tcPr>
          <w:p>
            <w:pPr>
              <w:jc w:val="right"/>
              <w:ind w:right="30"/>
              <w:spacing w:after="0" w:line="72" w:lineRule="exact"/>
              <w:rPr>
                <w:sz w:val="20"/>
                <w:szCs w:val="20"/>
                <w:color w:val="auto"/>
              </w:rPr>
            </w:pPr>
            <w:r>
              <w:rPr>
                <w:rFonts w:ascii="Arial" w:cs="Arial" w:eastAsia="Arial" w:hAnsi="Arial"/>
                <w:sz w:val="5"/>
                <w:szCs w:val="5"/>
                <w:b w:val="1"/>
                <w:bCs w:val="1"/>
                <w:color w:val="auto"/>
              </w:rPr>
              <w:t>($)</w:t>
            </w:r>
            <w:r>
              <w:rPr>
                <w:rFonts w:ascii="Arial" w:cs="Arial" w:eastAsia="Arial" w:hAnsi="Arial"/>
                <w:sz w:val="8"/>
                <w:szCs w:val="8"/>
                <w:b w:val="1"/>
                <w:bCs w:val="1"/>
                <w:color w:val="auto"/>
                <w:vertAlign w:val="superscript"/>
              </w:rPr>
              <w:t>(A)</w:t>
            </w:r>
          </w:p>
        </w:tc>
        <w:tc>
          <w:tcPr>
            <w:tcW w:w="400" w:type="dxa"/>
            <w:vAlign w:val="bottom"/>
            <w:tcBorders>
              <w:bottom w:val="single" w:sz="8" w:color="E31F25"/>
            </w:tcBorders>
          </w:tcPr>
          <w:p>
            <w:pPr>
              <w:jc w:val="right"/>
              <w:ind w:right="70"/>
              <w:spacing w:after="0"/>
              <w:rPr>
                <w:sz w:val="20"/>
                <w:szCs w:val="20"/>
                <w:color w:val="auto"/>
              </w:rPr>
            </w:pPr>
            <w:r>
              <w:rPr>
                <w:rFonts w:ascii="Arial" w:cs="Arial" w:eastAsia="Arial" w:hAnsi="Arial"/>
                <w:sz w:val="6"/>
                <w:szCs w:val="6"/>
                <w:b w:val="1"/>
                <w:bCs w:val="1"/>
                <w:color w:val="auto"/>
              </w:rPr>
              <w:t>($)</w:t>
            </w:r>
          </w:p>
        </w:tc>
        <w:tc>
          <w:tcPr>
            <w:tcW w:w="360" w:type="dxa"/>
            <w:vAlign w:val="bottom"/>
            <w:tcBorders>
              <w:bottom w:val="single" w:sz="8" w:color="E31F25"/>
            </w:tcBorders>
          </w:tcPr>
          <w:p>
            <w:pPr>
              <w:jc w:val="right"/>
              <w:ind w:right="70"/>
              <w:spacing w:after="0"/>
              <w:rPr>
                <w:sz w:val="20"/>
                <w:szCs w:val="20"/>
                <w:color w:val="auto"/>
              </w:rPr>
            </w:pPr>
            <w:r>
              <w:rPr>
                <w:rFonts w:ascii="Arial" w:cs="Arial" w:eastAsia="Arial" w:hAnsi="Arial"/>
                <w:sz w:val="6"/>
                <w:szCs w:val="6"/>
                <w:b w:val="1"/>
                <w:bCs w:val="1"/>
                <w:color w:val="auto"/>
              </w:rPr>
              <w:t>($)</w:t>
            </w:r>
          </w:p>
        </w:tc>
        <w:tc>
          <w:tcPr>
            <w:tcW w:w="340" w:type="dxa"/>
            <w:vAlign w:val="bottom"/>
            <w:tcBorders>
              <w:bottom w:val="single" w:sz="8" w:color="E31F25"/>
            </w:tcBorders>
          </w:tcPr>
          <w:p>
            <w:pPr>
              <w:jc w:val="right"/>
              <w:ind w:right="50"/>
              <w:spacing w:after="0"/>
              <w:rPr>
                <w:sz w:val="20"/>
                <w:szCs w:val="20"/>
                <w:color w:val="auto"/>
              </w:rPr>
            </w:pPr>
            <w:r>
              <w:rPr>
                <w:rFonts w:ascii="Arial" w:cs="Arial" w:eastAsia="Arial" w:hAnsi="Arial"/>
                <w:sz w:val="6"/>
                <w:szCs w:val="6"/>
                <w:b w:val="1"/>
                <w:bCs w:val="1"/>
                <w:color w:val="auto"/>
              </w:rPr>
              <w:t>($)</w:t>
            </w:r>
          </w:p>
        </w:tc>
        <w:tc>
          <w:tcPr>
            <w:tcW w:w="400" w:type="dxa"/>
            <w:vAlign w:val="bottom"/>
            <w:tcBorders>
              <w:bottom w:val="single" w:sz="8" w:color="E31F25"/>
            </w:tcBorders>
          </w:tcPr>
          <w:p>
            <w:pPr>
              <w:jc w:val="right"/>
              <w:ind w:right="30"/>
              <w:spacing w:after="0" w:line="72" w:lineRule="exact"/>
              <w:rPr>
                <w:sz w:val="20"/>
                <w:szCs w:val="20"/>
                <w:color w:val="auto"/>
              </w:rPr>
            </w:pPr>
            <w:r>
              <w:rPr>
                <w:rFonts w:ascii="Arial" w:cs="Arial" w:eastAsia="Arial" w:hAnsi="Arial"/>
                <w:sz w:val="5"/>
                <w:szCs w:val="5"/>
                <w:b w:val="1"/>
                <w:bCs w:val="1"/>
                <w:color w:val="auto"/>
              </w:rPr>
              <w:t>($)</w:t>
            </w:r>
            <w:r>
              <w:rPr>
                <w:rFonts w:ascii="Arial" w:cs="Arial" w:eastAsia="Arial" w:hAnsi="Arial"/>
                <w:sz w:val="8"/>
                <w:szCs w:val="8"/>
                <w:b w:val="1"/>
                <w:bCs w:val="1"/>
                <w:color w:val="auto"/>
                <w:vertAlign w:val="superscript"/>
              </w:rPr>
              <w:t>(B)</w:t>
            </w:r>
          </w:p>
        </w:tc>
        <w:tc>
          <w:tcPr>
            <w:tcW w:w="380" w:type="dxa"/>
            <w:vAlign w:val="bottom"/>
            <w:tcBorders>
              <w:bottom w:val="single" w:sz="8" w:color="E31F25"/>
            </w:tcBorders>
          </w:tcPr>
          <w:p>
            <w:pPr>
              <w:jc w:val="right"/>
              <w:ind w:right="50"/>
              <w:spacing w:after="0" w:line="72" w:lineRule="exact"/>
              <w:rPr>
                <w:sz w:val="20"/>
                <w:szCs w:val="20"/>
                <w:color w:val="auto"/>
              </w:rPr>
            </w:pPr>
            <w:r>
              <w:rPr>
                <w:rFonts w:ascii="Arial" w:cs="Arial" w:eastAsia="Arial" w:hAnsi="Arial"/>
                <w:sz w:val="5"/>
                <w:szCs w:val="5"/>
                <w:b w:val="1"/>
                <w:bCs w:val="1"/>
                <w:color w:val="auto"/>
              </w:rPr>
              <w:t>($)</w:t>
            </w:r>
            <w:r>
              <w:rPr>
                <w:rFonts w:ascii="Arial" w:cs="Arial" w:eastAsia="Arial" w:hAnsi="Arial"/>
                <w:sz w:val="8"/>
                <w:szCs w:val="8"/>
                <w:b w:val="1"/>
                <w:bCs w:val="1"/>
                <w:color w:val="auto"/>
                <w:vertAlign w:val="superscript"/>
              </w:rPr>
              <w:t>(C)</w:t>
            </w:r>
          </w:p>
        </w:tc>
        <w:tc>
          <w:tcPr>
            <w:tcW w:w="400" w:type="dxa"/>
            <w:vAlign w:val="bottom"/>
            <w:tcBorders>
              <w:bottom w:val="single" w:sz="8" w:color="E31F25"/>
            </w:tcBorders>
          </w:tcPr>
          <w:p>
            <w:pPr>
              <w:jc w:val="right"/>
              <w:ind w:right="50"/>
              <w:spacing w:after="0" w:line="72" w:lineRule="exact"/>
              <w:rPr>
                <w:sz w:val="20"/>
                <w:szCs w:val="20"/>
                <w:color w:val="auto"/>
              </w:rPr>
            </w:pPr>
            <w:r>
              <w:rPr>
                <w:rFonts w:ascii="Arial" w:cs="Arial" w:eastAsia="Arial" w:hAnsi="Arial"/>
                <w:sz w:val="5"/>
                <w:szCs w:val="5"/>
                <w:b w:val="1"/>
                <w:bCs w:val="1"/>
                <w:color w:val="auto"/>
              </w:rPr>
              <w:t>($)</w:t>
            </w:r>
            <w:r>
              <w:rPr>
                <w:rFonts w:ascii="Arial" w:cs="Arial" w:eastAsia="Arial" w:hAnsi="Arial"/>
                <w:sz w:val="8"/>
                <w:szCs w:val="8"/>
                <w:b w:val="1"/>
                <w:bCs w:val="1"/>
                <w:color w:val="auto"/>
                <w:vertAlign w:val="superscript"/>
              </w:rPr>
              <w:t>(D)</w:t>
            </w:r>
          </w:p>
        </w:tc>
        <w:tc>
          <w:tcPr>
            <w:tcW w:w="380" w:type="dxa"/>
            <w:vAlign w:val="bottom"/>
            <w:tcBorders>
              <w:bottom w:val="single" w:sz="8" w:color="E31F25"/>
            </w:tcBorders>
          </w:tcPr>
          <w:p>
            <w:pPr>
              <w:jc w:val="right"/>
              <w:ind w:right="30"/>
              <w:spacing w:after="0" w:line="72" w:lineRule="exact"/>
              <w:rPr>
                <w:sz w:val="20"/>
                <w:szCs w:val="20"/>
                <w:color w:val="auto"/>
              </w:rPr>
            </w:pPr>
            <w:r>
              <w:rPr>
                <w:rFonts w:ascii="Arial" w:cs="Arial" w:eastAsia="Arial" w:hAnsi="Arial"/>
                <w:sz w:val="5"/>
                <w:szCs w:val="5"/>
                <w:b w:val="1"/>
                <w:bCs w:val="1"/>
                <w:color w:val="auto"/>
              </w:rPr>
              <w:t>($)</w:t>
            </w:r>
            <w:r>
              <w:rPr>
                <w:rFonts w:ascii="Arial" w:cs="Arial" w:eastAsia="Arial" w:hAnsi="Arial"/>
                <w:sz w:val="8"/>
                <w:szCs w:val="8"/>
                <w:b w:val="1"/>
                <w:bCs w:val="1"/>
                <w:color w:val="auto"/>
                <w:vertAlign w:val="superscript"/>
              </w:rPr>
              <w:t>(E)</w:t>
            </w:r>
          </w:p>
        </w:tc>
        <w:tc>
          <w:tcPr>
            <w:tcW w:w="420" w:type="dxa"/>
            <w:vAlign w:val="bottom"/>
            <w:tcBorders>
              <w:bottom w:val="single" w:sz="8" w:color="E31F25"/>
            </w:tcBorders>
          </w:tcPr>
          <w:p>
            <w:pPr>
              <w:jc w:val="right"/>
              <w:ind w:right="50"/>
              <w:spacing w:after="0" w:line="72" w:lineRule="exact"/>
              <w:rPr>
                <w:sz w:val="20"/>
                <w:szCs w:val="20"/>
                <w:color w:val="auto"/>
              </w:rPr>
            </w:pPr>
            <w:r>
              <w:rPr>
                <w:rFonts w:ascii="Arial" w:cs="Arial" w:eastAsia="Arial" w:hAnsi="Arial"/>
                <w:sz w:val="5"/>
                <w:szCs w:val="5"/>
                <w:b w:val="1"/>
                <w:bCs w:val="1"/>
                <w:color w:val="auto"/>
              </w:rPr>
              <w:t>($)</w:t>
            </w:r>
            <w:r>
              <w:rPr>
                <w:rFonts w:ascii="Arial" w:cs="Arial" w:eastAsia="Arial" w:hAnsi="Arial"/>
                <w:sz w:val="8"/>
                <w:szCs w:val="8"/>
                <w:b w:val="1"/>
                <w:bCs w:val="1"/>
                <w:color w:val="auto"/>
                <w:vertAlign w:val="superscript"/>
              </w:rPr>
              <w:t>(E)</w:t>
            </w:r>
          </w:p>
        </w:tc>
        <w:tc>
          <w:tcPr>
            <w:tcW w:w="380" w:type="dxa"/>
            <w:vAlign w:val="bottom"/>
            <w:tcBorders>
              <w:bottom w:val="single" w:sz="8" w:color="E31F25"/>
            </w:tcBorders>
          </w:tcPr>
          <w:p>
            <w:pPr>
              <w:jc w:val="right"/>
              <w:ind w:right="10"/>
              <w:spacing w:after="0"/>
              <w:rPr>
                <w:sz w:val="20"/>
                <w:szCs w:val="20"/>
                <w:color w:val="auto"/>
              </w:rPr>
            </w:pPr>
            <w:r>
              <w:rPr>
                <w:rFonts w:ascii="Arial" w:cs="Arial" w:eastAsia="Arial" w:hAnsi="Arial"/>
                <w:sz w:val="6"/>
                <w:szCs w:val="6"/>
                <w:b w:val="1"/>
                <w:bCs w:val="1"/>
                <w:color w:val="auto"/>
              </w:rPr>
              <w:t>($)</w:t>
            </w:r>
          </w:p>
        </w:tc>
        <w:tc>
          <w:tcPr>
            <w:tcW w:w="420" w:type="dxa"/>
            <w:vAlign w:val="bottom"/>
            <w:tcBorders>
              <w:bottom w:val="single" w:sz="8" w:color="E31F25"/>
            </w:tcBorders>
          </w:tcPr>
          <w:p>
            <w:pPr>
              <w:jc w:val="right"/>
              <w:ind w:right="30"/>
              <w:spacing w:after="0"/>
              <w:rPr>
                <w:sz w:val="20"/>
                <w:szCs w:val="20"/>
                <w:color w:val="auto"/>
              </w:rPr>
            </w:pPr>
            <w:r>
              <w:rPr>
                <w:rFonts w:ascii="Arial" w:cs="Arial" w:eastAsia="Arial" w:hAnsi="Arial"/>
                <w:sz w:val="6"/>
                <w:szCs w:val="6"/>
                <w:b w:val="1"/>
                <w:bCs w:val="1"/>
                <w:color w:val="auto"/>
              </w:rPr>
              <w:t>($)</w:t>
            </w:r>
          </w:p>
        </w:tc>
        <w:tc>
          <w:tcPr>
            <w:tcW w:w="360" w:type="dxa"/>
            <w:vAlign w:val="bottom"/>
            <w:tcBorders>
              <w:bottom w:val="single" w:sz="8" w:color="E31F25"/>
            </w:tcBorders>
          </w:tcPr>
          <w:p>
            <w:pPr>
              <w:jc w:val="right"/>
              <w:spacing w:after="0"/>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52"/>
        </w:trPr>
        <w:tc>
          <w:tcPr>
            <w:tcW w:w="440" w:type="dxa"/>
            <w:vAlign w:val="bottom"/>
            <w:tcBorders>
              <w:bottom w:val="single" w:sz="8" w:color="CCCCCC"/>
            </w:tcBorders>
          </w:tcPr>
          <w:p>
            <w:pPr>
              <w:ind w:left="20"/>
              <w:spacing w:after="0" w:line="52" w:lineRule="exact"/>
              <w:rPr>
                <w:sz w:val="20"/>
                <w:szCs w:val="20"/>
                <w:color w:val="auto"/>
              </w:rPr>
            </w:pPr>
            <w:r>
              <w:rPr>
                <w:rFonts w:ascii="Arial" w:cs="Arial" w:eastAsia="Arial" w:hAnsi="Arial"/>
                <w:sz w:val="6"/>
                <w:szCs w:val="6"/>
                <w:b w:val="1"/>
                <w:bCs w:val="1"/>
                <w:color w:val="D60011"/>
              </w:rPr>
              <w:t>Johnson</w:t>
            </w:r>
          </w:p>
        </w:tc>
        <w:tc>
          <w:tcPr>
            <w:tcW w:w="46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12,679</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1,154</w:t>
            </w:r>
          </w:p>
        </w:tc>
        <w:tc>
          <w:tcPr>
            <w:tcW w:w="36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7,670</w:t>
            </w:r>
          </w:p>
        </w:tc>
        <w:tc>
          <w:tcPr>
            <w:tcW w:w="40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5,666</w:t>
            </w:r>
          </w:p>
        </w:tc>
        <w:tc>
          <w:tcPr>
            <w:tcW w:w="34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3,987</w:t>
            </w:r>
          </w:p>
        </w:tc>
        <w:tc>
          <w:tcPr>
            <w:tcW w:w="40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9,000</w:t>
            </w:r>
          </w:p>
        </w:tc>
        <w:tc>
          <w:tcPr>
            <w:tcW w:w="38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10,150</w:t>
            </w:r>
          </w:p>
        </w:tc>
        <w:tc>
          <w:tcPr>
            <w:tcW w:w="40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1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spacing w:after="0" w:line="52" w:lineRule="exact"/>
              <w:rPr>
                <w:sz w:val="20"/>
                <w:szCs w:val="20"/>
                <w:color w:val="auto"/>
              </w:rPr>
            </w:pPr>
            <w:r>
              <w:rPr>
                <w:rFonts w:ascii="Arial" w:cs="Arial" w:eastAsia="Arial" w:hAnsi="Arial"/>
                <w:sz w:val="6"/>
                <w:szCs w:val="6"/>
                <w:color w:val="auto"/>
              </w:rPr>
              <w:t>50,306</w:t>
            </w:r>
          </w:p>
        </w:tc>
        <w:tc>
          <w:tcPr>
            <w:tcW w:w="0" w:type="dxa"/>
            <w:vAlign w:val="bottom"/>
          </w:tcPr>
          <w:p>
            <w:pPr>
              <w:spacing w:after="0"/>
              <w:rPr>
                <w:sz w:val="1"/>
                <w:szCs w:val="1"/>
                <w:color w:val="auto"/>
              </w:rPr>
            </w:pPr>
          </w:p>
        </w:tc>
      </w:tr>
      <w:tr>
        <w:trPr>
          <w:trHeight w:val="52"/>
        </w:trPr>
        <w:tc>
          <w:tcPr>
            <w:tcW w:w="440" w:type="dxa"/>
            <w:vAlign w:val="bottom"/>
            <w:tcBorders>
              <w:bottom w:val="single" w:sz="8" w:color="CCCCCC"/>
            </w:tcBorders>
          </w:tcPr>
          <w:p>
            <w:pPr>
              <w:ind w:left="20"/>
              <w:spacing w:after="0" w:line="52" w:lineRule="exact"/>
              <w:rPr>
                <w:sz w:val="20"/>
                <w:szCs w:val="20"/>
                <w:color w:val="auto"/>
              </w:rPr>
            </w:pPr>
            <w:r>
              <w:rPr>
                <w:rFonts w:ascii="Arial" w:cs="Arial" w:eastAsia="Arial" w:hAnsi="Arial"/>
                <w:sz w:val="6"/>
                <w:szCs w:val="6"/>
                <w:b w:val="1"/>
                <w:bCs w:val="1"/>
                <w:color w:val="D60011"/>
              </w:rPr>
              <w:t>Page</w:t>
            </w:r>
          </w:p>
        </w:tc>
        <w:tc>
          <w:tcPr>
            <w:tcW w:w="46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12,442</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5,000</w:t>
            </w:r>
          </w:p>
        </w:tc>
        <w:tc>
          <w:tcPr>
            <w:tcW w:w="40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1,309</w:t>
            </w:r>
          </w:p>
        </w:tc>
        <w:tc>
          <w:tcPr>
            <w:tcW w:w="34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2,297</w:t>
            </w:r>
          </w:p>
        </w:tc>
        <w:tc>
          <w:tcPr>
            <w:tcW w:w="40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1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spacing w:after="0" w:line="52" w:lineRule="exact"/>
              <w:rPr>
                <w:sz w:val="20"/>
                <w:szCs w:val="20"/>
                <w:color w:val="auto"/>
              </w:rPr>
            </w:pPr>
            <w:r>
              <w:rPr>
                <w:rFonts w:ascii="Arial" w:cs="Arial" w:eastAsia="Arial" w:hAnsi="Arial"/>
                <w:sz w:val="6"/>
                <w:szCs w:val="6"/>
                <w:color w:val="auto"/>
              </w:rPr>
              <w:t>21,048</w:t>
            </w:r>
          </w:p>
        </w:tc>
        <w:tc>
          <w:tcPr>
            <w:tcW w:w="0" w:type="dxa"/>
            <w:vAlign w:val="bottom"/>
          </w:tcPr>
          <w:p>
            <w:pPr>
              <w:spacing w:after="0"/>
              <w:rPr>
                <w:sz w:val="1"/>
                <w:szCs w:val="1"/>
                <w:color w:val="auto"/>
              </w:rPr>
            </w:pPr>
          </w:p>
        </w:tc>
      </w:tr>
      <w:tr>
        <w:trPr>
          <w:trHeight w:val="52"/>
        </w:trPr>
        <w:tc>
          <w:tcPr>
            <w:tcW w:w="440" w:type="dxa"/>
            <w:vAlign w:val="bottom"/>
            <w:tcBorders>
              <w:bottom w:val="single" w:sz="8" w:color="CCCCCC"/>
            </w:tcBorders>
          </w:tcPr>
          <w:p>
            <w:pPr>
              <w:ind w:left="20"/>
              <w:spacing w:after="0" w:line="52" w:lineRule="exact"/>
              <w:rPr>
                <w:sz w:val="20"/>
                <w:szCs w:val="20"/>
                <w:color w:val="auto"/>
              </w:rPr>
            </w:pPr>
            <w:r>
              <w:rPr>
                <w:rFonts w:ascii="Arial" w:cs="Arial" w:eastAsia="Arial" w:hAnsi="Arial"/>
                <w:sz w:val="6"/>
                <w:szCs w:val="6"/>
                <w:b w:val="1"/>
                <w:bCs w:val="1"/>
                <w:color w:val="D60011"/>
              </w:rPr>
              <w:t>Bracken</w:t>
            </w:r>
          </w:p>
        </w:tc>
        <w:tc>
          <w:tcPr>
            <w:tcW w:w="46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23,291</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3,687</w:t>
            </w:r>
          </w:p>
        </w:tc>
        <w:tc>
          <w:tcPr>
            <w:tcW w:w="40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4,130</w:t>
            </w:r>
          </w:p>
        </w:tc>
        <w:tc>
          <w:tcPr>
            <w:tcW w:w="34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1,929</w:t>
            </w:r>
          </w:p>
        </w:tc>
        <w:tc>
          <w:tcPr>
            <w:tcW w:w="40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10,455</w:t>
            </w:r>
          </w:p>
        </w:tc>
        <w:tc>
          <w:tcPr>
            <w:tcW w:w="38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42,476</w:t>
            </w:r>
          </w:p>
        </w:tc>
        <w:tc>
          <w:tcPr>
            <w:tcW w:w="40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145,333</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1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spacing w:after="0" w:line="52" w:lineRule="exact"/>
              <w:rPr>
                <w:sz w:val="20"/>
                <w:szCs w:val="20"/>
                <w:color w:val="auto"/>
              </w:rPr>
            </w:pPr>
            <w:r>
              <w:rPr>
                <w:rFonts w:ascii="Arial" w:cs="Arial" w:eastAsia="Arial" w:hAnsi="Arial"/>
                <w:sz w:val="6"/>
                <w:szCs w:val="6"/>
                <w:color w:val="auto"/>
              </w:rPr>
              <w:t>231,301</w:t>
            </w:r>
          </w:p>
        </w:tc>
        <w:tc>
          <w:tcPr>
            <w:tcW w:w="0" w:type="dxa"/>
            <w:vAlign w:val="bottom"/>
          </w:tcPr>
          <w:p>
            <w:pPr>
              <w:spacing w:after="0"/>
              <w:rPr>
                <w:sz w:val="1"/>
                <w:szCs w:val="1"/>
                <w:color w:val="auto"/>
              </w:rPr>
            </w:pPr>
          </w:p>
        </w:tc>
      </w:tr>
      <w:tr>
        <w:trPr>
          <w:trHeight w:val="52"/>
        </w:trPr>
        <w:tc>
          <w:tcPr>
            <w:tcW w:w="440" w:type="dxa"/>
            <w:vAlign w:val="bottom"/>
            <w:tcBorders>
              <w:bottom w:val="single" w:sz="8" w:color="CCCCCC"/>
            </w:tcBorders>
          </w:tcPr>
          <w:p>
            <w:pPr>
              <w:ind w:left="20"/>
              <w:spacing w:after="0" w:line="52" w:lineRule="exact"/>
              <w:rPr>
                <w:sz w:val="20"/>
                <w:szCs w:val="20"/>
                <w:color w:val="auto"/>
              </w:rPr>
            </w:pPr>
            <w:r>
              <w:rPr>
                <w:rFonts w:ascii="Arial" w:cs="Arial" w:eastAsia="Arial" w:hAnsi="Arial"/>
                <w:sz w:val="6"/>
                <w:szCs w:val="6"/>
                <w:b w:val="1"/>
                <w:bCs w:val="1"/>
                <w:color w:val="D60011"/>
              </w:rPr>
              <w:t>Martin</w:t>
            </w:r>
          </w:p>
        </w:tc>
        <w:tc>
          <w:tcPr>
            <w:tcW w:w="46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21,329</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4,426</w:t>
            </w:r>
          </w:p>
        </w:tc>
        <w:tc>
          <w:tcPr>
            <w:tcW w:w="34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13,629</w:t>
            </w:r>
          </w:p>
        </w:tc>
        <w:tc>
          <w:tcPr>
            <w:tcW w:w="38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40,579</w:t>
            </w:r>
          </w:p>
        </w:tc>
        <w:tc>
          <w:tcPr>
            <w:tcW w:w="40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1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spacing w:after="0" w:line="52" w:lineRule="exact"/>
              <w:rPr>
                <w:sz w:val="20"/>
                <w:szCs w:val="20"/>
                <w:color w:val="auto"/>
              </w:rPr>
            </w:pPr>
            <w:r>
              <w:rPr>
                <w:rFonts w:ascii="Arial" w:cs="Arial" w:eastAsia="Arial" w:hAnsi="Arial"/>
                <w:sz w:val="6"/>
                <w:szCs w:val="6"/>
                <w:color w:val="auto"/>
              </w:rPr>
              <w:t>79,963</w:t>
            </w:r>
          </w:p>
        </w:tc>
        <w:tc>
          <w:tcPr>
            <w:tcW w:w="0" w:type="dxa"/>
            <w:vAlign w:val="bottom"/>
          </w:tcPr>
          <w:p>
            <w:pPr>
              <w:spacing w:after="0"/>
              <w:rPr>
                <w:sz w:val="1"/>
                <w:szCs w:val="1"/>
                <w:color w:val="auto"/>
              </w:rPr>
            </w:pPr>
          </w:p>
        </w:tc>
      </w:tr>
      <w:tr>
        <w:trPr>
          <w:trHeight w:val="52"/>
        </w:trPr>
        <w:tc>
          <w:tcPr>
            <w:tcW w:w="440" w:type="dxa"/>
            <w:vAlign w:val="bottom"/>
            <w:tcBorders>
              <w:bottom w:val="single" w:sz="8" w:color="CCCCCC"/>
            </w:tcBorders>
          </w:tcPr>
          <w:p>
            <w:pPr>
              <w:ind w:left="20"/>
              <w:spacing w:after="0" w:line="52" w:lineRule="exact"/>
              <w:rPr>
                <w:sz w:val="20"/>
                <w:szCs w:val="20"/>
                <w:color w:val="auto"/>
              </w:rPr>
            </w:pPr>
            <w:r>
              <w:rPr>
                <w:rFonts w:ascii="Arial" w:cs="Arial" w:eastAsia="Arial" w:hAnsi="Arial"/>
                <w:sz w:val="6"/>
                <w:szCs w:val="6"/>
                <w:b w:val="1"/>
                <w:bCs w:val="1"/>
                <w:color w:val="D60011"/>
              </w:rPr>
              <w:t>Gray</w:t>
            </w:r>
          </w:p>
        </w:tc>
        <w:tc>
          <w:tcPr>
            <w:tcW w:w="46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18,304</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4,588</w:t>
            </w:r>
          </w:p>
        </w:tc>
        <w:tc>
          <w:tcPr>
            <w:tcW w:w="40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70"/>
              <w:spacing w:after="0" w:line="52" w:lineRule="exact"/>
              <w:rPr>
                <w:sz w:val="20"/>
                <w:szCs w:val="20"/>
                <w:color w:val="auto"/>
              </w:rPr>
            </w:pPr>
            <w:r>
              <w:rPr>
                <w:rFonts w:ascii="Arial" w:cs="Arial" w:eastAsia="Arial" w:hAnsi="Arial"/>
                <w:sz w:val="6"/>
                <w:szCs w:val="6"/>
                <w:color w:val="auto"/>
              </w:rPr>
              <w:t>3,527</w:t>
            </w:r>
          </w:p>
        </w:tc>
        <w:tc>
          <w:tcPr>
            <w:tcW w:w="34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1,898</w:t>
            </w:r>
          </w:p>
        </w:tc>
        <w:tc>
          <w:tcPr>
            <w:tcW w:w="40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8,775</w:t>
            </w:r>
          </w:p>
        </w:tc>
        <w:tc>
          <w:tcPr>
            <w:tcW w:w="38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10,150</w:t>
            </w:r>
          </w:p>
        </w:tc>
        <w:tc>
          <w:tcPr>
            <w:tcW w:w="40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50"/>
              <w:spacing w:after="0" w:line="52" w:lineRule="exact"/>
              <w:rPr>
                <w:sz w:val="20"/>
                <w:szCs w:val="20"/>
                <w:color w:val="auto"/>
              </w:rPr>
            </w:pPr>
            <w:r>
              <w:rPr>
                <w:rFonts w:ascii="Arial" w:cs="Arial" w:eastAsia="Arial" w:hAnsi="Arial"/>
                <w:sz w:val="6"/>
                <w:szCs w:val="6"/>
                <w:color w:val="auto"/>
              </w:rPr>
              <w:t>14,792</w:t>
            </w:r>
          </w:p>
        </w:tc>
        <w:tc>
          <w:tcPr>
            <w:tcW w:w="380" w:type="dxa"/>
            <w:vAlign w:val="bottom"/>
            <w:tcBorders>
              <w:bottom w:val="single" w:sz="8" w:color="CCCCCC"/>
            </w:tcBorders>
          </w:tcPr>
          <w:p>
            <w:pPr>
              <w:jc w:val="right"/>
              <w:ind w:right="10"/>
              <w:spacing w:after="0" w:line="52"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30"/>
              <w:spacing w:after="0" w:line="52" w:lineRule="exact"/>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spacing w:after="0" w:line="52" w:lineRule="exact"/>
              <w:rPr>
                <w:sz w:val="20"/>
                <w:szCs w:val="20"/>
                <w:color w:val="auto"/>
              </w:rPr>
            </w:pPr>
            <w:r>
              <w:rPr>
                <w:rFonts w:ascii="Arial" w:cs="Arial" w:eastAsia="Arial" w:hAnsi="Arial"/>
                <w:sz w:val="6"/>
                <w:szCs w:val="6"/>
                <w:color w:val="auto"/>
              </w:rPr>
              <w:t>62,034</w:t>
            </w:r>
          </w:p>
        </w:tc>
        <w:tc>
          <w:tcPr>
            <w:tcW w:w="0" w:type="dxa"/>
            <w:vAlign w:val="bottom"/>
          </w:tcPr>
          <w:p>
            <w:pPr>
              <w:spacing w:after="0"/>
              <w:rPr>
                <w:sz w:val="1"/>
                <w:szCs w:val="1"/>
                <w:color w:val="auto"/>
              </w:rPr>
            </w:pPr>
          </w:p>
        </w:tc>
      </w:tr>
      <w:tr>
        <w:trPr>
          <w:trHeight w:val="70"/>
        </w:trPr>
        <w:tc>
          <w:tcPr>
            <w:tcW w:w="440" w:type="dxa"/>
            <w:vAlign w:val="bottom"/>
            <w:tcBorders>
              <w:bottom w:val="single" w:sz="8" w:color="CCCCCC"/>
            </w:tcBorders>
          </w:tcPr>
          <w:p>
            <w:pPr>
              <w:ind w:left="20"/>
              <w:spacing w:after="0" w:line="70" w:lineRule="exact"/>
              <w:rPr>
                <w:sz w:val="20"/>
                <w:szCs w:val="20"/>
                <w:color w:val="auto"/>
              </w:rPr>
            </w:pPr>
            <w:r>
              <w:rPr>
                <w:rFonts w:ascii="Arial" w:cs="Arial" w:eastAsia="Arial" w:hAnsi="Arial"/>
                <w:sz w:val="5"/>
                <w:szCs w:val="5"/>
                <w:b w:val="1"/>
                <w:bCs w:val="1"/>
                <w:color w:val="D60011"/>
              </w:rPr>
              <w:t>Peters</w:t>
            </w:r>
            <w:r>
              <w:rPr>
                <w:rFonts w:ascii="Arial" w:cs="Arial" w:eastAsia="Arial" w:hAnsi="Arial"/>
                <w:sz w:val="8"/>
                <w:szCs w:val="8"/>
                <w:b w:val="1"/>
                <w:bCs w:val="1"/>
                <w:color w:val="D60011"/>
                <w:vertAlign w:val="superscript"/>
              </w:rPr>
              <w:t>(F)</w:t>
            </w:r>
          </w:p>
        </w:tc>
        <w:tc>
          <w:tcPr>
            <w:tcW w:w="460" w:type="dxa"/>
            <w:vAlign w:val="bottom"/>
            <w:tcBorders>
              <w:bottom w:val="single" w:sz="8" w:color="CCCCCC"/>
            </w:tcBorders>
          </w:tcPr>
          <w:p>
            <w:pPr>
              <w:jc w:val="right"/>
              <w:ind w:right="50"/>
              <w:spacing w:after="0"/>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30"/>
              <w:spacing w:after="0"/>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ind w:right="30"/>
              <w:spacing w:after="0"/>
              <w:rPr>
                <w:sz w:val="20"/>
                <w:szCs w:val="20"/>
                <w:color w:val="auto"/>
              </w:rPr>
            </w:pPr>
            <w:r>
              <w:rPr>
                <w:rFonts w:ascii="Arial" w:cs="Arial" w:eastAsia="Arial" w:hAnsi="Arial"/>
                <w:sz w:val="6"/>
                <w:szCs w:val="6"/>
                <w:color w:val="auto"/>
              </w:rPr>
              <w:t>1,755</w:t>
            </w:r>
          </w:p>
        </w:tc>
        <w:tc>
          <w:tcPr>
            <w:tcW w:w="400" w:type="dxa"/>
            <w:vAlign w:val="bottom"/>
            <w:tcBorders>
              <w:bottom w:val="single" w:sz="8" w:color="CCCCCC"/>
            </w:tcBorders>
          </w:tcPr>
          <w:p>
            <w:pPr>
              <w:jc w:val="right"/>
              <w:ind w:right="70"/>
              <w:spacing w:after="0"/>
              <w:rPr>
                <w:sz w:val="20"/>
                <w:szCs w:val="20"/>
                <w:color w:val="auto"/>
              </w:rPr>
            </w:pPr>
            <w:r>
              <w:rPr>
                <w:rFonts w:ascii="Arial" w:cs="Arial" w:eastAsia="Arial" w:hAnsi="Arial"/>
                <w:sz w:val="6"/>
                <w:szCs w:val="6"/>
                <w:color w:val="auto"/>
              </w:rPr>
              <w:t>56,979</w:t>
            </w:r>
          </w:p>
        </w:tc>
        <w:tc>
          <w:tcPr>
            <w:tcW w:w="360" w:type="dxa"/>
            <w:vAlign w:val="bottom"/>
            <w:tcBorders>
              <w:bottom w:val="single" w:sz="8" w:color="CCCCCC"/>
            </w:tcBorders>
          </w:tcPr>
          <w:p>
            <w:pPr>
              <w:jc w:val="right"/>
              <w:ind w:right="70"/>
              <w:spacing w:after="0"/>
              <w:rPr>
                <w:sz w:val="20"/>
                <w:szCs w:val="20"/>
                <w:color w:val="auto"/>
              </w:rPr>
            </w:pPr>
            <w:r>
              <w:rPr>
                <w:rFonts w:ascii="Arial" w:cs="Arial" w:eastAsia="Arial" w:hAnsi="Arial"/>
                <w:sz w:val="6"/>
                <w:szCs w:val="6"/>
                <w:color w:val="auto"/>
              </w:rPr>
              <w:t>—</w:t>
            </w:r>
          </w:p>
        </w:tc>
        <w:tc>
          <w:tcPr>
            <w:tcW w:w="340" w:type="dxa"/>
            <w:vAlign w:val="bottom"/>
            <w:tcBorders>
              <w:bottom w:val="single" w:sz="8" w:color="CCCCCC"/>
            </w:tcBorders>
          </w:tcPr>
          <w:p>
            <w:pPr>
              <w:jc w:val="right"/>
              <w:ind w:right="50"/>
              <w:spacing w:after="0"/>
              <w:rPr>
                <w:sz w:val="20"/>
                <w:szCs w:val="20"/>
                <w:color w:val="auto"/>
              </w:rPr>
            </w:pPr>
            <w:r>
              <w:rPr>
                <w:rFonts w:ascii="Arial" w:cs="Arial" w:eastAsia="Arial" w:hAnsi="Arial"/>
                <w:sz w:val="6"/>
                <w:szCs w:val="6"/>
                <w:color w:val="auto"/>
              </w:rPr>
              <w:t>1,878</w:t>
            </w:r>
          </w:p>
        </w:tc>
        <w:tc>
          <w:tcPr>
            <w:tcW w:w="400" w:type="dxa"/>
            <w:vAlign w:val="bottom"/>
            <w:tcBorders>
              <w:bottom w:val="single" w:sz="8" w:color="CCCCCC"/>
            </w:tcBorders>
          </w:tcPr>
          <w:p>
            <w:pPr>
              <w:jc w:val="right"/>
              <w:ind w:right="30"/>
              <w:spacing w:after="0"/>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50"/>
              <w:spacing w:after="0"/>
              <w:rPr>
                <w:sz w:val="20"/>
                <w:szCs w:val="20"/>
                <w:color w:val="auto"/>
              </w:rPr>
            </w:pPr>
            <w:r>
              <w:rPr>
                <w:rFonts w:ascii="Arial" w:cs="Arial" w:eastAsia="Arial" w:hAnsi="Arial"/>
                <w:sz w:val="6"/>
                <w:szCs w:val="6"/>
                <w:color w:val="auto"/>
              </w:rPr>
              <w:t>10,150</w:t>
            </w:r>
          </w:p>
        </w:tc>
        <w:tc>
          <w:tcPr>
            <w:tcW w:w="400" w:type="dxa"/>
            <w:vAlign w:val="bottom"/>
            <w:tcBorders>
              <w:bottom w:val="single" w:sz="8" w:color="CCCCCC"/>
            </w:tcBorders>
          </w:tcPr>
          <w:p>
            <w:pPr>
              <w:jc w:val="right"/>
              <w:ind w:right="50"/>
              <w:spacing w:after="0"/>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30"/>
              <w:spacing w:after="0"/>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50"/>
              <w:spacing w:after="0"/>
              <w:rPr>
                <w:sz w:val="20"/>
                <w:szCs w:val="20"/>
                <w:color w:val="auto"/>
              </w:rPr>
            </w:pPr>
            <w:r>
              <w:rPr>
                <w:rFonts w:ascii="Arial" w:cs="Arial" w:eastAsia="Arial" w:hAnsi="Arial"/>
                <w:sz w:val="6"/>
                <w:szCs w:val="6"/>
                <w:color w:val="auto"/>
              </w:rPr>
              <w:t>—</w:t>
            </w:r>
          </w:p>
        </w:tc>
        <w:tc>
          <w:tcPr>
            <w:tcW w:w="380" w:type="dxa"/>
            <w:vAlign w:val="bottom"/>
            <w:tcBorders>
              <w:bottom w:val="single" w:sz="8" w:color="CCCCCC"/>
            </w:tcBorders>
          </w:tcPr>
          <w:p>
            <w:pPr>
              <w:jc w:val="right"/>
              <w:ind w:right="10"/>
              <w:spacing w:after="0"/>
              <w:rPr>
                <w:sz w:val="20"/>
                <w:szCs w:val="20"/>
                <w:color w:val="auto"/>
              </w:rPr>
            </w:pPr>
            <w:r>
              <w:rPr>
                <w:rFonts w:ascii="Arial" w:cs="Arial" w:eastAsia="Arial" w:hAnsi="Arial"/>
                <w:sz w:val="6"/>
                <w:szCs w:val="6"/>
                <w:color w:val="auto"/>
              </w:rPr>
              <w:t>—</w:t>
            </w:r>
          </w:p>
        </w:tc>
        <w:tc>
          <w:tcPr>
            <w:tcW w:w="420" w:type="dxa"/>
            <w:vAlign w:val="bottom"/>
            <w:tcBorders>
              <w:bottom w:val="single" w:sz="8" w:color="CCCCCC"/>
            </w:tcBorders>
          </w:tcPr>
          <w:p>
            <w:pPr>
              <w:jc w:val="right"/>
              <w:ind w:right="30"/>
              <w:spacing w:after="0"/>
              <w:rPr>
                <w:sz w:val="20"/>
                <w:szCs w:val="20"/>
                <w:color w:val="auto"/>
              </w:rPr>
            </w:pPr>
            <w:r>
              <w:rPr>
                <w:rFonts w:ascii="Arial" w:cs="Arial" w:eastAsia="Arial" w:hAnsi="Arial"/>
                <w:sz w:val="6"/>
                <w:szCs w:val="6"/>
                <w:color w:val="auto"/>
              </w:rPr>
              <w:t>—</w:t>
            </w:r>
          </w:p>
        </w:tc>
        <w:tc>
          <w:tcPr>
            <w:tcW w:w="360" w:type="dxa"/>
            <w:vAlign w:val="bottom"/>
            <w:tcBorders>
              <w:bottom w:val="single" w:sz="8" w:color="CCCCCC"/>
            </w:tcBorders>
          </w:tcPr>
          <w:p>
            <w:pPr>
              <w:jc w:val="right"/>
              <w:spacing w:after="0"/>
              <w:rPr>
                <w:sz w:val="20"/>
                <w:szCs w:val="20"/>
                <w:color w:val="auto"/>
              </w:rPr>
            </w:pPr>
            <w:r>
              <w:rPr>
                <w:rFonts w:ascii="Arial" w:cs="Arial" w:eastAsia="Arial" w:hAnsi="Arial"/>
                <w:sz w:val="6"/>
                <w:szCs w:val="6"/>
                <w:color w:val="auto"/>
              </w:rPr>
              <w:t>70,762</w:t>
            </w:r>
          </w:p>
        </w:tc>
        <w:tc>
          <w:tcPr>
            <w:tcW w:w="0" w:type="dxa"/>
            <w:vAlign w:val="bottom"/>
          </w:tcPr>
          <w:p>
            <w:pPr>
              <w:spacing w:after="0"/>
              <w:rPr>
                <w:sz w:val="1"/>
                <w:szCs w:val="1"/>
                <w:color w:val="auto"/>
              </w:rPr>
            </w:pPr>
          </w:p>
        </w:tc>
      </w:tr>
      <w:tr>
        <w:trPr>
          <w:trHeight w:val="70"/>
        </w:trPr>
        <w:tc>
          <w:tcPr>
            <w:tcW w:w="440" w:type="dxa"/>
            <w:vAlign w:val="bottom"/>
            <w:tcBorders>
              <w:bottom w:val="single" w:sz="8" w:color="E31F25"/>
            </w:tcBorders>
          </w:tcPr>
          <w:p>
            <w:pPr>
              <w:ind w:left="20"/>
              <w:spacing w:after="0" w:line="70" w:lineRule="exact"/>
              <w:rPr>
                <w:sz w:val="20"/>
                <w:szCs w:val="20"/>
                <w:color w:val="auto"/>
              </w:rPr>
            </w:pPr>
            <w:r>
              <w:rPr>
                <w:rFonts w:ascii="Arial" w:cs="Arial" w:eastAsia="Arial" w:hAnsi="Arial"/>
                <w:sz w:val="5"/>
                <w:szCs w:val="5"/>
                <w:b w:val="1"/>
                <w:bCs w:val="1"/>
                <w:color w:val="D60011"/>
              </w:rPr>
              <w:t>Talwar</w:t>
            </w:r>
            <w:r>
              <w:rPr>
                <w:rFonts w:ascii="Arial" w:cs="Arial" w:eastAsia="Arial" w:hAnsi="Arial"/>
                <w:sz w:val="8"/>
                <w:szCs w:val="8"/>
                <w:b w:val="1"/>
                <w:bCs w:val="1"/>
                <w:color w:val="D60011"/>
                <w:vertAlign w:val="superscript"/>
              </w:rPr>
              <w:t>(F)</w:t>
            </w:r>
          </w:p>
        </w:tc>
        <w:tc>
          <w:tcPr>
            <w:tcW w:w="460" w:type="dxa"/>
            <w:vAlign w:val="bottom"/>
            <w:tcBorders>
              <w:bottom w:val="single" w:sz="8" w:color="E31F25"/>
            </w:tcBorders>
          </w:tcPr>
          <w:p>
            <w:pPr>
              <w:jc w:val="right"/>
              <w:ind w:right="50"/>
              <w:spacing w:after="0"/>
              <w:rPr>
                <w:sz w:val="20"/>
                <w:szCs w:val="20"/>
                <w:color w:val="auto"/>
              </w:rPr>
            </w:pPr>
            <w:r>
              <w:rPr>
                <w:rFonts w:ascii="Arial" w:cs="Arial" w:eastAsia="Arial" w:hAnsi="Arial"/>
                <w:sz w:val="6"/>
                <w:szCs w:val="6"/>
                <w:color w:val="auto"/>
              </w:rPr>
              <w:t>—</w:t>
            </w:r>
          </w:p>
        </w:tc>
        <w:tc>
          <w:tcPr>
            <w:tcW w:w="380" w:type="dxa"/>
            <w:vAlign w:val="bottom"/>
            <w:tcBorders>
              <w:bottom w:val="single" w:sz="8" w:color="E31F25"/>
            </w:tcBorders>
          </w:tcPr>
          <w:p>
            <w:pPr>
              <w:jc w:val="right"/>
              <w:ind w:right="30"/>
              <w:spacing w:after="0"/>
              <w:rPr>
                <w:sz w:val="20"/>
                <w:szCs w:val="20"/>
                <w:color w:val="auto"/>
              </w:rPr>
            </w:pPr>
            <w:r>
              <w:rPr>
                <w:rFonts w:ascii="Arial" w:cs="Arial" w:eastAsia="Arial" w:hAnsi="Arial"/>
                <w:sz w:val="6"/>
                <w:szCs w:val="6"/>
                <w:color w:val="auto"/>
              </w:rPr>
              <w:t>—</w:t>
            </w:r>
          </w:p>
        </w:tc>
        <w:tc>
          <w:tcPr>
            <w:tcW w:w="360" w:type="dxa"/>
            <w:vAlign w:val="bottom"/>
            <w:tcBorders>
              <w:bottom w:val="single" w:sz="8" w:color="E31F25"/>
            </w:tcBorders>
          </w:tcPr>
          <w:p>
            <w:pPr>
              <w:jc w:val="right"/>
              <w:ind w:right="30"/>
              <w:spacing w:after="0"/>
              <w:rPr>
                <w:sz w:val="20"/>
                <w:szCs w:val="20"/>
                <w:color w:val="auto"/>
              </w:rPr>
            </w:pPr>
            <w:r>
              <w:rPr>
                <w:rFonts w:ascii="Arial" w:cs="Arial" w:eastAsia="Arial" w:hAnsi="Arial"/>
                <w:sz w:val="6"/>
                <w:szCs w:val="6"/>
                <w:color w:val="auto"/>
              </w:rPr>
              <w:t>7,335</w:t>
            </w:r>
          </w:p>
        </w:tc>
        <w:tc>
          <w:tcPr>
            <w:tcW w:w="400" w:type="dxa"/>
            <w:vAlign w:val="bottom"/>
            <w:tcBorders>
              <w:bottom w:val="single" w:sz="8" w:color="E31F25"/>
            </w:tcBorders>
          </w:tcPr>
          <w:p>
            <w:pPr>
              <w:jc w:val="right"/>
              <w:ind w:right="70"/>
              <w:spacing w:after="0"/>
              <w:rPr>
                <w:sz w:val="20"/>
                <w:szCs w:val="20"/>
                <w:color w:val="auto"/>
              </w:rPr>
            </w:pPr>
            <w:r>
              <w:rPr>
                <w:rFonts w:ascii="Arial" w:cs="Arial" w:eastAsia="Arial" w:hAnsi="Arial"/>
                <w:sz w:val="6"/>
                <w:szCs w:val="6"/>
                <w:color w:val="auto"/>
              </w:rPr>
              <w:t>—</w:t>
            </w:r>
          </w:p>
        </w:tc>
        <w:tc>
          <w:tcPr>
            <w:tcW w:w="360" w:type="dxa"/>
            <w:vAlign w:val="bottom"/>
            <w:tcBorders>
              <w:bottom w:val="single" w:sz="8" w:color="E31F25"/>
            </w:tcBorders>
          </w:tcPr>
          <w:p>
            <w:pPr>
              <w:jc w:val="right"/>
              <w:ind w:right="70"/>
              <w:spacing w:after="0"/>
              <w:rPr>
                <w:sz w:val="20"/>
                <w:szCs w:val="20"/>
                <w:color w:val="auto"/>
              </w:rPr>
            </w:pPr>
            <w:r>
              <w:rPr>
                <w:rFonts w:ascii="Arial" w:cs="Arial" w:eastAsia="Arial" w:hAnsi="Arial"/>
                <w:sz w:val="6"/>
                <w:szCs w:val="6"/>
                <w:color w:val="auto"/>
              </w:rPr>
              <w:t>4,130</w:t>
            </w:r>
          </w:p>
        </w:tc>
        <w:tc>
          <w:tcPr>
            <w:tcW w:w="340" w:type="dxa"/>
            <w:vAlign w:val="bottom"/>
            <w:tcBorders>
              <w:bottom w:val="single" w:sz="8" w:color="E31F25"/>
            </w:tcBorders>
          </w:tcPr>
          <w:p>
            <w:pPr>
              <w:jc w:val="right"/>
              <w:ind w:right="50"/>
              <w:spacing w:after="0"/>
              <w:rPr>
                <w:sz w:val="20"/>
                <w:szCs w:val="20"/>
                <w:color w:val="auto"/>
              </w:rPr>
            </w:pPr>
            <w:r>
              <w:rPr>
                <w:rFonts w:ascii="Arial" w:cs="Arial" w:eastAsia="Arial" w:hAnsi="Arial"/>
                <w:sz w:val="6"/>
                <w:szCs w:val="6"/>
                <w:color w:val="auto"/>
              </w:rPr>
              <w:t>2,845</w:t>
            </w:r>
          </w:p>
        </w:tc>
        <w:tc>
          <w:tcPr>
            <w:tcW w:w="400" w:type="dxa"/>
            <w:vAlign w:val="bottom"/>
            <w:tcBorders>
              <w:bottom w:val="single" w:sz="8" w:color="E31F25"/>
            </w:tcBorders>
          </w:tcPr>
          <w:p>
            <w:pPr>
              <w:jc w:val="right"/>
              <w:ind w:right="30"/>
              <w:spacing w:after="0"/>
              <w:rPr>
                <w:sz w:val="20"/>
                <w:szCs w:val="20"/>
                <w:color w:val="auto"/>
              </w:rPr>
            </w:pPr>
            <w:r>
              <w:rPr>
                <w:rFonts w:ascii="Arial" w:cs="Arial" w:eastAsia="Arial" w:hAnsi="Arial"/>
                <w:sz w:val="6"/>
                <w:szCs w:val="6"/>
                <w:color w:val="auto"/>
              </w:rPr>
              <w:t>10,455</w:t>
            </w:r>
          </w:p>
        </w:tc>
        <w:tc>
          <w:tcPr>
            <w:tcW w:w="380" w:type="dxa"/>
            <w:vAlign w:val="bottom"/>
            <w:tcBorders>
              <w:bottom w:val="single" w:sz="8" w:color="E31F25"/>
            </w:tcBorders>
          </w:tcPr>
          <w:p>
            <w:pPr>
              <w:jc w:val="right"/>
              <w:ind w:right="50"/>
              <w:spacing w:after="0"/>
              <w:rPr>
                <w:sz w:val="20"/>
                <w:szCs w:val="20"/>
                <w:color w:val="auto"/>
              </w:rPr>
            </w:pPr>
            <w:r>
              <w:rPr>
                <w:rFonts w:ascii="Arial" w:cs="Arial" w:eastAsia="Arial" w:hAnsi="Arial"/>
                <w:sz w:val="6"/>
                <w:szCs w:val="6"/>
                <w:color w:val="auto"/>
              </w:rPr>
              <w:t>10,150</w:t>
            </w:r>
          </w:p>
        </w:tc>
        <w:tc>
          <w:tcPr>
            <w:tcW w:w="400" w:type="dxa"/>
            <w:vAlign w:val="bottom"/>
            <w:tcBorders>
              <w:bottom w:val="single" w:sz="8" w:color="E31F25"/>
            </w:tcBorders>
          </w:tcPr>
          <w:p>
            <w:pPr>
              <w:jc w:val="right"/>
              <w:ind w:right="50"/>
              <w:spacing w:after="0"/>
              <w:rPr>
                <w:sz w:val="20"/>
                <w:szCs w:val="20"/>
                <w:color w:val="auto"/>
              </w:rPr>
            </w:pPr>
            <w:r>
              <w:rPr>
                <w:rFonts w:ascii="Arial" w:cs="Arial" w:eastAsia="Arial" w:hAnsi="Arial"/>
                <w:sz w:val="6"/>
                <w:szCs w:val="6"/>
                <w:color w:val="auto"/>
              </w:rPr>
              <w:t>177,685</w:t>
            </w:r>
          </w:p>
        </w:tc>
        <w:tc>
          <w:tcPr>
            <w:tcW w:w="380" w:type="dxa"/>
            <w:vAlign w:val="bottom"/>
            <w:tcBorders>
              <w:bottom w:val="single" w:sz="8" w:color="E31F25"/>
            </w:tcBorders>
          </w:tcPr>
          <w:p>
            <w:pPr>
              <w:jc w:val="right"/>
              <w:ind w:right="30"/>
              <w:spacing w:after="0"/>
              <w:rPr>
                <w:sz w:val="20"/>
                <w:szCs w:val="20"/>
                <w:color w:val="auto"/>
              </w:rPr>
            </w:pPr>
            <w:r>
              <w:rPr>
                <w:rFonts w:ascii="Arial" w:cs="Arial" w:eastAsia="Arial" w:hAnsi="Arial"/>
                <w:sz w:val="6"/>
                <w:szCs w:val="6"/>
                <w:color w:val="auto"/>
              </w:rPr>
              <w:t>113,900</w:t>
            </w:r>
          </w:p>
        </w:tc>
        <w:tc>
          <w:tcPr>
            <w:tcW w:w="420" w:type="dxa"/>
            <w:vAlign w:val="bottom"/>
            <w:tcBorders>
              <w:bottom w:val="single" w:sz="8" w:color="E31F25"/>
            </w:tcBorders>
          </w:tcPr>
          <w:p>
            <w:pPr>
              <w:jc w:val="right"/>
              <w:ind w:right="50"/>
              <w:spacing w:after="0"/>
              <w:rPr>
                <w:sz w:val="20"/>
                <w:szCs w:val="20"/>
                <w:color w:val="auto"/>
              </w:rPr>
            </w:pPr>
            <w:r>
              <w:rPr>
                <w:rFonts w:ascii="Arial" w:cs="Arial" w:eastAsia="Arial" w:hAnsi="Arial"/>
                <w:sz w:val="6"/>
                <w:szCs w:val="6"/>
                <w:color w:val="auto"/>
              </w:rPr>
              <w:t>269,777</w:t>
            </w:r>
          </w:p>
        </w:tc>
        <w:tc>
          <w:tcPr>
            <w:tcW w:w="380" w:type="dxa"/>
            <w:vAlign w:val="bottom"/>
            <w:tcBorders>
              <w:bottom w:val="single" w:sz="8" w:color="E31F25"/>
            </w:tcBorders>
          </w:tcPr>
          <w:p>
            <w:pPr>
              <w:jc w:val="right"/>
              <w:ind w:right="10"/>
              <w:spacing w:after="0"/>
              <w:rPr>
                <w:sz w:val="20"/>
                <w:szCs w:val="20"/>
                <w:color w:val="auto"/>
              </w:rPr>
            </w:pPr>
            <w:r>
              <w:rPr>
                <w:rFonts w:ascii="Arial" w:cs="Arial" w:eastAsia="Arial" w:hAnsi="Arial"/>
                <w:sz w:val="6"/>
                <w:szCs w:val="6"/>
                <w:color w:val="auto"/>
              </w:rPr>
              <w:t>2,558</w:t>
            </w:r>
          </w:p>
        </w:tc>
        <w:tc>
          <w:tcPr>
            <w:tcW w:w="420" w:type="dxa"/>
            <w:vAlign w:val="bottom"/>
            <w:tcBorders>
              <w:bottom w:val="single" w:sz="8" w:color="E31F25"/>
            </w:tcBorders>
          </w:tcPr>
          <w:p>
            <w:pPr>
              <w:jc w:val="right"/>
              <w:ind w:right="30"/>
              <w:spacing w:after="0"/>
              <w:rPr>
                <w:sz w:val="20"/>
                <w:szCs w:val="20"/>
                <w:color w:val="auto"/>
              </w:rPr>
            </w:pPr>
            <w:r>
              <w:rPr>
                <w:rFonts w:ascii="Arial" w:cs="Arial" w:eastAsia="Arial" w:hAnsi="Arial"/>
                <w:sz w:val="6"/>
                <w:szCs w:val="6"/>
                <w:color w:val="auto"/>
              </w:rPr>
              <w:t>1,697,500</w:t>
            </w:r>
          </w:p>
        </w:tc>
        <w:tc>
          <w:tcPr>
            <w:tcW w:w="360" w:type="dxa"/>
            <w:vAlign w:val="bottom"/>
            <w:tcBorders>
              <w:bottom w:val="single" w:sz="8" w:color="E31F25"/>
            </w:tcBorders>
          </w:tcPr>
          <w:p>
            <w:pPr>
              <w:jc w:val="right"/>
              <w:spacing w:after="0"/>
              <w:rPr>
                <w:sz w:val="20"/>
                <w:szCs w:val="20"/>
                <w:color w:val="auto"/>
              </w:rPr>
            </w:pPr>
            <w:r>
              <w:rPr>
                <w:rFonts w:ascii="Arial" w:cs="Arial" w:eastAsia="Arial" w:hAnsi="Arial"/>
                <w:sz w:val="6"/>
                <w:szCs w:val="6"/>
                <w:color w:val="auto"/>
              </w:rPr>
              <w:t>2,296,335</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42" w:right="200" w:hanging="226"/>
        <w:spacing w:after="0" w:line="281" w:lineRule="auto"/>
        <w:tabs>
          <w:tab w:leader="none" w:pos="442" w:val="left"/>
        </w:tabs>
        <w:numPr>
          <w:ilvl w:val="0"/>
          <w:numId w:val="113"/>
        </w:numPr>
        <w:rPr>
          <w:rFonts w:ascii="Arial" w:cs="Arial" w:eastAsia="Arial" w:hAnsi="Arial"/>
          <w:sz w:val="7"/>
          <w:szCs w:val="7"/>
          <w:color w:val="auto"/>
        </w:rPr>
      </w:pPr>
      <w:r>
        <w:rPr>
          <w:rFonts w:ascii="Arial" w:cs="Arial" w:eastAsia="Arial" w:hAnsi="Arial"/>
          <w:sz w:val="8"/>
          <w:szCs w:val="8"/>
          <w:color w:val="auto"/>
        </w:rPr>
        <w:t>The amounts shown reflect amounts reimbursed in 2021, which may also include reimbursements of amounts submitted in 2021 for expenses incurred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288290</wp:posOffset>
            </wp:positionV>
            <wp:extent cx="365760" cy="2228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353" w:lineRule="exact"/>
        <w:rPr>
          <w:sz w:val="20"/>
          <w:szCs w:val="20"/>
          <w:color w:val="auto"/>
        </w:rPr>
      </w:pPr>
    </w:p>
    <w:p>
      <w:pPr>
        <w:sectPr>
          <w:pgSz w:w="11900" w:h="16838" w:orient="portrait"/>
          <w:cols w:equalWidth="0" w:num="2">
            <w:col w:w="4968" w:space="458"/>
            <w:col w:w="5882"/>
          </w:cols>
          <w:pgMar w:left="292" w:top="565" w:right="299" w:bottom="1440" w:gutter="0" w:footer="0" w:header="0"/>
          <w:type w:val="continuous"/>
        </w:sectPr>
      </w:pPr>
    </w:p>
    <w:p>
      <w:pPr>
        <w:spacing w:after="0" w:line="199" w:lineRule="exact"/>
        <w:rPr>
          <w:sz w:val="20"/>
          <w:szCs w:val="20"/>
          <w:color w:val="auto"/>
        </w:rPr>
      </w:pPr>
    </w:p>
    <w:tbl>
      <w:tblPr>
        <w:tblLayout w:type="fixed"/>
        <w:tblInd w:w="248" w:type="dxa"/>
        <w:tblCellMar>
          <w:top w:w="0" w:type="dxa"/>
          <w:left w:w="0" w:type="dxa"/>
          <w:bottom w:w="0" w:type="dxa"/>
          <w:right w:w="0" w:type="dxa"/>
        </w:tblCellMar>
      </w:tblPr>
      <w:tr>
        <w:trPr>
          <w:trHeight w:val="140"/>
        </w:trPr>
        <w:tc>
          <w:tcPr>
            <w:tcW w:w="2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FFFFFF"/>
                <w:w w:val="81"/>
              </w:rPr>
              <w:t>70</w:t>
            </w:r>
          </w:p>
        </w:tc>
        <w:tc>
          <w:tcPr>
            <w:tcW w:w="48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tc>
        <w:tc>
          <w:tcPr>
            <w:tcW w:w="5300" w:type="dxa"/>
            <w:vAlign w:val="bottom"/>
            <w:vMerge w:val="restart"/>
          </w:tcPr>
          <w:p>
            <w:pPr>
              <w:ind w:left="394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300" w:type="dxa"/>
            <w:vAlign w:val="bottom"/>
            <w:vMerge w:val="restart"/>
          </w:tcPr>
          <w:p>
            <w:pPr>
              <w:jc w:val="right"/>
              <w:spacing w:after="0"/>
              <w:rPr>
                <w:sz w:val="20"/>
                <w:szCs w:val="20"/>
                <w:color w:val="auto"/>
              </w:rPr>
            </w:pPr>
            <w:r>
              <w:rPr>
                <w:rFonts w:ascii="Arial" w:cs="Arial" w:eastAsia="Arial" w:hAnsi="Arial"/>
                <w:sz w:val="11"/>
                <w:szCs w:val="11"/>
                <w:b w:val="1"/>
                <w:bCs w:val="1"/>
                <w:color w:val="FFFFFF"/>
              </w:rPr>
              <w:t>71</w:t>
            </w:r>
          </w:p>
        </w:tc>
        <w:tc>
          <w:tcPr>
            <w:tcW w:w="0" w:type="dxa"/>
            <w:vAlign w:val="bottom"/>
          </w:tcPr>
          <w:p>
            <w:pPr>
              <w:spacing w:after="0"/>
              <w:rPr>
                <w:sz w:val="1"/>
                <w:szCs w:val="1"/>
                <w:color w:val="auto"/>
              </w:rPr>
            </w:pPr>
          </w:p>
        </w:tc>
      </w:tr>
      <w:tr>
        <w:trPr>
          <w:trHeight w:val="62"/>
        </w:trPr>
        <w:tc>
          <w:tcPr>
            <w:tcW w:w="280" w:type="dxa"/>
            <w:vAlign w:val="bottom"/>
            <w:vMerge w:val="continue"/>
          </w:tcPr>
          <w:p>
            <w:pPr>
              <w:spacing w:after="0"/>
              <w:rPr>
                <w:sz w:val="5"/>
                <w:szCs w:val="5"/>
                <w:color w:val="auto"/>
              </w:rPr>
            </w:pPr>
          </w:p>
        </w:tc>
        <w:tc>
          <w:tcPr>
            <w:tcW w:w="4860" w:type="dxa"/>
            <w:vAlign w:val="bottom"/>
          </w:tcPr>
          <w:p>
            <w:pPr>
              <w:spacing w:after="0"/>
              <w:rPr>
                <w:sz w:val="5"/>
                <w:szCs w:val="5"/>
                <w:color w:val="auto"/>
              </w:rPr>
            </w:pPr>
          </w:p>
        </w:tc>
        <w:tc>
          <w:tcPr>
            <w:tcW w:w="530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717804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308"/>
          </w:cols>
          <w:pgMar w:left="292" w:top="565" w:right="299" w:bottom="1440" w:gutter="0" w:footer="0" w:header="0"/>
          <w:type w:val="continuous"/>
        </w:sectPr>
      </w:pPr>
    </w:p>
    <w:bookmarkStart w:id="76" w:name="page77"/>
    <w:bookmarkEnd w:id="76"/>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62" w:lineRule="exact"/>
        <w:rPr>
          <w:sz w:val="20"/>
          <w:szCs w:val="20"/>
          <w:color w:val="auto"/>
        </w:rPr>
      </w:pPr>
    </w:p>
    <w:p>
      <w:pPr>
        <w:ind w:left="1260" w:hanging="212"/>
        <w:spacing w:after="0"/>
        <w:tabs>
          <w:tab w:leader="none" w:pos="1260" w:val="left"/>
        </w:tabs>
        <w:numPr>
          <w:ilvl w:val="1"/>
          <w:numId w:val="114"/>
        </w:numPr>
        <w:rPr>
          <w:rFonts w:ascii="Arial" w:cs="Arial" w:eastAsia="Arial" w:hAnsi="Arial"/>
          <w:sz w:val="16"/>
          <w:szCs w:val="16"/>
          <w:color w:val="auto"/>
          <w:vertAlign w:val="superscript"/>
        </w:rPr>
      </w:pPr>
      <w:r>
        <w:rPr>
          <w:rFonts w:ascii="Arial" w:cs="Arial" w:eastAsia="Arial" w:hAnsi="Arial"/>
          <w:sz w:val="10"/>
          <w:szCs w:val="10"/>
          <w:color w:val="auto"/>
        </w:rPr>
        <w:t>The amounts shown reflect the total amounts paid, including fees.</w:t>
      </w:r>
    </w:p>
    <w:p>
      <w:pPr>
        <w:spacing w:after="0" w:line="27" w:lineRule="exact"/>
        <w:rPr>
          <w:rFonts w:ascii="Arial" w:cs="Arial" w:eastAsia="Arial" w:hAnsi="Arial"/>
          <w:sz w:val="16"/>
          <w:szCs w:val="16"/>
          <w:color w:val="auto"/>
          <w:vertAlign w:val="superscript"/>
        </w:rPr>
      </w:pPr>
    </w:p>
    <w:p>
      <w:pPr>
        <w:ind w:left="1260" w:right="1019" w:hanging="212"/>
        <w:spacing w:after="0" w:line="180" w:lineRule="auto"/>
        <w:tabs>
          <w:tab w:leader="none" w:pos="1260" w:val="left"/>
        </w:tabs>
        <w:numPr>
          <w:ilvl w:val="1"/>
          <w:numId w:val="114"/>
        </w:numPr>
        <w:rPr>
          <w:rFonts w:ascii="Arial" w:cs="Arial" w:eastAsia="Arial" w:hAnsi="Arial"/>
          <w:sz w:val="16"/>
          <w:szCs w:val="16"/>
          <w:color w:val="auto"/>
          <w:vertAlign w:val="superscript"/>
        </w:rPr>
      </w:pPr>
      <w:r>
        <w:rPr>
          <w:rFonts w:ascii="Arial" w:cs="Arial" w:eastAsia="Arial" w:hAnsi="Arial"/>
          <w:sz w:val="10"/>
          <w:szCs w:val="10"/>
          <w:color w:val="auto"/>
        </w:rPr>
        <w:t>The amounts shown reflect the Company’s matching contributions under our defined contribution plans, the 401(k) Plan and Excess Savings Plan, made to the NEO’s accounts.</w:t>
      </w:r>
    </w:p>
    <w:p>
      <w:pPr>
        <w:spacing w:after="0" w:line="19" w:lineRule="exact"/>
        <w:rPr>
          <w:rFonts w:ascii="Arial" w:cs="Arial" w:eastAsia="Arial" w:hAnsi="Arial"/>
          <w:sz w:val="16"/>
          <w:szCs w:val="16"/>
          <w:color w:val="auto"/>
          <w:vertAlign w:val="superscript"/>
        </w:rPr>
      </w:pPr>
    </w:p>
    <w:p>
      <w:pPr>
        <w:ind w:left="1260" w:right="1139" w:hanging="212"/>
        <w:spacing w:after="0" w:line="186" w:lineRule="auto"/>
        <w:tabs>
          <w:tab w:leader="none" w:pos="1260" w:val="left"/>
        </w:tabs>
        <w:numPr>
          <w:ilvl w:val="1"/>
          <w:numId w:val="114"/>
        </w:numPr>
        <w:rPr>
          <w:rFonts w:ascii="Arial" w:cs="Arial" w:eastAsia="Arial" w:hAnsi="Arial"/>
          <w:sz w:val="16"/>
          <w:szCs w:val="16"/>
          <w:color w:val="auto"/>
          <w:vertAlign w:val="superscript"/>
        </w:rPr>
      </w:pPr>
      <w:r>
        <w:rPr>
          <w:rFonts w:ascii="Arial" w:cs="Arial" w:eastAsia="Arial" w:hAnsi="Arial"/>
          <w:sz w:val="10"/>
          <w:szCs w:val="10"/>
          <w:color w:val="auto"/>
        </w:rPr>
        <w:t>For Mr. Bracken, the amount shown reflects expenses in connection with his relocation to the Company’s office in Bradenton, Florida, and for Mr. Talwar, the amount shown reflects expenses in connection with his relocation to the United States upon the termination of his employment.</w:t>
      </w:r>
    </w:p>
    <w:p>
      <w:pPr>
        <w:spacing w:after="0" w:line="20" w:lineRule="exact"/>
        <w:rPr>
          <w:rFonts w:ascii="Arial" w:cs="Arial" w:eastAsia="Arial" w:hAnsi="Arial"/>
          <w:sz w:val="16"/>
          <w:szCs w:val="16"/>
          <w:color w:val="auto"/>
          <w:vertAlign w:val="superscript"/>
        </w:rPr>
      </w:pPr>
    </w:p>
    <w:p>
      <w:pPr>
        <w:ind w:left="1260" w:right="859" w:hanging="212"/>
        <w:spacing w:after="0" w:line="235" w:lineRule="auto"/>
        <w:tabs>
          <w:tab w:leader="none" w:pos="1260" w:val="left"/>
        </w:tabs>
        <w:numPr>
          <w:ilvl w:val="1"/>
          <w:numId w:val="114"/>
        </w:numPr>
        <w:rPr>
          <w:rFonts w:ascii="Arial" w:cs="Arial" w:eastAsia="Arial" w:hAnsi="Arial"/>
          <w:sz w:val="15"/>
          <w:szCs w:val="15"/>
          <w:color w:val="auto"/>
          <w:vertAlign w:val="superscript"/>
        </w:rPr>
      </w:pPr>
      <w:r>
        <w:rPr>
          <w:rFonts w:ascii="Arial" w:cs="Arial" w:eastAsia="Arial" w:hAnsi="Arial"/>
          <w:sz w:val="9"/>
          <w:szCs w:val="9"/>
          <w:color w:val="auto"/>
        </w:rPr>
        <w:t>For Mr. Gray, the amount shown reflects tax equalization payments, and U.S. and foreign tax payments net of hypothetical tax deductions, in connection with his international assignment for 2020 that were paid in 2021, and for Mr. Talwar, the amounts shown reflect expatriate compensation in connection with his role as Executive Vice President and Chief Executive Officer—EMEA in Vianen, The Netherlands. Under Foreign Earnings, the amount shown includes expatriate benefits and allowances for certain goods and services differential, housing, automobile costs, and tax preparation assistance in connection with his international assignment. Mr. Talwar received the majority of these benefits under the IAP, which applies to employees on international assignment and is designed to minimize any financial detriment or gain to the employee on assignment. Under Expatriate Tax Payments, the amount shown includes tax equalization payments, and U.S. and foreign tax payments net of hypothetical tax deductions, in connection with his international assignment. These payments were made under the IAP and are designed to facilitate this assignment by holding the team member responsible for the tax liabilities he would have incurred had he remained in his home country.</w:t>
      </w:r>
    </w:p>
    <w:p>
      <w:pPr>
        <w:spacing w:after="0" w:line="21" w:lineRule="exact"/>
        <w:rPr>
          <w:rFonts w:ascii="Arial" w:cs="Arial" w:eastAsia="Arial" w:hAnsi="Arial"/>
          <w:sz w:val="15"/>
          <w:szCs w:val="15"/>
          <w:color w:val="auto"/>
          <w:vertAlign w:val="superscript"/>
        </w:rPr>
      </w:pPr>
    </w:p>
    <w:p>
      <w:pPr>
        <w:ind w:left="1260" w:right="979" w:hanging="212"/>
        <w:spacing w:after="0" w:line="190" w:lineRule="auto"/>
        <w:tabs>
          <w:tab w:leader="none" w:pos="1260" w:val="left"/>
        </w:tabs>
        <w:numPr>
          <w:ilvl w:val="1"/>
          <w:numId w:val="114"/>
        </w:numPr>
        <w:rPr>
          <w:rFonts w:ascii="Arial" w:cs="Arial" w:eastAsia="Arial" w:hAnsi="Arial"/>
          <w:sz w:val="16"/>
          <w:szCs w:val="16"/>
          <w:color w:val="auto"/>
          <w:vertAlign w:val="superscript"/>
        </w:rPr>
      </w:pPr>
      <w:r>
        <w:rPr>
          <w:rFonts w:ascii="Arial" w:cs="Arial" w:eastAsia="Arial" w:hAnsi="Arial"/>
          <w:sz w:val="10"/>
          <w:szCs w:val="10"/>
          <w:color w:val="auto"/>
        </w:rPr>
        <w:t xml:space="preserve">The amounts shown reflect perquisites attributable prior to Ms. Peters and Mr. Talwar’s termination of employment. Additional information on Ms. Peters and Mr. Talwar’s termination payments is provided beginning on page 92 under </w:t>
      </w:r>
      <w:r>
        <w:rPr>
          <w:rFonts w:ascii="Arial" w:cs="Arial" w:eastAsia="Arial" w:hAnsi="Arial"/>
          <w:sz w:val="10"/>
          <w:szCs w:val="10"/>
          <w:b w:val="1"/>
          <w:bCs w:val="1"/>
          <w:color w:val="D60011"/>
        </w:rPr>
        <w:t>Potential Payments Upon Termination or Change in Control</w:t>
      </w:r>
      <w:r>
        <w:rPr>
          <w:rFonts w:ascii="Arial" w:cs="Arial" w:eastAsia="Arial" w:hAnsi="Arial"/>
          <w:sz w:val="10"/>
          <w:szCs w:val="10"/>
          <w:b w:val="1"/>
          <w:bCs w:val="1"/>
          <w:color w:val="auto"/>
        </w:rPr>
        <w:t>.</w:t>
      </w:r>
    </w:p>
    <w:p>
      <w:pPr>
        <w:spacing w:after="0" w:line="87" w:lineRule="exact"/>
        <w:rPr>
          <w:rFonts w:ascii="Arial" w:cs="Arial" w:eastAsia="Arial" w:hAnsi="Arial"/>
          <w:sz w:val="16"/>
          <w:szCs w:val="16"/>
          <w:color w:val="auto"/>
          <w:vertAlign w:val="superscript"/>
        </w:rPr>
      </w:pPr>
    </w:p>
    <w:p>
      <w:pPr>
        <w:ind w:left="1040" w:right="879" w:hanging="208"/>
        <w:spacing w:after="0" w:line="210" w:lineRule="auto"/>
        <w:tabs>
          <w:tab w:leader="none" w:pos="1040" w:val="left"/>
        </w:tabs>
        <w:numPr>
          <w:ilvl w:val="0"/>
          <w:numId w:val="115"/>
        </w:numPr>
        <w:rPr>
          <w:rFonts w:ascii="Arial" w:cs="Arial" w:eastAsia="Arial" w:hAnsi="Arial"/>
          <w:sz w:val="16"/>
          <w:szCs w:val="16"/>
          <w:color w:val="auto"/>
          <w:vertAlign w:val="superscript"/>
        </w:rPr>
      </w:pPr>
      <w:r>
        <w:rPr>
          <w:rFonts w:ascii="Arial" w:cs="Arial" w:eastAsia="Arial" w:hAnsi="Arial"/>
          <w:sz w:val="10"/>
          <w:szCs w:val="10"/>
          <w:color w:val="auto"/>
        </w:rPr>
        <w:t>The amounts in columns (i) and (j) are updated from the disclosure found in our 2021 Proxy Statement to include (x) the Total for Mr. Martin for 2019, and the All Other Compensation and Total for Mr. Gray for 2020, to include the Change in Pension Value and Non-Qualified Deferred Compensation Earnings, and Relocation, respectively, which values were correctly included in the Summary Compensation Table and footnote 6 thereto; and (y) the All Other Compensation and Total for Mr. Talwar for 2019 and 2020 to include additional relocation expenses of $34,186, and financial planning, relocation, foreign earnings, and expatriate tax payments of $780,389, respectively, which were updated after the filing of our 2021 Proxy Statement. Note that, although Mr. Talwar was not a NEO in 2019, the Company disclosed his 2019 compensation in the Summary Compensation Table when he first became an NEO in 2020.</w:t>
      </w:r>
    </w:p>
    <w:p>
      <w:pPr>
        <w:ind w:left="1040" w:hanging="208"/>
        <w:spacing w:after="0" w:line="200" w:lineRule="auto"/>
        <w:tabs>
          <w:tab w:leader="none" w:pos="1040" w:val="left"/>
        </w:tabs>
        <w:numPr>
          <w:ilvl w:val="0"/>
          <w:numId w:val="115"/>
        </w:numPr>
        <w:rPr>
          <w:rFonts w:ascii="Arial" w:cs="Arial" w:eastAsia="Arial" w:hAnsi="Arial"/>
          <w:sz w:val="15"/>
          <w:szCs w:val="15"/>
          <w:color w:val="auto"/>
          <w:vertAlign w:val="superscript"/>
        </w:rPr>
      </w:pPr>
      <w:r>
        <w:rPr>
          <w:rFonts w:ascii="Arial" w:cs="Arial" w:eastAsia="Arial" w:hAnsi="Arial"/>
          <w:sz w:val="9"/>
          <w:szCs w:val="9"/>
          <w:color w:val="auto"/>
        </w:rPr>
        <w:t>Ms. Peters ceased to serve as Executive Vice President and Chief Financial Officer effective April 12, 2021, and departed from the Company effective May 1, 2021.</w:t>
      </w:r>
    </w:p>
    <w:p>
      <w:pPr>
        <w:spacing w:after="0" w:line="27" w:lineRule="exact"/>
        <w:rPr>
          <w:rFonts w:ascii="Arial" w:cs="Arial" w:eastAsia="Arial" w:hAnsi="Arial"/>
          <w:sz w:val="15"/>
          <w:szCs w:val="15"/>
          <w:color w:val="auto"/>
          <w:vertAlign w:val="superscript"/>
        </w:rPr>
      </w:pPr>
    </w:p>
    <w:p>
      <w:pPr>
        <w:ind w:left="1040" w:right="999" w:hanging="208"/>
        <w:spacing w:after="0" w:line="210" w:lineRule="auto"/>
        <w:tabs>
          <w:tab w:leader="none" w:pos="1040" w:val="left"/>
        </w:tabs>
        <w:numPr>
          <w:ilvl w:val="0"/>
          <w:numId w:val="115"/>
        </w:numPr>
        <w:rPr>
          <w:rFonts w:ascii="Arial" w:cs="Arial" w:eastAsia="Arial" w:hAnsi="Arial"/>
          <w:sz w:val="15"/>
          <w:szCs w:val="15"/>
          <w:color w:val="auto"/>
          <w:vertAlign w:val="superscript"/>
        </w:rPr>
      </w:pPr>
      <w:r>
        <w:rPr>
          <w:rFonts w:ascii="Arial" w:cs="Arial" w:eastAsia="Arial" w:hAnsi="Arial"/>
          <w:sz w:val="9"/>
          <w:szCs w:val="9"/>
          <w:color w:val="auto"/>
        </w:rPr>
        <w:t>Mr. Talwar ceased to serve as Executive Vice President and Chief Executive Officer—EMEA effective November 17, 2021, and departed from the Company effective December 16, 2021, under circumstances the Human Capital Committee determined constituted a termination without cause under the Company’s employment agreement with Mr. Talwar, thereby requiring the Company to pay Mr. Talwar severance benefits according to the terms of his employment agreement.</w:t>
      </w:r>
    </w:p>
    <w:p>
      <w:pPr>
        <w:spacing w:after="0" w:line="106" w:lineRule="exact"/>
        <w:rPr>
          <w:sz w:val="20"/>
          <w:szCs w:val="20"/>
          <w:color w:val="auto"/>
        </w:rPr>
      </w:pPr>
    </w:p>
    <w:p>
      <w:pPr>
        <w:ind w:left="840" w:right="919"/>
        <w:spacing w:after="0" w:line="244" w:lineRule="auto"/>
        <w:rPr>
          <w:sz w:val="20"/>
          <w:szCs w:val="20"/>
          <w:color w:val="auto"/>
        </w:rPr>
      </w:pPr>
      <w:r>
        <w:rPr>
          <w:rFonts w:ascii="Arial" w:cs="Arial" w:eastAsia="Arial" w:hAnsi="Arial"/>
          <w:sz w:val="11"/>
          <w:szCs w:val="11"/>
          <w:color w:val="auto"/>
        </w:rPr>
        <w:t>The Company has established a trust for certain benefit plans, arrangements, and agreements, including the SERP, the Excess Cash Plan, the Excess Savings Plan, the executive employment agreements, and other benefit plans, agreements, or arrangements that may be covered at a later date (collectively,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would be required to make payments of Benefit Obligations to the extent these payments are not made by the Company.</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EMPLOYMENT AGREEMENTS AND OTHER ARRANGEMENTS</w:t>
      </w:r>
    </w:p>
    <w:p>
      <w:pPr>
        <w:spacing w:after="0" w:line="145" w:lineRule="exact"/>
        <w:rPr>
          <w:sz w:val="20"/>
          <w:szCs w:val="20"/>
          <w:color w:val="auto"/>
        </w:rPr>
      </w:pPr>
    </w:p>
    <w:p>
      <w:pPr>
        <w:ind w:left="840" w:right="919"/>
        <w:spacing w:after="0" w:line="248" w:lineRule="auto"/>
        <w:rPr>
          <w:sz w:val="20"/>
          <w:szCs w:val="20"/>
          <w:color w:val="auto"/>
        </w:rPr>
      </w:pPr>
      <w:r>
        <w:rPr>
          <w:rFonts w:ascii="Arial" w:cs="Arial" w:eastAsia="Arial" w:hAnsi="Arial"/>
          <w:sz w:val="11"/>
          <w:szCs w:val="11"/>
          <w:color w:val="auto"/>
        </w:rPr>
        <w:t>We have employment agreements with Messrs. Johnson and Martin, and while we do not have employment agreements with Messrs. Page, Bracken, and Gray, they are each entitled to substantially the same benefits, and subject to substantially the same provisions, as Mr. Martin. We had employment agreements with Ms. Peters and Mr. Talwar substantially in the same form as Mr. Martin prior to their departure from the Company. The material terms of these arrangements are described below.</w:t>
      </w:r>
    </w:p>
    <w:p>
      <w:pPr>
        <w:spacing w:after="0" w:line="127"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5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jc w:val="right"/>
              <w:ind w:right="113"/>
              <w:spacing w:after="0"/>
              <w:rPr>
                <w:sz w:val="20"/>
                <w:szCs w:val="20"/>
                <w:color w:val="auto"/>
              </w:rPr>
            </w:pPr>
            <w:r>
              <w:rPr>
                <w:rFonts w:ascii="Arial" w:cs="Arial" w:eastAsia="Arial" w:hAnsi="Arial"/>
                <w:sz w:val="10"/>
                <w:szCs w:val="10"/>
                <w:b w:val="1"/>
                <w:bCs w:val="1"/>
                <w:color w:val="auto"/>
              </w:rPr>
              <w:t>Base Salary</w:t>
            </w:r>
          </w:p>
        </w:tc>
        <w:tc>
          <w:tcPr>
            <w:tcW w:w="1040" w:type="dxa"/>
            <w:vAlign w:val="bottom"/>
          </w:tcPr>
          <w:p>
            <w:pPr>
              <w:jc w:val="right"/>
              <w:ind w:right="52"/>
              <w:spacing w:after="0"/>
              <w:rPr>
                <w:sz w:val="20"/>
                <w:szCs w:val="20"/>
                <w:color w:val="auto"/>
              </w:rPr>
            </w:pPr>
            <w:r>
              <w:rPr>
                <w:rFonts w:ascii="Arial" w:cs="Arial" w:eastAsia="Arial" w:hAnsi="Arial"/>
                <w:sz w:val="10"/>
                <w:szCs w:val="10"/>
                <w:b w:val="1"/>
                <w:bCs w:val="1"/>
                <w:color w:val="auto"/>
              </w:rPr>
              <w:t>Two-Year</w:t>
            </w:r>
          </w:p>
        </w:tc>
      </w:tr>
      <w:tr>
        <w:trPr>
          <w:trHeight w:val="119"/>
        </w:trPr>
        <w:tc>
          <w:tcPr>
            <w:tcW w:w="25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jc w:val="right"/>
              <w:ind w:right="113"/>
              <w:spacing w:after="0" w:line="119" w:lineRule="exact"/>
              <w:rPr>
                <w:sz w:val="20"/>
                <w:szCs w:val="20"/>
                <w:color w:val="auto"/>
              </w:rPr>
            </w:pPr>
            <w:r>
              <w:rPr>
                <w:rFonts w:ascii="Arial" w:cs="Arial" w:eastAsia="Arial" w:hAnsi="Arial"/>
                <w:sz w:val="8"/>
                <w:szCs w:val="8"/>
                <w:b w:val="1"/>
                <w:bCs w:val="1"/>
                <w:color w:val="auto"/>
              </w:rPr>
              <w:t>Rate</w:t>
            </w:r>
            <w:r>
              <w:rPr>
                <w:rFonts w:ascii="Arial" w:cs="Arial" w:eastAsia="Arial" w:hAnsi="Arial"/>
                <w:sz w:val="13"/>
                <w:szCs w:val="13"/>
                <w:b w:val="1"/>
                <w:bCs w:val="1"/>
                <w:color w:val="auto"/>
                <w:vertAlign w:val="superscript"/>
              </w:rPr>
              <w:t>(1)</w:t>
            </w:r>
          </w:p>
        </w:tc>
        <w:tc>
          <w:tcPr>
            <w:tcW w:w="1040" w:type="dxa"/>
            <w:vAlign w:val="bottom"/>
          </w:tcPr>
          <w:p>
            <w:pPr>
              <w:jc w:val="right"/>
              <w:ind w:right="52"/>
              <w:spacing w:after="0"/>
              <w:rPr>
                <w:sz w:val="20"/>
                <w:szCs w:val="20"/>
                <w:color w:val="auto"/>
              </w:rPr>
            </w:pPr>
            <w:r>
              <w:rPr>
                <w:rFonts w:ascii="Arial" w:cs="Arial" w:eastAsia="Arial" w:hAnsi="Arial"/>
                <w:sz w:val="10"/>
                <w:szCs w:val="10"/>
                <w:b w:val="1"/>
                <w:bCs w:val="1"/>
                <w:color w:val="auto"/>
              </w:rPr>
              <w:t>Non-Compete and</w:t>
            </w:r>
          </w:p>
        </w:tc>
      </w:tr>
      <w:tr>
        <w:trPr>
          <w:trHeight w:val="132"/>
        </w:trPr>
        <w:tc>
          <w:tcPr>
            <w:tcW w:w="254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290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Term End Date</w:t>
            </w:r>
          </w:p>
        </w:tc>
        <w:tc>
          <w:tcPr>
            <w:tcW w:w="860" w:type="dxa"/>
            <w:vAlign w:val="bottom"/>
            <w:tcBorders>
              <w:bottom w:val="single" w:sz="8" w:color="E31F25"/>
            </w:tcBorders>
          </w:tcPr>
          <w:p>
            <w:pPr>
              <w:jc w:val="right"/>
              <w:ind w:right="93"/>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b w:val="1"/>
                <w:bCs w:val="1"/>
                <w:color w:val="auto"/>
              </w:rPr>
              <w:t>Non-Solicitation</w:t>
            </w:r>
          </w:p>
        </w:tc>
      </w:tr>
      <w:tr>
        <w:trPr>
          <w:trHeight w:val="152"/>
        </w:trPr>
        <w:tc>
          <w:tcPr>
            <w:tcW w:w="25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2900" w:type="dxa"/>
            <w:vAlign w:val="bottom"/>
            <w:tcBorders>
              <w:bottom w:val="single" w:sz="8" w:color="CCCCCC"/>
            </w:tcBorders>
          </w:tcPr>
          <w:p>
            <w:pPr>
              <w:jc w:val="right"/>
              <w:ind w:right="92"/>
              <w:spacing w:after="0" w:line="152" w:lineRule="exact"/>
              <w:rPr>
                <w:sz w:val="20"/>
                <w:szCs w:val="20"/>
                <w:color w:val="auto"/>
              </w:rPr>
            </w:pPr>
            <w:r>
              <w:rPr>
                <w:rFonts w:ascii="Arial" w:cs="Arial" w:eastAsia="Arial" w:hAnsi="Arial"/>
                <w:sz w:val="10"/>
                <w:szCs w:val="10"/>
                <w:color w:val="auto"/>
              </w:rPr>
              <w:t>01/31/24</w:t>
            </w:r>
            <w:r>
              <w:rPr>
                <w:rFonts w:ascii="Arial" w:cs="Arial" w:eastAsia="Arial" w:hAnsi="Arial"/>
                <w:sz w:val="15"/>
                <w:szCs w:val="15"/>
                <w:color w:val="auto"/>
                <w:vertAlign w:val="superscript"/>
              </w:rPr>
              <w:t>(2)</w:t>
            </w:r>
          </w:p>
        </w:tc>
        <w:tc>
          <w:tcPr>
            <w:tcW w:w="860" w:type="dxa"/>
            <w:vAlign w:val="bottom"/>
            <w:tcBorders>
              <w:bottom w:val="single" w:sz="8" w:color="CCCCCC"/>
            </w:tcBorders>
          </w:tcPr>
          <w:p>
            <w:pPr>
              <w:jc w:val="right"/>
              <w:ind w:right="93"/>
              <w:spacing w:after="0" w:line="152" w:lineRule="exact"/>
              <w:rPr>
                <w:sz w:val="20"/>
                <w:szCs w:val="20"/>
                <w:color w:val="auto"/>
              </w:rPr>
            </w:pPr>
            <w:r>
              <w:rPr>
                <w:rFonts w:ascii="Arial" w:cs="Arial" w:eastAsia="Arial" w:hAnsi="Arial"/>
                <w:sz w:val="10"/>
                <w:szCs w:val="10"/>
                <w:color w:val="auto"/>
              </w:rPr>
              <w:t>$1,150,000</w:t>
            </w:r>
            <w:r>
              <w:rPr>
                <w:rFonts w:ascii="Arial" w:cs="Arial" w:eastAsia="Arial" w:hAnsi="Arial"/>
                <w:sz w:val="15"/>
                <w:szCs w:val="15"/>
                <w:color w:val="auto"/>
                <w:vertAlign w:val="superscript"/>
              </w:rPr>
              <w:t>(3)</w:t>
            </w:r>
          </w:p>
        </w:tc>
        <w:tc>
          <w:tcPr>
            <w:tcW w:w="1040" w:type="dxa"/>
            <w:vAlign w:val="bottom"/>
            <w:tcBorders>
              <w:bottom w:val="single" w:sz="8" w:color="CCCCCC"/>
            </w:tcBorders>
          </w:tcPr>
          <w:p>
            <w:pPr>
              <w:spacing w:after="0"/>
              <w:rPr>
                <w:sz w:val="13"/>
                <w:szCs w:val="13"/>
                <w:color w:val="auto"/>
              </w:rPr>
            </w:pPr>
          </w:p>
        </w:tc>
      </w:tr>
      <w:tr>
        <w:trPr>
          <w:trHeight w:val="132"/>
        </w:trPr>
        <w:tc>
          <w:tcPr>
            <w:tcW w:w="25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290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N/A</w:t>
            </w:r>
          </w:p>
        </w:tc>
        <w:tc>
          <w:tcPr>
            <w:tcW w:w="860" w:type="dxa"/>
            <w:vAlign w:val="bottom"/>
            <w:tcBorders>
              <w:bottom w:val="single" w:sz="8" w:color="CCCCCC"/>
            </w:tcBorders>
          </w:tcPr>
          <w:p>
            <w:pPr>
              <w:jc w:val="right"/>
              <w:ind w:right="173"/>
              <w:spacing w:after="0"/>
              <w:rPr>
                <w:sz w:val="20"/>
                <w:szCs w:val="20"/>
                <w:color w:val="auto"/>
              </w:rPr>
            </w:pPr>
            <w:r>
              <w:rPr>
                <w:rFonts w:ascii="Arial" w:cs="Arial" w:eastAsia="Arial" w:hAnsi="Arial"/>
                <w:sz w:val="10"/>
                <w:szCs w:val="10"/>
                <w:color w:val="auto"/>
              </w:rPr>
              <w:t>615,000</w:t>
            </w:r>
          </w:p>
        </w:tc>
        <w:tc>
          <w:tcPr>
            <w:tcW w:w="1040" w:type="dxa"/>
            <w:vAlign w:val="bottom"/>
            <w:tcBorders>
              <w:bottom w:val="single" w:sz="8" w:color="CCCCCC"/>
            </w:tcBorders>
          </w:tcPr>
          <w:p>
            <w:pPr>
              <w:spacing w:after="0"/>
              <w:rPr>
                <w:sz w:val="11"/>
                <w:szCs w:val="11"/>
                <w:color w:val="auto"/>
              </w:rPr>
            </w:pPr>
          </w:p>
        </w:tc>
      </w:tr>
      <w:tr>
        <w:trPr>
          <w:trHeight w:val="152"/>
        </w:trPr>
        <w:tc>
          <w:tcPr>
            <w:tcW w:w="25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290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N/A</w:t>
            </w:r>
          </w:p>
        </w:tc>
        <w:tc>
          <w:tcPr>
            <w:tcW w:w="860" w:type="dxa"/>
            <w:vAlign w:val="bottom"/>
            <w:tcBorders>
              <w:bottom w:val="single" w:sz="8" w:color="CCCCCC"/>
            </w:tcBorders>
          </w:tcPr>
          <w:p>
            <w:pPr>
              <w:jc w:val="right"/>
              <w:ind w:right="93"/>
              <w:spacing w:after="0" w:line="152" w:lineRule="exact"/>
              <w:rPr>
                <w:sz w:val="20"/>
                <w:szCs w:val="20"/>
                <w:color w:val="auto"/>
              </w:rPr>
            </w:pPr>
            <w:r>
              <w:rPr>
                <w:rFonts w:ascii="Arial" w:cs="Arial" w:eastAsia="Arial" w:hAnsi="Arial"/>
                <w:sz w:val="10"/>
                <w:szCs w:val="10"/>
                <w:color w:val="auto"/>
              </w:rPr>
              <w:t>800,000</w:t>
            </w:r>
            <w:r>
              <w:rPr>
                <w:rFonts w:ascii="Arial" w:cs="Arial" w:eastAsia="Arial" w:hAnsi="Arial"/>
                <w:sz w:val="15"/>
                <w:szCs w:val="15"/>
                <w:color w:val="auto"/>
                <w:vertAlign w:val="superscript"/>
              </w:rPr>
              <w:t>(4)</w:t>
            </w:r>
          </w:p>
        </w:tc>
        <w:tc>
          <w:tcPr>
            <w:tcW w:w="1040" w:type="dxa"/>
            <w:vAlign w:val="bottom"/>
            <w:tcBorders>
              <w:bottom w:val="single" w:sz="8" w:color="CCCCCC"/>
            </w:tcBorders>
          </w:tcPr>
          <w:p>
            <w:pPr>
              <w:spacing w:after="0"/>
              <w:rPr>
                <w:sz w:val="13"/>
                <w:szCs w:val="13"/>
                <w:color w:val="auto"/>
              </w:rPr>
            </w:pPr>
          </w:p>
        </w:tc>
      </w:tr>
      <w:tr>
        <w:trPr>
          <w:trHeight w:val="151"/>
        </w:trPr>
        <w:tc>
          <w:tcPr>
            <w:tcW w:w="25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w:t>
            </w:r>
          </w:p>
        </w:tc>
        <w:tc>
          <w:tcPr>
            <w:tcW w:w="2900" w:type="dxa"/>
            <w:vAlign w:val="bottom"/>
            <w:tcBorders>
              <w:bottom w:val="single" w:sz="8" w:color="CCCCCC"/>
            </w:tcBorders>
          </w:tcPr>
          <w:p>
            <w:pPr>
              <w:jc w:val="right"/>
              <w:ind w:right="92"/>
              <w:spacing w:after="0" w:line="151" w:lineRule="exact"/>
              <w:rPr>
                <w:sz w:val="20"/>
                <w:szCs w:val="20"/>
                <w:color w:val="auto"/>
              </w:rPr>
            </w:pPr>
            <w:r>
              <w:rPr>
                <w:rFonts w:ascii="Arial" w:cs="Arial" w:eastAsia="Arial" w:hAnsi="Arial"/>
                <w:sz w:val="10"/>
                <w:szCs w:val="10"/>
                <w:color w:val="auto"/>
              </w:rPr>
              <w:t>01/31/23</w:t>
            </w:r>
            <w:r>
              <w:rPr>
                <w:rFonts w:ascii="Arial" w:cs="Arial" w:eastAsia="Arial" w:hAnsi="Arial"/>
                <w:sz w:val="15"/>
                <w:szCs w:val="15"/>
                <w:color w:val="auto"/>
                <w:vertAlign w:val="superscript"/>
              </w:rPr>
              <w:t>(2)</w:t>
            </w:r>
          </w:p>
        </w:tc>
        <w:tc>
          <w:tcPr>
            <w:tcW w:w="860" w:type="dxa"/>
            <w:vAlign w:val="bottom"/>
            <w:tcBorders>
              <w:bottom w:val="single" w:sz="8" w:color="CCCCCC"/>
            </w:tcBorders>
          </w:tcPr>
          <w:p>
            <w:pPr>
              <w:jc w:val="right"/>
              <w:ind w:right="173"/>
              <w:spacing w:after="0"/>
              <w:rPr>
                <w:sz w:val="20"/>
                <w:szCs w:val="20"/>
                <w:color w:val="auto"/>
              </w:rPr>
            </w:pPr>
            <w:r>
              <w:rPr>
                <w:rFonts w:ascii="Arial" w:cs="Arial" w:eastAsia="Arial" w:hAnsi="Arial"/>
                <w:sz w:val="10"/>
                <w:szCs w:val="10"/>
                <w:color w:val="auto"/>
              </w:rPr>
              <w:t>615,000</w:t>
            </w:r>
          </w:p>
        </w:tc>
        <w:tc>
          <w:tcPr>
            <w:tcW w:w="1040" w:type="dxa"/>
            <w:vAlign w:val="bottom"/>
            <w:tcBorders>
              <w:bottom w:val="single" w:sz="8" w:color="CCCCCC"/>
            </w:tcBorders>
          </w:tcPr>
          <w:p>
            <w:pPr>
              <w:spacing w:after="0"/>
              <w:rPr>
                <w:sz w:val="13"/>
                <w:szCs w:val="13"/>
                <w:color w:val="auto"/>
              </w:rPr>
            </w:pPr>
          </w:p>
        </w:tc>
      </w:tr>
      <w:tr>
        <w:trPr>
          <w:trHeight w:val="132"/>
        </w:trPr>
        <w:tc>
          <w:tcPr>
            <w:tcW w:w="25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Gray</w:t>
            </w:r>
          </w:p>
        </w:tc>
        <w:tc>
          <w:tcPr>
            <w:tcW w:w="290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N/A</w:t>
            </w:r>
          </w:p>
        </w:tc>
        <w:tc>
          <w:tcPr>
            <w:tcW w:w="860" w:type="dxa"/>
            <w:vAlign w:val="bottom"/>
            <w:tcBorders>
              <w:bottom w:val="single" w:sz="8" w:color="CCCCCC"/>
            </w:tcBorders>
          </w:tcPr>
          <w:p>
            <w:pPr>
              <w:jc w:val="right"/>
              <w:ind w:right="173"/>
              <w:spacing w:after="0"/>
              <w:rPr>
                <w:sz w:val="20"/>
                <w:szCs w:val="20"/>
                <w:color w:val="auto"/>
              </w:rPr>
            </w:pPr>
            <w:r>
              <w:rPr>
                <w:rFonts w:ascii="Arial" w:cs="Arial" w:eastAsia="Arial" w:hAnsi="Arial"/>
                <w:sz w:val="10"/>
                <w:szCs w:val="10"/>
                <w:color w:val="auto"/>
              </w:rPr>
              <w:t>615,000</w:t>
            </w:r>
          </w:p>
        </w:tc>
        <w:tc>
          <w:tcPr>
            <w:tcW w:w="1040" w:type="dxa"/>
            <w:vAlign w:val="bottom"/>
            <w:tcBorders>
              <w:bottom w:val="single" w:sz="8" w:color="CCCCCC"/>
            </w:tcBorders>
          </w:tcPr>
          <w:p>
            <w:pPr>
              <w:spacing w:after="0"/>
              <w:rPr>
                <w:sz w:val="11"/>
                <w:szCs w:val="11"/>
                <w:color w:val="auto"/>
              </w:rPr>
            </w:pPr>
          </w:p>
        </w:tc>
      </w:tr>
      <w:tr>
        <w:trPr>
          <w:trHeight w:val="152"/>
        </w:trPr>
        <w:tc>
          <w:tcPr>
            <w:tcW w:w="2540" w:type="dxa"/>
            <w:vAlign w:val="bottom"/>
            <w:tcBorders>
              <w:bottom w:val="single" w:sz="8" w:color="CCCCCC"/>
            </w:tcBorders>
          </w:tcPr>
          <w:p>
            <w:pPr>
              <w:ind w:left="60"/>
              <w:spacing w:after="0" w:line="152" w:lineRule="exact"/>
              <w:rPr>
                <w:sz w:val="20"/>
                <w:szCs w:val="20"/>
                <w:color w:val="auto"/>
              </w:rPr>
            </w:pPr>
            <w:r>
              <w:rPr>
                <w:rFonts w:ascii="Arial" w:cs="Arial" w:eastAsia="Arial" w:hAnsi="Arial"/>
                <w:sz w:val="10"/>
                <w:szCs w:val="10"/>
                <w:b w:val="1"/>
                <w:bCs w:val="1"/>
                <w:color w:val="D60011"/>
              </w:rPr>
              <w:t>Peters</w:t>
            </w:r>
            <w:r>
              <w:rPr>
                <w:rFonts w:ascii="Arial" w:cs="Arial" w:eastAsia="Arial" w:hAnsi="Arial"/>
                <w:sz w:val="15"/>
                <w:szCs w:val="15"/>
                <w:b w:val="1"/>
                <w:bCs w:val="1"/>
                <w:color w:val="D60011"/>
                <w:vertAlign w:val="superscript"/>
              </w:rPr>
              <w:t>(5)</w:t>
            </w:r>
          </w:p>
        </w:tc>
        <w:tc>
          <w:tcPr>
            <w:tcW w:w="29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05/01/21</w:t>
            </w:r>
          </w:p>
        </w:tc>
        <w:tc>
          <w:tcPr>
            <w:tcW w:w="860" w:type="dxa"/>
            <w:vAlign w:val="bottom"/>
            <w:tcBorders>
              <w:bottom w:val="single" w:sz="8" w:color="CCCCCC"/>
            </w:tcBorders>
          </w:tcPr>
          <w:p>
            <w:pPr>
              <w:jc w:val="right"/>
              <w:ind w:right="173"/>
              <w:spacing w:after="0"/>
              <w:rPr>
                <w:sz w:val="20"/>
                <w:szCs w:val="20"/>
                <w:color w:val="auto"/>
              </w:rPr>
            </w:pPr>
            <w:r>
              <w:rPr>
                <w:rFonts w:ascii="Arial" w:cs="Arial" w:eastAsia="Arial" w:hAnsi="Arial"/>
                <w:sz w:val="10"/>
                <w:szCs w:val="10"/>
                <w:color w:val="auto"/>
              </w:rPr>
              <w:t>700,000</w:t>
            </w:r>
          </w:p>
        </w:tc>
        <w:tc>
          <w:tcPr>
            <w:tcW w:w="1040" w:type="dxa"/>
            <w:vAlign w:val="bottom"/>
            <w:tcBorders>
              <w:bottom w:val="single" w:sz="8" w:color="CCCCCC"/>
            </w:tcBorders>
          </w:tcPr>
          <w:p>
            <w:pPr>
              <w:spacing w:after="0"/>
              <w:rPr>
                <w:sz w:val="13"/>
                <w:szCs w:val="13"/>
                <w:color w:val="auto"/>
              </w:rPr>
            </w:pPr>
          </w:p>
        </w:tc>
      </w:tr>
      <w:tr>
        <w:trPr>
          <w:trHeight w:val="151"/>
        </w:trPr>
        <w:tc>
          <w:tcPr>
            <w:tcW w:w="2540" w:type="dxa"/>
            <w:vAlign w:val="bottom"/>
            <w:tcBorders>
              <w:bottom w:val="single" w:sz="8" w:color="E31F25"/>
            </w:tcBorders>
          </w:tcPr>
          <w:p>
            <w:pPr>
              <w:ind w:left="60"/>
              <w:spacing w:after="0" w:line="151" w:lineRule="exact"/>
              <w:rPr>
                <w:sz w:val="20"/>
                <w:szCs w:val="20"/>
                <w:color w:val="auto"/>
              </w:rPr>
            </w:pPr>
            <w:r>
              <w:rPr>
                <w:rFonts w:ascii="Arial" w:cs="Arial" w:eastAsia="Arial" w:hAnsi="Arial"/>
                <w:sz w:val="10"/>
                <w:szCs w:val="10"/>
                <w:b w:val="1"/>
                <w:bCs w:val="1"/>
                <w:color w:val="D60011"/>
              </w:rPr>
              <w:t>Talwar</w:t>
            </w:r>
            <w:r>
              <w:rPr>
                <w:rFonts w:ascii="Arial" w:cs="Arial" w:eastAsia="Arial" w:hAnsi="Arial"/>
                <w:sz w:val="15"/>
                <w:szCs w:val="15"/>
                <w:b w:val="1"/>
                <w:bCs w:val="1"/>
                <w:color w:val="D60011"/>
                <w:vertAlign w:val="superscript"/>
              </w:rPr>
              <w:t>(6)</w:t>
            </w:r>
          </w:p>
        </w:tc>
        <w:tc>
          <w:tcPr>
            <w:tcW w:w="290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color w:val="auto"/>
              </w:rPr>
              <w:t>12/16/21</w:t>
            </w:r>
          </w:p>
        </w:tc>
        <w:tc>
          <w:tcPr>
            <w:tcW w:w="860" w:type="dxa"/>
            <w:vAlign w:val="bottom"/>
            <w:tcBorders>
              <w:bottom w:val="single" w:sz="8" w:color="E31F25"/>
            </w:tcBorders>
          </w:tcPr>
          <w:p>
            <w:pPr>
              <w:jc w:val="right"/>
              <w:ind w:right="173"/>
              <w:spacing w:after="0"/>
              <w:rPr>
                <w:sz w:val="20"/>
                <w:szCs w:val="20"/>
                <w:color w:val="auto"/>
              </w:rPr>
            </w:pPr>
            <w:r>
              <w:rPr>
                <w:rFonts w:ascii="Arial" w:cs="Arial" w:eastAsia="Arial" w:hAnsi="Arial"/>
                <w:sz w:val="10"/>
                <w:szCs w:val="10"/>
                <w:color w:val="auto"/>
              </w:rPr>
              <w:t>665,000</w:t>
            </w:r>
          </w:p>
        </w:tc>
        <w:tc>
          <w:tcPr>
            <w:tcW w:w="1040" w:type="dxa"/>
            <w:vAlign w:val="bottom"/>
            <w:tcBorders>
              <w:bottom w:val="single" w:sz="8" w:color="E31F25"/>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-690880</wp:posOffset>
            </wp:positionV>
            <wp:extent cx="57150" cy="457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150" cy="4572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-593725</wp:posOffset>
            </wp:positionV>
            <wp:extent cx="57150" cy="457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0" cy="4572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-485140</wp:posOffset>
            </wp:positionV>
            <wp:extent cx="57150" cy="457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0" cy="4572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-376555</wp:posOffset>
            </wp:positionV>
            <wp:extent cx="57150" cy="457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0" cy="4572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-279400</wp:posOffset>
            </wp:positionV>
            <wp:extent cx="57150" cy="457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0" cy="4572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-170815</wp:posOffset>
            </wp:positionV>
            <wp:extent cx="57150" cy="457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150" cy="4572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-62230</wp:posOffset>
            </wp:positionV>
            <wp:extent cx="57150" cy="457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150" cy="45720"/>
                    </a:xfrm>
                    <a:prstGeom prst="rect">
                      <a:avLst/>
                    </a:prstGeom>
                    <a:noFill/>
                  </pic:spPr>
                </pic:pic>
              </a:graphicData>
            </a:graphic>
          </wp:anchor>
        </w:drawing>
      </w:r>
    </w:p>
    <w:p>
      <w:pPr>
        <w:spacing w:after="0" w:line="90" w:lineRule="exact"/>
        <w:rPr>
          <w:sz w:val="20"/>
          <w:szCs w:val="20"/>
          <w:color w:val="auto"/>
        </w:rPr>
      </w:pPr>
    </w:p>
    <w:p>
      <w:pPr>
        <w:ind w:left="1040" w:hanging="208"/>
        <w:spacing w:after="0"/>
        <w:tabs>
          <w:tab w:leader="none" w:pos="1040" w:val="left"/>
        </w:tabs>
        <w:numPr>
          <w:ilvl w:val="0"/>
          <w:numId w:val="116"/>
        </w:numPr>
        <w:rPr>
          <w:rFonts w:ascii="Arial" w:cs="Arial" w:eastAsia="Arial" w:hAnsi="Arial"/>
          <w:sz w:val="15"/>
          <w:szCs w:val="15"/>
          <w:color w:val="auto"/>
          <w:vertAlign w:val="superscript"/>
        </w:rPr>
      </w:pPr>
      <w:r>
        <w:rPr>
          <w:rFonts w:ascii="Arial" w:cs="Arial" w:eastAsia="Arial" w:hAnsi="Arial"/>
          <w:sz w:val="9"/>
          <w:szCs w:val="9"/>
          <w:color w:val="auto"/>
        </w:rPr>
        <w:t>These base salary rates are as of January 29, 2022 for each of the NEOs, except for Ms. Peters and Mr. Talwar, which are as of their respective termination dates.</w:t>
      </w:r>
    </w:p>
    <w:p>
      <w:pPr>
        <w:spacing w:after="0" w:line="27" w:lineRule="exact"/>
        <w:rPr>
          <w:rFonts w:ascii="Arial" w:cs="Arial" w:eastAsia="Arial" w:hAnsi="Arial"/>
          <w:sz w:val="15"/>
          <w:szCs w:val="15"/>
          <w:color w:val="auto"/>
          <w:vertAlign w:val="superscript"/>
        </w:rPr>
      </w:pPr>
    </w:p>
    <w:p>
      <w:pPr>
        <w:ind w:left="1040" w:right="959" w:hanging="208"/>
        <w:spacing w:after="0" w:line="192" w:lineRule="auto"/>
        <w:tabs>
          <w:tab w:leader="none" w:pos="1040" w:val="left"/>
        </w:tabs>
        <w:numPr>
          <w:ilvl w:val="0"/>
          <w:numId w:val="116"/>
        </w:numPr>
        <w:rPr>
          <w:rFonts w:ascii="Arial" w:cs="Arial" w:eastAsia="Arial" w:hAnsi="Arial"/>
          <w:sz w:val="16"/>
          <w:szCs w:val="16"/>
          <w:color w:val="auto"/>
          <w:vertAlign w:val="superscript"/>
        </w:rPr>
      </w:pPr>
      <w:r>
        <w:rPr>
          <w:rFonts w:ascii="Arial" w:cs="Arial" w:eastAsia="Arial" w:hAnsi="Arial"/>
          <w:sz w:val="10"/>
          <w:szCs w:val="10"/>
          <w:color w:val="auto"/>
        </w:rPr>
        <w:t>Mr. Johnson’s employment agreement is automatically extended for another year unless notice of non-renewal is given one year prior to the then-current expiration of the term. Mr. Martin’s employment agreement is automatically extended for another year unless notice of non-renewal is given three months prior to the then-current expiration of the term.</w:t>
      </w:r>
    </w:p>
    <w:p>
      <w:pPr>
        <w:spacing w:after="0" w:line="18" w:lineRule="exact"/>
        <w:rPr>
          <w:rFonts w:ascii="Arial" w:cs="Arial" w:eastAsia="Arial" w:hAnsi="Arial"/>
          <w:sz w:val="16"/>
          <w:szCs w:val="16"/>
          <w:color w:val="auto"/>
          <w:vertAlign w:val="superscript"/>
        </w:rPr>
      </w:pPr>
    </w:p>
    <w:p>
      <w:pPr>
        <w:ind w:left="1040" w:right="1019" w:hanging="208"/>
        <w:spacing w:after="0" w:line="198" w:lineRule="auto"/>
        <w:tabs>
          <w:tab w:leader="none" w:pos="1040" w:val="left"/>
        </w:tabs>
        <w:numPr>
          <w:ilvl w:val="0"/>
          <w:numId w:val="116"/>
        </w:numPr>
        <w:rPr>
          <w:rFonts w:ascii="Arial" w:cs="Arial" w:eastAsia="Arial" w:hAnsi="Arial"/>
          <w:sz w:val="16"/>
          <w:szCs w:val="16"/>
          <w:color w:val="auto"/>
          <w:vertAlign w:val="superscript"/>
        </w:rPr>
      </w:pPr>
      <w:r>
        <w:rPr>
          <w:rFonts w:ascii="Arial" w:cs="Arial" w:eastAsia="Arial" w:hAnsi="Arial"/>
          <w:sz w:val="10"/>
          <w:szCs w:val="10"/>
          <w:color w:val="auto"/>
        </w:rPr>
        <w:t xml:space="preserve">During the term of the agreement, the Company will pay Mr. Johnson an annual base salary of not less than $1,000,000. See Notes 1 and 2 to the </w:t>
      </w:r>
      <w:r>
        <w:rPr>
          <w:rFonts w:ascii="Arial" w:cs="Arial" w:eastAsia="Arial" w:hAnsi="Arial"/>
          <w:sz w:val="10"/>
          <w:szCs w:val="10"/>
          <w:b w:val="1"/>
          <w:bCs w:val="1"/>
          <w:color w:val="D60011"/>
        </w:rPr>
        <w:t xml:space="preserve">Grants of Plan-Based Awards in Fiscal 2021 </w:t>
      </w:r>
      <w:r>
        <w:rPr>
          <w:rFonts w:ascii="Arial" w:cs="Arial" w:eastAsia="Arial" w:hAnsi="Arial"/>
          <w:sz w:val="10"/>
          <w:szCs w:val="10"/>
          <w:color w:val="000000"/>
        </w:rPr>
        <w:t>beginning on page 74 for the 2021 payment levels at threshold, target, and maximum performance for the Annual Incentive Plan and</w:t>
      </w:r>
      <w:r>
        <w:rPr>
          <w:rFonts w:ascii="Arial" w:cs="Arial" w:eastAsia="Arial" w:hAnsi="Arial"/>
          <w:sz w:val="10"/>
          <w:szCs w:val="10"/>
          <w:b w:val="1"/>
          <w:bCs w:val="1"/>
          <w:color w:val="D60011"/>
        </w:rPr>
        <w:t xml:space="preserve"> </w:t>
      </w:r>
      <w:r>
        <w:rPr>
          <w:rFonts w:ascii="Arial" w:cs="Arial" w:eastAsia="Arial" w:hAnsi="Arial"/>
          <w:sz w:val="10"/>
          <w:szCs w:val="10"/>
          <w:color w:val="000000"/>
        </w:rPr>
        <w:t>PSU awards for Mr. Johnson. The payment levels are based on a percentage of Mr. Johnson’s base salary rate.</w:t>
      </w:r>
    </w:p>
    <w:p>
      <w:pPr>
        <w:spacing w:after="0" w:line="101" w:lineRule="exact"/>
        <w:rPr>
          <w:sz w:val="20"/>
          <w:szCs w:val="20"/>
          <w:color w:val="auto"/>
        </w:rPr>
      </w:pPr>
    </w:p>
    <w:p>
      <w:pPr>
        <w:ind w:left="1520" w:hanging="388"/>
        <w:spacing w:after="0"/>
        <w:tabs>
          <w:tab w:leader="none" w:pos="1520" w:val="left"/>
        </w:tabs>
        <w:numPr>
          <w:ilvl w:val="0"/>
          <w:numId w:val="117"/>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77" w:name="page78"/>
    <w:bookmarkEnd w:id="77"/>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121" w:lineRule="exact"/>
        <w:rPr>
          <w:sz w:val="20"/>
          <w:szCs w:val="20"/>
          <w:color w:val="auto"/>
        </w:rPr>
      </w:pPr>
    </w:p>
    <w:p>
      <w:pPr>
        <w:ind w:left="2180" w:right="2040" w:hanging="208"/>
        <w:spacing w:after="0" w:line="186" w:lineRule="auto"/>
        <w:tabs>
          <w:tab w:leader="none" w:pos="2180" w:val="left"/>
        </w:tabs>
        <w:numPr>
          <w:ilvl w:val="0"/>
          <w:numId w:val="118"/>
        </w:numPr>
        <w:rPr>
          <w:rFonts w:ascii="Arial" w:cs="Arial" w:eastAsia="Arial" w:hAnsi="Arial"/>
          <w:sz w:val="16"/>
          <w:szCs w:val="16"/>
          <w:color w:val="auto"/>
          <w:vertAlign w:val="superscript"/>
        </w:rPr>
      </w:pPr>
      <w:r>
        <w:rPr>
          <w:rFonts w:ascii="Arial" w:cs="Arial" w:eastAsia="Arial" w:hAnsi="Arial"/>
          <w:sz w:val="10"/>
          <w:szCs w:val="10"/>
          <w:color w:val="auto"/>
        </w:rPr>
        <w:t>Mr. Bracken served as Executive Vice President and Chief Executive Officer—North America until November 2021. His base salary rate was $615,000 at that time until he was promoted to Executive Vice President and Chief Operating Officer in November 2021.</w:t>
      </w:r>
    </w:p>
    <w:p>
      <w:pPr>
        <w:spacing w:after="0" w:line="20" w:lineRule="exact"/>
        <w:rPr>
          <w:rFonts w:ascii="Arial" w:cs="Arial" w:eastAsia="Arial" w:hAnsi="Arial"/>
          <w:sz w:val="16"/>
          <w:szCs w:val="16"/>
          <w:color w:val="auto"/>
          <w:vertAlign w:val="superscript"/>
        </w:rPr>
      </w:pPr>
    </w:p>
    <w:p>
      <w:pPr>
        <w:ind w:left="2180" w:right="2080" w:hanging="208"/>
        <w:spacing w:after="0" w:line="197" w:lineRule="auto"/>
        <w:tabs>
          <w:tab w:leader="none" w:pos="2180" w:val="left"/>
        </w:tabs>
        <w:numPr>
          <w:ilvl w:val="0"/>
          <w:numId w:val="118"/>
        </w:numPr>
        <w:rPr>
          <w:rFonts w:ascii="Arial" w:cs="Arial" w:eastAsia="Arial" w:hAnsi="Arial"/>
          <w:sz w:val="16"/>
          <w:szCs w:val="16"/>
          <w:color w:val="auto"/>
          <w:vertAlign w:val="superscript"/>
        </w:rPr>
      </w:pPr>
      <w:r>
        <w:rPr>
          <w:rFonts w:ascii="Arial" w:cs="Arial" w:eastAsia="Arial" w:hAnsi="Arial"/>
          <w:sz w:val="10"/>
          <w:szCs w:val="10"/>
          <w:color w:val="auto"/>
        </w:rPr>
        <w:t>Ms. Peters ceased to serve as Executive Vice President and Chief Financial Officer effective April 12, 2021, and departed from the Company effective May 1, 2021, at which time her employment agreement terminated. Certain obligations under her employment agreement continue post-termination, such as Ms. Peters’s non-competition obligation.</w:t>
      </w:r>
    </w:p>
    <w:p>
      <w:pPr>
        <w:spacing w:after="0" w:line="20" w:lineRule="exact"/>
        <w:rPr>
          <w:rFonts w:ascii="Arial" w:cs="Arial" w:eastAsia="Arial" w:hAnsi="Arial"/>
          <w:sz w:val="16"/>
          <w:szCs w:val="16"/>
          <w:color w:val="auto"/>
          <w:vertAlign w:val="superscript"/>
        </w:rPr>
      </w:pPr>
    </w:p>
    <w:p>
      <w:pPr>
        <w:ind w:left="2180" w:right="2060" w:hanging="208"/>
        <w:spacing w:after="0" w:line="215" w:lineRule="auto"/>
        <w:tabs>
          <w:tab w:leader="none" w:pos="2180" w:val="left"/>
        </w:tabs>
        <w:numPr>
          <w:ilvl w:val="0"/>
          <w:numId w:val="118"/>
        </w:numPr>
        <w:rPr>
          <w:rFonts w:ascii="Arial" w:cs="Arial" w:eastAsia="Arial" w:hAnsi="Arial"/>
          <w:sz w:val="15"/>
          <w:szCs w:val="15"/>
          <w:color w:val="auto"/>
          <w:vertAlign w:val="superscript"/>
        </w:rPr>
      </w:pPr>
      <w:r>
        <w:rPr>
          <w:rFonts w:ascii="Arial" w:cs="Arial" w:eastAsia="Arial" w:hAnsi="Arial"/>
          <w:sz w:val="9"/>
          <w:szCs w:val="9"/>
          <w:color w:val="auto"/>
        </w:rPr>
        <w:t>Mr. Talwar ceased to serve as Executive Vice President and Chief Executive Officer—EMEA effective November 17, 2021, and departed from the Company effective December 16, 2021 under circumstances the Human Capital Committee determined constituted a termination without cause, at which time his employment agreement terminated. Certain obligations under his employment agreement continue post-termination, such as Mr. Talwar’s non-competition obligation.</w:t>
      </w:r>
    </w:p>
    <w:p>
      <w:pPr>
        <w:spacing w:after="0" w:line="106" w:lineRule="exact"/>
        <w:rPr>
          <w:sz w:val="20"/>
          <w:szCs w:val="20"/>
          <w:color w:val="auto"/>
        </w:rPr>
      </w:pPr>
    </w:p>
    <w:p>
      <w:pPr>
        <w:jc w:val="both"/>
        <w:ind w:left="1980" w:right="2100"/>
        <w:spacing w:after="0" w:line="290" w:lineRule="auto"/>
        <w:rPr>
          <w:sz w:val="20"/>
          <w:szCs w:val="20"/>
          <w:color w:val="auto"/>
        </w:rPr>
      </w:pPr>
      <w:r>
        <w:rPr>
          <w:rFonts w:ascii="Arial" w:cs="Arial" w:eastAsia="Arial" w:hAnsi="Arial"/>
          <w:sz w:val="10"/>
          <w:szCs w:val="10"/>
          <w:color w:val="auto"/>
        </w:rPr>
        <w:t>Messrs. Johnson, Page, Bracken, Gray, and Martin are entitled to participate in all incentive and equity plans offered to senior executives in effect at the start of their agreements and offer letters, as applicable, as well as benefits, including retirement plans, company-paid life insurance, long-term disability coverage, and reimbursement for certain medical and financial planning expenses, and any other plans subsequently offered to our senior executives.</w:t>
      </w:r>
    </w:p>
    <w:p>
      <w:pPr>
        <w:spacing w:after="0" w:line="87" w:lineRule="exact"/>
        <w:rPr>
          <w:sz w:val="20"/>
          <w:szCs w:val="20"/>
          <w:color w:val="auto"/>
        </w:rPr>
      </w:pPr>
    </w:p>
    <w:p>
      <w:pPr>
        <w:jc w:val="both"/>
        <w:ind w:left="1980" w:right="2460"/>
        <w:spacing w:after="0" w:line="253" w:lineRule="auto"/>
        <w:rPr>
          <w:sz w:val="20"/>
          <w:szCs w:val="20"/>
          <w:color w:val="auto"/>
        </w:rPr>
      </w:pPr>
      <w:r>
        <w:rPr>
          <w:rFonts w:ascii="Arial" w:cs="Arial" w:eastAsia="Arial" w:hAnsi="Arial"/>
          <w:sz w:val="11"/>
          <w:szCs w:val="11"/>
          <w:color w:val="auto"/>
        </w:rPr>
        <w:t>The executives’ agreements and offer letters, as applicable, include definitions of certain terms such as “Cause” (i.e., dismissal) by the company under certain circumstances, “Good Reason” (i.e., resignation under certain circumstances), “Change in Control” (e.g., the acquisition of 35% or more of the Company’s outstanding stock), and “Disability.”</w:t>
      </w:r>
    </w:p>
    <w:p>
      <w:pPr>
        <w:spacing w:after="0" w:line="104" w:lineRule="exact"/>
        <w:rPr>
          <w:sz w:val="20"/>
          <w:szCs w:val="20"/>
          <w:color w:val="auto"/>
        </w:rPr>
      </w:pPr>
    </w:p>
    <w:p>
      <w:pPr>
        <w:ind w:left="1980" w:right="2540"/>
        <w:spacing w:after="0" w:line="279" w:lineRule="auto"/>
        <w:rPr>
          <w:sz w:val="20"/>
          <w:szCs w:val="20"/>
          <w:color w:val="auto"/>
        </w:rPr>
      </w:pPr>
      <w:r>
        <w:rPr>
          <w:rFonts w:ascii="Arial" w:cs="Arial" w:eastAsia="Arial" w:hAnsi="Arial"/>
          <w:sz w:val="11"/>
          <w:szCs w:val="11"/>
          <w:color w:val="auto"/>
        </w:rPr>
        <w:t xml:space="preserve">Information on estimated potential payments and benefits upon termination of the NEOs’ employment or upon a change in control is described under </w:t>
      </w:r>
      <w:r>
        <w:rPr>
          <w:rFonts w:ascii="Arial" w:cs="Arial" w:eastAsia="Arial" w:hAnsi="Arial"/>
          <w:sz w:val="11"/>
          <w:szCs w:val="11"/>
          <w:b w:val="1"/>
          <w:bCs w:val="1"/>
          <w:color w:val="D60011"/>
        </w:rPr>
        <w:t>Potential Payments Upon Termination or Change in Control</w:t>
      </w:r>
      <w:r>
        <w:rPr>
          <w:rFonts w:ascii="Arial" w:cs="Arial" w:eastAsia="Arial" w:hAnsi="Arial"/>
          <w:sz w:val="11"/>
          <w:szCs w:val="11"/>
          <w:color w:val="auto"/>
        </w:rPr>
        <w:t xml:space="preserve"> beginning on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59055</wp:posOffset>
            </wp:positionV>
            <wp:extent cx="365760" cy="2228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73</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78" w:name="page79"/>
    <w:bookmarkEnd w:id="78"/>
    <w:p>
      <w:pPr>
        <w:spacing w:after="0"/>
        <w:tabs>
          <w:tab w:leader="none" w:pos="9920" w:val="left"/>
        </w:tabs>
        <w:rPr>
          <w:sz w:val="20"/>
          <w:szCs w:val="20"/>
          <w:color w:val="auto"/>
        </w:rPr>
      </w:pPr>
      <w:r>
        <w:rPr>
          <w:rFonts w:ascii="Arial" w:cs="Arial" w:eastAsia="Arial" w:hAnsi="Arial"/>
          <w:sz w:val="10"/>
          <w:szCs w:val="10"/>
          <w:b w:val="1"/>
          <w:bCs w:val="1"/>
          <w:color w:val="D60010"/>
        </w:rPr>
        <w:t>EXECUTIVE COMPENSATION</w:t>
      </w:r>
      <w:r>
        <w:rPr>
          <w:sz w:val="20"/>
          <w:szCs w:val="20"/>
          <w:color w:val="auto"/>
        </w:rPr>
        <w:tab/>
      </w:r>
      <w:r>
        <w:rPr>
          <w:rFonts w:ascii="Arial" w:cs="Arial" w:eastAsia="Arial" w:hAnsi="Arial"/>
          <w:sz w:val="8"/>
          <w:szCs w:val="8"/>
          <w:b w:val="1"/>
          <w:bCs w:val="1"/>
          <w:color w:val="D60010"/>
        </w:rPr>
        <w:t>EXECUTIVE COMPENSATION</w:t>
      </w:r>
    </w:p>
    <w:p>
      <w:pPr>
        <w:spacing w:after="0" w:line="10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GRANTS OF PLAN-BASED AWARDS IN FISCAL 2021</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shows the awards made to the NEOs in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40" w:type="dxa"/>
            <w:vAlign w:val="bottom"/>
            <w:gridSpan w:val="4"/>
          </w:tcPr>
          <w:p>
            <w:pPr>
              <w:jc w:val="right"/>
              <w:ind w:right="200"/>
              <w:spacing w:after="0"/>
              <w:rPr>
                <w:sz w:val="20"/>
                <w:szCs w:val="20"/>
                <w:color w:val="auto"/>
              </w:rPr>
            </w:pPr>
            <w:r>
              <w:rPr>
                <w:rFonts w:ascii="Arial" w:cs="Arial" w:eastAsia="Arial" w:hAnsi="Arial"/>
                <w:sz w:val="8"/>
                <w:szCs w:val="8"/>
                <w:b w:val="1"/>
                <w:bCs w:val="1"/>
                <w:color w:val="auto"/>
              </w:rPr>
              <w:t>Estimated Future Payouts Under Non-Equity</w:t>
            </w:r>
          </w:p>
        </w:tc>
        <w:tc>
          <w:tcPr>
            <w:tcW w:w="2000" w:type="dxa"/>
            <w:vAlign w:val="bottom"/>
            <w:gridSpan w:val="4"/>
          </w:tcPr>
          <w:p>
            <w:pPr>
              <w:jc w:val="center"/>
              <w:ind w:right="100"/>
              <w:spacing w:after="0"/>
              <w:rPr>
                <w:sz w:val="20"/>
                <w:szCs w:val="20"/>
                <w:color w:val="auto"/>
              </w:rPr>
            </w:pPr>
            <w:r>
              <w:rPr>
                <w:rFonts w:ascii="Arial" w:cs="Arial" w:eastAsia="Arial" w:hAnsi="Arial"/>
                <w:sz w:val="8"/>
                <w:szCs w:val="8"/>
                <w:b w:val="1"/>
                <w:bCs w:val="1"/>
                <w:color w:val="auto"/>
              </w:rPr>
              <w:t>Estimated Future Payouts Under</w:t>
            </w: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40" w:type="dxa"/>
            <w:vAlign w:val="bottom"/>
            <w:vMerge w:val="restart"/>
          </w:tcPr>
          <w:p>
            <w:pPr>
              <w:ind w:left="20"/>
              <w:spacing w:after="0"/>
              <w:rPr>
                <w:sz w:val="20"/>
                <w:szCs w:val="20"/>
                <w:color w:val="auto"/>
              </w:rPr>
            </w:pPr>
            <w:r>
              <w:rPr>
                <w:rFonts w:ascii="Arial" w:cs="Arial" w:eastAsia="Arial" w:hAnsi="Arial"/>
                <w:sz w:val="8"/>
                <w:szCs w:val="8"/>
                <w:b w:val="1"/>
                <w:bCs w:val="1"/>
                <w:color w:val="auto"/>
              </w:rPr>
              <w:t>(a)</w:t>
            </w: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80" w:type="dxa"/>
            <w:vAlign w:val="bottom"/>
            <w:vMerge w:val="restart"/>
          </w:tcPr>
          <w:p>
            <w:pPr>
              <w:ind w:left="940"/>
              <w:spacing w:after="0"/>
              <w:rPr>
                <w:sz w:val="20"/>
                <w:szCs w:val="20"/>
                <w:color w:val="auto"/>
              </w:rPr>
            </w:pPr>
            <w:r>
              <w:rPr>
                <w:rFonts w:ascii="Arial" w:cs="Arial" w:eastAsia="Arial" w:hAnsi="Arial"/>
                <w:sz w:val="8"/>
                <w:szCs w:val="8"/>
                <w:b w:val="1"/>
                <w:bCs w:val="1"/>
                <w:color w:val="auto"/>
              </w:rPr>
              <w:t>(b)</w:t>
            </w:r>
          </w:p>
        </w:tc>
        <w:tc>
          <w:tcPr>
            <w:tcW w:w="1420" w:type="dxa"/>
            <w:vAlign w:val="bottom"/>
            <w:gridSpan w:val="2"/>
          </w:tcPr>
          <w:p>
            <w:pPr>
              <w:jc w:val="right"/>
              <w:spacing w:after="0"/>
              <w:rPr>
                <w:sz w:val="20"/>
                <w:szCs w:val="20"/>
                <w:color w:val="auto"/>
              </w:rPr>
            </w:pPr>
            <w:r>
              <w:rPr>
                <w:rFonts w:ascii="Arial" w:cs="Arial" w:eastAsia="Arial" w:hAnsi="Arial"/>
                <w:sz w:val="8"/>
                <w:szCs w:val="8"/>
                <w:b w:val="1"/>
                <w:bCs w:val="1"/>
                <w:color w:val="auto"/>
              </w:rPr>
              <w:t>Incentive Plan Awards</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8"/>
                <w:szCs w:val="8"/>
                <w:b w:val="1"/>
                <w:bCs w:val="1"/>
                <w:color w:val="auto"/>
              </w:rPr>
              <w:t>Equity Incentive Plan Awards</w:t>
            </w:r>
          </w:p>
        </w:tc>
        <w:tc>
          <w:tcPr>
            <w:tcW w:w="116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rPr>
              <w:t>(i)</w:t>
            </w:r>
          </w:p>
        </w:tc>
        <w:tc>
          <w:tcPr>
            <w:tcW w:w="1080" w:type="dxa"/>
            <w:vAlign w:val="bottom"/>
            <w:vMerge w:val="restart"/>
          </w:tcPr>
          <w:p>
            <w:pPr>
              <w:jc w:val="right"/>
              <w:ind w:right="38"/>
              <w:spacing w:after="0"/>
              <w:rPr>
                <w:sz w:val="20"/>
                <w:szCs w:val="20"/>
                <w:color w:val="auto"/>
              </w:rPr>
            </w:pPr>
            <w:r>
              <w:rPr>
                <w:rFonts w:ascii="Arial" w:cs="Arial" w:eastAsia="Arial" w:hAnsi="Arial"/>
                <w:sz w:val="8"/>
                <w:szCs w:val="8"/>
                <w:b w:val="1"/>
                <w:bCs w:val="1"/>
                <w:color w:val="auto"/>
              </w:rPr>
              <w:t>(j)</w:t>
            </w:r>
          </w:p>
        </w:tc>
        <w:tc>
          <w:tcPr>
            <w:tcW w:w="1420" w:type="dxa"/>
            <w:vAlign w:val="bottom"/>
            <w:vMerge w:val="restart"/>
          </w:tcPr>
          <w:p>
            <w:pPr>
              <w:jc w:val="right"/>
              <w:ind w:right="338"/>
              <w:spacing w:after="0"/>
              <w:rPr>
                <w:sz w:val="20"/>
                <w:szCs w:val="20"/>
                <w:color w:val="auto"/>
              </w:rPr>
            </w:pPr>
            <w:r>
              <w:rPr>
                <w:rFonts w:ascii="Arial" w:cs="Arial" w:eastAsia="Arial" w:hAnsi="Arial"/>
                <w:sz w:val="8"/>
                <w:szCs w:val="8"/>
                <w:b w:val="1"/>
                <w:bCs w:val="1"/>
                <w:color w:val="auto"/>
              </w:rPr>
              <w:t>(k)</w:t>
            </w: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(l)</w:t>
            </w:r>
          </w:p>
        </w:tc>
        <w:tc>
          <w:tcPr>
            <w:tcW w:w="0" w:type="dxa"/>
            <w:vAlign w:val="bottom"/>
          </w:tcPr>
          <w:p>
            <w:pPr>
              <w:spacing w:after="0"/>
              <w:rPr>
                <w:sz w:val="1"/>
                <w:szCs w:val="1"/>
                <w:color w:val="auto"/>
              </w:rPr>
            </w:pPr>
          </w:p>
        </w:tc>
      </w:tr>
      <w:tr>
        <w:trPr>
          <w:trHeight w:val="79"/>
        </w:trPr>
        <w:tc>
          <w:tcPr>
            <w:tcW w:w="540" w:type="dxa"/>
            <w:vAlign w:val="bottom"/>
            <w:tcBorders>
              <w:bottom w:val="single" w:sz="8" w:color="E31F25"/>
            </w:tcBorders>
            <w:vMerge w:val="continue"/>
          </w:tcPr>
          <w:p>
            <w:pPr>
              <w:spacing w:after="0"/>
              <w:rPr>
                <w:sz w:val="6"/>
                <w:szCs w:val="6"/>
                <w:color w:val="auto"/>
              </w:rPr>
            </w:pPr>
          </w:p>
        </w:tc>
        <w:tc>
          <w:tcPr>
            <w:tcW w:w="360" w:type="dxa"/>
            <w:vAlign w:val="bottom"/>
            <w:tcBorders>
              <w:bottom w:val="single" w:sz="8" w:color="E31F25"/>
            </w:tcBorders>
          </w:tcPr>
          <w:p>
            <w:pPr>
              <w:spacing w:after="0"/>
              <w:rPr>
                <w:sz w:val="6"/>
                <w:szCs w:val="6"/>
                <w:color w:val="auto"/>
              </w:rPr>
            </w:pPr>
          </w:p>
        </w:tc>
        <w:tc>
          <w:tcPr>
            <w:tcW w:w="880" w:type="dxa"/>
            <w:vAlign w:val="bottom"/>
            <w:tcBorders>
              <w:bottom w:val="single" w:sz="8" w:color="E31F25"/>
            </w:tcBorders>
          </w:tcPr>
          <w:p>
            <w:pPr>
              <w:spacing w:after="0"/>
              <w:rPr>
                <w:sz w:val="6"/>
                <w:szCs w:val="6"/>
                <w:color w:val="auto"/>
              </w:rPr>
            </w:pPr>
          </w:p>
        </w:tc>
        <w:tc>
          <w:tcPr>
            <w:tcW w:w="1180" w:type="dxa"/>
            <w:vAlign w:val="bottom"/>
            <w:tcBorders>
              <w:bottom w:val="single" w:sz="8" w:color="E31F25"/>
            </w:tcBorders>
            <w:vMerge w:val="continue"/>
          </w:tcPr>
          <w:p>
            <w:pPr>
              <w:spacing w:after="0"/>
              <w:rPr>
                <w:sz w:val="6"/>
                <w:szCs w:val="6"/>
                <w:color w:val="auto"/>
              </w:rPr>
            </w:pPr>
          </w:p>
        </w:tc>
        <w:tc>
          <w:tcPr>
            <w:tcW w:w="720" w:type="dxa"/>
            <w:vAlign w:val="bottom"/>
            <w:tcBorders>
              <w:top w:val="single" w:sz="8" w:color="E31F25"/>
              <w:bottom w:val="single" w:sz="8" w:color="E31F25"/>
            </w:tcBorders>
          </w:tcPr>
          <w:p>
            <w:pPr>
              <w:jc w:val="right"/>
              <w:ind w:right="118"/>
              <w:spacing w:after="0" w:line="79" w:lineRule="exact"/>
              <w:rPr>
                <w:sz w:val="20"/>
                <w:szCs w:val="20"/>
                <w:color w:val="auto"/>
              </w:rPr>
            </w:pPr>
            <w:r>
              <w:rPr>
                <w:rFonts w:ascii="Arial" w:cs="Arial" w:eastAsia="Arial" w:hAnsi="Arial"/>
                <w:sz w:val="8"/>
                <w:szCs w:val="8"/>
                <w:b w:val="1"/>
                <w:bCs w:val="1"/>
                <w:color w:val="auto"/>
              </w:rPr>
              <w:t>(c)</w:t>
            </w:r>
          </w:p>
        </w:tc>
        <w:tc>
          <w:tcPr>
            <w:tcW w:w="700" w:type="dxa"/>
            <w:vAlign w:val="bottom"/>
            <w:tcBorders>
              <w:top w:val="single" w:sz="8" w:color="E31F25"/>
              <w:bottom w:val="single" w:sz="8" w:color="E31F25"/>
            </w:tcBorders>
          </w:tcPr>
          <w:p>
            <w:pPr>
              <w:jc w:val="right"/>
              <w:ind w:right="138"/>
              <w:spacing w:after="0" w:line="79" w:lineRule="exact"/>
              <w:rPr>
                <w:sz w:val="20"/>
                <w:szCs w:val="20"/>
                <w:color w:val="auto"/>
              </w:rPr>
            </w:pPr>
            <w:r>
              <w:rPr>
                <w:rFonts w:ascii="Arial" w:cs="Arial" w:eastAsia="Arial" w:hAnsi="Arial"/>
                <w:sz w:val="8"/>
                <w:szCs w:val="8"/>
                <w:b w:val="1"/>
                <w:bCs w:val="1"/>
                <w:color w:val="auto"/>
              </w:rPr>
              <w:t>(d)</w:t>
            </w:r>
          </w:p>
        </w:tc>
        <w:tc>
          <w:tcPr>
            <w:tcW w:w="500" w:type="dxa"/>
            <w:vAlign w:val="bottom"/>
            <w:tcBorders>
              <w:top w:val="single" w:sz="8" w:color="E31F25"/>
              <w:bottom w:val="single" w:sz="8" w:color="E31F25"/>
            </w:tcBorders>
          </w:tcPr>
          <w:p>
            <w:pPr>
              <w:jc w:val="right"/>
              <w:spacing w:after="0" w:line="79" w:lineRule="exact"/>
              <w:rPr>
                <w:sz w:val="20"/>
                <w:szCs w:val="20"/>
                <w:color w:val="auto"/>
              </w:rPr>
            </w:pPr>
            <w:r>
              <w:rPr>
                <w:rFonts w:ascii="Arial" w:cs="Arial" w:eastAsia="Arial" w:hAnsi="Arial"/>
                <w:sz w:val="8"/>
                <w:szCs w:val="8"/>
                <w:b w:val="1"/>
                <w:bCs w:val="1"/>
                <w:color w:val="auto"/>
              </w:rPr>
              <w:t>(e)</w:t>
            </w:r>
          </w:p>
        </w:tc>
        <w:tc>
          <w:tcPr>
            <w:tcW w:w="120" w:type="dxa"/>
            <w:vAlign w:val="bottom"/>
            <w:tcBorders>
              <w:bottom w:val="single" w:sz="8" w:color="E31F25"/>
            </w:tcBorders>
          </w:tcPr>
          <w:p>
            <w:pPr>
              <w:spacing w:after="0"/>
              <w:rPr>
                <w:sz w:val="6"/>
                <w:szCs w:val="6"/>
                <w:color w:val="auto"/>
              </w:rPr>
            </w:pPr>
          </w:p>
        </w:tc>
        <w:tc>
          <w:tcPr>
            <w:tcW w:w="780" w:type="dxa"/>
            <w:vAlign w:val="bottom"/>
            <w:tcBorders>
              <w:top w:val="single" w:sz="8" w:color="E31F25"/>
              <w:bottom w:val="single" w:sz="8" w:color="E31F25"/>
            </w:tcBorders>
          </w:tcPr>
          <w:p>
            <w:pPr>
              <w:jc w:val="right"/>
              <w:ind w:right="158"/>
              <w:spacing w:after="0" w:line="79" w:lineRule="exact"/>
              <w:rPr>
                <w:sz w:val="20"/>
                <w:szCs w:val="20"/>
                <w:color w:val="auto"/>
              </w:rPr>
            </w:pPr>
            <w:r>
              <w:rPr>
                <w:rFonts w:ascii="Arial" w:cs="Arial" w:eastAsia="Arial" w:hAnsi="Arial"/>
                <w:sz w:val="8"/>
                <w:szCs w:val="8"/>
                <w:b w:val="1"/>
                <w:bCs w:val="1"/>
                <w:color w:val="auto"/>
              </w:rPr>
              <w:t>(f)</w:t>
            </w:r>
          </w:p>
        </w:tc>
        <w:tc>
          <w:tcPr>
            <w:tcW w:w="540" w:type="dxa"/>
            <w:vAlign w:val="bottom"/>
            <w:tcBorders>
              <w:top w:val="single" w:sz="8" w:color="E31F25"/>
              <w:bottom w:val="single" w:sz="8" w:color="E31F25"/>
            </w:tcBorders>
          </w:tcPr>
          <w:p>
            <w:pPr>
              <w:jc w:val="right"/>
              <w:ind w:right="38"/>
              <w:spacing w:after="0" w:line="79" w:lineRule="exact"/>
              <w:rPr>
                <w:sz w:val="20"/>
                <w:szCs w:val="20"/>
                <w:color w:val="auto"/>
              </w:rPr>
            </w:pPr>
            <w:r>
              <w:rPr>
                <w:rFonts w:ascii="Arial" w:cs="Arial" w:eastAsia="Arial" w:hAnsi="Arial"/>
                <w:sz w:val="8"/>
                <w:szCs w:val="8"/>
                <w:b w:val="1"/>
                <w:bCs w:val="1"/>
                <w:color w:val="auto"/>
              </w:rPr>
              <w:t>(g)</w:t>
            </w:r>
          </w:p>
        </w:tc>
        <w:tc>
          <w:tcPr>
            <w:tcW w:w="600" w:type="dxa"/>
            <w:vAlign w:val="bottom"/>
            <w:tcBorders>
              <w:top w:val="single" w:sz="8" w:color="E31F25"/>
              <w:bottom w:val="single" w:sz="8" w:color="E31F25"/>
            </w:tcBorders>
          </w:tcPr>
          <w:p>
            <w:pPr>
              <w:jc w:val="right"/>
              <w:spacing w:after="0" w:line="79" w:lineRule="exact"/>
              <w:rPr>
                <w:sz w:val="20"/>
                <w:szCs w:val="20"/>
                <w:color w:val="auto"/>
              </w:rPr>
            </w:pPr>
            <w:r>
              <w:rPr>
                <w:rFonts w:ascii="Arial" w:cs="Arial" w:eastAsia="Arial" w:hAnsi="Arial"/>
                <w:sz w:val="8"/>
                <w:szCs w:val="8"/>
                <w:b w:val="1"/>
                <w:bCs w:val="1"/>
                <w:color w:val="auto"/>
              </w:rPr>
              <w:t>(h)</w:t>
            </w:r>
          </w:p>
        </w:tc>
        <w:tc>
          <w:tcPr>
            <w:tcW w:w="80" w:type="dxa"/>
            <w:vAlign w:val="bottom"/>
            <w:tcBorders>
              <w:bottom w:val="single" w:sz="8" w:color="E31F25"/>
            </w:tcBorders>
          </w:tcPr>
          <w:p>
            <w:pPr>
              <w:spacing w:after="0"/>
              <w:rPr>
                <w:sz w:val="6"/>
                <w:szCs w:val="6"/>
                <w:color w:val="auto"/>
              </w:rPr>
            </w:pPr>
          </w:p>
        </w:tc>
        <w:tc>
          <w:tcPr>
            <w:tcW w:w="1160" w:type="dxa"/>
            <w:vAlign w:val="bottom"/>
            <w:tcBorders>
              <w:bottom w:val="single" w:sz="8" w:color="E31F25"/>
            </w:tcBorders>
            <w:vMerge w:val="continue"/>
          </w:tcPr>
          <w:p>
            <w:pPr>
              <w:spacing w:after="0"/>
              <w:rPr>
                <w:sz w:val="6"/>
                <w:szCs w:val="6"/>
                <w:color w:val="auto"/>
              </w:rPr>
            </w:pPr>
          </w:p>
        </w:tc>
        <w:tc>
          <w:tcPr>
            <w:tcW w:w="1080" w:type="dxa"/>
            <w:vAlign w:val="bottom"/>
            <w:tcBorders>
              <w:bottom w:val="single" w:sz="8" w:color="E31F25"/>
            </w:tcBorders>
            <w:vMerge w:val="continue"/>
          </w:tcPr>
          <w:p>
            <w:pPr>
              <w:spacing w:after="0"/>
              <w:rPr>
                <w:sz w:val="6"/>
                <w:szCs w:val="6"/>
                <w:color w:val="auto"/>
              </w:rPr>
            </w:pPr>
          </w:p>
        </w:tc>
        <w:tc>
          <w:tcPr>
            <w:tcW w:w="1420" w:type="dxa"/>
            <w:vAlign w:val="bottom"/>
            <w:tcBorders>
              <w:bottom w:val="single" w:sz="8" w:color="E31F25"/>
            </w:tcBorders>
            <w:vMerge w:val="continue"/>
          </w:tcPr>
          <w:p>
            <w:pPr>
              <w:spacing w:after="0"/>
              <w:rPr>
                <w:sz w:val="6"/>
                <w:szCs w:val="6"/>
                <w:color w:val="auto"/>
              </w:rPr>
            </w:pPr>
          </w:p>
        </w:tc>
        <w:tc>
          <w:tcPr>
            <w:tcW w:w="640" w:type="dxa"/>
            <w:vAlign w:val="bottom"/>
            <w:tcBorders>
              <w:bottom w:val="single" w:sz="8" w:color="E31F25"/>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jc w:val="right"/>
              <w:ind w:right="38"/>
              <w:spacing w:after="0" w:line="67" w:lineRule="exact"/>
              <w:rPr>
                <w:sz w:val="20"/>
                <w:szCs w:val="20"/>
                <w:color w:val="auto"/>
              </w:rPr>
            </w:pPr>
            <w:r>
              <w:rPr>
                <w:rFonts w:ascii="Arial" w:cs="Arial" w:eastAsia="Arial" w:hAnsi="Arial"/>
                <w:sz w:val="7"/>
                <w:szCs w:val="7"/>
                <w:b w:val="1"/>
                <w:bCs w:val="1"/>
                <w:color w:val="auto"/>
              </w:rPr>
              <w:t>All Other</w:t>
            </w:r>
          </w:p>
        </w:tc>
        <w:tc>
          <w:tcPr>
            <w:tcW w:w="1420" w:type="dxa"/>
            <w:vAlign w:val="bottom"/>
          </w:tcPr>
          <w:p>
            <w:pPr>
              <w:spacing w:after="0"/>
              <w:rPr>
                <w:sz w:val="5"/>
                <w:szCs w:val="5"/>
                <w:color w:val="auto"/>
              </w:rPr>
            </w:pPr>
          </w:p>
        </w:tc>
        <w:tc>
          <w:tcPr>
            <w:tcW w:w="64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Grant Date</w:t>
            </w:r>
          </w:p>
        </w:tc>
        <w:tc>
          <w:tcPr>
            <w:tcW w:w="0" w:type="dxa"/>
            <w:vAlign w:val="bottom"/>
          </w:tcPr>
          <w:p>
            <w:pPr>
              <w:spacing w:after="0"/>
              <w:rPr>
                <w:sz w:val="1"/>
                <w:szCs w:val="1"/>
                <w:color w:val="auto"/>
              </w:rPr>
            </w:pPr>
          </w:p>
        </w:tc>
      </w:tr>
      <w:tr>
        <w:trPr>
          <w:trHeight w:val="84"/>
        </w:trPr>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jc w:val="right"/>
              <w:ind w:right="38"/>
              <w:spacing w:after="0" w:line="84" w:lineRule="exact"/>
              <w:rPr>
                <w:sz w:val="20"/>
                <w:szCs w:val="20"/>
                <w:color w:val="auto"/>
              </w:rPr>
            </w:pPr>
            <w:r>
              <w:rPr>
                <w:rFonts w:ascii="Arial" w:cs="Arial" w:eastAsia="Arial" w:hAnsi="Arial"/>
                <w:sz w:val="8"/>
                <w:szCs w:val="8"/>
                <w:b w:val="1"/>
                <w:bCs w:val="1"/>
                <w:color w:val="auto"/>
              </w:rPr>
              <w:t>Option</w:t>
            </w:r>
          </w:p>
        </w:tc>
        <w:tc>
          <w:tcPr>
            <w:tcW w:w="14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rPr>
              <w:t>All Other Stock Awards:</w:t>
            </w:r>
          </w:p>
        </w:tc>
        <w:tc>
          <w:tcPr>
            <w:tcW w:w="1080" w:type="dxa"/>
            <w:vAlign w:val="bottom"/>
          </w:tcPr>
          <w:p>
            <w:pPr>
              <w:jc w:val="right"/>
              <w:ind w:right="58"/>
              <w:spacing w:after="0" w:line="90" w:lineRule="exact"/>
              <w:rPr>
                <w:sz w:val="20"/>
                <w:szCs w:val="20"/>
                <w:color w:val="auto"/>
              </w:rPr>
            </w:pPr>
            <w:r>
              <w:rPr>
                <w:rFonts w:ascii="Arial" w:cs="Arial" w:eastAsia="Arial" w:hAnsi="Arial"/>
                <w:sz w:val="8"/>
                <w:szCs w:val="8"/>
                <w:b w:val="1"/>
                <w:bCs w:val="1"/>
                <w:color w:val="auto"/>
              </w:rPr>
              <w:t>Awards:</w:t>
            </w:r>
          </w:p>
        </w:tc>
        <w:tc>
          <w:tcPr>
            <w:tcW w:w="1420" w:type="dxa"/>
            <w:vAlign w:val="bottom"/>
            <w:vMerge w:val="restart"/>
          </w:tcPr>
          <w:p>
            <w:pPr>
              <w:jc w:val="right"/>
              <w:ind w:right="338"/>
              <w:spacing w:after="0"/>
              <w:rPr>
                <w:sz w:val="20"/>
                <w:szCs w:val="20"/>
                <w:color w:val="auto"/>
              </w:rPr>
            </w:pPr>
            <w:r>
              <w:rPr>
                <w:rFonts w:ascii="Arial" w:cs="Arial" w:eastAsia="Arial" w:hAnsi="Arial"/>
                <w:sz w:val="8"/>
                <w:szCs w:val="8"/>
                <w:b w:val="1"/>
                <w:bCs w:val="1"/>
                <w:color w:val="auto"/>
              </w:rPr>
              <w:t>Exercise or</w:t>
            </w:r>
          </w:p>
        </w:tc>
        <w:tc>
          <w:tcPr>
            <w:tcW w:w="64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80" w:type="dxa"/>
            <w:vAlign w:val="bottom"/>
          </w:tcPr>
          <w:p>
            <w:pPr>
              <w:jc w:val="right"/>
              <w:ind w:right="38"/>
              <w:spacing w:after="0" w:line="90" w:lineRule="exact"/>
              <w:rPr>
                <w:sz w:val="20"/>
                <w:szCs w:val="20"/>
                <w:color w:val="auto"/>
              </w:rPr>
            </w:pPr>
            <w:r>
              <w:rPr>
                <w:rFonts w:ascii="Arial" w:cs="Arial" w:eastAsia="Arial" w:hAnsi="Arial"/>
                <w:sz w:val="8"/>
                <w:szCs w:val="8"/>
                <w:b w:val="1"/>
                <w:bCs w:val="1"/>
                <w:color w:val="auto"/>
              </w:rPr>
              <w:t>Number of</w:t>
            </w:r>
          </w:p>
        </w:tc>
        <w:tc>
          <w:tcPr>
            <w:tcW w:w="1420" w:type="dxa"/>
            <w:vAlign w:val="bottom"/>
            <w:vMerge w:val="continue"/>
          </w:tcPr>
          <w:p>
            <w:pPr>
              <w:spacing w:after="0"/>
              <w:rPr>
                <w:sz w:val="7"/>
                <w:szCs w:val="7"/>
                <w:color w:val="auto"/>
              </w:rPr>
            </w:pPr>
          </w:p>
        </w:tc>
        <w:tc>
          <w:tcPr>
            <w:tcW w:w="640" w:type="dxa"/>
            <w:vAlign w:val="bottom"/>
          </w:tcPr>
          <w:p>
            <w:pPr>
              <w:jc w:val="right"/>
              <w:ind w:right="18"/>
              <w:spacing w:after="0" w:line="90" w:lineRule="exact"/>
              <w:rPr>
                <w:sz w:val="20"/>
                <w:szCs w:val="20"/>
                <w:color w:val="auto"/>
              </w:rPr>
            </w:pPr>
            <w:r>
              <w:rPr>
                <w:rFonts w:ascii="Arial" w:cs="Arial" w:eastAsia="Arial" w:hAnsi="Arial"/>
                <w:sz w:val="8"/>
                <w:szCs w:val="8"/>
                <w:b w:val="1"/>
                <w:bCs w:val="1"/>
                <w:color w:val="auto"/>
              </w:rPr>
              <w:t>of Stock</w:t>
            </w: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8"/>
              <w:spacing w:after="0"/>
              <w:rPr>
                <w:sz w:val="20"/>
                <w:szCs w:val="20"/>
                <w:color w:val="auto"/>
              </w:rPr>
            </w:pPr>
            <w:r>
              <w:rPr>
                <w:rFonts w:ascii="Arial" w:cs="Arial" w:eastAsia="Arial" w:hAnsi="Arial"/>
                <w:sz w:val="8"/>
                <w:szCs w:val="8"/>
                <w:b w:val="1"/>
                <w:bCs w:val="1"/>
                <w:color w:val="auto"/>
              </w:rPr>
              <w:t>Target</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vMerge w:val="restart"/>
          </w:tcPr>
          <w:p>
            <w:pPr>
              <w:jc w:val="right"/>
              <w:ind w:right="38"/>
              <w:spacing w:after="0"/>
              <w:rPr>
                <w:sz w:val="20"/>
                <w:szCs w:val="20"/>
                <w:color w:val="auto"/>
              </w:rPr>
            </w:pPr>
            <w:r>
              <w:rPr>
                <w:rFonts w:ascii="Arial" w:cs="Arial" w:eastAsia="Arial" w:hAnsi="Arial"/>
                <w:sz w:val="8"/>
                <w:szCs w:val="8"/>
                <w:b w:val="1"/>
                <w:bCs w:val="1"/>
                <w:color w:val="auto"/>
              </w:rPr>
              <w:t>Target</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jc w:val="right"/>
              <w:ind w:right="78"/>
              <w:spacing w:after="0" w:line="90" w:lineRule="exact"/>
              <w:rPr>
                <w:sz w:val="20"/>
                <w:szCs w:val="20"/>
                <w:color w:val="auto"/>
              </w:rPr>
            </w:pPr>
            <w:r>
              <w:rPr>
                <w:rFonts w:ascii="Arial" w:cs="Arial" w:eastAsia="Arial" w:hAnsi="Arial"/>
                <w:sz w:val="8"/>
                <w:szCs w:val="8"/>
                <w:b w:val="1"/>
                <w:bCs w:val="1"/>
                <w:color w:val="auto"/>
              </w:rPr>
              <w:t>Number of Shares of</w:t>
            </w:r>
          </w:p>
        </w:tc>
        <w:tc>
          <w:tcPr>
            <w:tcW w:w="1080" w:type="dxa"/>
            <w:vAlign w:val="bottom"/>
          </w:tcPr>
          <w:p>
            <w:pPr>
              <w:jc w:val="right"/>
              <w:ind w:right="38"/>
              <w:spacing w:after="0" w:line="90" w:lineRule="exact"/>
              <w:rPr>
                <w:sz w:val="20"/>
                <w:szCs w:val="20"/>
                <w:color w:val="auto"/>
              </w:rPr>
            </w:pPr>
            <w:r>
              <w:rPr>
                <w:rFonts w:ascii="Arial" w:cs="Arial" w:eastAsia="Arial" w:hAnsi="Arial"/>
                <w:sz w:val="8"/>
                <w:szCs w:val="8"/>
                <w:b w:val="1"/>
                <w:bCs w:val="1"/>
                <w:color w:val="auto"/>
              </w:rPr>
              <w:t>Securities Underlying</w:t>
            </w:r>
          </w:p>
        </w:tc>
        <w:tc>
          <w:tcPr>
            <w:tcW w:w="1420" w:type="dxa"/>
            <w:vAlign w:val="bottom"/>
          </w:tcPr>
          <w:p>
            <w:pPr>
              <w:jc w:val="right"/>
              <w:ind w:right="338"/>
              <w:spacing w:after="0" w:line="90" w:lineRule="exact"/>
              <w:rPr>
                <w:sz w:val="20"/>
                <w:szCs w:val="20"/>
                <w:color w:val="auto"/>
              </w:rPr>
            </w:pPr>
            <w:r>
              <w:rPr>
                <w:rFonts w:ascii="Arial" w:cs="Arial" w:eastAsia="Arial" w:hAnsi="Arial"/>
                <w:sz w:val="8"/>
                <w:szCs w:val="8"/>
                <w:b w:val="1"/>
                <w:bCs w:val="1"/>
                <w:color w:val="auto"/>
              </w:rPr>
              <w:t>Base Price of</w:t>
            </w:r>
          </w:p>
        </w:tc>
        <w:tc>
          <w:tcPr>
            <w:tcW w:w="640" w:type="dxa"/>
            <w:vAlign w:val="bottom"/>
          </w:tcPr>
          <w:p>
            <w:pPr>
              <w:jc w:val="right"/>
              <w:ind w:right="18"/>
              <w:spacing w:after="0" w:line="90" w:lineRule="exact"/>
              <w:rPr>
                <w:sz w:val="20"/>
                <w:szCs w:val="20"/>
                <w:color w:val="auto"/>
              </w:rPr>
            </w:pPr>
            <w:r>
              <w:rPr>
                <w:rFonts w:ascii="Arial" w:cs="Arial" w:eastAsia="Arial" w:hAnsi="Arial"/>
                <w:sz w:val="8"/>
                <w:szCs w:val="8"/>
                <w:b w:val="1"/>
                <w:bCs w:val="1"/>
                <w:color w:val="auto"/>
              </w:rPr>
              <w:t>and Option</w:t>
            </w:r>
          </w:p>
        </w:tc>
        <w:tc>
          <w:tcPr>
            <w:tcW w:w="0" w:type="dxa"/>
            <w:vAlign w:val="bottom"/>
          </w:tcPr>
          <w:p>
            <w:pPr>
              <w:spacing w:after="0"/>
              <w:rPr>
                <w:sz w:val="1"/>
                <w:szCs w:val="1"/>
                <w:color w:val="auto"/>
              </w:rPr>
            </w:pPr>
          </w:p>
        </w:tc>
      </w:tr>
      <w:tr>
        <w:trPr>
          <w:trHeight w:val="90"/>
        </w:trPr>
        <w:tc>
          <w:tcPr>
            <w:tcW w:w="540" w:type="dxa"/>
            <w:vAlign w:val="bottom"/>
            <w:vMerge w:val="restart"/>
          </w:tcPr>
          <w:p>
            <w:pPr>
              <w:ind w:left="20"/>
              <w:spacing w:after="0"/>
              <w:rPr>
                <w:sz w:val="20"/>
                <w:szCs w:val="20"/>
                <w:color w:val="auto"/>
              </w:rPr>
            </w:pPr>
            <w:r>
              <w:rPr>
                <w:rFonts w:ascii="Arial" w:cs="Arial" w:eastAsia="Arial" w:hAnsi="Arial"/>
                <w:sz w:val="8"/>
                <w:szCs w:val="8"/>
                <w:b w:val="1"/>
                <w:bCs w:val="1"/>
                <w:color w:val="auto"/>
              </w:rPr>
              <w:t>Name</w:t>
            </w:r>
          </w:p>
        </w:tc>
        <w:tc>
          <w:tcPr>
            <w:tcW w:w="360" w:type="dxa"/>
            <w:vAlign w:val="bottom"/>
          </w:tcPr>
          <w:p>
            <w:pPr>
              <w:spacing w:after="0"/>
              <w:rPr>
                <w:sz w:val="7"/>
                <w:szCs w:val="7"/>
                <w:color w:val="auto"/>
              </w:rPr>
            </w:pPr>
          </w:p>
        </w:tc>
        <w:tc>
          <w:tcPr>
            <w:tcW w:w="880" w:type="dxa"/>
            <w:vAlign w:val="bottom"/>
            <w:vMerge w:val="restart"/>
          </w:tcPr>
          <w:p>
            <w:pPr>
              <w:spacing w:after="0"/>
              <w:rPr>
                <w:sz w:val="20"/>
                <w:szCs w:val="20"/>
                <w:color w:val="auto"/>
              </w:rPr>
            </w:pPr>
            <w:r>
              <w:rPr>
                <w:rFonts w:ascii="Arial" w:cs="Arial" w:eastAsia="Arial" w:hAnsi="Arial"/>
                <w:sz w:val="8"/>
                <w:szCs w:val="8"/>
                <w:b w:val="1"/>
                <w:bCs w:val="1"/>
                <w:color w:val="auto"/>
              </w:rPr>
              <w:t>Award Type</w:t>
            </w:r>
          </w:p>
        </w:tc>
        <w:tc>
          <w:tcPr>
            <w:tcW w:w="1180" w:type="dxa"/>
            <w:vAlign w:val="bottom"/>
            <w:vMerge w:val="restart"/>
          </w:tcPr>
          <w:p>
            <w:pPr>
              <w:ind w:left="260"/>
              <w:spacing w:after="0"/>
              <w:rPr>
                <w:sz w:val="20"/>
                <w:szCs w:val="20"/>
                <w:color w:val="auto"/>
              </w:rPr>
            </w:pPr>
            <w:r>
              <w:rPr>
                <w:rFonts w:ascii="Arial" w:cs="Arial" w:eastAsia="Arial" w:hAnsi="Arial"/>
                <w:sz w:val="8"/>
                <w:szCs w:val="8"/>
                <w:b w:val="1"/>
                <w:bCs w:val="1"/>
                <w:color w:val="auto"/>
              </w:rPr>
              <w:t>Grant Date</w:t>
            </w:r>
          </w:p>
        </w:tc>
        <w:tc>
          <w:tcPr>
            <w:tcW w:w="720" w:type="dxa"/>
            <w:vAlign w:val="bottom"/>
            <w:vMerge w:val="restart"/>
          </w:tcPr>
          <w:p>
            <w:pPr>
              <w:jc w:val="right"/>
              <w:ind w:right="118"/>
              <w:spacing w:after="0"/>
              <w:rPr>
                <w:sz w:val="20"/>
                <w:szCs w:val="20"/>
                <w:color w:val="auto"/>
              </w:rPr>
            </w:pPr>
            <w:r>
              <w:rPr>
                <w:rFonts w:ascii="Arial" w:cs="Arial" w:eastAsia="Arial" w:hAnsi="Arial"/>
                <w:sz w:val="8"/>
                <w:szCs w:val="8"/>
                <w:b w:val="1"/>
                <w:bCs w:val="1"/>
                <w:color w:val="auto"/>
              </w:rPr>
              <w:t>Threshold ($)</w:t>
            </w:r>
          </w:p>
        </w:tc>
        <w:tc>
          <w:tcPr>
            <w:tcW w:w="700" w:type="dxa"/>
            <w:vAlign w:val="bottom"/>
            <w:vMerge w:val="continue"/>
          </w:tcPr>
          <w:p>
            <w:pPr>
              <w:spacing w:after="0"/>
              <w:rPr>
                <w:sz w:val="7"/>
                <w:szCs w:val="7"/>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8"/>
                <w:szCs w:val="8"/>
                <w:b w:val="1"/>
                <w:bCs w:val="1"/>
                <w:color w:val="auto"/>
                <w:w w:val="98"/>
              </w:rPr>
              <w:t>Maximum ($)</w:t>
            </w:r>
          </w:p>
        </w:tc>
        <w:tc>
          <w:tcPr>
            <w:tcW w:w="780" w:type="dxa"/>
            <w:vAlign w:val="bottom"/>
            <w:vMerge w:val="restart"/>
          </w:tcPr>
          <w:p>
            <w:pPr>
              <w:jc w:val="right"/>
              <w:ind w:right="158"/>
              <w:spacing w:after="0"/>
              <w:rPr>
                <w:sz w:val="20"/>
                <w:szCs w:val="20"/>
                <w:color w:val="auto"/>
              </w:rPr>
            </w:pPr>
            <w:r>
              <w:rPr>
                <w:rFonts w:ascii="Arial" w:cs="Arial" w:eastAsia="Arial" w:hAnsi="Arial"/>
                <w:sz w:val="8"/>
                <w:szCs w:val="8"/>
                <w:b w:val="1"/>
                <w:bCs w:val="1"/>
                <w:color w:val="auto"/>
              </w:rPr>
              <w:t>Threshold (#)</w:t>
            </w:r>
          </w:p>
        </w:tc>
        <w:tc>
          <w:tcPr>
            <w:tcW w:w="540" w:type="dxa"/>
            <w:vAlign w:val="bottom"/>
            <w:vMerge w:val="continue"/>
          </w:tcPr>
          <w:p>
            <w:pPr>
              <w:spacing w:after="0"/>
              <w:rPr>
                <w:sz w:val="7"/>
                <w:szCs w:val="7"/>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8"/>
                <w:szCs w:val="8"/>
                <w:b w:val="1"/>
                <w:bCs w:val="1"/>
                <w:color w:val="auto"/>
              </w:rPr>
              <w:t>Maximum (#)</w:t>
            </w:r>
          </w:p>
        </w:tc>
        <w:tc>
          <w:tcPr>
            <w:tcW w:w="1160" w:type="dxa"/>
            <w:vAlign w:val="bottom"/>
          </w:tcPr>
          <w:p>
            <w:pPr>
              <w:jc w:val="right"/>
              <w:ind w:right="78"/>
              <w:spacing w:after="0" w:line="90" w:lineRule="exact"/>
              <w:rPr>
                <w:sz w:val="20"/>
                <w:szCs w:val="20"/>
                <w:color w:val="auto"/>
              </w:rPr>
            </w:pPr>
            <w:r>
              <w:rPr>
                <w:rFonts w:ascii="Arial" w:cs="Arial" w:eastAsia="Arial" w:hAnsi="Arial"/>
                <w:sz w:val="8"/>
                <w:szCs w:val="8"/>
                <w:b w:val="1"/>
                <w:bCs w:val="1"/>
                <w:color w:val="auto"/>
              </w:rPr>
              <w:t>Stock or Units</w:t>
            </w:r>
          </w:p>
        </w:tc>
        <w:tc>
          <w:tcPr>
            <w:tcW w:w="1080" w:type="dxa"/>
            <w:vAlign w:val="bottom"/>
          </w:tcPr>
          <w:p>
            <w:pPr>
              <w:jc w:val="right"/>
              <w:ind w:right="58"/>
              <w:spacing w:after="0" w:line="90" w:lineRule="exact"/>
              <w:rPr>
                <w:sz w:val="20"/>
                <w:szCs w:val="20"/>
                <w:color w:val="auto"/>
              </w:rPr>
            </w:pPr>
            <w:r>
              <w:rPr>
                <w:rFonts w:ascii="Arial" w:cs="Arial" w:eastAsia="Arial" w:hAnsi="Arial"/>
                <w:sz w:val="8"/>
                <w:szCs w:val="8"/>
                <w:b w:val="1"/>
                <w:bCs w:val="1"/>
                <w:color w:val="auto"/>
              </w:rPr>
              <w:t>Options</w:t>
            </w:r>
          </w:p>
        </w:tc>
        <w:tc>
          <w:tcPr>
            <w:tcW w:w="1420" w:type="dxa"/>
            <w:vAlign w:val="bottom"/>
          </w:tcPr>
          <w:p>
            <w:pPr>
              <w:jc w:val="right"/>
              <w:ind w:right="338"/>
              <w:spacing w:after="0" w:line="90" w:lineRule="exact"/>
              <w:rPr>
                <w:sz w:val="20"/>
                <w:szCs w:val="20"/>
                <w:color w:val="auto"/>
              </w:rPr>
            </w:pPr>
            <w:r>
              <w:rPr>
                <w:rFonts w:ascii="Arial" w:cs="Arial" w:eastAsia="Arial" w:hAnsi="Arial"/>
                <w:sz w:val="8"/>
                <w:szCs w:val="8"/>
                <w:b w:val="1"/>
                <w:bCs w:val="1"/>
                <w:color w:val="auto"/>
              </w:rPr>
              <w:t>Option Awards</w:t>
            </w:r>
          </w:p>
        </w:tc>
        <w:tc>
          <w:tcPr>
            <w:tcW w:w="640" w:type="dxa"/>
            <w:vAlign w:val="bottom"/>
          </w:tcPr>
          <w:p>
            <w:pPr>
              <w:jc w:val="right"/>
              <w:ind w:right="18"/>
              <w:spacing w:after="0" w:line="90" w:lineRule="exact"/>
              <w:rPr>
                <w:sz w:val="20"/>
                <w:szCs w:val="20"/>
                <w:color w:val="auto"/>
              </w:rPr>
            </w:pPr>
            <w:r>
              <w:rPr>
                <w:rFonts w:ascii="Arial" w:cs="Arial" w:eastAsia="Arial" w:hAnsi="Arial"/>
                <w:sz w:val="8"/>
                <w:szCs w:val="8"/>
                <w:b w:val="1"/>
                <w:bCs w:val="1"/>
                <w:color w:val="auto"/>
              </w:rPr>
              <w:t>Awards</w:t>
            </w:r>
          </w:p>
        </w:tc>
        <w:tc>
          <w:tcPr>
            <w:tcW w:w="0" w:type="dxa"/>
            <w:vAlign w:val="bottom"/>
          </w:tcPr>
          <w:p>
            <w:pPr>
              <w:spacing w:after="0"/>
              <w:rPr>
                <w:sz w:val="1"/>
                <w:szCs w:val="1"/>
                <w:color w:val="auto"/>
              </w:rPr>
            </w:pPr>
          </w:p>
        </w:tc>
      </w:tr>
      <w:tr>
        <w:trPr>
          <w:trHeight w:val="108"/>
        </w:trPr>
        <w:tc>
          <w:tcPr>
            <w:tcW w:w="540" w:type="dxa"/>
            <w:vAlign w:val="bottom"/>
            <w:tcBorders>
              <w:bottom w:val="single" w:sz="8" w:color="E31F25"/>
            </w:tcBorders>
            <w:vMerge w:val="continue"/>
          </w:tcPr>
          <w:p>
            <w:pPr>
              <w:spacing w:after="0"/>
              <w:rPr>
                <w:sz w:val="9"/>
                <w:szCs w:val="9"/>
                <w:color w:val="auto"/>
              </w:rPr>
            </w:pPr>
          </w:p>
        </w:tc>
        <w:tc>
          <w:tcPr>
            <w:tcW w:w="360" w:type="dxa"/>
            <w:vAlign w:val="bottom"/>
            <w:tcBorders>
              <w:bottom w:val="single" w:sz="8" w:color="E31F25"/>
            </w:tcBorders>
          </w:tcPr>
          <w:p>
            <w:pPr>
              <w:spacing w:after="0"/>
              <w:rPr>
                <w:sz w:val="9"/>
                <w:szCs w:val="9"/>
                <w:color w:val="auto"/>
              </w:rPr>
            </w:pPr>
          </w:p>
        </w:tc>
        <w:tc>
          <w:tcPr>
            <w:tcW w:w="880" w:type="dxa"/>
            <w:vAlign w:val="bottom"/>
            <w:tcBorders>
              <w:bottom w:val="single" w:sz="8" w:color="E31F25"/>
            </w:tcBorders>
            <w:vMerge w:val="continue"/>
          </w:tcPr>
          <w:p>
            <w:pPr>
              <w:spacing w:after="0"/>
              <w:rPr>
                <w:sz w:val="9"/>
                <w:szCs w:val="9"/>
                <w:color w:val="auto"/>
              </w:rPr>
            </w:pPr>
          </w:p>
        </w:tc>
        <w:tc>
          <w:tcPr>
            <w:tcW w:w="1180" w:type="dxa"/>
            <w:vAlign w:val="bottom"/>
            <w:tcBorders>
              <w:bottom w:val="single" w:sz="8" w:color="E31F25"/>
            </w:tcBorders>
            <w:vMerge w:val="continue"/>
          </w:tcPr>
          <w:p>
            <w:pPr>
              <w:spacing w:after="0"/>
              <w:rPr>
                <w:sz w:val="9"/>
                <w:szCs w:val="9"/>
                <w:color w:val="auto"/>
              </w:rPr>
            </w:pPr>
          </w:p>
        </w:tc>
        <w:tc>
          <w:tcPr>
            <w:tcW w:w="720" w:type="dxa"/>
            <w:vAlign w:val="bottom"/>
            <w:tcBorders>
              <w:bottom w:val="single" w:sz="8" w:color="E31F25"/>
            </w:tcBorders>
            <w:vMerge w:val="continue"/>
          </w:tcPr>
          <w:p>
            <w:pPr>
              <w:spacing w:after="0"/>
              <w:rPr>
                <w:sz w:val="9"/>
                <w:szCs w:val="9"/>
                <w:color w:val="auto"/>
              </w:rPr>
            </w:pPr>
          </w:p>
        </w:tc>
        <w:tc>
          <w:tcPr>
            <w:tcW w:w="700" w:type="dxa"/>
            <w:vAlign w:val="bottom"/>
            <w:tcBorders>
              <w:bottom w:val="single" w:sz="8" w:color="E31F25"/>
            </w:tcBorders>
          </w:tcPr>
          <w:p>
            <w:pPr>
              <w:jc w:val="right"/>
              <w:ind w:right="138"/>
              <w:spacing w:after="0"/>
              <w:rPr>
                <w:sz w:val="20"/>
                <w:szCs w:val="20"/>
                <w:color w:val="auto"/>
              </w:rPr>
            </w:pPr>
            <w:r>
              <w:rPr>
                <w:rFonts w:ascii="Arial" w:cs="Arial" w:eastAsia="Arial" w:hAnsi="Arial"/>
                <w:sz w:val="8"/>
                <w:szCs w:val="8"/>
                <w:b w:val="1"/>
                <w:bCs w:val="1"/>
                <w:color w:val="auto"/>
              </w:rPr>
              <w:t>($)</w:t>
            </w:r>
          </w:p>
        </w:tc>
        <w:tc>
          <w:tcPr>
            <w:tcW w:w="620" w:type="dxa"/>
            <w:vAlign w:val="bottom"/>
            <w:tcBorders>
              <w:bottom w:val="single" w:sz="8" w:color="E31F25"/>
            </w:tcBorders>
            <w:gridSpan w:val="2"/>
            <w:vMerge w:val="continue"/>
          </w:tcPr>
          <w:p>
            <w:pPr>
              <w:spacing w:after="0"/>
              <w:rPr>
                <w:sz w:val="9"/>
                <w:szCs w:val="9"/>
                <w:color w:val="auto"/>
              </w:rPr>
            </w:pPr>
          </w:p>
        </w:tc>
        <w:tc>
          <w:tcPr>
            <w:tcW w:w="780" w:type="dxa"/>
            <w:vAlign w:val="bottom"/>
            <w:tcBorders>
              <w:bottom w:val="single" w:sz="8" w:color="E31F25"/>
            </w:tcBorders>
            <w:vMerge w:val="continue"/>
          </w:tcPr>
          <w:p>
            <w:pPr>
              <w:spacing w:after="0"/>
              <w:rPr>
                <w:sz w:val="9"/>
                <w:szCs w:val="9"/>
                <w:color w:val="auto"/>
              </w:rPr>
            </w:pPr>
          </w:p>
        </w:tc>
        <w:tc>
          <w:tcPr>
            <w:tcW w:w="540" w:type="dxa"/>
            <w:vAlign w:val="bottom"/>
            <w:tcBorders>
              <w:bottom w:val="single" w:sz="8" w:color="E31F25"/>
            </w:tcBorders>
          </w:tcPr>
          <w:p>
            <w:pPr>
              <w:jc w:val="right"/>
              <w:ind w:right="38"/>
              <w:spacing w:after="0"/>
              <w:rPr>
                <w:sz w:val="20"/>
                <w:szCs w:val="20"/>
                <w:color w:val="auto"/>
              </w:rPr>
            </w:pPr>
            <w:r>
              <w:rPr>
                <w:rFonts w:ascii="Arial" w:cs="Arial" w:eastAsia="Arial" w:hAnsi="Arial"/>
                <w:sz w:val="8"/>
                <w:szCs w:val="8"/>
                <w:b w:val="1"/>
                <w:bCs w:val="1"/>
                <w:color w:val="auto"/>
              </w:rPr>
              <w:t>(#)</w:t>
            </w:r>
          </w:p>
        </w:tc>
        <w:tc>
          <w:tcPr>
            <w:tcW w:w="680" w:type="dxa"/>
            <w:vAlign w:val="bottom"/>
            <w:tcBorders>
              <w:bottom w:val="single" w:sz="8" w:color="E31F25"/>
            </w:tcBorders>
            <w:gridSpan w:val="2"/>
            <w:vMerge w:val="continue"/>
          </w:tcPr>
          <w:p>
            <w:pPr>
              <w:spacing w:after="0"/>
              <w:rPr>
                <w:sz w:val="9"/>
                <w:szCs w:val="9"/>
                <w:color w:val="auto"/>
              </w:rPr>
            </w:pPr>
          </w:p>
        </w:tc>
        <w:tc>
          <w:tcPr>
            <w:tcW w:w="1160" w:type="dxa"/>
            <w:vAlign w:val="bottom"/>
            <w:tcBorders>
              <w:bottom w:val="single" w:sz="8" w:color="E31F25"/>
            </w:tcBorders>
          </w:tcPr>
          <w:p>
            <w:pPr>
              <w:jc w:val="right"/>
              <w:ind w:right="78"/>
              <w:spacing w:after="0"/>
              <w:rPr>
                <w:sz w:val="20"/>
                <w:szCs w:val="20"/>
                <w:color w:val="auto"/>
              </w:rPr>
            </w:pPr>
            <w:r>
              <w:rPr>
                <w:rFonts w:ascii="Arial" w:cs="Arial" w:eastAsia="Arial" w:hAnsi="Arial"/>
                <w:sz w:val="8"/>
                <w:szCs w:val="8"/>
                <w:b w:val="1"/>
                <w:bCs w:val="1"/>
                <w:color w:val="auto"/>
              </w:rPr>
              <w:t>(#)</w:t>
            </w:r>
          </w:p>
        </w:tc>
        <w:tc>
          <w:tcPr>
            <w:tcW w:w="1080" w:type="dxa"/>
            <w:vAlign w:val="bottom"/>
            <w:tcBorders>
              <w:bottom w:val="single" w:sz="8" w:color="E31F25"/>
            </w:tcBorders>
          </w:tcPr>
          <w:p>
            <w:pPr>
              <w:jc w:val="right"/>
              <w:ind w:right="38"/>
              <w:spacing w:after="0"/>
              <w:rPr>
                <w:sz w:val="20"/>
                <w:szCs w:val="20"/>
                <w:color w:val="auto"/>
              </w:rPr>
            </w:pPr>
            <w:r>
              <w:rPr>
                <w:rFonts w:ascii="Arial" w:cs="Arial" w:eastAsia="Arial" w:hAnsi="Arial"/>
                <w:sz w:val="8"/>
                <w:szCs w:val="8"/>
                <w:b w:val="1"/>
                <w:bCs w:val="1"/>
                <w:color w:val="auto"/>
              </w:rPr>
              <w:t>(#)</w:t>
            </w:r>
          </w:p>
        </w:tc>
        <w:tc>
          <w:tcPr>
            <w:tcW w:w="1420" w:type="dxa"/>
            <w:vAlign w:val="bottom"/>
            <w:tcBorders>
              <w:bottom w:val="single" w:sz="8" w:color="E31F25"/>
            </w:tcBorders>
          </w:tcPr>
          <w:p>
            <w:pPr>
              <w:jc w:val="right"/>
              <w:ind w:right="338"/>
              <w:spacing w:after="0"/>
              <w:rPr>
                <w:sz w:val="20"/>
                <w:szCs w:val="20"/>
                <w:color w:val="auto"/>
              </w:rPr>
            </w:pPr>
            <w:r>
              <w:rPr>
                <w:rFonts w:ascii="Arial" w:cs="Arial" w:eastAsia="Arial" w:hAnsi="Arial"/>
                <w:sz w:val="8"/>
                <w:szCs w:val="8"/>
                <w:b w:val="1"/>
                <w:bCs w:val="1"/>
                <w:color w:val="auto"/>
              </w:rPr>
              <w:t>($/Sh)</w:t>
            </w:r>
          </w:p>
        </w:tc>
        <w:tc>
          <w:tcPr>
            <w:tcW w:w="640" w:type="dxa"/>
            <w:vAlign w:val="bottom"/>
            <w:tcBorders>
              <w:bottom w:val="single" w:sz="8" w:color="E31F25"/>
            </w:tcBorders>
          </w:tcPr>
          <w:p>
            <w:pPr>
              <w:jc w:val="right"/>
              <w:spacing w:after="0" w:line="108" w:lineRule="exact"/>
              <w:rPr>
                <w:sz w:val="20"/>
                <w:szCs w:val="20"/>
                <w:color w:val="auto"/>
              </w:rPr>
            </w:pPr>
            <w:r>
              <w:rPr>
                <w:rFonts w:ascii="Arial" w:cs="Arial" w:eastAsia="Arial" w:hAnsi="Arial"/>
                <w:sz w:val="8"/>
                <w:szCs w:val="8"/>
                <w:b w:val="1"/>
                <w:bCs w:val="1"/>
                <w:color w:val="auto"/>
              </w:rPr>
              <w:t>($)</w:t>
            </w:r>
            <w:r>
              <w:rPr>
                <w:rFonts w:ascii="Arial" w:cs="Arial" w:eastAsia="Arial" w:hAnsi="Arial"/>
                <w:sz w:val="12"/>
                <w:szCs w:val="12"/>
                <w:b w:val="1"/>
                <w:bCs w:val="1"/>
                <w:color w:val="auto"/>
                <w:vertAlign w:val="superscript"/>
              </w:rPr>
              <w:t>(5)</w:t>
            </w:r>
          </w:p>
        </w:tc>
        <w:tc>
          <w:tcPr>
            <w:tcW w:w="0" w:type="dxa"/>
            <w:vAlign w:val="bottom"/>
          </w:tcPr>
          <w:p>
            <w:pPr>
              <w:spacing w:after="0"/>
              <w:rPr>
                <w:sz w:val="1"/>
                <w:szCs w:val="1"/>
                <w:color w:val="auto"/>
              </w:rPr>
            </w:pPr>
          </w:p>
        </w:tc>
      </w:tr>
      <w:tr>
        <w:trPr>
          <w:trHeight w:val="124"/>
        </w:trPr>
        <w:tc>
          <w:tcPr>
            <w:tcW w:w="540" w:type="dxa"/>
            <w:vAlign w:val="bottom"/>
          </w:tcPr>
          <w:p>
            <w:pPr>
              <w:ind w:left="20"/>
              <w:spacing w:after="0"/>
              <w:rPr>
                <w:sz w:val="20"/>
                <w:szCs w:val="20"/>
                <w:color w:val="auto"/>
              </w:rPr>
            </w:pPr>
            <w:r>
              <w:rPr>
                <w:rFonts w:ascii="Arial" w:cs="Arial" w:eastAsia="Arial" w:hAnsi="Arial"/>
                <w:sz w:val="8"/>
                <w:szCs w:val="8"/>
                <w:b w:val="1"/>
                <w:bCs w:val="1"/>
                <w:color w:val="D60011"/>
              </w:rPr>
              <w:t>Johnson</w:t>
            </w: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Annual Incentive</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(1)</w:t>
            </w:r>
          </w:p>
        </w:tc>
        <w:tc>
          <w:tcPr>
            <w:tcW w:w="720" w:type="dxa"/>
            <w:vAlign w:val="bottom"/>
            <w:tcBorders>
              <w:bottom w:val="single" w:sz="8" w:color="CCCCCC"/>
            </w:tcBorders>
          </w:tcPr>
          <w:p>
            <w:pPr>
              <w:jc w:val="right"/>
              <w:ind w:right="118"/>
              <w:spacing w:after="0"/>
              <w:rPr>
                <w:sz w:val="20"/>
                <w:szCs w:val="20"/>
                <w:color w:val="auto"/>
              </w:rPr>
            </w:pPr>
            <w:r>
              <w:rPr>
                <w:rFonts w:ascii="Arial" w:cs="Arial" w:eastAsia="Arial" w:hAnsi="Arial"/>
                <w:sz w:val="8"/>
                <w:szCs w:val="8"/>
                <w:color w:val="auto"/>
              </w:rPr>
              <w:t>575,000</w:t>
            </w:r>
          </w:p>
        </w:tc>
        <w:tc>
          <w:tcPr>
            <w:tcW w:w="700" w:type="dxa"/>
            <w:vAlign w:val="bottom"/>
            <w:tcBorders>
              <w:bottom w:val="single" w:sz="8" w:color="CCCCCC"/>
            </w:tcBorders>
          </w:tcPr>
          <w:p>
            <w:pPr>
              <w:jc w:val="right"/>
              <w:ind w:right="138"/>
              <w:spacing w:after="0"/>
              <w:rPr>
                <w:sz w:val="20"/>
                <w:szCs w:val="20"/>
                <w:color w:val="auto"/>
              </w:rPr>
            </w:pPr>
            <w:r>
              <w:rPr>
                <w:rFonts w:ascii="Arial" w:cs="Arial" w:eastAsia="Arial" w:hAnsi="Arial"/>
                <w:sz w:val="8"/>
                <w:szCs w:val="8"/>
                <w:color w:val="auto"/>
              </w:rPr>
              <w:t>2,300,000</w:t>
            </w:r>
          </w:p>
        </w:tc>
        <w:tc>
          <w:tcPr>
            <w:tcW w:w="62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8"/>
                <w:szCs w:val="8"/>
                <w:color w:val="auto"/>
              </w:rPr>
              <w:t>4,600,000</w:t>
            </w: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PSU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(2)</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jc w:val="right"/>
              <w:ind w:right="158"/>
              <w:spacing w:after="0"/>
              <w:rPr>
                <w:sz w:val="20"/>
                <w:szCs w:val="20"/>
                <w:color w:val="auto"/>
              </w:rPr>
            </w:pPr>
            <w:r>
              <w:rPr>
                <w:rFonts w:ascii="Arial" w:cs="Arial" w:eastAsia="Arial" w:hAnsi="Arial"/>
                <w:sz w:val="8"/>
                <w:szCs w:val="8"/>
                <w:color w:val="auto"/>
              </w:rPr>
              <w:t>22,524</w:t>
            </w:r>
          </w:p>
        </w:tc>
        <w:tc>
          <w:tcPr>
            <w:tcW w:w="54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90,096</w:t>
            </w:r>
          </w:p>
        </w:tc>
        <w:tc>
          <w:tcPr>
            <w:tcW w:w="680" w:type="dxa"/>
            <w:vAlign w:val="bottom"/>
            <w:tcBorders>
              <w:bottom w:val="single" w:sz="8" w:color="CCCCCC"/>
            </w:tcBorders>
            <w:gridSpan w:val="2"/>
          </w:tcPr>
          <w:p>
            <w:pPr>
              <w:jc w:val="right"/>
              <w:ind w:right="80"/>
              <w:spacing w:after="0"/>
              <w:rPr>
                <w:sz w:val="20"/>
                <w:szCs w:val="20"/>
                <w:color w:val="auto"/>
              </w:rPr>
            </w:pPr>
            <w:r>
              <w:rPr>
                <w:rFonts w:ascii="Arial" w:cs="Arial" w:eastAsia="Arial" w:hAnsi="Arial"/>
                <w:sz w:val="8"/>
                <w:szCs w:val="8"/>
                <w:color w:val="auto"/>
              </w:rPr>
              <w:t>180,191</w:t>
            </w: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4,830,047</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Stock Option</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(3)</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79,971</w:t>
            </w:r>
          </w:p>
        </w:tc>
        <w:tc>
          <w:tcPr>
            <w:tcW w:w="1420" w:type="dxa"/>
            <w:vAlign w:val="bottom"/>
            <w:tcBorders>
              <w:bottom w:val="single" w:sz="8" w:color="CCCCCC"/>
            </w:tcBorders>
          </w:tcPr>
          <w:p>
            <w:pPr>
              <w:jc w:val="right"/>
              <w:ind w:right="338"/>
              <w:spacing w:after="0"/>
              <w:rPr>
                <w:sz w:val="20"/>
                <w:szCs w:val="20"/>
                <w:color w:val="auto"/>
              </w:rPr>
            </w:pPr>
            <w:r>
              <w:rPr>
                <w:rFonts w:ascii="Arial" w:cs="Arial" w:eastAsia="Arial" w:hAnsi="Arial"/>
                <w:sz w:val="8"/>
                <w:szCs w:val="8"/>
                <w:color w:val="auto"/>
              </w:rPr>
              <w:t>53.61</w:t>
            </w: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1,609,816</w:t>
            </w:r>
          </w:p>
        </w:tc>
        <w:tc>
          <w:tcPr>
            <w:tcW w:w="0" w:type="dxa"/>
            <w:vAlign w:val="bottom"/>
          </w:tcPr>
          <w:p>
            <w:pPr>
              <w:spacing w:after="0"/>
              <w:rPr>
                <w:sz w:val="1"/>
                <w:szCs w:val="1"/>
                <w:color w:val="auto"/>
              </w:rPr>
            </w:pPr>
          </w:p>
        </w:tc>
      </w:tr>
      <w:tr>
        <w:trPr>
          <w:trHeight w:val="124"/>
        </w:trPr>
        <w:tc>
          <w:tcPr>
            <w:tcW w:w="540" w:type="dxa"/>
            <w:vAlign w:val="bottom"/>
            <w:tcBorders>
              <w:bottom w:val="single" w:sz="8" w:color="E31F25"/>
            </w:tcBorders>
          </w:tcPr>
          <w:p>
            <w:pPr>
              <w:spacing w:after="0"/>
              <w:rPr>
                <w:sz w:val="10"/>
                <w:szCs w:val="10"/>
                <w:color w:val="auto"/>
              </w:rPr>
            </w:pPr>
          </w:p>
        </w:tc>
        <w:tc>
          <w:tcPr>
            <w:tcW w:w="360" w:type="dxa"/>
            <w:vAlign w:val="bottom"/>
            <w:tcBorders>
              <w:bottom w:val="single" w:sz="8" w:color="E31F25"/>
            </w:tcBorders>
          </w:tcPr>
          <w:p>
            <w:pPr>
              <w:spacing w:after="0"/>
              <w:rPr>
                <w:sz w:val="10"/>
                <w:szCs w:val="10"/>
                <w:color w:val="auto"/>
              </w:rPr>
            </w:pPr>
          </w:p>
        </w:tc>
        <w:tc>
          <w:tcPr>
            <w:tcW w:w="880" w:type="dxa"/>
            <w:vAlign w:val="bottom"/>
            <w:tcBorders>
              <w:bottom w:val="single" w:sz="8" w:color="E31F25"/>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E31F25"/>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(4)</w:t>
            </w:r>
          </w:p>
        </w:tc>
        <w:tc>
          <w:tcPr>
            <w:tcW w:w="720" w:type="dxa"/>
            <w:vAlign w:val="bottom"/>
            <w:tcBorders>
              <w:bottom w:val="single" w:sz="8" w:color="E31F25"/>
            </w:tcBorders>
          </w:tcPr>
          <w:p>
            <w:pPr>
              <w:spacing w:after="0"/>
              <w:rPr>
                <w:sz w:val="10"/>
                <w:szCs w:val="10"/>
                <w:color w:val="auto"/>
              </w:rPr>
            </w:pPr>
          </w:p>
        </w:tc>
        <w:tc>
          <w:tcPr>
            <w:tcW w:w="700" w:type="dxa"/>
            <w:vAlign w:val="bottom"/>
            <w:tcBorders>
              <w:bottom w:val="single" w:sz="8" w:color="E31F25"/>
            </w:tcBorders>
          </w:tcPr>
          <w:p>
            <w:pPr>
              <w:spacing w:after="0"/>
              <w:rPr>
                <w:sz w:val="10"/>
                <w:szCs w:val="10"/>
                <w:color w:val="auto"/>
              </w:rPr>
            </w:pPr>
          </w:p>
        </w:tc>
        <w:tc>
          <w:tcPr>
            <w:tcW w:w="500" w:type="dxa"/>
            <w:vAlign w:val="bottom"/>
            <w:tcBorders>
              <w:bottom w:val="single" w:sz="8" w:color="E31F25"/>
            </w:tcBorders>
          </w:tcPr>
          <w:p>
            <w:pPr>
              <w:spacing w:after="0"/>
              <w:rPr>
                <w:sz w:val="10"/>
                <w:szCs w:val="10"/>
                <w:color w:val="auto"/>
              </w:rPr>
            </w:pPr>
          </w:p>
        </w:tc>
        <w:tc>
          <w:tcPr>
            <w:tcW w:w="12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spacing w:after="0"/>
              <w:rPr>
                <w:sz w:val="10"/>
                <w:szCs w:val="10"/>
                <w:color w:val="auto"/>
              </w:rPr>
            </w:pPr>
          </w:p>
        </w:tc>
        <w:tc>
          <w:tcPr>
            <w:tcW w:w="540" w:type="dxa"/>
            <w:vAlign w:val="bottom"/>
            <w:tcBorders>
              <w:bottom w:val="single" w:sz="8" w:color="E31F25"/>
            </w:tcBorders>
          </w:tcPr>
          <w:p>
            <w:pPr>
              <w:spacing w:after="0"/>
              <w:rPr>
                <w:sz w:val="10"/>
                <w:szCs w:val="10"/>
                <w:color w:val="auto"/>
              </w:rPr>
            </w:pPr>
          </w:p>
        </w:tc>
        <w:tc>
          <w:tcPr>
            <w:tcW w:w="600" w:type="dxa"/>
            <w:vAlign w:val="bottom"/>
            <w:tcBorders>
              <w:bottom w:val="single" w:sz="8" w:color="E31F25"/>
            </w:tcBorders>
          </w:tcPr>
          <w:p>
            <w:pPr>
              <w:spacing w:after="0"/>
              <w:rPr>
                <w:sz w:val="10"/>
                <w:szCs w:val="10"/>
                <w:color w:val="auto"/>
              </w:rPr>
            </w:pPr>
          </w:p>
        </w:tc>
        <w:tc>
          <w:tcPr>
            <w:tcW w:w="80" w:type="dxa"/>
            <w:vAlign w:val="bottom"/>
            <w:tcBorders>
              <w:bottom w:val="single" w:sz="8" w:color="E31F25"/>
            </w:tcBorders>
          </w:tcPr>
          <w:p>
            <w:pPr>
              <w:spacing w:after="0"/>
              <w:rPr>
                <w:sz w:val="10"/>
                <w:szCs w:val="10"/>
                <w:color w:val="auto"/>
              </w:rPr>
            </w:pPr>
          </w:p>
        </w:tc>
        <w:tc>
          <w:tcPr>
            <w:tcW w:w="1160" w:type="dxa"/>
            <w:vAlign w:val="bottom"/>
            <w:tcBorders>
              <w:bottom w:val="single" w:sz="8" w:color="E31F25"/>
            </w:tcBorders>
          </w:tcPr>
          <w:p>
            <w:pPr>
              <w:jc w:val="right"/>
              <w:ind w:right="78"/>
              <w:spacing w:after="0"/>
              <w:rPr>
                <w:sz w:val="20"/>
                <w:szCs w:val="20"/>
                <w:color w:val="auto"/>
              </w:rPr>
            </w:pPr>
            <w:r>
              <w:rPr>
                <w:rFonts w:ascii="Arial" w:cs="Arial" w:eastAsia="Arial" w:hAnsi="Arial"/>
                <w:sz w:val="8"/>
                <w:szCs w:val="8"/>
                <w:color w:val="auto"/>
              </w:rPr>
              <w:t>30,032</w:t>
            </w:r>
          </w:p>
        </w:tc>
        <w:tc>
          <w:tcPr>
            <w:tcW w:w="1080" w:type="dxa"/>
            <w:vAlign w:val="bottom"/>
            <w:tcBorders>
              <w:bottom w:val="single" w:sz="8" w:color="E31F25"/>
            </w:tcBorders>
          </w:tcPr>
          <w:p>
            <w:pPr>
              <w:spacing w:after="0"/>
              <w:rPr>
                <w:sz w:val="10"/>
                <w:szCs w:val="10"/>
                <w:color w:val="auto"/>
              </w:rPr>
            </w:pPr>
          </w:p>
        </w:tc>
        <w:tc>
          <w:tcPr>
            <w:tcW w:w="1420" w:type="dxa"/>
            <w:vAlign w:val="bottom"/>
            <w:tcBorders>
              <w:bottom w:val="single" w:sz="8" w:color="E31F25"/>
            </w:tcBorders>
          </w:tcPr>
          <w:p>
            <w:pPr>
              <w:spacing w:after="0"/>
              <w:rPr>
                <w:sz w:val="10"/>
                <w:szCs w:val="10"/>
                <w:color w:val="auto"/>
              </w:rPr>
            </w:pPr>
          </w:p>
        </w:tc>
        <w:tc>
          <w:tcPr>
            <w:tcW w:w="640" w:type="dxa"/>
            <w:vAlign w:val="bottom"/>
            <w:tcBorders>
              <w:bottom w:val="single" w:sz="8" w:color="E31F25"/>
            </w:tcBorders>
          </w:tcPr>
          <w:p>
            <w:pPr>
              <w:jc w:val="right"/>
              <w:spacing w:after="0"/>
              <w:rPr>
                <w:sz w:val="20"/>
                <w:szCs w:val="20"/>
                <w:color w:val="auto"/>
              </w:rPr>
            </w:pPr>
            <w:r>
              <w:rPr>
                <w:rFonts w:ascii="Arial" w:cs="Arial" w:eastAsia="Arial" w:hAnsi="Arial"/>
                <w:sz w:val="8"/>
                <w:szCs w:val="8"/>
                <w:color w:val="auto"/>
              </w:rPr>
              <w:t>1,610,016</w:t>
            </w:r>
          </w:p>
        </w:tc>
        <w:tc>
          <w:tcPr>
            <w:tcW w:w="0" w:type="dxa"/>
            <w:vAlign w:val="bottom"/>
          </w:tcPr>
          <w:p>
            <w:pPr>
              <w:spacing w:after="0"/>
              <w:rPr>
                <w:sz w:val="1"/>
                <w:szCs w:val="1"/>
                <w:color w:val="auto"/>
              </w:rPr>
            </w:pPr>
          </w:p>
        </w:tc>
      </w:tr>
      <w:tr>
        <w:trPr>
          <w:trHeight w:val="124"/>
        </w:trPr>
        <w:tc>
          <w:tcPr>
            <w:tcW w:w="540" w:type="dxa"/>
            <w:vAlign w:val="bottom"/>
          </w:tcPr>
          <w:p>
            <w:pPr>
              <w:ind w:left="20"/>
              <w:spacing w:after="0"/>
              <w:rPr>
                <w:sz w:val="20"/>
                <w:szCs w:val="20"/>
                <w:color w:val="auto"/>
              </w:rPr>
            </w:pPr>
            <w:r>
              <w:rPr>
                <w:rFonts w:ascii="Arial" w:cs="Arial" w:eastAsia="Arial" w:hAnsi="Arial"/>
                <w:sz w:val="8"/>
                <w:szCs w:val="8"/>
                <w:b w:val="1"/>
                <w:bCs w:val="1"/>
                <w:color w:val="D60011"/>
              </w:rPr>
              <w:t>Page</w:t>
            </w: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Annual Incentive</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04/12/21</w:t>
            </w:r>
            <w:r>
              <w:rPr>
                <w:rFonts w:ascii="Arial" w:cs="Arial" w:eastAsia="Arial" w:hAnsi="Arial"/>
                <w:sz w:val="13"/>
                <w:szCs w:val="13"/>
                <w:color w:val="auto"/>
                <w:vertAlign w:val="superscript"/>
              </w:rPr>
              <w:t>(1)</w:t>
            </w:r>
          </w:p>
        </w:tc>
        <w:tc>
          <w:tcPr>
            <w:tcW w:w="720" w:type="dxa"/>
            <w:vAlign w:val="bottom"/>
            <w:tcBorders>
              <w:bottom w:val="single" w:sz="8" w:color="CCCCCC"/>
            </w:tcBorders>
          </w:tcPr>
          <w:p>
            <w:pPr>
              <w:jc w:val="right"/>
              <w:ind w:right="118"/>
              <w:spacing w:after="0"/>
              <w:rPr>
                <w:sz w:val="20"/>
                <w:szCs w:val="20"/>
                <w:color w:val="auto"/>
              </w:rPr>
            </w:pPr>
            <w:r>
              <w:rPr>
                <w:rFonts w:ascii="Arial" w:cs="Arial" w:eastAsia="Arial" w:hAnsi="Arial"/>
                <w:sz w:val="8"/>
                <w:szCs w:val="8"/>
                <w:color w:val="auto"/>
              </w:rPr>
              <w:t>93,198</w:t>
            </w:r>
          </w:p>
        </w:tc>
        <w:tc>
          <w:tcPr>
            <w:tcW w:w="700" w:type="dxa"/>
            <w:vAlign w:val="bottom"/>
            <w:tcBorders>
              <w:bottom w:val="single" w:sz="8" w:color="CCCCCC"/>
            </w:tcBorders>
          </w:tcPr>
          <w:p>
            <w:pPr>
              <w:jc w:val="right"/>
              <w:ind w:right="138"/>
              <w:spacing w:after="0"/>
              <w:rPr>
                <w:sz w:val="20"/>
                <w:szCs w:val="20"/>
                <w:color w:val="auto"/>
              </w:rPr>
            </w:pPr>
            <w:r>
              <w:rPr>
                <w:rFonts w:ascii="Arial" w:cs="Arial" w:eastAsia="Arial" w:hAnsi="Arial"/>
                <w:sz w:val="8"/>
                <w:szCs w:val="8"/>
                <w:color w:val="auto"/>
              </w:rPr>
              <w:t>372,791</w:t>
            </w:r>
          </w:p>
        </w:tc>
        <w:tc>
          <w:tcPr>
            <w:tcW w:w="62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8"/>
                <w:szCs w:val="8"/>
                <w:color w:val="auto"/>
              </w:rPr>
              <w:t>745,582</w:t>
            </w: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PSU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04/12/21</w:t>
            </w:r>
            <w:r>
              <w:rPr>
                <w:rFonts w:ascii="Arial" w:cs="Arial" w:eastAsia="Arial" w:hAnsi="Arial"/>
                <w:sz w:val="13"/>
                <w:szCs w:val="13"/>
                <w:color w:val="auto"/>
                <w:vertAlign w:val="superscript"/>
              </w:rPr>
              <w:t>(2)</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jc w:val="right"/>
              <w:ind w:right="158"/>
              <w:spacing w:after="0"/>
              <w:rPr>
                <w:sz w:val="20"/>
                <w:szCs w:val="20"/>
                <w:color w:val="auto"/>
              </w:rPr>
            </w:pPr>
            <w:r>
              <w:rPr>
                <w:rFonts w:ascii="Arial" w:cs="Arial" w:eastAsia="Arial" w:hAnsi="Arial"/>
                <w:sz w:val="8"/>
                <w:szCs w:val="8"/>
                <w:color w:val="auto"/>
              </w:rPr>
              <w:t>933</w:t>
            </w:r>
          </w:p>
        </w:tc>
        <w:tc>
          <w:tcPr>
            <w:tcW w:w="54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3,730</w:t>
            </w:r>
          </w:p>
        </w:tc>
        <w:tc>
          <w:tcPr>
            <w:tcW w:w="680" w:type="dxa"/>
            <w:vAlign w:val="bottom"/>
            <w:tcBorders>
              <w:bottom w:val="single" w:sz="8" w:color="CCCCCC"/>
            </w:tcBorders>
            <w:gridSpan w:val="2"/>
          </w:tcPr>
          <w:p>
            <w:pPr>
              <w:jc w:val="right"/>
              <w:ind w:right="80"/>
              <w:spacing w:after="0"/>
              <w:rPr>
                <w:sz w:val="20"/>
                <w:szCs w:val="20"/>
                <w:color w:val="auto"/>
              </w:rPr>
            </w:pPr>
            <w:r>
              <w:rPr>
                <w:rFonts w:ascii="Arial" w:cs="Arial" w:eastAsia="Arial" w:hAnsi="Arial"/>
                <w:sz w:val="8"/>
                <w:szCs w:val="8"/>
                <w:color w:val="auto"/>
              </w:rPr>
              <w:t>7,460</w:t>
            </w: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222,793</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PSU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04/12/21</w:t>
            </w:r>
            <w:r>
              <w:rPr>
                <w:rFonts w:ascii="Arial" w:cs="Arial" w:eastAsia="Arial" w:hAnsi="Arial"/>
                <w:sz w:val="13"/>
                <w:szCs w:val="13"/>
                <w:color w:val="auto"/>
                <w:vertAlign w:val="superscript"/>
              </w:rPr>
              <w:t>(2)</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jc w:val="right"/>
              <w:ind w:right="158"/>
              <w:spacing w:after="0"/>
              <w:rPr>
                <w:sz w:val="20"/>
                <w:szCs w:val="20"/>
                <w:color w:val="auto"/>
              </w:rPr>
            </w:pPr>
            <w:r>
              <w:rPr>
                <w:rFonts w:ascii="Arial" w:cs="Arial" w:eastAsia="Arial" w:hAnsi="Arial"/>
                <w:sz w:val="8"/>
                <w:szCs w:val="8"/>
                <w:color w:val="auto"/>
              </w:rPr>
              <w:t>2,091</w:t>
            </w:r>
          </w:p>
        </w:tc>
        <w:tc>
          <w:tcPr>
            <w:tcW w:w="54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8,363</w:t>
            </w:r>
          </w:p>
        </w:tc>
        <w:tc>
          <w:tcPr>
            <w:tcW w:w="680" w:type="dxa"/>
            <w:vAlign w:val="bottom"/>
            <w:tcBorders>
              <w:bottom w:val="single" w:sz="8" w:color="CCCCCC"/>
            </w:tcBorders>
            <w:gridSpan w:val="2"/>
          </w:tcPr>
          <w:p>
            <w:pPr>
              <w:jc w:val="right"/>
              <w:ind w:right="80"/>
              <w:spacing w:after="0"/>
              <w:rPr>
                <w:sz w:val="20"/>
                <w:szCs w:val="20"/>
                <w:color w:val="auto"/>
              </w:rPr>
            </w:pPr>
            <w:r>
              <w:rPr>
                <w:rFonts w:ascii="Arial" w:cs="Arial" w:eastAsia="Arial" w:hAnsi="Arial"/>
                <w:sz w:val="8"/>
                <w:szCs w:val="8"/>
                <w:color w:val="auto"/>
              </w:rPr>
              <w:t>16,726</w:t>
            </w: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499,522</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Stock Option</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04/13/21</w:t>
            </w:r>
            <w:r>
              <w:rPr>
                <w:rFonts w:ascii="Arial" w:cs="Arial" w:eastAsia="Arial" w:hAnsi="Arial"/>
                <w:sz w:val="13"/>
                <w:szCs w:val="13"/>
                <w:color w:val="auto"/>
                <w:vertAlign w:val="superscript"/>
              </w:rPr>
              <w:t>(3)</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8,333</w:t>
            </w:r>
          </w:p>
        </w:tc>
        <w:tc>
          <w:tcPr>
            <w:tcW w:w="1420" w:type="dxa"/>
            <w:vAlign w:val="bottom"/>
            <w:tcBorders>
              <w:bottom w:val="single" w:sz="8" w:color="CCCCCC"/>
            </w:tcBorders>
          </w:tcPr>
          <w:p>
            <w:pPr>
              <w:jc w:val="right"/>
              <w:ind w:right="338"/>
              <w:spacing w:after="0"/>
              <w:rPr>
                <w:sz w:val="20"/>
                <w:szCs w:val="20"/>
                <w:color w:val="auto"/>
              </w:rPr>
            </w:pPr>
            <w:r>
              <w:rPr>
                <w:rFonts w:ascii="Arial" w:cs="Arial" w:eastAsia="Arial" w:hAnsi="Arial"/>
                <w:sz w:val="8"/>
                <w:szCs w:val="8"/>
                <w:color w:val="auto"/>
              </w:rPr>
              <w:t>58.25</w:t>
            </w: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184,493</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04/12/21</w:t>
            </w:r>
            <w:r>
              <w:rPr>
                <w:rFonts w:ascii="Arial" w:cs="Arial" w:eastAsia="Arial" w:hAnsi="Arial"/>
                <w:sz w:val="13"/>
                <w:szCs w:val="13"/>
                <w:color w:val="auto"/>
                <w:vertAlign w:val="superscript"/>
              </w:rPr>
              <w:t>(4)</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jc w:val="right"/>
              <w:ind w:right="78"/>
              <w:spacing w:after="0"/>
              <w:rPr>
                <w:sz w:val="20"/>
                <w:szCs w:val="20"/>
                <w:color w:val="auto"/>
              </w:rPr>
            </w:pPr>
            <w:r>
              <w:rPr>
                <w:rFonts w:ascii="Arial" w:cs="Arial" w:eastAsia="Arial" w:hAnsi="Arial"/>
                <w:sz w:val="8"/>
                <w:szCs w:val="8"/>
                <w:color w:val="auto"/>
              </w:rPr>
              <w:t>12,557</w:t>
            </w: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750,030</w:t>
            </w:r>
          </w:p>
        </w:tc>
        <w:tc>
          <w:tcPr>
            <w:tcW w:w="0" w:type="dxa"/>
            <w:vAlign w:val="bottom"/>
          </w:tcPr>
          <w:p>
            <w:pPr>
              <w:spacing w:after="0"/>
              <w:rPr>
                <w:sz w:val="1"/>
                <w:szCs w:val="1"/>
                <w:color w:val="auto"/>
              </w:rPr>
            </w:pPr>
          </w:p>
        </w:tc>
      </w:tr>
      <w:tr>
        <w:trPr>
          <w:trHeight w:val="124"/>
        </w:trPr>
        <w:tc>
          <w:tcPr>
            <w:tcW w:w="540" w:type="dxa"/>
            <w:vAlign w:val="bottom"/>
            <w:tcBorders>
              <w:bottom w:val="single" w:sz="8" w:color="E31F25"/>
            </w:tcBorders>
          </w:tcPr>
          <w:p>
            <w:pPr>
              <w:spacing w:after="0"/>
              <w:rPr>
                <w:sz w:val="10"/>
                <w:szCs w:val="10"/>
                <w:color w:val="auto"/>
              </w:rPr>
            </w:pPr>
          </w:p>
        </w:tc>
        <w:tc>
          <w:tcPr>
            <w:tcW w:w="360" w:type="dxa"/>
            <w:vAlign w:val="bottom"/>
            <w:tcBorders>
              <w:bottom w:val="single" w:sz="8" w:color="E31F25"/>
            </w:tcBorders>
          </w:tcPr>
          <w:p>
            <w:pPr>
              <w:spacing w:after="0"/>
              <w:rPr>
                <w:sz w:val="10"/>
                <w:szCs w:val="10"/>
                <w:color w:val="auto"/>
              </w:rPr>
            </w:pPr>
          </w:p>
        </w:tc>
        <w:tc>
          <w:tcPr>
            <w:tcW w:w="880" w:type="dxa"/>
            <w:vAlign w:val="bottom"/>
            <w:tcBorders>
              <w:bottom w:val="single" w:sz="8" w:color="E31F25"/>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E31F25"/>
            </w:tcBorders>
          </w:tcPr>
          <w:p>
            <w:pPr>
              <w:ind w:left="260"/>
              <w:spacing w:after="0" w:line="124" w:lineRule="exact"/>
              <w:rPr>
                <w:sz w:val="20"/>
                <w:szCs w:val="20"/>
                <w:color w:val="auto"/>
              </w:rPr>
            </w:pPr>
            <w:r>
              <w:rPr>
                <w:rFonts w:ascii="Arial" w:cs="Arial" w:eastAsia="Arial" w:hAnsi="Arial"/>
                <w:sz w:val="8"/>
                <w:szCs w:val="8"/>
                <w:color w:val="auto"/>
              </w:rPr>
              <w:t>04/13/21</w:t>
            </w:r>
            <w:r>
              <w:rPr>
                <w:rFonts w:ascii="Arial" w:cs="Arial" w:eastAsia="Arial" w:hAnsi="Arial"/>
                <w:sz w:val="13"/>
                <w:szCs w:val="13"/>
                <w:color w:val="auto"/>
                <w:vertAlign w:val="superscript"/>
              </w:rPr>
              <w:t>(4)</w:t>
            </w:r>
          </w:p>
        </w:tc>
        <w:tc>
          <w:tcPr>
            <w:tcW w:w="720" w:type="dxa"/>
            <w:vAlign w:val="bottom"/>
            <w:tcBorders>
              <w:bottom w:val="single" w:sz="8" w:color="E31F25"/>
            </w:tcBorders>
          </w:tcPr>
          <w:p>
            <w:pPr>
              <w:spacing w:after="0"/>
              <w:rPr>
                <w:sz w:val="10"/>
                <w:szCs w:val="10"/>
                <w:color w:val="auto"/>
              </w:rPr>
            </w:pPr>
          </w:p>
        </w:tc>
        <w:tc>
          <w:tcPr>
            <w:tcW w:w="700" w:type="dxa"/>
            <w:vAlign w:val="bottom"/>
            <w:tcBorders>
              <w:bottom w:val="single" w:sz="8" w:color="E31F25"/>
            </w:tcBorders>
          </w:tcPr>
          <w:p>
            <w:pPr>
              <w:spacing w:after="0"/>
              <w:rPr>
                <w:sz w:val="10"/>
                <w:szCs w:val="10"/>
                <w:color w:val="auto"/>
              </w:rPr>
            </w:pPr>
          </w:p>
        </w:tc>
        <w:tc>
          <w:tcPr>
            <w:tcW w:w="500" w:type="dxa"/>
            <w:vAlign w:val="bottom"/>
            <w:tcBorders>
              <w:bottom w:val="single" w:sz="8" w:color="E31F25"/>
            </w:tcBorders>
          </w:tcPr>
          <w:p>
            <w:pPr>
              <w:spacing w:after="0"/>
              <w:rPr>
                <w:sz w:val="10"/>
                <w:szCs w:val="10"/>
                <w:color w:val="auto"/>
              </w:rPr>
            </w:pPr>
          </w:p>
        </w:tc>
        <w:tc>
          <w:tcPr>
            <w:tcW w:w="12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spacing w:after="0"/>
              <w:rPr>
                <w:sz w:val="10"/>
                <w:szCs w:val="10"/>
                <w:color w:val="auto"/>
              </w:rPr>
            </w:pPr>
          </w:p>
        </w:tc>
        <w:tc>
          <w:tcPr>
            <w:tcW w:w="540" w:type="dxa"/>
            <w:vAlign w:val="bottom"/>
            <w:tcBorders>
              <w:bottom w:val="single" w:sz="8" w:color="E31F25"/>
            </w:tcBorders>
          </w:tcPr>
          <w:p>
            <w:pPr>
              <w:spacing w:after="0"/>
              <w:rPr>
                <w:sz w:val="10"/>
                <w:szCs w:val="10"/>
                <w:color w:val="auto"/>
              </w:rPr>
            </w:pPr>
          </w:p>
        </w:tc>
        <w:tc>
          <w:tcPr>
            <w:tcW w:w="600" w:type="dxa"/>
            <w:vAlign w:val="bottom"/>
            <w:tcBorders>
              <w:bottom w:val="single" w:sz="8" w:color="E31F25"/>
            </w:tcBorders>
          </w:tcPr>
          <w:p>
            <w:pPr>
              <w:spacing w:after="0"/>
              <w:rPr>
                <w:sz w:val="10"/>
                <w:szCs w:val="10"/>
                <w:color w:val="auto"/>
              </w:rPr>
            </w:pPr>
          </w:p>
        </w:tc>
        <w:tc>
          <w:tcPr>
            <w:tcW w:w="80" w:type="dxa"/>
            <w:vAlign w:val="bottom"/>
            <w:tcBorders>
              <w:bottom w:val="single" w:sz="8" w:color="E31F25"/>
            </w:tcBorders>
          </w:tcPr>
          <w:p>
            <w:pPr>
              <w:spacing w:after="0"/>
              <w:rPr>
                <w:sz w:val="10"/>
                <w:szCs w:val="10"/>
                <w:color w:val="auto"/>
              </w:rPr>
            </w:pPr>
          </w:p>
        </w:tc>
        <w:tc>
          <w:tcPr>
            <w:tcW w:w="1160" w:type="dxa"/>
            <w:vAlign w:val="bottom"/>
            <w:tcBorders>
              <w:bottom w:val="single" w:sz="8" w:color="E31F25"/>
            </w:tcBorders>
          </w:tcPr>
          <w:p>
            <w:pPr>
              <w:jc w:val="right"/>
              <w:ind w:right="78"/>
              <w:spacing w:after="0"/>
              <w:rPr>
                <w:sz w:val="20"/>
                <w:szCs w:val="20"/>
                <w:color w:val="auto"/>
              </w:rPr>
            </w:pPr>
            <w:r>
              <w:rPr>
                <w:rFonts w:ascii="Arial" w:cs="Arial" w:eastAsia="Arial" w:hAnsi="Arial"/>
                <w:sz w:val="8"/>
                <w:szCs w:val="8"/>
                <w:color w:val="auto"/>
              </w:rPr>
              <w:t>3,168</w:t>
            </w:r>
          </w:p>
        </w:tc>
        <w:tc>
          <w:tcPr>
            <w:tcW w:w="1080" w:type="dxa"/>
            <w:vAlign w:val="bottom"/>
            <w:tcBorders>
              <w:bottom w:val="single" w:sz="8" w:color="E31F25"/>
            </w:tcBorders>
          </w:tcPr>
          <w:p>
            <w:pPr>
              <w:spacing w:after="0"/>
              <w:rPr>
                <w:sz w:val="10"/>
                <w:szCs w:val="10"/>
                <w:color w:val="auto"/>
              </w:rPr>
            </w:pPr>
          </w:p>
        </w:tc>
        <w:tc>
          <w:tcPr>
            <w:tcW w:w="1420" w:type="dxa"/>
            <w:vAlign w:val="bottom"/>
            <w:tcBorders>
              <w:bottom w:val="single" w:sz="8" w:color="E31F25"/>
            </w:tcBorders>
          </w:tcPr>
          <w:p>
            <w:pPr>
              <w:spacing w:after="0"/>
              <w:rPr>
                <w:sz w:val="10"/>
                <w:szCs w:val="10"/>
                <w:color w:val="auto"/>
              </w:rPr>
            </w:pPr>
          </w:p>
        </w:tc>
        <w:tc>
          <w:tcPr>
            <w:tcW w:w="640" w:type="dxa"/>
            <w:vAlign w:val="bottom"/>
            <w:tcBorders>
              <w:bottom w:val="single" w:sz="8" w:color="E31F25"/>
            </w:tcBorders>
          </w:tcPr>
          <w:p>
            <w:pPr>
              <w:jc w:val="right"/>
              <w:spacing w:after="0"/>
              <w:rPr>
                <w:sz w:val="20"/>
                <w:szCs w:val="20"/>
                <w:color w:val="auto"/>
              </w:rPr>
            </w:pPr>
            <w:r>
              <w:rPr>
                <w:rFonts w:ascii="Arial" w:cs="Arial" w:eastAsia="Arial" w:hAnsi="Arial"/>
                <w:sz w:val="8"/>
                <w:szCs w:val="8"/>
                <w:color w:val="auto"/>
              </w:rPr>
              <w:t>184,536</w:t>
            </w:r>
          </w:p>
        </w:tc>
        <w:tc>
          <w:tcPr>
            <w:tcW w:w="0" w:type="dxa"/>
            <w:vAlign w:val="bottom"/>
          </w:tcPr>
          <w:p>
            <w:pPr>
              <w:spacing w:after="0"/>
              <w:rPr>
                <w:sz w:val="1"/>
                <w:szCs w:val="1"/>
                <w:color w:val="auto"/>
              </w:rPr>
            </w:pPr>
          </w:p>
        </w:tc>
      </w:tr>
      <w:tr>
        <w:trPr>
          <w:trHeight w:val="124"/>
        </w:trPr>
        <w:tc>
          <w:tcPr>
            <w:tcW w:w="540" w:type="dxa"/>
            <w:vAlign w:val="bottom"/>
          </w:tcPr>
          <w:p>
            <w:pPr>
              <w:ind w:left="20"/>
              <w:spacing w:after="0"/>
              <w:rPr>
                <w:sz w:val="20"/>
                <w:szCs w:val="20"/>
                <w:color w:val="auto"/>
              </w:rPr>
            </w:pPr>
            <w:r>
              <w:rPr>
                <w:rFonts w:ascii="Arial" w:cs="Arial" w:eastAsia="Arial" w:hAnsi="Arial"/>
                <w:sz w:val="8"/>
                <w:szCs w:val="8"/>
                <w:b w:val="1"/>
                <w:bCs w:val="1"/>
                <w:color w:val="D60011"/>
              </w:rPr>
              <w:t>Bracken</w:t>
            </w: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Annual Incentive</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(1)</w:t>
            </w:r>
          </w:p>
        </w:tc>
        <w:tc>
          <w:tcPr>
            <w:tcW w:w="720" w:type="dxa"/>
            <w:vAlign w:val="bottom"/>
            <w:tcBorders>
              <w:bottom w:val="single" w:sz="8" w:color="CCCCCC"/>
            </w:tcBorders>
          </w:tcPr>
          <w:p>
            <w:pPr>
              <w:jc w:val="right"/>
              <w:ind w:right="118"/>
              <w:spacing w:after="0"/>
              <w:rPr>
                <w:sz w:val="20"/>
                <w:szCs w:val="20"/>
                <w:color w:val="auto"/>
              </w:rPr>
            </w:pPr>
            <w:r>
              <w:rPr>
                <w:rFonts w:ascii="Arial" w:cs="Arial" w:eastAsia="Arial" w:hAnsi="Arial"/>
                <w:sz w:val="8"/>
                <w:szCs w:val="8"/>
                <w:color w:val="auto"/>
              </w:rPr>
              <w:t>131,349</w:t>
            </w:r>
          </w:p>
        </w:tc>
        <w:tc>
          <w:tcPr>
            <w:tcW w:w="700" w:type="dxa"/>
            <w:vAlign w:val="bottom"/>
            <w:tcBorders>
              <w:bottom w:val="single" w:sz="8" w:color="CCCCCC"/>
            </w:tcBorders>
          </w:tcPr>
          <w:p>
            <w:pPr>
              <w:jc w:val="right"/>
              <w:ind w:right="138"/>
              <w:spacing w:after="0"/>
              <w:rPr>
                <w:sz w:val="20"/>
                <w:szCs w:val="20"/>
                <w:color w:val="auto"/>
              </w:rPr>
            </w:pPr>
            <w:r>
              <w:rPr>
                <w:rFonts w:ascii="Arial" w:cs="Arial" w:eastAsia="Arial" w:hAnsi="Arial"/>
                <w:sz w:val="8"/>
                <w:szCs w:val="8"/>
                <w:color w:val="auto"/>
              </w:rPr>
              <w:t>525,398</w:t>
            </w:r>
          </w:p>
        </w:tc>
        <w:tc>
          <w:tcPr>
            <w:tcW w:w="62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8"/>
                <w:szCs w:val="8"/>
                <w:color w:val="auto"/>
              </w:rPr>
              <w:t>1,050,795</w:t>
            </w: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PSU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(2)</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jc w:val="right"/>
              <w:ind w:right="158"/>
              <w:spacing w:after="0"/>
              <w:rPr>
                <w:sz w:val="20"/>
                <w:szCs w:val="20"/>
                <w:color w:val="auto"/>
              </w:rPr>
            </w:pPr>
            <w:r>
              <w:rPr>
                <w:rFonts w:ascii="Arial" w:cs="Arial" w:eastAsia="Arial" w:hAnsi="Arial"/>
                <w:sz w:val="8"/>
                <w:szCs w:val="8"/>
                <w:color w:val="auto"/>
              </w:rPr>
              <w:t>2,787</w:t>
            </w:r>
          </w:p>
        </w:tc>
        <w:tc>
          <w:tcPr>
            <w:tcW w:w="54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11,148</w:t>
            </w:r>
          </w:p>
        </w:tc>
        <w:tc>
          <w:tcPr>
            <w:tcW w:w="680" w:type="dxa"/>
            <w:vAlign w:val="bottom"/>
            <w:tcBorders>
              <w:bottom w:val="single" w:sz="8" w:color="CCCCCC"/>
            </w:tcBorders>
            <w:gridSpan w:val="2"/>
          </w:tcPr>
          <w:p>
            <w:pPr>
              <w:jc w:val="right"/>
              <w:ind w:right="80"/>
              <w:spacing w:after="0"/>
              <w:rPr>
                <w:sz w:val="20"/>
                <w:szCs w:val="20"/>
                <w:color w:val="auto"/>
              </w:rPr>
            </w:pPr>
            <w:r>
              <w:rPr>
                <w:rFonts w:ascii="Arial" w:cs="Arial" w:eastAsia="Arial" w:hAnsi="Arial"/>
                <w:sz w:val="8"/>
                <w:szCs w:val="8"/>
                <w:color w:val="auto"/>
              </w:rPr>
              <w:t>22,296</w:t>
            </w: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597,643</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Stock Option</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(3)</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9,895</w:t>
            </w:r>
          </w:p>
        </w:tc>
        <w:tc>
          <w:tcPr>
            <w:tcW w:w="1420" w:type="dxa"/>
            <w:vAlign w:val="bottom"/>
            <w:tcBorders>
              <w:bottom w:val="single" w:sz="8" w:color="CCCCCC"/>
            </w:tcBorders>
          </w:tcPr>
          <w:p>
            <w:pPr>
              <w:jc w:val="right"/>
              <w:ind w:right="338"/>
              <w:spacing w:after="0"/>
              <w:rPr>
                <w:sz w:val="20"/>
                <w:szCs w:val="20"/>
                <w:color w:val="auto"/>
              </w:rPr>
            </w:pPr>
            <w:r>
              <w:rPr>
                <w:rFonts w:ascii="Arial" w:cs="Arial" w:eastAsia="Arial" w:hAnsi="Arial"/>
                <w:sz w:val="8"/>
                <w:szCs w:val="8"/>
                <w:color w:val="auto"/>
              </w:rPr>
              <w:t>53.61</w:t>
            </w: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199,186</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(4)</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jc w:val="right"/>
              <w:ind w:right="78"/>
              <w:spacing w:after="0"/>
              <w:rPr>
                <w:sz w:val="20"/>
                <w:szCs w:val="20"/>
                <w:color w:val="auto"/>
              </w:rPr>
            </w:pPr>
            <w:r>
              <w:rPr>
                <w:rFonts w:ascii="Arial" w:cs="Arial" w:eastAsia="Arial" w:hAnsi="Arial"/>
                <w:sz w:val="8"/>
                <w:szCs w:val="8"/>
                <w:color w:val="auto"/>
              </w:rPr>
              <w:t>3,716</w:t>
            </w: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199,215</w:t>
            </w:r>
          </w:p>
        </w:tc>
        <w:tc>
          <w:tcPr>
            <w:tcW w:w="0" w:type="dxa"/>
            <w:vAlign w:val="bottom"/>
          </w:tcPr>
          <w:p>
            <w:pPr>
              <w:spacing w:after="0"/>
              <w:rPr>
                <w:sz w:val="1"/>
                <w:szCs w:val="1"/>
                <w:color w:val="auto"/>
              </w:rPr>
            </w:pPr>
          </w:p>
        </w:tc>
      </w:tr>
      <w:tr>
        <w:trPr>
          <w:trHeight w:val="124"/>
        </w:trPr>
        <w:tc>
          <w:tcPr>
            <w:tcW w:w="540" w:type="dxa"/>
            <w:vAlign w:val="bottom"/>
            <w:tcBorders>
              <w:bottom w:val="single" w:sz="8" w:color="E31F25"/>
            </w:tcBorders>
          </w:tcPr>
          <w:p>
            <w:pPr>
              <w:spacing w:after="0"/>
              <w:rPr>
                <w:sz w:val="10"/>
                <w:szCs w:val="10"/>
                <w:color w:val="auto"/>
              </w:rPr>
            </w:pPr>
          </w:p>
        </w:tc>
        <w:tc>
          <w:tcPr>
            <w:tcW w:w="360" w:type="dxa"/>
            <w:vAlign w:val="bottom"/>
            <w:tcBorders>
              <w:bottom w:val="single" w:sz="8" w:color="E31F25"/>
            </w:tcBorders>
          </w:tcPr>
          <w:p>
            <w:pPr>
              <w:spacing w:after="0"/>
              <w:rPr>
                <w:sz w:val="10"/>
                <w:szCs w:val="10"/>
                <w:color w:val="auto"/>
              </w:rPr>
            </w:pPr>
          </w:p>
        </w:tc>
        <w:tc>
          <w:tcPr>
            <w:tcW w:w="880" w:type="dxa"/>
            <w:vAlign w:val="bottom"/>
            <w:tcBorders>
              <w:bottom w:val="single" w:sz="8" w:color="E31F25"/>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E31F25"/>
            </w:tcBorders>
          </w:tcPr>
          <w:p>
            <w:pPr>
              <w:ind w:left="260"/>
              <w:spacing w:after="0" w:line="124" w:lineRule="exact"/>
              <w:rPr>
                <w:sz w:val="20"/>
                <w:szCs w:val="20"/>
                <w:color w:val="auto"/>
              </w:rPr>
            </w:pPr>
            <w:r>
              <w:rPr>
                <w:rFonts w:ascii="Arial" w:cs="Arial" w:eastAsia="Arial" w:hAnsi="Arial"/>
                <w:sz w:val="8"/>
                <w:szCs w:val="8"/>
                <w:color w:val="auto"/>
              </w:rPr>
              <w:t>11/16/21</w:t>
            </w:r>
            <w:r>
              <w:rPr>
                <w:rFonts w:ascii="Arial" w:cs="Arial" w:eastAsia="Arial" w:hAnsi="Arial"/>
                <w:sz w:val="13"/>
                <w:szCs w:val="13"/>
                <w:color w:val="auto"/>
                <w:vertAlign w:val="superscript"/>
              </w:rPr>
              <w:t>(4)</w:t>
            </w:r>
          </w:p>
        </w:tc>
        <w:tc>
          <w:tcPr>
            <w:tcW w:w="720" w:type="dxa"/>
            <w:vAlign w:val="bottom"/>
            <w:tcBorders>
              <w:bottom w:val="single" w:sz="8" w:color="E31F25"/>
            </w:tcBorders>
          </w:tcPr>
          <w:p>
            <w:pPr>
              <w:spacing w:after="0"/>
              <w:rPr>
                <w:sz w:val="10"/>
                <w:szCs w:val="10"/>
                <w:color w:val="auto"/>
              </w:rPr>
            </w:pPr>
          </w:p>
        </w:tc>
        <w:tc>
          <w:tcPr>
            <w:tcW w:w="700" w:type="dxa"/>
            <w:vAlign w:val="bottom"/>
            <w:tcBorders>
              <w:bottom w:val="single" w:sz="8" w:color="E31F25"/>
            </w:tcBorders>
          </w:tcPr>
          <w:p>
            <w:pPr>
              <w:spacing w:after="0"/>
              <w:rPr>
                <w:sz w:val="10"/>
                <w:szCs w:val="10"/>
                <w:color w:val="auto"/>
              </w:rPr>
            </w:pPr>
          </w:p>
        </w:tc>
        <w:tc>
          <w:tcPr>
            <w:tcW w:w="500" w:type="dxa"/>
            <w:vAlign w:val="bottom"/>
            <w:tcBorders>
              <w:bottom w:val="single" w:sz="8" w:color="E31F25"/>
            </w:tcBorders>
          </w:tcPr>
          <w:p>
            <w:pPr>
              <w:spacing w:after="0"/>
              <w:rPr>
                <w:sz w:val="10"/>
                <w:szCs w:val="10"/>
                <w:color w:val="auto"/>
              </w:rPr>
            </w:pPr>
          </w:p>
        </w:tc>
        <w:tc>
          <w:tcPr>
            <w:tcW w:w="12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spacing w:after="0"/>
              <w:rPr>
                <w:sz w:val="10"/>
                <w:szCs w:val="10"/>
                <w:color w:val="auto"/>
              </w:rPr>
            </w:pPr>
          </w:p>
        </w:tc>
        <w:tc>
          <w:tcPr>
            <w:tcW w:w="540" w:type="dxa"/>
            <w:vAlign w:val="bottom"/>
            <w:tcBorders>
              <w:bottom w:val="single" w:sz="8" w:color="E31F25"/>
            </w:tcBorders>
          </w:tcPr>
          <w:p>
            <w:pPr>
              <w:spacing w:after="0"/>
              <w:rPr>
                <w:sz w:val="10"/>
                <w:szCs w:val="10"/>
                <w:color w:val="auto"/>
              </w:rPr>
            </w:pPr>
          </w:p>
        </w:tc>
        <w:tc>
          <w:tcPr>
            <w:tcW w:w="600" w:type="dxa"/>
            <w:vAlign w:val="bottom"/>
            <w:tcBorders>
              <w:bottom w:val="single" w:sz="8" w:color="E31F25"/>
            </w:tcBorders>
          </w:tcPr>
          <w:p>
            <w:pPr>
              <w:spacing w:after="0"/>
              <w:rPr>
                <w:sz w:val="10"/>
                <w:szCs w:val="10"/>
                <w:color w:val="auto"/>
              </w:rPr>
            </w:pPr>
          </w:p>
        </w:tc>
        <w:tc>
          <w:tcPr>
            <w:tcW w:w="80" w:type="dxa"/>
            <w:vAlign w:val="bottom"/>
            <w:tcBorders>
              <w:bottom w:val="single" w:sz="8" w:color="E31F25"/>
            </w:tcBorders>
          </w:tcPr>
          <w:p>
            <w:pPr>
              <w:spacing w:after="0"/>
              <w:rPr>
                <w:sz w:val="10"/>
                <w:szCs w:val="10"/>
                <w:color w:val="auto"/>
              </w:rPr>
            </w:pPr>
          </w:p>
        </w:tc>
        <w:tc>
          <w:tcPr>
            <w:tcW w:w="1160" w:type="dxa"/>
            <w:vAlign w:val="bottom"/>
            <w:tcBorders>
              <w:bottom w:val="single" w:sz="8" w:color="E31F25"/>
            </w:tcBorders>
          </w:tcPr>
          <w:p>
            <w:pPr>
              <w:jc w:val="right"/>
              <w:ind w:right="78"/>
              <w:spacing w:after="0"/>
              <w:rPr>
                <w:sz w:val="20"/>
                <w:szCs w:val="20"/>
                <w:color w:val="auto"/>
              </w:rPr>
            </w:pPr>
            <w:r>
              <w:rPr>
                <w:rFonts w:ascii="Arial" w:cs="Arial" w:eastAsia="Arial" w:hAnsi="Arial"/>
                <w:sz w:val="8"/>
                <w:szCs w:val="8"/>
                <w:color w:val="auto"/>
              </w:rPr>
              <w:t>10,661</w:t>
            </w:r>
          </w:p>
        </w:tc>
        <w:tc>
          <w:tcPr>
            <w:tcW w:w="1080" w:type="dxa"/>
            <w:vAlign w:val="bottom"/>
            <w:tcBorders>
              <w:bottom w:val="single" w:sz="8" w:color="E31F25"/>
            </w:tcBorders>
          </w:tcPr>
          <w:p>
            <w:pPr>
              <w:spacing w:after="0"/>
              <w:rPr>
                <w:sz w:val="10"/>
                <w:szCs w:val="10"/>
                <w:color w:val="auto"/>
              </w:rPr>
            </w:pPr>
          </w:p>
        </w:tc>
        <w:tc>
          <w:tcPr>
            <w:tcW w:w="1420" w:type="dxa"/>
            <w:vAlign w:val="bottom"/>
            <w:tcBorders>
              <w:bottom w:val="single" w:sz="8" w:color="E31F25"/>
            </w:tcBorders>
          </w:tcPr>
          <w:p>
            <w:pPr>
              <w:spacing w:after="0"/>
              <w:rPr>
                <w:sz w:val="10"/>
                <w:szCs w:val="10"/>
                <w:color w:val="auto"/>
              </w:rPr>
            </w:pPr>
          </w:p>
        </w:tc>
        <w:tc>
          <w:tcPr>
            <w:tcW w:w="640" w:type="dxa"/>
            <w:vAlign w:val="bottom"/>
            <w:tcBorders>
              <w:bottom w:val="single" w:sz="8" w:color="E31F25"/>
            </w:tcBorders>
          </w:tcPr>
          <w:p>
            <w:pPr>
              <w:jc w:val="right"/>
              <w:spacing w:after="0"/>
              <w:rPr>
                <w:sz w:val="20"/>
                <w:szCs w:val="20"/>
                <w:color w:val="auto"/>
              </w:rPr>
            </w:pPr>
            <w:r>
              <w:rPr>
                <w:rFonts w:ascii="Arial" w:cs="Arial" w:eastAsia="Arial" w:hAnsi="Arial"/>
                <w:sz w:val="8"/>
                <w:szCs w:val="8"/>
                <w:color w:val="auto"/>
              </w:rPr>
              <w:t>600,001</w:t>
            </w:r>
          </w:p>
        </w:tc>
        <w:tc>
          <w:tcPr>
            <w:tcW w:w="0" w:type="dxa"/>
            <w:vAlign w:val="bottom"/>
          </w:tcPr>
          <w:p>
            <w:pPr>
              <w:spacing w:after="0"/>
              <w:rPr>
                <w:sz w:val="1"/>
                <w:szCs w:val="1"/>
                <w:color w:val="auto"/>
              </w:rPr>
            </w:pPr>
          </w:p>
        </w:tc>
      </w:tr>
      <w:tr>
        <w:trPr>
          <w:trHeight w:val="124"/>
        </w:trPr>
        <w:tc>
          <w:tcPr>
            <w:tcW w:w="540" w:type="dxa"/>
            <w:vAlign w:val="bottom"/>
          </w:tcPr>
          <w:p>
            <w:pPr>
              <w:ind w:left="20"/>
              <w:spacing w:after="0"/>
              <w:rPr>
                <w:sz w:val="20"/>
                <w:szCs w:val="20"/>
                <w:color w:val="auto"/>
              </w:rPr>
            </w:pPr>
            <w:r>
              <w:rPr>
                <w:rFonts w:ascii="Arial" w:cs="Arial" w:eastAsia="Arial" w:hAnsi="Arial"/>
                <w:sz w:val="8"/>
                <w:szCs w:val="8"/>
                <w:b w:val="1"/>
                <w:bCs w:val="1"/>
                <w:color w:val="D60011"/>
              </w:rPr>
              <w:t>Martin</w:t>
            </w: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Annual Incentive</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(1)</w:t>
            </w:r>
          </w:p>
        </w:tc>
        <w:tc>
          <w:tcPr>
            <w:tcW w:w="720" w:type="dxa"/>
            <w:vAlign w:val="bottom"/>
            <w:tcBorders>
              <w:bottom w:val="single" w:sz="8" w:color="CCCCCC"/>
            </w:tcBorders>
          </w:tcPr>
          <w:p>
            <w:pPr>
              <w:jc w:val="right"/>
              <w:ind w:right="118"/>
              <w:spacing w:after="0"/>
              <w:rPr>
                <w:sz w:val="20"/>
                <w:szCs w:val="20"/>
                <w:color w:val="auto"/>
              </w:rPr>
            </w:pPr>
            <w:r>
              <w:rPr>
                <w:rFonts w:ascii="Arial" w:cs="Arial" w:eastAsia="Arial" w:hAnsi="Arial"/>
                <w:sz w:val="8"/>
                <w:szCs w:val="8"/>
                <w:color w:val="auto"/>
              </w:rPr>
              <w:t>114,627</w:t>
            </w:r>
          </w:p>
        </w:tc>
        <w:tc>
          <w:tcPr>
            <w:tcW w:w="700" w:type="dxa"/>
            <w:vAlign w:val="bottom"/>
            <w:tcBorders>
              <w:bottom w:val="single" w:sz="8" w:color="CCCCCC"/>
            </w:tcBorders>
          </w:tcPr>
          <w:p>
            <w:pPr>
              <w:jc w:val="right"/>
              <w:ind w:right="138"/>
              <w:spacing w:after="0"/>
              <w:rPr>
                <w:sz w:val="20"/>
                <w:szCs w:val="20"/>
                <w:color w:val="auto"/>
              </w:rPr>
            </w:pPr>
            <w:r>
              <w:rPr>
                <w:rFonts w:ascii="Arial" w:cs="Arial" w:eastAsia="Arial" w:hAnsi="Arial"/>
                <w:sz w:val="8"/>
                <w:szCs w:val="8"/>
                <w:color w:val="auto"/>
              </w:rPr>
              <w:t>458,507</w:t>
            </w:r>
          </w:p>
        </w:tc>
        <w:tc>
          <w:tcPr>
            <w:tcW w:w="62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8"/>
                <w:szCs w:val="8"/>
                <w:color w:val="auto"/>
              </w:rPr>
              <w:t>917,014</w:t>
            </w: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PSU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(2)</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jc w:val="right"/>
              <w:ind w:right="158"/>
              <w:spacing w:after="0"/>
              <w:rPr>
                <w:sz w:val="20"/>
                <w:szCs w:val="20"/>
                <w:color w:val="auto"/>
              </w:rPr>
            </w:pPr>
            <w:r>
              <w:rPr>
                <w:rFonts w:ascii="Arial" w:cs="Arial" w:eastAsia="Arial" w:hAnsi="Arial"/>
                <w:sz w:val="8"/>
                <w:szCs w:val="8"/>
                <w:color w:val="auto"/>
              </w:rPr>
              <w:t>2,725</w:t>
            </w:r>
          </w:p>
        </w:tc>
        <w:tc>
          <w:tcPr>
            <w:tcW w:w="54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10,899</w:t>
            </w:r>
          </w:p>
        </w:tc>
        <w:tc>
          <w:tcPr>
            <w:tcW w:w="680" w:type="dxa"/>
            <w:vAlign w:val="bottom"/>
            <w:tcBorders>
              <w:bottom w:val="single" w:sz="8" w:color="CCCCCC"/>
            </w:tcBorders>
            <w:gridSpan w:val="2"/>
          </w:tcPr>
          <w:p>
            <w:pPr>
              <w:jc w:val="right"/>
              <w:ind w:right="80"/>
              <w:spacing w:after="0"/>
              <w:rPr>
                <w:sz w:val="20"/>
                <w:szCs w:val="20"/>
                <w:color w:val="auto"/>
              </w:rPr>
            </w:pPr>
            <w:r>
              <w:rPr>
                <w:rFonts w:ascii="Arial" w:cs="Arial" w:eastAsia="Arial" w:hAnsi="Arial"/>
                <w:sz w:val="8"/>
                <w:szCs w:val="8"/>
                <w:color w:val="auto"/>
              </w:rPr>
              <w:t>21,797</w:t>
            </w: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584,295</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Stock Option</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(3)</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9,674</w:t>
            </w:r>
          </w:p>
        </w:tc>
        <w:tc>
          <w:tcPr>
            <w:tcW w:w="1420" w:type="dxa"/>
            <w:vAlign w:val="bottom"/>
            <w:tcBorders>
              <w:bottom w:val="single" w:sz="8" w:color="CCCCCC"/>
            </w:tcBorders>
          </w:tcPr>
          <w:p>
            <w:pPr>
              <w:jc w:val="right"/>
              <w:ind w:right="338"/>
              <w:spacing w:after="0"/>
              <w:rPr>
                <w:sz w:val="20"/>
                <w:szCs w:val="20"/>
                <w:color w:val="auto"/>
              </w:rPr>
            </w:pPr>
            <w:r>
              <w:rPr>
                <w:rFonts w:ascii="Arial" w:cs="Arial" w:eastAsia="Arial" w:hAnsi="Arial"/>
                <w:sz w:val="8"/>
                <w:szCs w:val="8"/>
                <w:color w:val="auto"/>
              </w:rPr>
              <w:t>53.61</w:t>
            </w: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194,738</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(4)</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jc w:val="right"/>
              <w:ind w:right="78"/>
              <w:spacing w:after="0"/>
              <w:rPr>
                <w:sz w:val="20"/>
                <w:szCs w:val="20"/>
                <w:color w:val="auto"/>
              </w:rPr>
            </w:pPr>
            <w:r>
              <w:rPr>
                <w:rFonts w:ascii="Arial" w:cs="Arial" w:eastAsia="Arial" w:hAnsi="Arial"/>
                <w:sz w:val="8"/>
                <w:szCs w:val="8"/>
                <w:color w:val="auto"/>
              </w:rPr>
              <w:t>3,633</w:t>
            </w: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194,765</w:t>
            </w:r>
          </w:p>
        </w:tc>
        <w:tc>
          <w:tcPr>
            <w:tcW w:w="0" w:type="dxa"/>
            <w:vAlign w:val="bottom"/>
          </w:tcPr>
          <w:p>
            <w:pPr>
              <w:spacing w:after="0"/>
              <w:rPr>
                <w:sz w:val="1"/>
                <w:szCs w:val="1"/>
                <w:color w:val="auto"/>
              </w:rPr>
            </w:pPr>
          </w:p>
        </w:tc>
      </w:tr>
      <w:tr>
        <w:trPr>
          <w:trHeight w:val="124"/>
        </w:trPr>
        <w:tc>
          <w:tcPr>
            <w:tcW w:w="540" w:type="dxa"/>
            <w:vAlign w:val="bottom"/>
            <w:tcBorders>
              <w:bottom w:val="single" w:sz="8" w:color="E31F25"/>
            </w:tcBorders>
          </w:tcPr>
          <w:p>
            <w:pPr>
              <w:spacing w:after="0"/>
              <w:rPr>
                <w:sz w:val="10"/>
                <w:szCs w:val="10"/>
                <w:color w:val="auto"/>
              </w:rPr>
            </w:pPr>
          </w:p>
        </w:tc>
        <w:tc>
          <w:tcPr>
            <w:tcW w:w="360" w:type="dxa"/>
            <w:vAlign w:val="bottom"/>
            <w:tcBorders>
              <w:bottom w:val="single" w:sz="8" w:color="E31F25"/>
            </w:tcBorders>
          </w:tcPr>
          <w:p>
            <w:pPr>
              <w:spacing w:after="0"/>
              <w:rPr>
                <w:sz w:val="10"/>
                <w:szCs w:val="10"/>
                <w:color w:val="auto"/>
              </w:rPr>
            </w:pPr>
          </w:p>
        </w:tc>
        <w:tc>
          <w:tcPr>
            <w:tcW w:w="880" w:type="dxa"/>
            <w:vAlign w:val="bottom"/>
            <w:tcBorders>
              <w:bottom w:val="single" w:sz="8" w:color="E31F25"/>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E31F25"/>
            </w:tcBorders>
          </w:tcPr>
          <w:p>
            <w:pPr>
              <w:ind w:left="260"/>
              <w:spacing w:after="0" w:line="124" w:lineRule="exact"/>
              <w:rPr>
                <w:sz w:val="20"/>
                <w:szCs w:val="20"/>
                <w:color w:val="auto"/>
              </w:rPr>
            </w:pPr>
            <w:r>
              <w:rPr>
                <w:rFonts w:ascii="Arial" w:cs="Arial" w:eastAsia="Arial" w:hAnsi="Arial"/>
                <w:sz w:val="8"/>
                <w:szCs w:val="8"/>
                <w:color w:val="auto"/>
              </w:rPr>
              <w:t>11/16/21</w:t>
            </w:r>
            <w:r>
              <w:rPr>
                <w:rFonts w:ascii="Arial" w:cs="Arial" w:eastAsia="Arial" w:hAnsi="Arial"/>
                <w:sz w:val="13"/>
                <w:szCs w:val="13"/>
                <w:color w:val="auto"/>
                <w:vertAlign w:val="superscript"/>
              </w:rPr>
              <w:t>(4)</w:t>
            </w:r>
          </w:p>
        </w:tc>
        <w:tc>
          <w:tcPr>
            <w:tcW w:w="720" w:type="dxa"/>
            <w:vAlign w:val="bottom"/>
            <w:tcBorders>
              <w:bottom w:val="single" w:sz="8" w:color="E31F25"/>
            </w:tcBorders>
          </w:tcPr>
          <w:p>
            <w:pPr>
              <w:spacing w:after="0"/>
              <w:rPr>
                <w:sz w:val="10"/>
                <w:szCs w:val="10"/>
                <w:color w:val="auto"/>
              </w:rPr>
            </w:pPr>
          </w:p>
        </w:tc>
        <w:tc>
          <w:tcPr>
            <w:tcW w:w="700" w:type="dxa"/>
            <w:vAlign w:val="bottom"/>
            <w:tcBorders>
              <w:bottom w:val="single" w:sz="8" w:color="E31F25"/>
            </w:tcBorders>
          </w:tcPr>
          <w:p>
            <w:pPr>
              <w:spacing w:after="0"/>
              <w:rPr>
                <w:sz w:val="10"/>
                <w:szCs w:val="10"/>
                <w:color w:val="auto"/>
              </w:rPr>
            </w:pPr>
          </w:p>
        </w:tc>
        <w:tc>
          <w:tcPr>
            <w:tcW w:w="500" w:type="dxa"/>
            <w:vAlign w:val="bottom"/>
            <w:tcBorders>
              <w:bottom w:val="single" w:sz="8" w:color="E31F25"/>
            </w:tcBorders>
          </w:tcPr>
          <w:p>
            <w:pPr>
              <w:spacing w:after="0"/>
              <w:rPr>
                <w:sz w:val="10"/>
                <w:szCs w:val="10"/>
                <w:color w:val="auto"/>
              </w:rPr>
            </w:pPr>
          </w:p>
        </w:tc>
        <w:tc>
          <w:tcPr>
            <w:tcW w:w="12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spacing w:after="0"/>
              <w:rPr>
                <w:sz w:val="10"/>
                <w:szCs w:val="10"/>
                <w:color w:val="auto"/>
              </w:rPr>
            </w:pPr>
          </w:p>
        </w:tc>
        <w:tc>
          <w:tcPr>
            <w:tcW w:w="540" w:type="dxa"/>
            <w:vAlign w:val="bottom"/>
            <w:tcBorders>
              <w:bottom w:val="single" w:sz="8" w:color="E31F25"/>
            </w:tcBorders>
          </w:tcPr>
          <w:p>
            <w:pPr>
              <w:spacing w:after="0"/>
              <w:rPr>
                <w:sz w:val="10"/>
                <w:szCs w:val="10"/>
                <w:color w:val="auto"/>
              </w:rPr>
            </w:pPr>
          </w:p>
        </w:tc>
        <w:tc>
          <w:tcPr>
            <w:tcW w:w="600" w:type="dxa"/>
            <w:vAlign w:val="bottom"/>
            <w:tcBorders>
              <w:bottom w:val="single" w:sz="8" w:color="E31F25"/>
            </w:tcBorders>
          </w:tcPr>
          <w:p>
            <w:pPr>
              <w:spacing w:after="0"/>
              <w:rPr>
                <w:sz w:val="10"/>
                <w:szCs w:val="10"/>
                <w:color w:val="auto"/>
              </w:rPr>
            </w:pPr>
          </w:p>
        </w:tc>
        <w:tc>
          <w:tcPr>
            <w:tcW w:w="80" w:type="dxa"/>
            <w:vAlign w:val="bottom"/>
            <w:tcBorders>
              <w:bottom w:val="single" w:sz="8" w:color="E31F25"/>
            </w:tcBorders>
          </w:tcPr>
          <w:p>
            <w:pPr>
              <w:spacing w:after="0"/>
              <w:rPr>
                <w:sz w:val="10"/>
                <w:szCs w:val="10"/>
                <w:color w:val="auto"/>
              </w:rPr>
            </w:pPr>
          </w:p>
        </w:tc>
        <w:tc>
          <w:tcPr>
            <w:tcW w:w="1160" w:type="dxa"/>
            <w:vAlign w:val="bottom"/>
            <w:tcBorders>
              <w:bottom w:val="single" w:sz="8" w:color="E31F25"/>
            </w:tcBorders>
          </w:tcPr>
          <w:p>
            <w:pPr>
              <w:jc w:val="right"/>
              <w:ind w:right="78"/>
              <w:spacing w:after="0"/>
              <w:rPr>
                <w:sz w:val="20"/>
                <w:szCs w:val="20"/>
                <w:color w:val="auto"/>
              </w:rPr>
            </w:pPr>
            <w:r>
              <w:rPr>
                <w:rFonts w:ascii="Arial" w:cs="Arial" w:eastAsia="Arial" w:hAnsi="Arial"/>
                <w:sz w:val="8"/>
                <w:szCs w:val="8"/>
                <w:color w:val="auto"/>
              </w:rPr>
              <w:t>3,554</w:t>
            </w:r>
          </w:p>
        </w:tc>
        <w:tc>
          <w:tcPr>
            <w:tcW w:w="1080" w:type="dxa"/>
            <w:vAlign w:val="bottom"/>
            <w:tcBorders>
              <w:bottom w:val="single" w:sz="8" w:color="E31F25"/>
            </w:tcBorders>
          </w:tcPr>
          <w:p>
            <w:pPr>
              <w:spacing w:after="0"/>
              <w:rPr>
                <w:sz w:val="10"/>
                <w:szCs w:val="10"/>
                <w:color w:val="auto"/>
              </w:rPr>
            </w:pPr>
          </w:p>
        </w:tc>
        <w:tc>
          <w:tcPr>
            <w:tcW w:w="1420" w:type="dxa"/>
            <w:vAlign w:val="bottom"/>
            <w:tcBorders>
              <w:bottom w:val="single" w:sz="8" w:color="E31F25"/>
            </w:tcBorders>
          </w:tcPr>
          <w:p>
            <w:pPr>
              <w:spacing w:after="0"/>
              <w:rPr>
                <w:sz w:val="10"/>
                <w:szCs w:val="10"/>
                <w:color w:val="auto"/>
              </w:rPr>
            </w:pPr>
          </w:p>
        </w:tc>
        <w:tc>
          <w:tcPr>
            <w:tcW w:w="640" w:type="dxa"/>
            <w:vAlign w:val="bottom"/>
            <w:tcBorders>
              <w:bottom w:val="single" w:sz="8" w:color="E31F25"/>
            </w:tcBorders>
          </w:tcPr>
          <w:p>
            <w:pPr>
              <w:jc w:val="right"/>
              <w:spacing w:after="0"/>
              <w:rPr>
                <w:sz w:val="20"/>
                <w:szCs w:val="20"/>
                <w:color w:val="auto"/>
              </w:rPr>
            </w:pPr>
            <w:r>
              <w:rPr>
                <w:rFonts w:ascii="Arial" w:cs="Arial" w:eastAsia="Arial" w:hAnsi="Arial"/>
                <w:sz w:val="8"/>
                <w:szCs w:val="8"/>
                <w:color w:val="auto"/>
              </w:rPr>
              <w:t>200,019</w:t>
            </w:r>
          </w:p>
        </w:tc>
        <w:tc>
          <w:tcPr>
            <w:tcW w:w="0" w:type="dxa"/>
            <w:vAlign w:val="bottom"/>
          </w:tcPr>
          <w:p>
            <w:pPr>
              <w:spacing w:after="0"/>
              <w:rPr>
                <w:sz w:val="1"/>
                <w:szCs w:val="1"/>
                <w:color w:val="auto"/>
              </w:rPr>
            </w:pPr>
          </w:p>
        </w:tc>
      </w:tr>
      <w:tr>
        <w:trPr>
          <w:trHeight w:val="124"/>
        </w:trPr>
        <w:tc>
          <w:tcPr>
            <w:tcW w:w="540" w:type="dxa"/>
            <w:vAlign w:val="bottom"/>
          </w:tcPr>
          <w:p>
            <w:pPr>
              <w:ind w:left="20"/>
              <w:spacing w:after="0"/>
              <w:rPr>
                <w:sz w:val="20"/>
                <w:szCs w:val="20"/>
                <w:color w:val="auto"/>
              </w:rPr>
            </w:pPr>
            <w:r>
              <w:rPr>
                <w:rFonts w:ascii="Arial" w:cs="Arial" w:eastAsia="Arial" w:hAnsi="Arial"/>
                <w:sz w:val="8"/>
                <w:szCs w:val="8"/>
                <w:b w:val="1"/>
                <w:bCs w:val="1"/>
                <w:color w:val="D60011"/>
              </w:rPr>
              <w:t>Gray</w:t>
            </w: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Annual Incentive</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(1)</w:t>
            </w:r>
          </w:p>
        </w:tc>
        <w:tc>
          <w:tcPr>
            <w:tcW w:w="720" w:type="dxa"/>
            <w:vAlign w:val="bottom"/>
            <w:tcBorders>
              <w:bottom w:val="single" w:sz="8" w:color="CCCCCC"/>
            </w:tcBorders>
          </w:tcPr>
          <w:p>
            <w:pPr>
              <w:jc w:val="right"/>
              <w:ind w:right="118"/>
              <w:spacing w:after="0"/>
              <w:rPr>
                <w:sz w:val="20"/>
                <w:szCs w:val="20"/>
                <w:color w:val="auto"/>
              </w:rPr>
            </w:pPr>
            <w:r>
              <w:rPr>
                <w:rFonts w:ascii="Arial" w:cs="Arial" w:eastAsia="Arial" w:hAnsi="Arial"/>
                <w:sz w:val="8"/>
                <w:szCs w:val="8"/>
                <w:color w:val="auto"/>
              </w:rPr>
              <w:t>114,627</w:t>
            </w:r>
          </w:p>
        </w:tc>
        <w:tc>
          <w:tcPr>
            <w:tcW w:w="700" w:type="dxa"/>
            <w:vAlign w:val="bottom"/>
            <w:tcBorders>
              <w:bottom w:val="single" w:sz="8" w:color="CCCCCC"/>
            </w:tcBorders>
          </w:tcPr>
          <w:p>
            <w:pPr>
              <w:jc w:val="right"/>
              <w:ind w:right="138"/>
              <w:spacing w:after="0"/>
              <w:rPr>
                <w:sz w:val="20"/>
                <w:szCs w:val="20"/>
                <w:color w:val="auto"/>
              </w:rPr>
            </w:pPr>
            <w:r>
              <w:rPr>
                <w:rFonts w:ascii="Arial" w:cs="Arial" w:eastAsia="Arial" w:hAnsi="Arial"/>
                <w:sz w:val="8"/>
                <w:szCs w:val="8"/>
                <w:color w:val="auto"/>
              </w:rPr>
              <w:t>458,507</w:t>
            </w:r>
          </w:p>
        </w:tc>
        <w:tc>
          <w:tcPr>
            <w:tcW w:w="62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8"/>
                <w:szCs w:val="8"/>
                <w:color w:val="auto"/>
              </w:rPr>
              <w:t>917,014</w:t>
            </w: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PSU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(2)</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jc w:val="right"/>
              <w:ind w:right="158"/>
              <w:spacing w:after="0"/>
              <w:rPr>
                <w:sz w:val="20"/>
                <w:szCs w:val="20"/>
                <w:color w:val="auto"/>
              </w:rPr>
            </w:pPr>
            <w:r>
              <w:rPr>
                <w:rFonts w:ascii="Arial" w:cs="Arial" w:eastAsia="Arial" w:hAnsi="Arial"/>
                <w:sz w:val="8"/>
                <w:szCs w:val="8"/>
                <w:color w:val="auto"/>
              </w:rPr>
              <w:t>2,725</w:t>
            </w:r>
          </w:p>
        </w:tc>
        <w:tc>
          <w:tcPr>
            <w:tcW w:w="54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10,899</w:t>
            </w:r>
          </w:p>
        </w:tc>
        <w:tc>
          <w:tcPr>
            <w:tcW w:w="680" w:type="dxa"/>
            <w:vAlign w:val="bottom"/>
            <w:tcBorders>
              <w:bottom w:val="single" w:sz="8" w:color="CCCCCC"/>
            </w:tcBorders>
            <w:gridSpan w:val="2"/>
          </w:tcPr>
          <w:p>
            <w:pPr>
              <w:jc w:val="right"/>
              <w:ind w:right="80"/>
              <w:spacing w:after="0"/>
              <w:rPr>
                <w:sz w:val="20"/>
                <w:szCs w:val="20"/>
                <w:color w:val="auto"/>
              </w:rPr>
            </w:pPr>
            <w:r>
              <w:rPr>
                <w:rFonts w:ascii="Arial" w:cs="Arial" w:eastAsia="Arial" w:hAnsi="Arial"/>
                <w:sz w:val="8"/>
                <w:szCs w:val="8"/>
                <w:color w:val="auto"/>
              </w:rPr>
              <w:t>21,797</w:t>
            </w: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584,295</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Stock Option</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(3)</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9,674</w:t>
            </w:r>
          </w:p>
        </w:tc>
        <w:tc>
          <w:tcPr>
            <w:tcW w:w="1420" w:type="dxa"/>
            <w:vAlign w:val="bottom"/>
            <w:tcBorders>
              <w:bottom w:val="single" w:sz="8" w:color="CCCCCC"/>
            </w:tcBorders>
          </w:tcPr>
          <w:p>
            <w:pPr>
              <w:jc w:val="right"/>
              <w:ind w:right="338"/>
              <w:spacing w:after="0"/>
              <w:rPr>
                <w:sz w:val="20"/>
                <w:szCs w:val="20"/>
                <w:color w:val="auto"/>
              </w:rPr>
            </w:pPr>
            <w:r>
              <w:rPr>
                <w:rFonts w:ascii="Arial" w:cs="Arial" w:eastAsia="Arial" w:hAnsi="Arial"/>
                <w:sz w:val="8"/>
                <w:szCs w:val="8"/>
                <w:color w:val="auto"/>
              </w:rPr>
              <w:t>53.61</w:t>
            </w: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194,738</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(4)</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jc w:val="right"/>
              <w:ind w:right="78"/>
              <w:spacing w:after="0"/>
              <w:rPr>
                <w:sz w:val="20"/>
                <w:szCs w:val="20"/>
                <w:color w:val="auto"/>
              </w:rPr>
            </w:pPr>
            <w:r>
              <w:rPr>
                <w:rFonts w:ascii="Arial" w:cs="Arial" w:eastAsia="Arial" w:hAnsi="Arial"/>
                <w:sz w:val="8"/>
                <w:szCs w:val="8"/>
                <w:color w:val="auto"/>
              </w:rPr>
              <w:t>3,633</w:t>
            </w: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194,765</w:t>
            </w:r>
          </w:p>
        </w:tc>
        <w:tc>
          <w:tcPr>
            <w:tcW w:w="0" w:type="dxa"/>
            <w:vAlign w:val="bottom"/>
          </w:tcPr>
          <w:p>
            <w:pPr>
              <w:spacing w:after="0"/>
              <w:rPr>
                <w:sz w:val="1"/>
                <w:szCs w:val="1"/>
                <w:color w:val="auto"/>
              </w:rPr>
            </w:pPr>
          </w:p>
        </w:tc>
      </w:tr>
      <w:tr>
        <w:trPr>
          <w:trHeight w:val="124"/>
        </w:trPr>
        <w:tc>
          <w:tcPr>
            <w:tcW w:w="540" w:type="dxa"/>
            <w:vAlign w:val="bottom"/>
            <w:tcBorders>
              <w:bottom w:val="single" w:sz="8" w:color="E31F25"/>
            </w:tcBorders>
          </w:tcPr>
          <w:p>
            <w:pPr>
              <w:spacing w:after="0"/>
              <w:rPr>
                <w:sz w:val="10"/>
                <w:szCs w:val="10"/>
                <w:color w:val="auto"/>
              </w:rPr>
            </w:pPr>
          </w:p>
        </w:tc>
        <w:tc>
          <w:tcPr>
            <w:tcW w:w="360" w:type="dxa"/>
            <w:vAlign w:val="bottom"/>
            <w:tcBorders>
              <w:bottom w:val="single" w:sz="8" w:color="E31F25"/>
            </w:tcBorders>
          </w:tcPr>
          <w:p>
            <w:pPr>
              <w:spacing w:after="0"/>
              <w:rPr>
                <w:sz w:val="10"/>
                <w:szCs w:val="10"/>
                <w:color w:val="auto"/>
              </w:rPr>
            </w:pPr>
          </w:p>
        </w:tc>
        <w:tc>
          <w:tcPr>
            <w:tcW w:w="880" w:type="dxa"/>
            <w:vAlign w:val="bottom"/>
            <w:tcBorders>
              <w:bottom w:val="single" w:sz="8" w:color="E31F25"/>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E31F25"/>
            </w:tcBorders>
          </w:tcPr>
          <w:p>
            <w:pPr>
              <w:ind w:left="260"/>
              <w:spacing w:after="0" w:line="124" w:lineRule="exact"/>
              <w:rPr>
                <w:sz w:val="20"/>
                <w:szCs w:val="20"/>
                <w:color w:val="auto"/>
              </w:rPr>
            </w:pPr>
            <w:r>
              <w:rPr>
                <w:rFonts w:ascii="Arial" w:cs="Arial" w:eastAsia="Arial" w:hAnsi="Arial"/>
                <w:sz w:val="8"/>
                <w:szCs w:val="8"/>
                <w:color w:val="auto"/>
              </w:rPr>
              <w:t>11/16/21</w:t>
            </w:r>
            <w:r>
              <w:rPr>
                <w:rFonts w:ascii="Arial" w:cs="Arial" w:eastAsia="Arial" w:hAnsi="Arial"/>
                <w:sz w:val="13"/>
                <w:szCs w:val="13"/>
                <w:color w:val="auto"/>
                <w:vertAlign w:val="superscript"/>
              </w:rPr>
              <w:t>(4)</w:t>
            </w:r>
          </w:p>
        </w:tc>
        <w:tc>
          <w:tcPr>
            <w:tcW w:w="720" w:type="dxa"/>
            <w:vAlign w:val="bottom"/>
            <w:tcBorders>
              <w:bottom w:val="single" w:sz="8" w:color="E31F25"/>
            </w:tcBorders>
          </w:tcPr>
          <w:p>
            <w:pPr>
              <w:spacing w:after="0"/>
              <w:rPr>
                <w:sz w:val="10"/>
                <w:szCs w:val="10"/>
                <w:color w:val="auto"/>
              </w:rPr>
            </w:pPr>
          </w:p>
        </w:tc>
        <w:tc>
          <w:tcPr>
            <w:tcW w:w="700" w:type="dxa"/>
            <w:vAlign w:val="bottom"/>
            <w:tcBorders>
              <w:bottom w:val="single" w:sz="8" w:color="E31F25"/>
            </w:tcBorders>
          </w:tcPr>
          <w:p>
            <w:pPr>
              <w:spacing w:after="0"/>
              <w:rPr>
                <w:sz w:val="10"/>
                <w:szCs w:val="10"/>
                <w:color w:val="auto"/>
              </w:rPr>
            </w:pPr>
          </w:p>
        </w:tc>
        <w:tc>
          <w:tcPr>
            <w:tcW w:w="500" w:type="dxa"/>
            <w:vAlign w:val="bottom"/>
            <w:tcBorders>
              <w:bottom w:val="single" w:sz="8" w:color="E31F25"/>
            </w:tcBorders>
          </w:tcPr>
          <w:p>
            <w:pPr>
              <w:spacing w:after="0"/>
              <w:rPr>
                <w:sz w:val="10"/>
                <w:szCs w:val="10"/>
                <w:color w:val="auto"/>
              </w:rPr>
            </w:pPr>
          </w:p>
        </w:tc>
        <w:tc>
          <w:tcPr>
            <w:tcW w:w="12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spacing w:after="0"/>
              <w:rPr>
                <w:sz w:val="10"/>
                <w:szCs w:val="10"/>
                <w:color w:val="auto"/>
              </w:rPr>
            </w:pPr>
          </w:p>
        </w:tc>
        <w:tc>
          <w:tcPr>
            <w:tcW w:w="540" w:type="dxa"/>
            <w:vAlign w:val="bottom"/>
            <w:tcBorders>
              <w:bottom w:val="single" w:sz="8" w:color="E31F25"/>
            </w:tcBorders>
          </w:tcPr>
          <w:p>
            <w:pPr>
              <w:spacing w:after="0"/>
              <w:rPr>
                <w:sz w:val="10"/>
                <w:szCs w:val="10"/>
                <w:color w:val="auto"/>
              </w:rPr>
            </w:pPr>
          </w:p>
        </w:tc>
        <w:tc>
          <w:tcPr>
            <w:tcW w:w="600" w:type="dxa"/>
            <w:vAlign w:val="bottom"/>
            <w:tcBorders>
              <w:bottom w:val="single" w:sz="8" w:color="E31F25"/>
            </w:tcBorders>
          </w:tcPr>
          <w:p>
            <w:pPr>
              <w:spacing w:after="0"/>
              <w:rPr>
                <w:sz w:val="10"/>
                <w:szCs w:val="10"/>
                <w:color w:val="auto"/>
              </w:rPr>
            </w:pPr>
          </w:p>
        </w:tc>
        <w:tc>
          <w:tcPr>
            <w:tcW w:w="80" w:type="dxa"/>
            <w:vAlign w:val="bottom"/>
            <w:tcBorders>
              <w:bottom w:val="single" w:sz="8" w:color="E31F25"/>
            </w:tcBorders>
          </w:tcPr>
          <w:p>
            <w:pPr>
              <w:spacing w:after="0"/>
              <w:rPr>
                <w:sz w:val="10"/>
                <w:szCs w:val="10"/>
                <w:color w:val="auto"/>
              </w:rPr>
            </w:pPr>
          </w:p>
        </w:tc>
        <w:tc>
          <w:tcPr>
            <w:tcW w:w="1160" w:type="dxa"/>
            <w:vAlign w:val="bottom"/>
            <w:tcBorders>
              <w:bottom w:val="single" w:sz="8" w:color="E31F25"/>
            </w:tcBorders>
          </w:tcPr>
          <w:p>
            <w:pPr>
              <w:jc w:val="right"/>
              <w:ind w:right="78"/>
              <w:spacing w:after="0"/>
              <w:rPr>
                <w:sz w:val="20"/>
                <w:szCs w:val="20"/>
                <w:color w:val="auto"/>
              </w:rPr>
            </w:pPr>
            <w:r>
              <w:rPr>
                <w:rFonts w:ascii="Arial" w:cs="Arial" w:eastAsia="Arial" w:hAnsi="Arial"/>
                <w:sz w:val="8"/>
                <w:szCs w:val="8"/>
                <w:color w:val="auto"/>
              </w:rPr>
              <w:t>5,331</w:t>
            </w:r>
          </w:p>
        </w:tc>
        <w:tc>
          <w:tcPr>
            <w:tcW w:w="1080" w:type="dxa"/>
            <w:vAlign w:val="bottom"/>
            <w:tcBorders>
              <w:bottom w:val="single" w:sz="8" w:color="E31F25"/>
            </w:tcBorders>
          </w:tcPr>
          <w:p>
            <w:pPr>
              <w:spacing w:after="0"/>
              <w:rPr>
                <w:sz w:val="10"/>
                <w:szCs w:val="10"/>
                <w:color w:val="auto"/>
              </w:rPr>
            </w:pPr>
          </w:p>
        </w:tc>
        <w:tc>
          <w:tcPr>
            <w:tcW w:w="1420" w:type="dxa"/>
            <w:vAlign w:val="bottom"/>
            <w:tcBorders>
              <w:bottom w:val="single" w:sz="8" w:color="E31F25"/>
            </w:tcBorders>
          </w:tcPr>
          <w:p>
            <w:pPr>
              <w:spacing w:after="0"/>
              <w:rPr>
                <w:sz w:val="10"/>
                <w:szCs w:val="10"/>
                <w:color w:val="auto"/>
              </w:rPr>
            </w:pPr>
          </w:p>
        </w:tc>
        <w:tc>
          <w:tcPr>
            <w:tcW w:w="640" w:type="dxa"/>
            <w:vAlign w:val="bottom"/>
            <w:tcBorders>
              <w:bottom w:val="single" w:sz="8" w:color="E31F25"/>
            </w:tcBorders>
          </w:tcPr>
          <w:p>
            <w:pPr>
              <w:jc w:val="right"/>
              <w:spacing w:after="0"/>
              <w:rPr>
                <w:sz w:val="20"/>
                <w:szCs w:val="20"/>
                <w:color w:val="auto"/>
              </w:rPr>
            </w:pPr>
            <w:r>
              <w:rPr>
                <w:rFonts w:ascii="Arial" w:cs="Arial" w:eastAsia="Arial" w:hAnsi="Arial"/>
                <w:sz w:val="8"/>
                <w:szCs w:val="8"/>
                <w:color w:val="auto"/>
              </w:rPr>
              <w:t>300,029</w:t>
            </w:r>
          </w:p>
        </w:tc>
        <w:tc>
          <w:tcPr>
            <w:tcW w:w="0" w:type="dxa"/>
            <w:vAlign w:val="bottom"/>
          </w:tcPr>
          <w:p>
            <w:pPr>
              <w:spacing w:after="0"/>
              <w:rPr>
                <w:sz w:val="1"/>
                <w:szCs w:val="1"/>
                <w:color w:val="auto"/>
              </w:rPr>
            </w:pPr>
          </w:p>
        </w:tc>
      </w:tr>
      <w:tr>
        <w:trPr>
          <w:trHeight w:val="124"/>
        </w:trPr>
        <w:tc>
          <w:tcPr>
            <w:tcW w:w="540" w:type="dxa"/>
            <w:vAlign w:val="bottom"/>
          </w:tcPr>
          <w:p>
            <w:pPr>
              <w:ind w:left="20"/>
              <w:spacing w:after="0"/>
              <w:rPr>
                <w:sz w:val="20"/>
                <w:szCs w:val="20"/>
                <w:color w:val="auto"/>
              </w:rPr>
            </w:pPr>
            <w:r>
              <w:rPr>
                <w:rFonts w:ascii="Arial" w:cs="Arial" w:eastAsia="Arial" w:hAnsi="Arial"/>
                <w:sz w:val="8"/>
                <w:szCs w:val="8"/>
                <w:b w:val="1"/>
                <w:bCs w:val="1"/>
                <w:color w:val="D60011"/>
              </w:rPr>
              <w:t>Talwar</w:t>
            </w: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PSU</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(2)</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jc w:val="right"/>
              <w:ind w:right="158"/>
              <w:spacing w:after="0"/>
              <w:rPr>
                <w:sz w:val="20"/>
                <w:szCs w:val="20"/>
                <w:color w:val="auto"/>
              </w:rPr>
            </w:pPr>
            <w:r>
              <w:rPr>
                <w:rFonts w:ascii="Arial" w:cs="Arial" w:eastAsia="Arial" w:hAnsi="Arial"/>
                <w:sz w:val="8"/>
                <w:szCs w:val="8"/>
                <w:color w:val="auto"/>
              </w:rPr>
              <w:t>2,827</w:t>
            </w:r>
          </w:p>
        </w:tc>
        <w:tc>
          <w:tcPr>
            <w:tcW w:w="54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11,308</w:t>
            </w:r>
          </w:p>
        </w:tc>
        <w:tc>
          <w:tcPr>
            <w:tcW w:w="680" w:type="dxa"/>
            <w:vAlign w:val="bottom"/>
            <w:tcBorders>
              <w:bottom w:val="single" w:sz="8" w:color="CCCCCC"/>
            </w:tcBorders>
            <w:gridSpan w:val="2"/>
          </w:tcPr>
          <w:p>
            <w:pPr>
              <w:jc w:val="right"/>
              <w:ind w:right="80"/>
              <w:spacing w:after="0"/>
              <w:rPr>
                <w:sz w:val="20"/>
                <w:szCs w:val="20"/>
                <w:color w:val="auto"/>
              </w:rPr>
            </w:pPr>
            <w:r>
              <w:rPr>
                <w:rFonts w:ascii="Arial" w:cs="Arial" w:eastAsia="Arial" w:hAnsi="Arial"/>
                <w:sz w:val="8"/>
                <w:szCs w:val="8"/>
                <w:color w:val="auto"/>
              </w:rPr>
              <w:t>22,615</w:t>
            </w: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spacing w:after="0"/>
              <w:rPr>
                <w:sz w:val="10"/>
                <w:szCs w:val="10"/>
                <w:color w:val="auto"/>
              </w:rPr>
            </w:pPr>
          </w:p>
        </w:tc>
        <w:tc>
          <w:tcPr>
            <w:tcW w:w="1420" w:type="dxa"/>
            <w:vAlign w:val="bottom"/>
            <w:tcBorders>
              <w:bottom w:val="single" w:sz="8" w:color="CCCCCC"/>
            </w:tcBorders>
          </w:tcPr>
          <w:p>
            <w:pPr>
              <w:spacing w:after="0"/>
              <w:rPr>
                <w:sz w:val="10"/>
                <w:szCs w:val="10"/>
                <w:color w:val="auto"/>
              </w:rPr>
            </w:pP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606,222</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Borders>
              <w:bottom w:val="single" w:sz="8" w:color="CCCCCC"/>
            </w:tcBorders>
          </w:tcPr>
          <w:p>
            <w:pPr>
              <w:spacing w:after="0"/>
              <w:rPr>
                <w:sz w:val="20"/>
                <w:szCs w:val="20"/>
                <w:color w:val="auto"/>
              </w:rPr>
            </w:pPr>
            <w:r>
              <w:rPr>
                <w:rFonts w:ascii="Arial" w:cs="Arial" w:eastAsia="Arial" w:hAnsi="Arial"/>
                <w:sz w:val="8"/>
                <w:szCs w:val="8"/>
                <w:color w:val="auto"/>
              </w:rPr>
              <w:t>Stock Option</w:t>
            </w:r>
          </w:p>
        </w:tc>
        <w:tc>
          <w:tcPr>
            <w:tcW w:w="1180" w:type="dxa"/>
            <w:vAlign w:val="bottom"/>
            <w:tcBorders>
              <w:bottom w:val="single" w:sz="8" w:color="CCCCCC"/>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(3)</w:t>
            </w:r>
          </w:p>
        </w:tc>
        <w:tc>
          <w:tcPr>
            <w:tcW w:w="720" w:type="dxa"/>
            <w:vAlign w:val="bottom"/>
            <w:tcBorders>
              <w:bottom w:val="single" w:sz="8" w:color="CCCCCC"/>
            </w:tcBorders>
          </w:tcPr>
          <w:p>
            <w:pPr>
              <w:spacing w:after="0"/>
              <w:rPr>
                <w:sz w:val="10"/>
                <w:szCs w:val="10"/>
                <w:color w:val="auto"/>
              </w:rPr>
            </w:pPr>
          </w:p>
        </w:tc>
        <w:tc>
          <w:tcPr>
            <w:tcW w:w="700" w:type="dxa"/>
            <w:vAlign w:val="bottom"/>
            <w:tcBorders>
              <w:bottom w:val="single" w:sz="8" w:color="CCCCCC"/>
            </w:tcBorders>
          </w:tcPr>
          <w:p>
            <w:pPr>
              <w:spacing w:after="0"/>
              <w:rPr>
                <w:sz w:val="10"/>
                <w:szCs w:val="10"/>
                <w:color w:val="auto"/>
              </w:rPr>
            </w:pPr>
          </w:p>
        </w:tc>
        <w:tc>
          <w:tcPr>
            <w:tcW w:w="500" w:type="dxa"/>
            <w:vAlign w:val="bottom"/>
            <w:tcBorders>
              <w:bottom w:val="single" w:sz="8" w:color="CCCCCC"/>
            </w:tcBorders>
          </w:tcPr>
          <w:p>
            <w:pPr>
              <w:spacing w:after="0"/>
              <w:rPr>
                <w:sz w:val="10"/>
                <w:szCs w:val="10"/>
                <w:color w:val="auto"/>
              </w:rPr>
            </w:pPr>
          </w:p>
        </w:tc>
        <w:tc>
          <w:tcPr>
            <w:tcW w:w="120" w:type="dxa"/>
            <w:vAlign w:val="bottom"/>
            <w:tcBorders>
              <w:bottom w:val="single" w:sz="8" w:color="CCCCCC"/>
            </w:tcBorders>
          </w:tcPr>
          <w:p>
            <w:pPr>
              <w:spacing w:after="0"/>
              <w:rPr>
                <w:sz w:val="10"/>
                <w:szCs w:val="10"/>
                <w:color w:val="auto"/>
              </w:rPr>
            </w:pPr>
          </w:p>
        </w:tc>
        <w:tc>
          <w:tcPr>
            <w:tcW w:w="780" w:type="dxa"/>
            <w:vAlign w:val="bottom"/>
            <w:tcBorders>
              <w:bottom w:val="single" w:sz="8" w:color="CCCCCC"/>
            </w:tcBorders>
          </w:tcPr>
          <w:p>
            <w:pPr>
              <w:spacing w:after="0"/>
              <w:rPr>
                <w:sz w:val="10"/>
                <w:szCs w:val="10"/>
                <w:color w:val="auto"/>
              </w:rPr>
            </w:pPr>
          </w:p>
        </w:tc>
        <w:tc>
          <w:tcPr>
            <w:tcW w:w="540" w:type="dxa"/>
            <w:vAlign w:val="bottom"/>
            <w:tcBorders>
              <w:bottom w:val="single" w:sz="8" w:color="CCCCCC"/>
            </w:tcBorders>
          </w:tcPr>
          <w:p>
            <w:pPr>
              <w:spacing w:after="0"/>
              <w:rPr>
                <w:sz w:val="10"/>
                <w:szCs w:val="10"/>
                <w:color w:val="auto"/>
              </w:rPr>
            </w:pPr>
          </w:p>
        </w:tc>
        <w:tc>
          <w:tcPr>
            <w:tcW w:w="60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1160" w:type="dxa"/>
            <w:vAlign w:val="bottom"/>
            <w:tcBorders>
              <w:bottom w:val="single" w:sz="8" w:color="CCCCCC"/>
            </w:tcBorders>
          </w:tcPr>
          <w:p>
            <w:pPr>
              <w:spacing w:after="0"/>
              <w:rPr>
                <w:sz w:val="10"/>
                <w:szCs w:val="10"/>
                <w:color w:val="auto"/>
              </w:rPr>
            </w:pPr>
          </w:p>
        </w:tc>
        <w:tc>
          <w:tcPr>
            <w:tcW w:w="1080" w:type="dxa"/>
            <w:vAlign w:val="bottom"/>
            <w:tcBorders>
              <w:bottom w:val="single" w:sz="8" w:color="CCCCCC"/>
            </w:tcBorders>
          </w:tcPr>
          <w:p>
            <w:pPr>
              <w:jc w:val="right"/>
              <w:ind w:right="38"/>
              <w:spacing w:after="0"/>
              <w:rPr>
                <w:sz w:val="20"/>
                <w:szCs w:val="20"/>
                <w:color w:val="auto"/>
              </w:rPr>
            </w:pPr>
            <w:r>
              <w:rPr>
                <w:rFonts w:ascii="Arial" w:cs="Arial" w:eastAsia="Arial" w:hAnsi="Arial"/>
                <w:sz w:val="8"/>
                <w:szCs w:val="8"/>
                <w:color w:val="auto"/>
              </w:rPr>
              <w:t>10,037</w:t>
            </w:r>
          </w:p>
        </w:tc>
        <w:tc>
          <w:tcPr>
            <w:tcW w:w="1420" w:type="dxa"/>
            <w:vAlign w:val="bottom"/>
            <w:tcBorders>
              <w:bottom w:val="single" w:sz="8" w:color="CCCCCC"/>
            </w:tcBorders>
          </w:tcPr>
          <w:p>
            <w:pPr>
              <w:jc w:val="right"/>
              <w:ind w:right="338"/>
              <w:spacing w:after="0"/>
              <w:rPr>
                <w:sz w:val="20"/>
                <w:szCs w:val="20"/>
                <w:color w:val="auto"/>
              </w:rPr>
            </w:pPr>
            <w:r>
              <w:rPr>
                <w:rFonts w:ascii="Arial" w:cs="Arial" w:eastAsia="Arial" w:hAnsi="Arial"/>
                <w:sz w:val="8"/>
                <w:szCs w:val="8"/>
                <w:color w:val="auto"/>
              </w:rPr>
              <w:t>53.61</w:t>
            </w:r>
          </w:p>
        </w:tc>
        <w:tc>
          <w:tcPr>
            <w:tcW w:w="640" w:type="dxa"/>
            <w:vAlign w:val="bottom"/>
            <w:tcBorders>
              <w:bottom w:val="single" w:sz="8" w:color="CCCCCC"/>
            </w:tcBorders>
          </w:tcPr>
          <w:p>
            <w:pPr>
              <w:jc w:val="right"/>
              <w:spacing w:after="0"/>
              <w:rPr>
                <w:sz w:val="20"/>
                <w:szCs w:val="20"/>
                <w:color w:val="auto"/>
              </w:rPr>
            </w:pPr>
            <w:r>
              <w:rPr>
                <w:rFonts w:ascii="Arial" w:cs="Arial" w:eastAsia="Arial" w:hAnsi="Arial"/>
                <w:sz w:val="8"/>
                <w:szCs w:val="8"/>
                <w:color w:val="auto"/>
              </w:rPr>
              <w:t>202,045</w:t>
            </w:r>
          </w:p>
        </w:tc>
        <w:tc>
          <w:tcPr>
            <w:tcW w:w="0" w:type="dxa"/>
            <w:vAlign w:val="bottom"/>
          </w:tcPr>
          <w:p>
            <w:pPr>
              <w:spacing w:after="0"/>
              <w:rPr>
                <w:sz w:val="1"/>
                <w:szCs w:val="1"/>
                <w:color w:val="auto"/>
              </w:rPr>
            </w:pPr>
          </w:p>
        </w:tc>
      </w:tr>
      <w:tr>
        <w:trPr>
          <w:trHeight w:val="124"/>
        </w:trPr>
        <w:tc>
          <w:tcPr>
            <w:tcW w:w="540" w:type="dxa"/>
            <w:vAlign w:val="bottom"/>
            <w:tcBorders>
              <w:bottom w:val="single" w:sz="8" w:color="E31F25"/>
            </w:tcBorders>
          </w:tcPr>
          <w:p>
            <w:pPr>
              <w:spacing w:after="0"/>
              <w:rPr>
                <w:sz w:val="10"/>
                <w:szCs w:val="10"/>
                <w:color w:val="auto"/>
              </w:rPr>
            </w:pPr>
          </w:p>
        </w:tc>
        <w:tc>
          <w:tcPr>
            <w:tcW w:w="360" w:type="dxa"/>
            <w:vAlign w:val="bottom"/>
            <w:tcBorders>
              <w:bottom w:val="single" w:sz="8" w:color="E31F25"/>
            </w:tcBorders>
          </w:tcPr>
          <w:p>
            <w:pPr>
              <w:spacing w:after="0"/>
              <w:rPr>
                <w:sz w:val="10"/>
                <w:szCs w:val="10"/>
                <w:color w:val="auto"/>
              </w:rPr>
            </w:pPr>
          </w:p>
        </w:tc>
        <w:tc>
          <w:tcPr>
            <w:tcW w:w="880" w:type="dxa"/>
            <w:vAlign w:val="bottom"/>
            <w:tcBorders>
              <w:bottom w:val="single" w:sz="8" w:color="E31F25"/>
            </w:tcBorders>
          </w:tcPr>
          <w:p>
            <w:pPr>
              <w:spacing w:after="0"/>
              <w:rPr>
                <w:sz w:val="20"/>
                <w:szCs w:val="20"/>
                <w:color w:val="auto"/>
              </w:rPr>
            </w:pPr>
            <w:r>
              <w:rPr>
                <w:rFonts w:ascii="Arial" w:cs="Arial" w:eastAsia="Arial" w:hAnsi="Arial"/>
                <w:sz w:val="8"/>
                <w:szCs w:val="8"/>
                <w:color w:val="auto"/>
              </w:rPr>
              <w:t>RSU</w:t>
            </w:r>
          </w:p>
        </w:tc>
        <w:tc>
          <w:tcPr>
            <w:tcW w:w="1180" w:type="dxa"/>
            <w:vAlign w:val="bottom"/>
            <w:tcBorders>
              <w:bottom w:val="single" w:sz="8" w:color="E31F25"/>
            </w:tcBorders>
          </w:tcPr>
          <w:p>
            <w:pPr>
              <w:ind w:left="260"/>
              <w:spacing w:after="0" w:line="124" w:lineRule="exact"/>
              <w:rPr>
                <w:sz w:val="20"/>
                <w:szCs w:val="20"/>
                <w:color w:val="auto"/>
              </w:rPr>
            </w:pPr>
            <w:r>
              <w:rPr>
                <w:rFonts w:ascii="Arial" w:cs="Arial" w:eastAsia="Arial" w:hAnsi="Arial"/>
                <w:sz w:val="8"/>
                <w:szCs w:val="8"/>
                <w:color w:val="auto"/>
              </w:rPr>
              <w:t>03/24/21</w:t>
            </w:r>
            <w:r>
              <w:rPr>
                <w:rFonts w:ascii="Arial" w:cs="Arial" w:eastAsia="Arial" w:hAnsi="Arial"/>
                <w:sz w:val="13"/>
                <w:szCs w:val="13"/>
                <w:color w:val="auto"/>
                <w:vertAlign w:val="superscript"/>
              </w:rPr>
              <w:t>(4)</w:t>
            </w:r>
          </w:p>
        </w:tc>
        <w:tc>
          <w:tcPr>
            <w:tcW w:w="720" w:type="dxa"/>
            <w:vAlign w:val="bottom"/>
            <w:tcBorders>
              <w:bottom w:val="single" w:sz="8" w:color="E31F25"/>
            </w:tcBorders>
          </w:tcPr>
          <w:p>
            <w:pPr>
              <w:spacing w:after="0"/>
              <w:rPr>
                <w:sz w:val="10"/>
                <w:szCs w:val="10"/>
                <w:color w:val="auto"/>
              </w:rPr>
            </w:pPr>
          </w:p>
        </w:tc>
        <w:tc>
          <w:tcPr>
            <w:tcW w:w="700" w:type="dxa"/>
            <w:vAlign w:val="bottom"/>
            <w:tcBorders>
              <w:bottom w:val="single" w:sz="8" w:color="E31F25"/>
            </w:tcBorders>
          </w:tcPr>
          <w:p>
            <w:pPr>
              <w:spacing w:after="0"/>
              <w:rPr>
                <w:sz w:val="10"/>
                <w:szCs w:val="10"/>
                <w:color w:val="auto"/>
              </w:rPr>
            </w:pPr>
          </w:p>
        </w:tc>
        <w:tc>
          <w:tcPr>
            <w:tcW w:w="500" w:type="dxa"/>
            <w:vAlign w:val="bottom"/>
            <w:tcBorders>
              <w:bottom w:val="single" w:sz="8" w:color="E31F25"/>
            </w:tcBorders>
          </w:tcPr>
          <w:p>
            <w:pPr>
              <w:spacing w:after="0"/>
              <w:rPr>
                <w:sz w:val="10"/>
                <w:szCs w:val="10"/>
                <w:color w:val="auto"/>
              </w:rPr>
            </w:pPr>
          </w:p>
        </w:tc>
        <w:tc>
          <w:tcPr>
            <w:tcW w:w="12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spacing w:after="0"/>
              <w:rPr>
                <w:sz w:val="10"/>
                <w:szCs w:val="10"/>
                <w:color w:val="auto"/>
              </w:rPr>
            </w:pPr>
          </w:p>
        </w:tc>
        <w:tc>
          <w:tcPr>
            <w:tcW w:w="540" w:type="dxa"/>
            <w:vAlign w:val="bottom"/>
            <w:tcBorders>
              <w:bottom w:val="single" w:sz="8" w:color="E31F25"/>
            </w:tcBorders>
          </w:tcPr>
          <w:p>
            <w:pPr>
              <w:spacing w:after="0"/>
              <w:rPr>
                <w:sz w:val="10"/>
                <w:szCs w:val="10"/>
                <w:color w:val="auto"/>
              </w:rPr>
            </w:pPr>
          </w:p>
        </w:tc>
        <w:tc>
          <w:tcPr>
            <w:tcW w:w="600" w:type="dxa"/>
            <w:vAlign w:val="bottom"/>
            <w:tcBorders>
              <w:bottom w:val="single" w:sz="8" w:color="E31F25"/>
            </w:tcBorders>
          </w:tcPr>
          <w:p>
            <w:pPr>
              <w:spacing w:after="0"/>
              <w:rPr>
                <w:sz w:val="10"/>
                <w:szCs w:val="10"/>
                <w:color w:val="auto"/>
              </w:rPr>
            </w:pPr>
          </w:p>
        </w:tc>
        <w:tc>
          <w:tcPr>
            <w:tcW w:w="80" w:type="dxa"/>
            <w:vAlign w:val="bottom"/>
            <w:tcBorders>
              <w:bottom w:val="single" w:sz="8" w:color="E31F25"/>
            </w:tcBorders>
          </w:tcPr>
          <w:p>
            <w:pPr>
              <w:spacing w:after="0"/>
              <w:rPr>
                <w:sz w:val="10"/>
                <w:szCs w:val="10"/>
                <w:color w:val="auto"/>
              </w:rPr>
            </w:pPr>
          </w:p>
        </w:tc>
        <w:tc>
          <w:tcPr>
            <w:tcW w:w="1160" w:type="dxa"/>
            <w:vAlign w:val="bottom"/>
            <w:tcBorders>
              <w:bottom w:val="single" w:sz="8" w:color="E31F25"/>
            </w:tcBorders>
          </w:tcPr>
          <w:p>
            <w:pPr>
              <w:jc w:val="right"/>
              <w:ind w:right="78"/>
              <w:spacing w:after="0"/>
              <w:rPr>
                <w:sz w:val="20"/>
                <w:szCs w:val="20"/>
                <w:color w:val="auto"/>
              </w:rPr>
            </w:pPr>
            <w:r>
              <w:rPr>
                <w:rFonts w:ascii="Arial" w:cs="Arial" w:eastAsia="Arial" w:hAnsi="Arial"/>
                <w:sz w:val="8"/>
                <w:szCs w:val="8"/>
                <w:color w:val="auto"/>
              </w:rPr>
              <w:t>3,770</w:t>
            </w:r>
          </w:p>
        </w:tc>
        <w:tc>
          <w:tcPr>
            <w:tcW w:w="1080" w:type="dxa"/>
            <w:vAlign w:val="bottom"/>
            <w:tcBorders>
              <w:bottom w:val="single" w:sz="8" w:color="E31F25"/>
            </w:tcBorders>
          </w:tcPr>
          <w:p>
            <w:pPr>
              <w:spacing w:after="0"/>
              <w:rPr>
                <w:sz w:val="10"/>
                <w:szCs w:val="10"/>
                <w:color w:val="auto"/>
              </w:rPr>
            </w:pPr>
          </w:p>
        </w:tc>
        <w:tc>
          <w:tcPr>
            <w:tcW w:w="1420" w:type="dxa"/>
            <w:vAlign w:val="bottom"/>
            <w:tcBorders>
              <w:bottom w:val="single" w:sz="8" w:color="E31F25"/>
            </w:tcBorders>
          </w:tcPr>
          <w:p>
            <w:pPr>
              <w:spacing w:after="0"/>
              <w:rPr>
                <w:sz w:val="10"/>
                <w:szCs w:val="10"/>
                <w:color w:val="auto"/>
              </w:rPr>
            </w:pPr>
          </w:p>
        </w:tc>
        <w:tc>
          <w:tcPr>
            <w:tcW w:w="640" w:type="dxa"/>
            <w:vAlign w:val="bottom"/>
            <w:tcBorders>
              <w:bottom w:val="single" w:sz="8" w:color="E31F25"/>
            </w:tcBorders>
          </w:tcPr>
          <w:p>
            <w:pPr>
              <w:jc w:val="right"/>
              <w:spacing w:after="0"/>
              <w:rPr>
                <w:sz w:val="20"/>
                <w:szCs w:val="20"/>
                <w:color w:val="auto"/>
              </w:rPr>
            </w:pPr>
            <w:r>
              <w:rPr>
                <w:rFonts w:ascii="Arial" w:cs="Arial" w:eastAsia="Arial" w:hAnsi="Arial"/>
                <w:sz w:val="8"/>
                <w:szCs w:val="8"/>
                <w:color w:val="auto"/>
              </w:rPr>
              <w:t>202,110</w:t>
            </w:r>
          </w:p>
        </w:tc>
        <w:tc>
          <w:tcPr>
            <w:tcW w:w="0" w:type="dxa"/>
            <w:vAlign w:val="bottom"/>
          </w:tcPr>
          <w:p>
            <w:pPr>
              <w:spacing w:after="0"/>
              <w:rPr>
                <w:sz w:val="1"/>
                <w:szCs w:val="1"/>
                <w:color w:val="auto"/>
              </w:rPr>
            </w:pPr>
          </w:p>
        </w:tc>
      </w:tr>
      <w:tr>
        <w:trPr>
          <w:trHeight w:val="336"/>
        </w:trPr>
        <w:tc>
          <w:tcPr>
            <w:tcW w:w="540" w:type="dxa"/>
            <w:vAlign w:val="bottom"/>
            <w:vMerge w:val="restart"/>
          </w:tcPr>
          <w:p>
            <w:pPr>
              <w:ind w:left="300"/>
              <w:spacing w:after="0"/>
              <w:rPr>
                <w:sz w:val="20"/>
                <w:szCs w:val="20"/>
                <w:color w:val="auto"/>
              </w:rPr>
            </w:pPr>
            <w:r>
              <w:rPr>
                <w:rFonts w:ascii="Arial" w:cs="Arial" w:eastAsia="Arial" w:hAnsi="Arial"/>
                <w:sz w:val="11"/>
                <w:szCs w:val="11"/>
                <w:b w:val="1"/>
                <w:bCs w:val="1"/>
                <w:color w:val="FFFFFF"/>
              </w:rPr>
              <w:t>74</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640" w:type="dxa"/>
            <w:vAlign w:val="bottom"/>
            <w:vMerge w:val="restart"/>
          </w:tcPr>
          <w:p>
            <w:pPr>
              <w:jc w:val="right"/>
              <w:ind w:right="278"/>
              <w:spacing w:after="0"/>
              <w:rPr>
                <w:sz w:val="20"/>
                <w:szCs w:val="20"/>
                <w:color w:val="auto"/>
              </w:rPr>
            </w:pPr>
            <w:r>
              <w:rPr>
                <w:rFonts w:ascii="Arial" w:cs="Arial" w:eastAsia="Arial" w:hAnsi="Arial"/>
                <w:sz w:val="11"/>
                <w:szCs w:val="11"/>
                <w:b w:val="1"/>
                <w:bCs w:val="1"/>
                <w:color w:val="FFFFFF"/>
              </w:rPr>
              <w:t>75</w:t>
            </w:r>
          </w:p>
        </w:tc>
        <w:tc>
          <w:tcPr>
            <w:tcW w:w="0" w:type="dxa"/>
            <w:vAlign w:val="bottom"/>
          </w:tcPr>
          <w:p>
            <w:pPr>
              <w:spacing w:after="0"/>
              <w:rPr>
                <w:sz w:val="1"/>
                <w:szCs w:val="1"/>
                <w:color w:val="auto"/>
              </w:rPr>
            </w:pPr>
          </w:p>
        </w:tc>
      </w:tr>
      <w:tr>
        <w:trPr>
          <w:trHeight w:val="62"/>
        </w:trPr>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-433705</wp:posOffset>
            </wp:positionV>
            <wp:extent cx="365760" cy="2171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65760" cy="217170"/>
                    </a:xfrm>
                    <a:prstGeom prst="rect">
                      <a:avLst/>
                    </a:prstGeom>
                    <a:noFill/>
                  </pic:spPr>
                </pic:pic>
              </a:graphicData>
            </a:graphic>
          </wp:anchor>
        </w:drawing>
        <w:drawing>
          <wp:anchor simplePos="0" relativeHeight="251657728" behindDoc="1" locked="0" layoutInCell="0" allowOverlap="1">
            <wp:simplePos x="0" y="0"/>
            <wp:positionH relativeFrom="column">
              <wp:posOffset>6801485</wp:posOffset>
            </wp:positionH>
            <wp:positionV relativeFrom="paragraph">
              <wp:posOffset>-433705</wp:posOffset>
            </wp:positionV>
            <wp:extent cx="365760" cy="2228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439" w:right="299" w:bottom="1440" w:gutter="0" w:footer="0" w:header="0"/>
        </w:sectPr>
      </w:pPr>
    </w:p>
    <w:bookmarkStart w:id="79" w:name="page80"/>
    <w:bookmarkEnd w:id="79"/>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58" w:lineRule="exact"/>
        <w:rPr>
          <w:sz w:val="20"/>
          <w:szCs w:val="20"/>
          <w:color w:val="auto"/>
        </w:rPr>
      </w:pPr>
    </w:p>
    <w:p>
      <w:pPr>
        <w:ind w:left="1040" w:hanging="208"/>
        <w:spacing w:after="0"/>
        <w:tabs>
          <w:tab w:leader="none" w:pos="1040" w:val="left"/>
        </w:tabs>
        <w:numPr>
          <w:ilvl w:val="0"/>
          <w:numId w:val="119"/>
        </w:numPr>
        <w:rPr>
          <w:rFonts w:ascii="Arial" w:cs="Arial" w:eastAsia="Arial" w:hAnsi="Arial"/>
          <w:sz w:val="18"/>
          <w:szCs w:val="18"/>
          <w:color w:val="auto"/>
          <w:vertAlign w:val="superscript"/>
        </w:rPr>
      </w:pPr>
      <w:r>
        <w:rPr>
          <w:rFonts w:ascii="Arial" w:cs="Arial" w:eastAsia="Arial" w:hAnsi="Arial"/>
          <w:sz w:val="11"/>
          <w:szCs w:val="11"/>
          <w:b w:val="1"/>
          <w:bCs w:val="1"/>
          <w:color w:val="auto"/>
        </w:rPr>
        <w:t>Annual Incentive Awards</w:t>
      </w:r>
    </w:p>
    <w:p>
      <w:pPr>
        <w:spacing w:after="0" w:line="104" w:lineRule="exact"/>
        <w:rPr>
          <w:rFonts w:ascii="Arial" w:cs="Arial" w:eastAsia="Arial" w:hAnsi="Arial"/>
          <w:sz w:val="18"/>
          <w:szCs w:val="18"/>
          <w:color w:val="auto"/>
          <w:vertAlign w:val="superscript"/>
        </w:rPr>
      </w:pPr>
    </w:p>
    <w:p>
      <w:pPr>
        <w:ind w:left="1040" w:right="879"/>
        <w:spacing w:after="0" w:line="253" w:lineRule="auto"/>
        <w:rPr>
          <w:rFonts w:ascii="Arial" w:cs="Arial" w:eastAsia="Arial" w:hAnsi="Arial"/>
          <w:sz w:val="18"/>
          <w:szCs w:val="18"/>
          <w:color w:val="auto"/>
          <w:vertAlign w:val="superscript"/>
        </w:rPr>
      </w:pPr>
      <w:r>
        <w:rPr>
          <w:rFonts w:ascii="Arial" w:cs="Arial" w:eastAsia="Arial" w:hAnsi="Arial"/>
          <w:sz w:val="11"/>
          <w:szCs w:val="11"/>
          <w:color w:val="auto"/>
        </w:rPr>
        <w:t>The amounts in columns (c), (d), and (e) reflect the payment levels at threshold, target, and maximum performance for the 2021 fiscal year under the Annual Incentive Plan and reflect the potential amounts to be paid at the end of the period if the applicable performance goals are achieved. The estimated annual incentive payouts are based on a percentage of the NEO’s base salary rate, as shown in the table below:</w:t>
      </w:r>
    </w:p>
    <w:p>
      <w:pPr>
        <w:spacing w:after="0" w:line="99"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140" w:type="dxa"/>
            <w:vAlign w:val="bottom"/>
          </w:tcPr>
          <w:p>
            <w:pPr>
              <w:jc w:val="right"/>
              <w:ind w:right="252"/>
              <w:spacing w:after="0"/>
              <w:rPr>
                <w:sz w:val="20"/>
                <w:szCs w:val="20"/>
                <w:color w:val="auto"/>
              </w:rPr>
            </w:pPr>
            <w:r>
              <w:rPr>
                <w:rFonts w:ascii="Arial" w:cs="Arial" w:eastAsia="Arial" w:hAnsi="Arial"/>
                <w:sz w:val="10"/>
                <w:szCs w:val="10"/>
                <w:b w:val="1"/>
                <w:bCs w:val="1"/>
                <w:color w:val="auto"/>
              </w:rPr>
              <w:t>Threshold</w:t>
            </w:r>
          </w:p>
        </w:tc>
        <w:tc>
          <w:tcPr>
            <w:tcW w:w="800" w:type="dxa"/>
            <w:vAlign w:val="bottom"/>
          </w:tcPr>
          <w:p>
            <w:pPr>
              <w:jc w:val="right"/>
              <w:ind w:right="172"/>
              <w:spacing w:after="0"/>
              <w:rPr>
                <w:sz w:val="20"/>
                <w:szCs w:val="20"/>
                <w:color w:val="auto"/>
              </w:rPr>
            </w:pPr>
            <w:r>
              <w:rPr>
                <w:rFonts w:ascii="Arial" w:cs="Arial" w:eastAsia="Arial" w:hAnsi="Arial"/>
                <w:sz w:val="10"/>
                <w:szCs w:val="10"/>
                <w:b w:val="1"/>
                <w:bCs w:val="1"/>
                <w:color w:val="auto"/>
              </w:rPr>
              <w:t>Target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Maximum</w:t>
            </w:r>
          </w:p>
        </w:tc>
      </w:tr>
      <w:tr>
        <w:trPr>
          <w:trHeight w:val="115"/>
        </w:trPr>
        <w:tc>
          <w:tcPr>
            <w:tcW w:w="448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1140" w:type="dxa"/>
            <w:vAlign w:val="bottom"/>
            <w:tcBorders>
              <w:bottom w:val="single" w:sz="8" w:color="E31F25"/>
            </w:tcBorders>
          </w:tcPr>
          <w:p>
            <w:pPr>
              <w:jc w:val="right"/>
              <w:ind w:right="25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97"/>
        </w:trPr>
        <w:tc>
          <w:tcPr>
            <w:tcW w:w="4480" w:type="dxa"/>
            <w:vAlign w:val="bottom"/>
            <w:tcBorders>
              <w:bottom w:val="single" w:sz="8" w:color="CCCCCC"/>
            </w:tcBorders>
          </w:tcPr>
          <w:p>
            <w:pPr>
              <w:ind w:left="60"/>
              <w:spacing w:after="0" w:line="97" w:lineRule="exact"/>
              <w:rPr>
                <w:sz w:val="20"/>
                <w:szCs w:val="20"/>
                <w:color w:val="auto"/>
              </w:rPr>
            </w:pPr>
            <w:r>
              <w:rPr>
                <w:rFonts w:ascii="Arial" w:cs="Arial" w:eastAsia="Arial" w:hAnsi="Arial"/>
                <w:sz w:val="10"/>
                <w:szCs w:val="10"/>
                <w:b w:val="1"/>
                <w:bCs w:val="1"/>
                <w:color w:val="D60011"/>
              </w:rPr>
              <w:t>Johnson</w:t>
            </w:r>
          </w:p>
        </w:tc>
        <w:tc>
          <w:tcPr>
            <w:tcW w:w="1140" w:type="dxa"/>
            <w:vAlign w:val="bottom"/>
            <w:tcBorders>
              <w:bottom w:val="single" w:sz="8" w:color="CCCCCC"/>
            </w:tcBorders>
          </w:tcPr>
          <w:p>
            <w:pPr>
              <w:jc w:val="right"/>
              <w:ind w:right="252"/>
              <w:spacing w:after="0" w:line="97" w:lineRule="exact"/>
              <w:rPr>
                <w:sz w:val="20"/>
                <w:szCs w:val="20"/>
                <w:color w:val="auto"/>
              </w:rPr>
            </w:pPr>
            <w:r>
              <w:rPr>
                <w:rFonts w:ascii="Arial" w:cs="Arial" w:eastAsia="Arial" w:hAnsi="Arial"/>
                <w:sz w:val="10"/>
                <w:szCs w:val="10"/>
                <w:color w:val="auto"/>
              </w:rPr>
              <w:t>50</w:t>
            </w:r>
          </w:p>
        </w:tc>
        <w:tc>
          <w:tcPr>
            <w:tcW w:w="800" w:type="dxa"/>
            <w:vAlign w:val="bottom"/>
            <w:tcBorders>
              <w:bottom w:val="single" w:sz="8" w:color="CCCCCC"/>
            </w:tcBorders>
          </w:tcPr>
          <w:p>
            <w:pPr>
              <w:jc w:val="right"/>
              <w:ind w:right="172"/>
              <w:spacing w:after="0" w:line="97" w:lineRule="exact"/>
              <w:rPr>
                <w:sz w:val="20"/>
                <w:szCs w:val="20"/>
                <w:color w:val="auto"/>
              </w:rPr>
            </w:pPr>
            <w:r>
              <w:rPr>
                <w:rFonts w:ascii="Arial" w:cs="Arial" w:eastAsia="Arial" w:hAnsi="Arial"/>
                <w:sz w:val="10"/>
                <w:szCs w:val="10"/>
                <w:color w:val="auto"/>
              </w:rPr>
              <w:t>200</w:t>
            </w:r>
          </w:p>
        </w:tc>
        <w:tc>
          <w:tcPr>
            <w:tcW w:w="70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400</w:t>
            </w:r>
          </w:p>
        </w:tc>
      </w:tr>
      <w:tr>
        <w:trPr>
          <w:trHeight w:val="115"/>
        </w:trPr>
        <w:tc>
          <w:tcPr>
            <w:tcW w:w="4480" w:type="dxa"/>
            <w:vAlign w:val="bottom"/>
            <w:tcBorders>
              <w:bottom w:val="single" w:sz="8" w:color="CCCCCC"/>
            </w:tcBorders>
          </w:tcPr>
          <w:p>
            <w:pPr>
              <w:ind w:left="60"/>
              <w:spacing w:after="0" w:line="115" w:lineRule="exact"/>
              <w:rPr>
                <w:sz w:val="20"/>
                <w:szCs w:val="20"/>
                <w:color w:val="auto"/>
              </w:rPr>
            </w:pPr>
            <w:r>
              <w:rPr>
                <w:rFonts w:ascii="Arial" w:cs="Arial" w:eastAsia="Arial" w:hAnsi="Arial"/>
                <w:sz w:val="8"/>
                <w:szCs w:val="8"/>
                <w:b w:val="1"/>
                <w:bCs w:val="1"/>
                <w:color w:val="D60011"/>
              </w:rPr>
              <w:t>Page</w:t>
            </w:r>
            <w:r>
              <w:rPr>
                <w:rFonts w:ascii="Arial" w:cs="Arial" w:eastAsia="Arial" w:hAnsi="Arial"/>
                <w:sz w:val="13"/>
                <w:szCs w:val="13"/>
                <w:b w:val="1"/>
                <w:bCs w:val="1"/>
                <w:color w:val="D60011"/>
                <w:vertAlign w:val="superscript"/>
              </w:rPr>
              <w:t>(A)</w:t>
            </w:r>
            <w:r>
              <w:rPr>
                <w:rFonts w:ascii="Arial" w:cs="Arial" w:eastAsia="Arial" w:hAnsi="Arial"/>
                <w:sz w:val="8"/>
                <w:szCs w:val="8"/>
                <w:b w:val="1"/>
                <w:bCs w:val="1"/>
                <w:color w:val="D60011"/>
              </w:rPr>
              <w:t>, Martin, and Gray</w:t>
            </w:r>
          </w:p>
        </w:tc>
        <w:tc>
          <w:tcPr>
            <w:tcW w:w="114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18.75</w:t>
            </w:r>
          </w:p>
        </w:tc>
        <w:tc>
          <w:tcPr>
            <w:tcW w:w="8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75</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150</w:t>
            </w:r>
          </w:p>
        </w:tc>
      </w:tr>
      <w:tr>
        <w:trPr>
          <w:trHeight w:val="115"/>
        </w:trPr>
        <w:tc>
          <w:tcPr>
            <w:tcW w:w="4480" w:type="dxa"/>
            <w:vAlign w:val="bottom"/>
          </w:tcPr>
          <w:p>
            <w:pPr>
              <w:ind w:left="60"/>
              <w:spacing w:after="0" w:line="115" w:lineRule="exact"/>
              <w:rPr>
                <w:sz w:val="20"/>
                <w:szCs w:val="20"/>
                <w:color w:val="auto"/>
              </w:rPr>
            </w:pPr>
            <w:r>
              <w:rPr>
                <w:rFonts w:ascii="Arial" w:cs="Arial" w:eastAsia="Arial" w:hAnsi="Arial"/>
                <w:sz w:val="8"/>
                <w:szCs w:val="8"/>
                <w:b w:val="1"/>
                <w:bCs w:val="1"/>
                <w:color w:val="D60011"/>
              </w:rPr>
              <w:t>Bracken</w:t>
            </w:r>
            <w:r>
              <w:rPr>
                <w:rFonts w:ascii="Arial" w:cs="Arial" w:eastAsia="Arial" w:hAnsi="Arial"/>
                <w:sz w:val="13"/>
                <w:szCs w:val="13"/>
                <w:b w:val="1"/>
                <w:bCs w:val="1"/>
                <w:color w:val="D60011"/>
                <w:vertAlign w:val="superscript"/>
              </w:rPr>
              <w:t>(B)</w:t>
            </w:r>
          </w:p>
        </w:tc>
        <w:tc>
          <w:tcPr>
            <w:tcW w:w="114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18.75</w:t>
            </w:r>
          </w:p>
        </w:tc>
        <w:tc>
          <w:tcPr>
            <w:tcW w:w="8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75</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150</w:t>
            </w:r>
          </w:p>
        </w:tc>
      </w:tr>
      <w:tr>
        <w:trPr>
          <w:trHeight w:val="97"/>
        </w:trPr>
        <w:tc>
          <w:tcPr>
            <w:tcW w:w="4480" w:type="dxa"/>
            <w:vAlign w:val="bottom"/>
            <w:tcBorders>
              <w:bottom w:val="single" w:sz="8" w:color="E31F25"/>
            </w:tcBorders>
          </w:tcPr>
          <w:p>
            <w:pPr>
              <w:spacing w:after="0"/>
              <w:rPr>
                <w:sz w:val="8"/>
                <w:szCs w:val="8"/>
                <w:color w:val="auto"/>
              </w:rPr>
            </w:pPr>
          </w:p>
        </w:tc>
        <w:tc>
          <w:tcPr>
            <w:tcW w:w="1140" w:type="dxa"/>
            <w:vAlign w:val="bottom"/>
            <w:tcBorders>
              <w:bottom w:val="single" w:sz="8" w:color="E31F25"/>
            </w:tcBorders>
          </w:tcPr>
          <w:p>
            <w:pPr>
              <w:jc w:val="right"/>
              <w:ind w:right="252"/>
              <w:spacing w:after="0" w:line="97" w:lineRule="exact"/>
              <w:rPr>
                <w:sz w:val="20"/>
                <w:szCs w:val="20"/>
                <w:color w:val="auto"/>
              </w:rPr>
            </w:pPr>
            <w:r>
              <w:rPr>
                <w:rFonts w:ascii="Arial" w:cs="Arial" w:eastAsia="Arial" w:hAnsi="Arial"/>
                <w:sz w:val="10"/>
                <w:szCs w:val="10"/>
                <w:color w:val="auto"/>
              </w:rPr>
              <w:t>25</w:t>
            </w:r>
          </w:p>
        </w:tc>
        <w:tc>
          <w:tcPr>
            <w:tcW w:w="800" w:type="dxa"/>
            <w:vAlign w:val="bottom"/>
            <w:tcBorders>
              <w:bottom w:val="single" w:sz="8" w:color="E31F25"/>
            </w:tcBorders>
          </w:tcPr>
          <w:p>
            <w:pPr>
              <w:jc w:val="right"/>
              <w:ind w:right="172"/>
              <w:spacing w:after="0" w:line="97" w:lineRule="exact"/>
              <w:rPr>
                <w:sz w:val="20"/>
                <w:szCs w:val="20"/>
                <w:color w:val="auto"/>
              </w:rPr>
            </w:pPr>
            <w:r>
              <w:rPr>
                <w:rFonts w:ascii="Arial" w:cs="Arial" w:eastAsia="Arial" w:hAnsi="Arial"/>
                <w:sz w:val="10"/>
                <w:szCs w:val="10"/>
                <w:color w:val="auto"/>
              </w:rPr>
              <w:t>100</w:t>
            </w:r>
          </w:p>
        </w:tc>
        <w:tc>
          <w:tcPr>
            <w:tcW w:w="700" w:type="dxa"/>
            <w:vAlign w:val="bottom"/>
            <w:tcBorders>
              <w:bottom w:val="single" w:sz="8" w:color="E31F25"/>
            </w:tcBorders>
          </w:tcPr>
          <w:p>
            <w:pPr>
              <w:jc w:val="right"/>
              <w:spacing w:after="0" w:line="97" w:lineRule="exact"/>
              <w:rPr>
                <w:sz w:val="20"/>
                <w:szCs w:val="20"/>
                <w:color w:val="auto"/>
              </w:rPr>
            </w:pPr>
            <w:r>
              <w:rPr>
                <w:rFonts w:ascii="Arial" w:cs="Arial" w:eastAsia="Arial" w:hAnsi="Arial"/>
                <w:sz w:val="10"/>
                <w:szCs w:val="10"/>
                <w:color w:val="auto"/>
              </w:rPr>
              <w:t>200</w:t>
            </w:r>
          </w:p>
        </w:tc>
      </w:tr>
    </w:tbl>
    <w:p>
      <w:pPr>
        <w:spacing w:after="0" w:line="157" w:lineRule="exact"/>
        <w:rPr>
          <w:sz w:val="20"/>
          <w:szCs w:val="20"/>
          <w:color w:val="auto"/>
        </w:rPr>
      </w:pPr>
    </w:p>
    <w:p>
      <w:pPr>
        <w:ind w:left="1260" w:right="939" w:hanging="212"/>
        <w:spacing w:after="0" w:line="186" w:lineRule="auto"/>
        <w:tabs>
          <w:tab w:leader="none" w:pos="1260" w:val="left"/>
        </w:tabs>
        <w:numPr>
          <w:ilvl w:val="0"/>
          <w:numId w:val="120"/>
        </w:numPr>
        <w:rPr>
          <w:rFonts w:ascii="Arial" w:cs="Arial" w:eastAsia="Arial" w:hAnsi="Arial"/>
          <w:sz w:val="16"/>
          <w:szCs w:val="16"/>
          <w:color w:val="auto"/>
          <w:vertAlign w:val="superscript"/>
        </w:rPr>
      </w:pPr>
      <w:r>
        <w:rPr>
          <w:rFonts w:ascii="Arial" w:cs="Arial" w:eastAsia="Arial" w:hAnsi="Arial"/>
          <w:sz w:val="10"/>
          <w:szCs w:val="10"/>
          <w:color w:val="auto"/>
        </w:rPr>
        <w:t>Mr. Page joined the Company as Executive Vice President and Chief Financial Officer in April 2021. His target Annual Incentive Award was prorated for the 2021 performance period.</w:t>
      </w:r>
    </w:p>
    <w:p>
      <w:pPr>
        <w:spacing w:after="0" w:line="38" w:lineRule="exact"/>
        <w:rPr>
          <w:rFonts w:ascii="Arial" w:cs="Arial" w:eastAsia="Arial" w:hAnsi="Arial"/>
          <w:sz w:val="16"/>
          <w:szCs w:val="16"/>
          <w:color w:val="auto"/>
          <w:vertAlign w:val="superscript"/>
        </w:rPr>
      </w:pPr>
    </w:p>
    <w:p>
      <w:pPr>
        <w:ind w:left="1260" w:right="939" w:hanging="212"/>
        <w:spacing w:after="0" w:line="197" w:lineRule="auto"/>
        <w:tabs>
          <w:tab w:leader="none" w:pos="1260" w:val="left"/>
        </w:tabs>
        <w:numPr>
          <w:ilvl w:val="0"/>
          <w:numId w:val="120"/>
        </w:numPr>
        <w:rPr>
          <w:rFonts w:ascii="Arial" w:cs="Arial" w:eastAsia="Arial" w:hAnsi="Arial"/>
          <w:sz w:val="16"/>
          <w:szCs w:val="16"/>
          <w:color w:val="auto"/>
          <w:vertAlign w:val="superscript"/>
        </w:rPr>
      </w:pPr>
      <w:r>
        <w:rPr>
          <w:rFonts w:ascii="Arial" w:cs="Arial" w:eastAsia="Arial" w:hAnsi="Arial"/>
          <w:sz w:val="10"/>
          <w:szCs w:val="10"/>
          <w:color w:val="auto"/>
        </w:rPr>
        <w:t>Mr. Bracken served as Executive Vice President and Chief Executive Officer–North America until November 2021. His target award was set at 75% of his base salary rate at that time. Mr. Bracken was promoted to Executive Vice President and Chief Operating Officer in November 2021. His target award was set at 100% of his base salary rate at that time. His target Annual Incentive Award was prorated for the 2021 performance period.</w:t>
      </w:r>
    </w:p>
    <w:p>
      <w:pPr>
        <w:spacing w:after="0" w:line="92" w:lineRule="exact"/>
        <w:rPr>
          <w:sz w:val="20"/>
          <w:szCs w:val="20"/>
          <w:color w:val="auto"/>
        </w:rPr>
      </w:pPr>
    </w:p>
    <w:p>
      <w:pPr>
        <w:ind w:left="1040" w:right="1259"/>
        <w:spacing w:after="0" w:line="245" w:lineRule="auto"/>
        <w:rPr>
          <w:sz w:val="20"/>
          <w:szCs w:val="20"/>
          <w:color w:val="auto"/>
        </w:rPr>
      </w:pPr>
      <w:r>
        <w:rPr>
          <w:rFonts w:ascii="Arial" w:cs="Arial" w:eastAsia="Arial" w:hAnsi="Arial"/>
          <w:sz w:val="10"/>
          <w:szCs w:val="10"/>
          <w:color w:val="auto"/>
        </w:rPr>
        <w:t>Although Ms. Peters and Mr. Talwar participated in the Annual Incentive Plan in 2021, they were not eligible to receive a payment under the plan because their employment terminated prior to the completion of the plan year.</w:t>
      </w:r>
    </w:p>
    <w:p>
      <w:pPr>
        <w:spacing w:after="0" w:line="34" w:lineRule="exact"/>
        <w:rPr>
          <w:sz w:val="20"/>
          <w:szCs w:val="20"/>
          <w:color w:val="auto"/>
        </w:rPr>
      </w:pPr>
    </w:p>
    <w:p>
      <w:pPr>
        <w:ind w:left="1040" w:hanging="208"/>
        <w:spacing w:after="0"/>
        <w:tabs>
          <w:tab w:leader="none" w:pos="1040" w:val="left"/>
        </w:tabs>
        <w:numPr>
          <w:ilvl w:val="0"/>
          <w:numId w:val="121"/>
        </w:numPr>
        <w:rPr>
          <w:rFonts w:ascii="Arial" w:cs="Arial" w:eastAsia="Arial" w:hAnsi="Arial"/>
          <w:sz w:val="16"/>
          <w:szCs w:val="16"/>
          <w:color w:val="auto"/>
          <w:vertAlign w:val="superscript"/>
        </w:rPr>
      </w:pPr>
      <w:r>
        <w:rPr>
          <w:rFonts w:ascii="Arial" w:cs="Arial" w:eastAsia="Arial" w:hAnsi="Arial"/>
          <w:sz w:val="10"/>
          <w:szCs w:val="10"/>
          <w:b w:val="1"/>
          <w:bCs w:val="1"/>
          <w:color w:val="auto"/>
        </w:rPr>
        <w:t>PSU Awards</w:t>
      </w:r>
    </w:p>
    <w:p>
      <w:pPr>
        <w:spacing w:after="0" w:line="87" w:lineRule="exact"/>
        <w:rPr>
          <w:rFonts w:ascii="Arial" w:cs="Arial" w:eastAsia="Arial" w:hAnsi="Arial"/>
          <w:sz w:val="16"/>
          <w:szCs w:val="16"/>
          <w:color w:val="auto"/>
          <w:vertAlign w:val="superscript"/>
        </w:rPr>
      </w:pPr>
    </w:p>
    <w:p>
      <w:pPr>
        <w:ind w:left="1040" w:right="859"/>
        <w:spacing w:after="0" w:line="293" w:lineRule="auto"/>
        <w:rPr>
          <w:rFonts w:ascii="Arial" w:cs="Arial" w:eastAsia="Arial" w:hAnsi="Arial"/>
          <w:sz w:val="16"/>
          <w:szCs w:val="16"/>
          <w:color w:val="auto"/>
          <w:vertAlign w:val="superscript"/>
        </w:rPr>
      </w:pPr>
      <w:r>
        <w:rPr>
          <w:rFonts w:ascii="Arial" w:cs="Arial" w:eastAsia="Arial" w:hAnsi="Arial"/>
          <w:sz w:val="8"/>
          <w:szCs w:val="8"/>
          <w:color w:val="auto"/>
        </w:rPr>
        <w:t>For Mr. Page, provided the performance goals for the 2020-21 long-term performance period are achieved, the payout of the PSUs would be subject to a time-based, one-year vesting period following the end of the performance period. Columns (f), (g), and (h) reflect the number of PSUs that would be paid out at threshold, target, and maximum performance if the applicable performance goals are achieved for the 2020-21 performance period. The threshold, target, and maximum number of PSUs for Mr. Page were calculated on the grant date on the basis of that day’s closing stock price of a share of Common Stock. The closing price on the grant date of April 12, 2021 for Mr. Page was $59.73. Similarly, the grant date fair value of the PSUs are based on the closing stock price on the associated grant date. The actual number of PSUs paid out will be based on the Company’s performance compared to targets. The value of the PSUs received by Mr. Page will depend upon the Company’s stock price on the payment date in 2023. No dividends are paid or accrued in connection with the PSUs. The aggregate payout in stock at threshold, target, and maximum performance for Mr. Page is based on a percentage of his base salary rate in the second year of the performance period. The PSU award values for the 2020-21 performance period for Mr. Page at threshold, target, and maximum performance are listed in the following table:</w:t>
      </w:r>
    </w:p>
    <w:p>
      <w:pPr>
        <w:spacing w:after="0" w:line="173"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2960" w:type="dxa"/>
            <w:vAlign w:val="bottom"/>
          </w:tcPr>
          <w:p>
            <w:pPr>
              <w:jc w:val="right"/>
              <w:ind w:right="212"/>
              <w:spacing w:after="0"/>
              <w:rPr>
                <w:sz w:val="20"/>
                <w:szCs w:val="20"/>
                <w:color w:val="auto"/>
              </w:rPr>
            </w:pPr>
            <w:r>
              <w:rPr>
                <w:rFonts w:ascii="Arial" w:cs="Arial" w:eastAsia="Arial" w:hAnsi="Arial"/>
                <w:sz w:val="10"/>
                <w:szCs w:val="10"/>
                <w:b w:val="1"/>
                <w:bCs w:val="1"/>
                <w:color w:val="auto"/>
              </w:rPr>
              <w:t>Threshold</w:t>
            </w:r>
          </w:p>
        </w:tc>
        <w:tc>
          <w:tcPr>
            <w:tcW w:w="840" w:type="dxa"/>
            <w:vAlign w:val="bottom"/>
          </w:tcPr>
          <w:p>
            <w:pPr>
              <w:jc w:val="right"/>
              <w:ind w:right="172"/>
              <w:spacing w:after="0"/>
              <w:rPr>
                <w:sz w:val="20"/>
                <w:szCs w:val="20"/>
                <w:color w:val="auto"/>
              </w:rPr>
            </w:pPr>
            <w:r>
              <w:rPr>
                <w:rFonts w:ascii="Arial" w:cs="Arial" w:eastAsia="Arial" w:hAnsi="Arial"/>
                <w:sz w:val="10"/>
                <w:szCs w:val="10"/>
                <w:b w:val="1"/>
                <w:bCs w:val="1"/>
                <w:color w:val="auto"/>
              </w:rPr>
              <w:t>Target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Maximum</w:t>
            </w:r>
          </w:p>
        </w:tc>
      </w:tr>
      <w:tr>
        <w:trPr>
          <w:trHeight w:val="115"/>
        </w:trPr>
        <w:tc>
          <w:tcPr>
            <w:tcW w:w="262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2960" w:type="dxa"/>
            <w:vAlign w:val="bottom"/>
            <w:tcBorders>
              <w:bottom w:val="single" w:sz="8" w:color="E31F25"/>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15"/>
        </w:trPr>
        <w:tc>
          <w:tcPr>
            <w:tcW w:w="2620" w:type="dxa"/>
            <w:vAlign w:val="bottom"/>
            <w:tcBorders>
              <w:bottom w:val="single" w:sz="8" w:color="E31F25"/>
            </w:tcBorders>
          </w:tcPr>
          <w:p>
            <w:pPr>
              <w:ind w:left="60"/>
              <w:spacing w:after="0" w:line="115" w:lineRule="exact"/>
              <w:rPr>
                <w:sz w:val="20"/>
                <w:szCs w:val="20"/>
                <w:color w:val="auto"/>
              </w:rPr>
            </w:pPr>
            <w:r>
              <w:rPr>
                <w:rFonts w:ascii="Arial" w:cs="Arial" w:eastAsia="Arial" w:hAnsi="Arial"/>
                <w:sz w:val="8"/>
                <w:szCs w:val="8"/>
                <w:b w:val="1"/>
                <w:bCs w:val="1"/>
                <w:color w:val="D60011"/>
              </w:rPr>
              <w:t>Page</w:t>
            </w:r>
            <w:r>
              <w:rPr>
                <w:rFonts w:ascii="Arial" w:cs="Arial" w:eastAsia="Arial" w:hAnsi="Arial"/>
                <w:sz w:val="13"/>
                <w:szCs w:val="13"/>
                <w:b w:val="1"/>
                <w:bCs w:val="1"/>
                <w:color w:val="D60011"/>
                <w:vertAlign w:val="superscript"/>
              </w:rPr>
              <w:t>(A)</w:t>
            </w:r>
          </w:p>
        </w:tc>
        <w:tc>
          <w:tcPr>
            <w:tcW w:w="2960" w:type="dxa"/>
            <w:vAlign w:val="bottom"/>
            <w:tcBorders>
              <w:bottom w:val="single" w:sz="8" w:color="E31F25"/>
            </w:tcBorders>
          </w:tcPr>
          <w:p>
            <w:pPr>
              <w:jc w:val="right"/>
              <w:ind w:right="212"/>
              <w:spacing w:after="0"/>
              <w:rPr>
                <w:sz w:val="20"/>
                <w:szCs w:val="20"/>
                <w:color w:val="auto"/>
              </w:rPr>
            </w:pPr>
            <w:r>
              <w:rPr>
                <w:rFonts w:ascii="Arial" w:cs="Arial" w:eastAsia="Arial" w:hAnsi="Arial"/>
                <w:sz w:val="10"/>
                <w:szCs w:val="10"/>
                <w:color w:val="auto"/>
              </w:rPr>
              <w:t>55,692</w:t>
            </w:r>
          </w:p>
        </w:tc>
        <w:tc>
          <w:tcPr>
            <w:tcW w:w="84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color w:val="auto"/>
              </w:rPr>
              <w:t>222,769</w:t>
            </w:r>
          </w:p>
        </w:tc>
        <w:tc>
          <w:tcPr>
            <w:tcW w:w="70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445,537</w:t>
            </w:r>
          </w:p>
        </w:tc>
      </w:tr>
    </w:tbl>
    <w:p>
      <w:pPr>
        <w:spacing w:after="0" w:line="157" w:lineRule="exact"/>
        <w:rPr>
          <w:sz w:val="20"/>
          <w:szCs w:val="20"/>
          <w:color w:val="auto"/>
        </w:rPr>
      </w:pPr>
    </w:p>
    <w:p>
      <w:pPr>
        <w:ind w:left="1260" w:right="1039" w:hanging="212"/>
        <w:spacing w:after="0" w:line="186" w:lineRule="auto"/>
        <w:tabs>
          <w:tab w:leader="none" w:pos="1260" w:val="left"/>
        </w:tabs>
        <w:numPr>
          <w:ilvl w:val="0"/>
          <w:numId w:val="122"/>
        </w:numPr>
        <w:rPr>
          <w:rFonts w:ascii="Arial" w:cs="Arial" w:eastAsia="Arial" w:hAnsi="Arial"/>
          <w:sz w:val="16"/>
          <w:szCs w:val="16"/>
          <w:color w:val="auto"/>
          <w:vertAlign w:val="superscript"/>
        </w:rPr>
      </w:pPr>
      <w:r>
        <w:rPr>
          <w:rFonts w:ascii="Arial" w:cs="Arial" w:eastAsia="Arial" w:hAnsi="Arial"/>
          <w:sz w:val="10"/>
          <w:szCs w:val="10"/>
          <w:color w:val="auto"/>
        </w:rPr>
        <w:t>Mr. Page joined the Company as Executive Vice President and Chief Financial Officer in April 2021. His PSU award was prorated for the 2020-21 performance period.</w:t>
      </w:r>
    </w:p>
    <w:p>
      <w:pPr>
        <w:spacing w:after="0" w:line="92" w:lineRule="exact"/>
        <w:rPr>
          <w:sz w:val="20"/>
          <w:szCs w:val="20"/>
          <w:color w:val="auto"/>
        </w:rPr>
      </w:pPr>
    </w:p>
    <w:p>
      <w:pPr>
        <w:ind w:left="1040" w:right="899"/>
        <w:spacing w:after="0" w:line="228" w:lineRule="auto"/>
        <w:rPr>
          <w:sz w:val="20"/>
          <w:szCs w:val="20"/>
          <w:color w:val="auto"/>
        </w:rPr>
      </w:pPr>
      <w:r>
        <w:rPr>
          <w:rFonts w:ascii="Arial" w:cs="Arial" w:eastAsia="Arial" w:hAnsi="Arial"/>
          <w:sz w:val="10"/>
          <w:szCs w:val="10"/>
          <w:color w:val="auto"/>
        </w:rPr>
        <w:t>For each of the NEOs, provided the performance goals for the 2021-22 long-term performance period are achieved, the payout of the PSUs would be subject to a time-based, one-year vesting period following the end of the performance period. Columns (f), (g), and (h) reflect the number of PSUs that would be paid out at threshold, target, and maximum performance if the applicable performance goals are achieved for the 2021-22 performance period. The threshold, target, and maximum number of PSUs for each NEO were calculated on the grant date on the basis of that day’s closing stock price of a share of Common Stock. The closing price on the grant date of March 24, 2021 for each of the NEOs other than Mr. Page was $53.61, and the closing price on the grant date of April 12, 2021 for Mr. Page was $59.73. Similarly, the grant date fair value of the PSUs are based on the closing stock price on the associated grant date. The actual number of PSUs paid out will be based on the Company’s performance compared to targets. The value of the PSUs received by an NEO will depend upon the Company’s stock price on the payment date in 2024. No dividends are paid or accrued in connection with the PSUs. The aggregate payout in stock at threshold, target, and maximum performance for each of the NEOs is based on a percentage of their base salary rate in the first year of the performance period. The PSU award values for the 2021-22 performance period for the NEOs at threshold, target, and maximum performance are listed in the following table:</w:t>
      </w:r>
    </w:p>
    <w:p>
      <w:pPr>
        <w:spacing w:after="0" w:line="87"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2720" w:type="dxa"/>
            <w:vAlign w:val="bottom"/>
          </w:tcPr>
          <w:p>
            <w:pPr>
              <w:jc w:val="right"/>
              <w:ind w:right="172"/>
              <w:spacing w:after="0"/>
              <w:rPr>
                <w:sz w:val="20"/>
                <w:szCs w:val="20"/>
                <w:color w:val="auto"/>
              </w:rPr>
            </w:pPr>
            <w:r>
              <w:rPr>
                <w:rFonts w:ascii="Arial" w:cs="Arial" w:eastAsia="Arial" w:hAnsi="Arial"/>
                <w:sz w:val="10"/>
                <w:szCs w:val="10"/>
                <w:b w:val="1"/>
                <w:bCs w:val="1"/>
                <w:color w:val="auto"/>
              </w:rPr>
              <w:t>Threshold</w:t>
            </w:r>
          </w:p>
        </w:tc>
        <w:tc>
          <w:tcPr>
            <w:tcW w:w="880" w:type="dxa"/>
            <w:vAlign w:val="bottom"/>
          </w:tcPr>
          <w:p>
            <w:pPr>
              <w:jc w:val="right"/>
              <w:ind w:right="172"/>
              <w:spacing w:after="0"/>
              <w:rPr>
                <w:sz w:val="20"/>
                <w:szCs w:val="20"/>
                <w:color w:val="auto"/>
              </w:rPr>
            </w:pPr>
            <w:r>
              <w:rPr>
                <w:rFonts w:ascii="Arial" w:cs="Arial" w:eastAsia="Arial" w:hAnsi="Arial"/>
                <w:sz w:val="10"/>
                <w:szCs w:val="10"/>
                <w:b w:val="1"/>
                <w:bCs w:val="1"/>
                <w:color w:val="auto"/>
              </w:rPr>
              <w:t>Target</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Maximum</w:t>
            </w:r>
          </w:p>
        </w:tc>
      </w:tr>
      <w:tr>
        <w:trPr>
          <w:trHeight w:val="132"/>
        </w:trPr>
        <w:tc>
          <w:tcPr>
            <w:tcW w:w="282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272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33"/>
        </w:trPr>
        <w:tc>
          <w:tcPr>
            <w:tcW w:w="28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272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1,207,500</w:t>
            </w:r>
          </w:p>
        </w:tc>
        <w:tc>
          <w:tcPr>
            <w:tcW w:w="88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4,830,000</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9,660,000</w:t>
            </w:r>
          </w:p>
        </w:tc>
      </w:tr>
      <w:tr>
        <w:trPr>
          <w:trHeight w:val="152"/>
        </w:trPr>
        <w:tc>
          <w:tcPr>
            <w:tcW w:w="2820" w:type="dxa"/>
            <w:vAlign w:val="bottom"/>
            <w:tcBorders>
              <w:bottom w:val="single" w:sz="8" w:color="CCCCCC"/>
            </w:tcBorders>
          </w:tcPr>
          <w:p>
            <w:pPr>
              <w:ind w:left="60"/>
              <w:spacing w:after="0" w:line="152" w:lineRule="exact"/>
              <w:rPr>
                <w:sz w:val="20"/>
                <w:szCs w:val="20"/>
                <w:color w:val="auto"/>
              </w:rPr>
            </w:pPr>
            <w:r>
              <w:rPr>
                <w:rFonts w:ascii="Arial" w:cs="Arial" w:eastAsia="Arial" w:hAnsi="Arial"/>
                <w:sz w:val="10"/>
                <w:szCs w:val="10"/>
                <w:b w:val="1"/>
                <w:bCs w:val="1"/>
                <w:color w:val="D60011"/>
              </w:rPr>
              <w:t>Page</w:t>
            </w:r>
            <w:r>
              <w:rPr>
                <w:rFonts w:ascii="Arial" w:cs="Arial" w:eastAsia="Arial" w:hAnsi="Arial"/>
                <w:sz w:val="15"/>
                <w:szCs w:val="15"/>
                <w:b w:val="1"/>
                <w:bCs w:val="1"/>
                <w:color w:val="D60011"/>
                <w:vertAlign w:val="superscript"/>
              </w:rPr>
              <w:t>(A)</w:t>
            </w:r>
          </w:p>
        </w:tc>
        <w:tc>
          <w:tcPr>
            <w:tcW w:w="272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124,880</w:t>
            </w:r>
          </w:p>
        </w:tc>
        <w:tc>
          <w:tcPr>
            <w:tcW w:w="88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499,519</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999,037</w:t>
            </w:r>
          </w:p>
        </w:tc>
      </w:tr>
      <w:tr>
        <w:trPr>
          <w:trHeight w:val="132"/>
        </w:trPr>
        <w:tc>
          <w:tcPr>
            <w:tcW w:w="28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272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149,405</w:t>
            </w:r>
          </w:p>
        </w:tc>
        <w:tc>
          <w:tcPr>
            <w:tcW w:w="88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597,620</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1,195,240</w:t>
            </w:r>
          </w:p>
        </w:tc>
      </w:tr>
      <w:tr>
        <w:trPr>
          <w:trHeight w:val="133"/>
        </w:trPr>
        <w:tc>
          <w:tcPr>
            <w:tcW w:w="28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 and Gray</w:t>
            </w:r>
          </w:p>
        </w:tc>
        <w:tc>
          <w:tcPr>
            <w:tcW w:w="272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146,063</w:t>
            </w:r>
          </w:p>
        </w:tc>
        <w:tc>
          <w:tcPr>
            <w:tcW w:w="88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584,250</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1,168,500</w:t>
            </w:r>
          </w:p>
        </w:tc>
      </w:tr>
      <w:tr>
        <w:trPr>
          <w:trHeight w:val="152"/>
        </w:trPr>
        <w:tc>
          <w:tcPr>
            <w:tcW w:w="2820" w:type="dxa"/>
            <w:vAlign w:val="bottom"/>
            <w:tcBorders>
              <w:bottom w:val="single" w:sz="8" w:color="E31F25"/>
            </w:tcBorders>
          </w:tcPr>
          <w:p>
            <w:pPr>
              <w:ind w:left="60"/>
              <w:spacing w:after="0" w:line="152" w:lineRule="exact"/>
              <w:rPr>
                <w:sz w:val="20"/>
                <w:szCs w:val="20"/>
                <w:color w:val="auto"/>
              </w:rPr>
            </w:pPr>
            <w:r>
              <w:rPr>
                <w:rFonts w:ascii="Arial" w:cs="Arial" w:eastAsia="Arial" w:hAnsi="Arial"/>
                <w:sz w:val="10"/>
                <w:szCs w:val="10"/>
                <w:b w:val="1"/>
                <w:bCs w:val="1"/>
                <w:color w:val="D60011"/>
              </w:rPr>
              <w:t>Talwar</w:t>
            </w:r>
            <w:r>
              <w:rPr>
                <w:rFonts w:ascii="Arial" w:cs="Arial" w:eastAsia="Arial" w:hAnsi="Arial"/>
                <w:sz w:val="15"/>
                <w:szCs w:val="15"/>
                <w:b w:val="1"/>
                <w:bCs w:val="1"/>
                <w:color w:val="D60011"/>
                <w:vertAlign w:val="superscript"/>
              </w:rPr>
              <w:t>(B)</w:t>
            </w:r>
          </w:p>
        </w:tc>
        <w:tc>
          <w:tcPr>
            <w:tcW w:w="272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color w:val="auto"/>
              </w:rPr>
              <w:t>151,543</w:t>
            </w:r>
          </w:p>
        </w:tc>
        <w:tc>
          <w:tcPr>
            <w:tcW w:w="8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color w:val="auto"/>
              </w:rPr>
              <w:t>606,173</w:t>
            </w:r>
          </w:p>
        </w:tc>
        <w:tc>
          <w:tcPr>
            <w:tcW w:w="70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1,212,346</w:t>
            </w:r>
          </w:p>
        </w:tc>
      </w:tr>
    </w:tbl>
    <w:p>
      <w:pPr>
        <w:spacing w:after="0" w:line="157" w:lineRule="exact"/>
        <w:rPr>
          <w:sz w:val="20"/>
          <w:szCs w:val="20"/>
          <w:color w:val="auto"/>
        </w:rPr>
      </w:pPr>
    </w:p>
    <w:p>
      <w:pPr>
        <w:ind w:left="1260" w:right="1039" w:hanging="212"/>
        <w:spacing w:after="0" w:line="186" w:lineRule="auto"/>
        <w:tabs>
          <w:tab w:leader="none" w:pos="1260" w:val="left"/>
        </w:tabs>
        <w:numPr>
          <w:ilvl w:val="0"/>
          <w:numId w:val="123"/>
        </w:numPr>
        <w:rPr>
          <w:rFonts w:ascii="Arial" w:cs="Arial" w:eastAsia="Arial" w:hAnsi="Arial"/>
          <w:sz w:val="16"/>
          <w:szCs w:val="16"/>
          <w:color w:val="auto"/>
          <w:vertAlign w:val="superscript"/>
        </w:rPr>
      </w:pPr>
      <w:r>
        <w:rPr>
          <w:rFonts w:ascii="Arial" w:cs="Arial" w:eastAsia="Arial" w:hAnsi="Arial"/>
          <w:sz w:val="10"/>
          <w:szCs w:val="10"/>
          <w:color w:val="auto"/>
        </w:rPr>
        <w:t>Mr. Page joined the Company as Executive Vice President and Chief Financial Officer in April 2021. His PSU award was prorated for the 2021-22 performance period.</w:t>
      </w:r>
    </w:p>
    <w:p>
      <w:pPr>
        <w:spacing w:after="0" w:line="1" w:lineRule="exact"/>
        <w:rPr>
          <w:rFonts w:ascii="Arial" w:cs="Arial" w:eastAsia="Arial" w:hAnsi="Arial"/>
          <w:sz w:val="16"/>
          <w:szCs w:val="16"/>
          <w:color w:val="auto"/>
          <w:vertAlign w:val="superscript"/>
        </w:rPr>
      </w:pPr>
    </w:p>
    <w:p>
      <w:pPr>
        <w:ind w:left="1260" w:hanging="212"/>
        <w:spacing w:after="0" w:line="211" w:lineRule="auto"/>
        <w:tabs>
          <w:tab w:leader="none" w:pos="1260" w:val="left"/>
        </w:tabs>
        <w:numPr>
          <w:ilvl w:val="0"/>
          <w:numId w:val="123"/>
        </w:numPr>
        <w:rPr>
          <w:rFonts w:ascii="Arial" w:cs="Arial" w:eastAsia="Arial" w:hAnsi="Arial"/>
          <w:sz w:val="16"/>
          <w:szCs w:val="16"/>
          <w:color w:val="auto"/>
          <w:vertAlign w:val="superscript"/>
        </w:rPr>
      </w:pPr>
      <w:r>
        <w:rPr>
          <w:rFonts w:ascii="Arial" w:cs="Arial" w:eastAsia="Arial" w:hAnsi="Arial"/>
          <w:sz w:val="10"/>
          <w:szCs w:val="10"/>
          <w:color w:val="auto"/>
        </w:rPr>
        <w:t>Mr. Talwar forfeited this PSU award in connection with the termination of his employment.</w:t>
      </w:r>
    </w:p>
    <w:p>
      <w:pPr>
        <w:spacing w:after="0" w:line="82" w:lineRule="exact"/>
        <w:rPr>
          <w:sz w:val="20"/>
          <w:szCs w:val="20"/>
          <w:color w:val="auto"/>
        </w:rPr>
      </w:pPr>
    </w:p>
    <w:p>
      <w:pPr>
        <w:ind w:left="1520" w:hanging="388"/>
        <w:spacing w:after="0"/>
        <w:tabs>
          <w:tab w:leader="none" w:pos="1520" w:val="left"/>
        </w:tabs>
        <w:numPr>
          <w:ilvl w:val="0"/>
          <w:numId w:val="124"/>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236855</wp:posOffset>
            </wp:positionV>
            <wp:extent cx="717804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80" w:name="page81"/>
    <w:bookmarkEnd w:id="80"/>
    <w:p>
      <w:pPr>
        <w:jc w:val="right"/>
        <w:ind w:right="1980"/>
        <w:spacing w:after="0"/>
        <w:rPr>
          <w:sz w:val="20"/>
          <w:szCs w:val="20"/>
          <w:color w:val="auto"/>
        </w:rPr>
      </w:pPr>
      <w:r>
        <w:rPr>
          <w:rFonts w:ascii="Arial" w:cs="Arial" w:eastAsia="Arial" w:hAnsi="Arial"/>
          <w:sz w:val="10"/>
          <w:szCs w:val="10"/>
          <w:b w:val="1"/>
          <w:bCs w:val="1"/>
          <w:color w:val="D60011"/>
        </w:rPr>
        <w:t>EXECUTIVE COMPENSATION</w:t>
      </w:r>
    </w:p>
    <w:p>
      <w:pPr>
        <w:spacing w:after="0" w:line="48" w:lineRule="exact"/>
        <w:rPr>
          <w:sz w:val="20"/>
          <w:szCs w:val="20"/>
          <w:color w:val="auto"/>
        </w:rPr>
      </w:pPr>
    </w:p>
    <w:p>
      <w:pPr>
        <w:ind w:left="2180" w:hanging="208"/>
        <w:spacing w:after="0"/>
        <w:tabs>
          <w:tab w:leader="none" w:pos="2180" w:val="left"/>
        </w:tabs>
        <w:numPr>
          <w:ilvl w:val="0"/>
          <w:numId w:val="125"/>
        </w:numPr>
        <w:rPr>
          <w:rFonts w:ascii="Arial" w:cs="Arial" w:eastAsia="Arial" w:hAnsi="Arial"/>
          <w:sz w:val="16"/>
          <w:szCs w:val="16"/>
          <w:color w:val="auto"/>
          <w:vertAlign w:val="superscript"/>
        </w:rPr>
      </w:pPr>
      <w:r>
        <w:rPr>
          <w:rFonts w:ascii="Arial" w:cs="Arial" w:eastAsia="Arial" w:hAnsi="Arial"/>
          <w:sz w:val="10"/>
          <w:szCs w:val="10"/>
          <w:b w:val="1"/>
          <w:bCs w:val="1"/>
          <w:color w:val="auto"/>
        </w:rPr>
        <w:t>Stock Option Awards</w:t>
      </w:r>
    </w:p>
    <w:p>
      <w:pPr>
        <w:spacing w:after="0" w:line="87" w:lineRule="exact"/>
        <w:rPr>
          <w:rFonts w:ascii="Arial" w:cs="Arial" w:eastAsia="Arial" w:hAnsi="Arial"/>
          <w:sz w:val="16"/>
          <w:szCs w:val="16"/>
          <w:color w:val="auto"/>
          <w:vertAlign w:val="superscript"/>
        </w:rPr>
      </w:pPr>
    </w:p>
    <w:p>
      <w:pPr>
        <w:ind w:left="2180" w:right="1980"/>
        <w:spacing w:after="0" w:line="297" w:lineRule="auto"/>
        <w:rPr>
          <w:rFonts w:ascii="Arial" w:cs="Arial" w:eastAsia="Arial" w:hAnsi="Arial"/>
          <w:sz w:val="16"/>
          <w:szCs w:val="16"/>
          <w:color w:val="auto"/>
          <w:vertAlign w:val="superscript"/>
        </w:rPr>
      </w:pPr>
      <w:r>
        <w:rPr>
          <w:rFonts w:ascii="Arial" w:cs="Arial" w:eastAsia="Arial" w:hAnsi="Arial"/>
          <w:sz w:val="8"/>
          <w:szCs w:val="8"/>
          <w:color w:val="auto"/>
        </w:rPr>
        <w:t>The amounts in column (j) reflect the number of stock options awarded for the 2021 fiscal year under the Stock Incentive Plan. The exercise price reflected in column (k) is equal to the closing price of a share of Common Stock on the grant date. In general, no portion of any stock option may be exercised until the first anniversary of its grant date. Vested options may be exercised for ten years following the grant date, unless the option is cancelled or exercised sooner. If the NEO retires, becomes disabled, or dies while employed by the Company or one of its subsidiaries, all unexercised options that are then exercisable and those options that would have become exercisable on the next anniversary of the grant date will remain (or become) exercisable as of that date. Options granted in 2021 will become exercisable upon a participant’s termination of employment on or within 24 months following a Change in Control. In general, options may remain exercisable for up to three years following a participant’s retirement or termination due to disability, and for up to one year for any other termination of employment for reasons other than cause.</w:t>
      </w:r>
    </w:p>
    <w:p>
      <w:pPr>
        <w:spacing w:after="0" w:line="180" w:lineRule="exact"/>
        <w:rPr>
          <w:rFonts w:ascii="Arial" w:cs="Arial" w:eastAsia="Arial" w:hAnsi="Arial"/>
          <w:sz w:val="16"/>
          <w:szCs w:val="16"/>
          <w:color w:val="auto"/>
          <w:vertAlign w:val="superscript"/>
        </w:rPr>
      </w:pPr>
    </w:p>
    <w:p>
      <w:pPr>
        <w:ind w:left="2180"/>
        <w:spacing w:after="0"/>
        <w:rPr>
          <w:rFonts w:ascii="Arial" w:cs="Arial" w:eastAsia="Arial" w:hAnsi="Arial"/>
          <w:sz w:val="16"/>
          <w:szCs w:val="16"/>
          <w:color w:val="auto"/>
          <w:vertAlign w:val="superscript"/>
        </w:rPr>
      </w:pPr>
      <w:r>
        <w:rPr>
          <w:rFonts w:ascii="Arial" w:cs="Arial" w:eastAsia="Arial" w:hAnsi="Arial"/>
          <w:sz w:val="10"/>
          <w:szCs w:val="10"/>
          <w:color w:val="auto"/>
        </w:rPr>
        <w:t>The vesting schedules for the stock options granted to the NEOs in 2021 are as follows:</w:t>
      </w:r>
    </w:p>
    <w:p>
      <w:pPr>
        <w:spacing w:after="0" w:line="92" w:lineRule="exact"/>
        <w:rPr>
          <w:sz w:val="20"/>
          <w:szCs w:val="20"/>
          <w:color w:val="auto"/>
        </w:rPr>
      </w:pPr>
    </w:p>
    <w:tbl>
      <w:tblPr>
        <w:tblLayout w:type="fixed"/>
        <w:tblInd w:w="2180" w:type="dxa"/>
        <w:tblCellMar>
          <w:top w:w="0" w:type="dxa"/>
          <w:left w:w="0" w:type="dxa"/>
          <w:bottom w:w="0" w:type="dxa"/>
          <w:right w:w="0" w:type="dxa"/>
        </w:tblCellMar>
      </w:tblPr>
      <w:tr>
        <w:trPr>
          <w:trHeight w:val="115"/>
        </w:trPr>
        <w:tc>
          <w:tcPr>
            <w:tcW w:w="1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jc w:val="right"/>
              <w:ind w:right="112"/>
              <w:spacing w:after="0"/>
              <w:rPr>
                <w:sz w:val="20"/>
                <w:szCs w:val="20"/>
                <w:color w:val="auto"/>
              </w:rPr>
            </w:pPr>
            <w:r>
              <w:rPr>
                <w:rFonts w:ascii="Arial" w:cs="Arial" w:eastAsia="Arial" w:hAnsi="Arial"/>
                <w:sz w:val="10"/>
                <w:szCs w:val="10"/>
                <w:b w:val="1"/>
                <w:bCs w:val="1"/>
                <w:color w:val="auto"/>
              </w:rPr>
              <w:t>Shares</w:t>
            </w:r>
          </w:p>
        </w:tc>
        <w:tc>
          <w:tcPr>
            <w:tcW w:w="1400" w:type="dxa"/>
            <w:vAlign w:val="bottom"/>
            <w:gridSpan w:val="2"/>
          </w:tcPr>
          <w:p>
            <w:pPr>
              <w:jc w:val="right"/>
              <w:ind w:right="112"/>
              <w:spacing w:after="0"/>
              <w:rPr>
                <w:sz w:val="20"/>
                <w:szCs w:val="20"/>
                <w:color w:val="auto"/>
              </w:rPr>
            </w:pPr>
            <w:r>
              <w:rPr>
                <w:rFonts w:ascii="Arial" w:cs="Arial" w:eastAsia="Arial" w:hAnsi="Arial"/>
                <w:sz w:val="10"/>
                <w:szCs w:val="10"/>
                <w:b w:val="1"/>
                <w:bCs w:val="1"/>
                <w:color w:val="auto"/>
              </w:rPr>
              <w:t>Vest Date: Shares</w:t>
            </w:r>
          </w:p>
        </w:tc>
        <w:tc>
          <w:tcPr>
            <w:tcW w:w="1400" w:type="dxa"/>
            <w:vAlign w:val="bottom"/>
            <w:gridSpan w:val="2"/>
          </w:tcPr>
          <w:p>
            <w:pPr>
              <w:jc w:val="right"/>
              <w:ind w:right="132"/>
              <w:spacing w:after="0"/>
              <w:rPr>
                <w:sz w:val="20"/>
                <w:szCs w:val="20"/>
                <w:color w:val="auto"/>
              </w:rPr>
            </w:pPr>
            <w:r>
              <w:rPr>
                <w:rFonts w:ascii="Arial" w:cs="Arial" w:eastAsia="Arial" w:hAnsi="Arial"/>
                <w:sz w:val="10"/>
                <w:szCs w:val="10"/>
                <w:b w:val="1"/>
                <w:bCs w:val="1"/>
                <w:color w:val="auto"/>
              </w:rPr>
              <w:t>Vest Date: Shares</w:t>
            </w:r>
          </w:p>
        </w:tc>
        <w:tc>
          <w:tcPr>
            <w:tcW w:w="1280" w:type="dxa"/>
            <w:vAlign w:val="bottom"/>
            <w:gridSpan w:val="2"/>
          </w:tcPr>
          <w:p>
            <w:pPr>
              <w:jc w:val="right"/>
              <w:spacing w:after="0"/>
              <w:rPr>
                <w:sz w:val="20"/>
                <w:szCs w:val="20"/>
                <w:color w:val="auto"/>
              </w:rPr>
            </w:pPr>
            <w:r>
              <w:rPr>
                <w:rFonts w:ascii="Arial" w:cs="Arial" w:eastAsia="Arial" w:hAnsi="Arial"/>
                <w:sz w:val="10"/>
                <w:szCs w:val="10"/>
                <w:b w:val="1"/>
                <w:bCs w:val="1"/>
                <w:color w:val="auto"/>
              </w:rPr>
              <w:t>Vest Date: Shares</w:t>
            </w:r>
          </w:p>
        </w:tc>
      </w:tr>
      <w:tr>
        <w:trPr>
          <w:trHeight w:val="132"/>
        </w:trPr>
        <w:tc>
          <w:tcPr>
            <w:tcW w:w="126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114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b w:val="1"/>
                <w:bCs w:val="1"/>
                <w:color w:val="auto"/>
              </w:rPr>
              <w:t>Grant Date</w:t>
            </w:r>
          </w:p>
        </w:tc>
        <w:tc>
          <w:tcPr>
            <w:tcW w:w="64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E31F25"/>
            </w:tcBorders>
          </w:tcPr>
          <w:p>
            <w:pPr>
              <w:spacing w:after="0"/>
              <w:rPr>
                <w:sz w:val="11"/>
                <w:szCs w:val="11"/>
                <w:color w:val="auto"/>
              </w:rPr>
            </w:pPr>
          </w:p>
        </w:tc>
        <w:tc>
          <w:tcPr>
            <w:tcW w:w="64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E31F25"/>
            </w:tcBorders>
          </w:tcPr>
          <w:p>
            <w:pPr>
              <w:spacing w:after="0"/>
              <w:rPr>
                <w:sz w:val="11"/>
                <w:szCs w:val="11"/>
                <w:color w:val="auto"/>
              </w:rPr>
            </w:pPr>
          </w:p>
        </w:tc>
        <w:tc>
          <w:tcPr>
            <w:tcW w:w="64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E31F25"/>
            </w:tcBorders>
          </w:tcPr>
          <w:p>
            <w:pPr>
              <w:spacing w:after="0"/>
              <w:rPr>
                <w:sz w:val="11"/>
                <w:szCs w:val="11"/>
                <w:color w:val="auto"/>
              </w:rPr>
            </w:pPr>
          </w:p>
        </w:tc>
        <w:tc>
          <w:tcPr>
            <w:tcW w:w="52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33"/>
        </w:trPr>
        <w:tc>
          <w:tcPr>
            <w:tcW w:w="12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11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03/24/21</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79,971</w:t>
            </w:r>
          </w:p>
        </w:tc>
        <w:tc>
          <w:tcPr>
            <w:tcW w:w="76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03/24/22:</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26,657</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03/24/23:</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26,657</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03/24/24:</w:t>
            </w:r>
          </w:p>
        </w:tc>
        <w:tc>
          <w:tcPr>
            <w:tcW w:w="52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26,657</w:t>
            </w:r>
          </w:p>
        </w:tc>
      </w:tr>
      <w:tr>
        <w:trPr>
          <w:trHeight w:val="133"/>
        </w:trPr>
        <w:tc>
          <w:tcPr>
            <w:tcW w:w="12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11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04/13/21</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8,333</w:t>
            </w:r>
          </w:p>
        </w:tc>
        <w:tc>
          <w:tcPr>
            <w:tcW w:w="76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04/13/22:</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2,777</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04/13/23:</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2,778</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04/13/24:</w:t>
            </w:r>
          </w:p>
        </w:tc>
        <w:tc>
          <w:tcPr>
            <w:tcW w:w="52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2,778</w:t>
            </w:r>
          </w:p>
        </w:tc>
      </w:tr>
      <w:tr>
        <w:trPr>
          <w:trHeight w:val="133"/>
        </w:trPr>
        <w:tc>
          <w:tcPr>
            <w:tcW w:w="12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11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03/24/21</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9,895</w:t>
            </w:r>
          </w:p>
        </w:tc>
        <w:tc>
          <w:tcPr>
            <w:tcW w:w="76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03/24/22:</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3,298</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03/24/23:</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3,298</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03/24/24:</w:t>
            </w:r>
          </w:p>
        </w:tc>
        <w:tc>
          <w:tcPr>
            <w:tcW w:w="52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3,299</w:t>
            </w:r>
          </w:p>
        </w:tc>
      </w:tr>
      <w:tr>
        <w:trPr>
          <w:trHeight w:val="133"/>
        </w:trPr>
        <w:tc>
          <w:tcPr>
            <w:tcW w:w="12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 and Gray</w:t>
            </w:r>
          </w:p>
        </w:tc>
        <w:tc>
          <w:tcPr>
            <w:tcW w:w="11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03/24/21</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9,674</w:t>
            </w:r>
          </w:p>
        </w:tc>
        <w:tc>
          <w:tcPr>
            <w:tcW w:w="76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03/24/22:</w:t>
            </w:r>
          </w:p>
        </w:tc>
        <w:tc>
          <w:tcPr>
            <w:tcW w:w="6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3,224</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03/24/23:</w:t>
            </w:r>
          </w:p>
        </w:tc>
        <w:tc>
          <w:tcPr>
            <w:tcW w:w="640" w:type="dxa"/>
            <w:vAlign w:val="bottom"/>
            <w:tcBorders>
              <w:bottom w:val="single" w:sz="8" w:color="CCCCCC"/>
            </w:tcBorders>
          </w:tcPr>
          <w:p>
            <w:pPr>
              <w:jc w:val="right"/>
              <w:ind w:right="132"/>
              <w:spacing w:after="0"/>
              <w:rPr>
                <w:sz w:val="20"/>
                <w:szCs w:val="20"/>
                <w:color w:val="auto"/>
              </w:rPr>
            </w:pPr>
            <w:r>
              <w:rPr>
                <w:rFonts w:ascii="Arial" w:cs="Arial" w:eastAsia="Arial" w:hAnsi="Arial"/>
                <w:sz w:val="10"/>
                <w:szCs w:val="10"/>
                <w:color w:val="auto"/>
              </w:rPr>
              <w:t>3,225</w:t>
            </w:r>
          </w:p>
        </w:tc>
        <w:tc>
          <w:tcPr>
            <w:tcW w:w="7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03/24/24:</w:t>
            </w:r>
          </w:p>
        </w:tc>
        <w:tc>
          <w:tcPr>
            <w:tcW w:w="52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3,225</w:t>
            </w:r>
          </w:p>
        </w:tc>
      </w:tr>
      <w:tr>
        <w:trPr>
          <w:trHeight w:val="133"/>
        </w:trPr>
        <w:tc>
          <w:tcPr>
            <w:tcW w:w="126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D60011"/>
              </w:rPr>
              <w:t>Talwar</w:t>
            </w:r>
          </w:p>
        </w:tc>
        <w:tc>
          <w:tcPr>
            <w:tcW w:w="114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color w:val="auto"/>
              </w:rPr>
              <w:t>03/24/21</w:t>
            </w:r>
          </w:p>
        </w:tc>
        <w:tc>
          <w:tcPr>
            <w:tcW w:w="64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color w:val="auto"/>
              </w:rPr>
              <w:t>10,037</w:t>
            </w:r>
          </w:p>
        </w:tc>
        <w:tc>
          <w:tcPr>
            <w:tcW w:w="76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color w:val="auto"/>
              </w:rPr>
              <w:t>03/24/22:</w:t>
            </w:r>
          </w:p>
        </w:tc>
        <w:tc>
          <w:tcPr>
            <w:tcW w:w="64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03/24/23:</w:t>
            </w:r>
          </w:p>
        </w:tc>
        <w:tc>
          <w:tcPr>
            <w:tcW w:w="640" w:type="dxa"/>
            <w:vAlign w:val="bottom"/>
            <w:tcBorders>
              <w:bottom w:val="single" w:sz="8" w:color="E31F25"/>
            </w:tcBorders>
          </w:tcPr>
          <w:p>
            <w:pPr>
              <w:jc w:val="right"/>
              <w:ind w:right="13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03/24/24:</w:t>
            </w:r>
          </w:p>
        </w:tc>
        <w:tc>
          <w:tcPr>
            <w:tcW w:w="52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w:t>
            </w:r>
          </w:p>
        </w:tc>
      </w:tr>
    </w:tbl>
    <w:p>
      <w:pPr>
        <w:spacing w:after="0" w:line="157" w:lineRule="exact"/>
        <w:rPr>
          <w:sz w:val="20"/>
          <w:szCs w:val="20"/>
          <w:color w:val="auto"/>
        </w:rPr>
      </w:pPr>
    </w:p>
    <w:p>
      <w:pPr>
        <w:ind w:left="2180"/>
        <w:spacing w:after="0"/>
        <w:rPr>
          <w:sz w:val="20"/>
          <w:szCs w:val="20"/>
          <w:color w:val="auto"/>
        </w:rPr>
      </w:pPr>
      <w:r>
        <w:rPr>
          <w:rFonts w:ascii="Arial" w:cs="Arial" w:eastAsia="Arial" w:hAnsi="Arial"/>
          <w:sz w:val="10"/>
          <w:szCs w:val="10"/>
          <w:color w:val="auto"/>
        </w:rPr>
        <w:t>*    Unvested portion of stock option award cancelled upon termination of employment.</w:t>
      </w:r>
    </w:p>
    <w:p>
      <w:pPr>
        <w:spacing w:after="0" w:line="45" w:lineRule="exact"/>
        <w:rPr>
          <w:sz w:val="20"/>
          <w:szCs w:val="20"/>
          <w:color w:val="auto"/>
        </w:rPr>
      </w:pPr>
    </w:p>
    <w:p>
      <w:pPr>
        <w:ind w:left="2180" w:hanging="208"/>
        <w:spacing w:after="0"/>
        <w:tabs>
          <w:tab w:leader="none" w:pos="2180" w:val="left"/>
        </w:tabs>
        <w:numPr>
          <w:ilvl w:val="0"/>
          <w:numId w:val="126"/>
        </w:numPr>
        <w:rPr>
          <w:rFonts w:ascii="Arial" w:cs="Arial" w:eastAsia="Arial" w:hAnsi="Arial"/>
          <w:sz w:val="16"/>
          <w:szCs w:val="16"/>
          <w:color w:val="auto"/>
          <w:vertAlign w:val="superscript"/>
        </w:rPr>
      </w:pPr>
      <w:r>
        <w:rPr>
          <w:rFonts w:ascii="Arial" w:cs="Arial" w:eastAsia="Arial" w:hAnsi="Arial"/>
          <w:sz w:val="10"/>
          <w:szCs w:val="10"/>
          <w:b w:val="1"/>
          <w:bCs w:val="1"/>
          <w:color w:val="auto"/>
        </w:rPr>
        <w:t>RSU Awards</w:t>
      </w:r>
    </w:p>
    <w:p>
      <w:pPr>
        <w:spacing w:after="0" w:line="87" w:lineRule="exact"/>
        <w:rPr>
          <w:rFonts w:ascii="Arial" w:cs="Arial" w:eastAsia="Arial" w:hAnsi="Arial"/>
          <w:sz w:val="16"/>
          <w:szCs w:val="16"/>
          <w:color w:val="auto"/>
          <w:vertAlign w:val="superscript"/>
        </w:rPr>
      </w:pPr>
    </w:p>
    <w:p>
      <w:pPr>
        <w:ind w:left="2180" w:right="2020"/>
        <w:spacing w:after="0" w:line="245" w:lineRule="auto"/>
        <w:rPr>
          <w:rFonts w:ascii="Arial" w:cs="Arial" w:eastAsia="Arial" w:hAnsi="Arial"/>
          <w:sz w:val="16"/>
          <w:szCs w:val="16"/>
          <w:color w:val="auto"/>
          <w:vertAlign w:val="superscript"/>
        </w:rPr>
      </w:pPr>
      <w:r>
        <w:rPr>
          <w:rFonts w:ascii="Arial" w:cs="Arial" w:eastAsia="Arial" w:hAnsi="Arial"/>
          <w:sz w:val="10"/>
          <w:szCs w:val="10"/>
          <w:color w:val="auto"/>
        </w:rPr>
        <w:t>The amounts in column (i) reflect the number of RSUs awarded for the 2021 fiscal year under the Stock Incentive Plan. The awards will vest according to the schedules below, provided that the NEO remains employed by the Company through the vesting date. No dividends are paid or accrued for RSU awards.</w:t>
      </w:r>
    </w:p>
    <w:p>
      <w:pPr>
        <w:spacing w:after="0" w:line="96" w:lineRule="exact"/>
        <w:rPr>
          <w:sz w:val="20"/>
          <w:szCs w:val="20"/>
          <w:color w:val="auto"/>
        </w:rPr>
      </w:pPr>
    </w:p>
    <w:tbl>
      <w:tblPr>
        <w:tblLayout w:type="fixed"/>
        <w:tblInd w:w="2180" w:type="dxa"/>
        <w:tblCellMar>
          <w:top w:w="0" w:type="dxa"/>
          <w:left w:w="0" w:type="dxa"/>
          <w:bottom w:w="0" w:type="dxa"/>
          <w:right w:w="0" w:type="dxa"/>
        </w:tblCellMar>
      </w:tblPr>
      <w:tr>
        <w:trPr>
          <w:trHeight w:val="117"/>
        </w:trPr>
        <w:tc>
          <w:tcPr>
            <w:tcW w:w="4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jc w:val="right"/>
              <w:ind w:right="212"/>
              <w:spacing w:after="0"/>
              <w:rPr>
                <w:sz w:val="20"/>
                <w:szCs w:val="20"/>
                <w:color w:val="auto"/>
              </w:rPr>
            </w:pPr>
            <w:r>
              <w:rPr>
                <w:rFonts w:ascii="Arial" w:cs="Arial" w:eastAsia="Arial" w:hAnsi="Arial"/>
                <w:sz w:val="10"/>
                <w:szCs w:val="10"/>
                <w:b w:val="1"/>
                <w:bCs w:val="1"/>
                <w:color w:val="auto"/>
              </w:rPr>
              <w:t>Shares</w:t>
            </w:r>
          </w:p>
        </w:tc>
        <w:tc>
          <w:tcPr>
            <w:tcW w:w="700" w:type="dxa"/>
            <w:vAlign w:val="bottom"/>
          </w:tcPr>
          <w:p>
            <w:pPr>
              <w:spacing w:after="0"/>
              <w:rPr>
                <w:sz w:val="10"/>
                <w:szCs w:val="10"/>
                <w:color w:val="auto"/>
              </w:rPr>
            </w:pPr>
          </w:p>
        </w:tc>
      </w:tr>
      <w:tr>
        <w:trPr>
          <w:trHeight w:val="132"/>
        </w:trPr>
        <w:tc>
          <w:tcPr>
            <w:tcW w:w="448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1100" w:type="dxa"/>
            <w:vAlign w:val="bottom"/>
            <w:tcBorders>
              <w:bottom w:val="single" w:sz="8" w:color="E31F25"/>
            </w:tcBorders>
          </w:tcPr>
          <w:p>
            <w:pPr>
              <w:jc w:val="right"/>
              <w:ind w:right="212"/>
              <w:spacing w:after="0"/>
              <w:rPr>
                <w:sz w:val="20"/>
                <w:szCs w:val="20"/>
                <w:color w:val="auto"/>
              </w:rPr>
            </w:pPr>
            <w:r>
              <w:rPr>
                <w:rFonts w:ascii="Arial" w:cs="Arial" w:eastAsia="Arial" w:hAnsi="Arial"/>
                <w:sz w:val="10"/>
                <w:szCs w:val="10"/>
                <w:b w:val="1"/>
                <w:bCs w:val="1"/>
                <w:color w:val="auto"/>
              </w:rPr>
              <w:t>Grant Date</w:t>
            </w:r>
          </w:p>
        </w:tc>
        <w:tc>
          <w:tcPr>
            <w:tcW w:w="84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Vest Date</w:t>
            </w:r>
          </w:p>
        </w:tc>
      </w:tr>
      <w:tr>
        <w:trPr>
          <w:trHeight w:val="151"/>
        </w:trPr>
        <w:tc>
          <w:tcPr>
            <w:tcW w:w="44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03/24/21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30,032</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03/24/24</w:t>
            </w:r>
          </w:p>
        </w:tc>
      </w:tr>
      <w:tr>
        <w:trPr>
          <w:trHeight w:val="151"/>
        </w:trPr>
        <w:tc>
          <w:tcPr>
            <w:tcW w:w="4480" w:type="dxa"/>
            <w:vAlign w:val="bottom"/>
          </w:tcPr>
          <w:p>
            <w:pPr>
              <w:ind w:left="60"/>
              <w:spacing w:after="0"/>
              <w:rPr>
                <w:sz w:val="20"/>
                <w:szCs w:val="20"/>
                <w:color w:val="auto"/>
              </w:rPr>
            </w:pPr>
            <w:r>
              <w:rPr>
                <w:rFonts w:ascii="Arial" w:cs="Arial" w:eastAsia="Arial" w:hAnsi="Arial"/>
                <w:sz w:val="10"/>
                <w:szCs w:val="10"/>
                <w:b w:val="1"/>
                <w:bCs w:val="1"/>
                <w:color w:val="D60011"/>
              </w:rPr>
              <w:t>Page</w:t>
            </w: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04/12/21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4,185</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04/12/22</w:t>
            </w:r>
          </w:p>
        </w:tc>
      </w:tr>
      <w:tr>
        <w:trPr>
          <w:trHeight w:val="149"/>
        </w:trPr>
        <w:tc>
          <w:tcPr>
            <w:tcW w:w="4480" w:type="dxa"/>
            <w:vAlign w:val="bottom"/>
          </w:tcPr>
          <w:p>
            <w:pPr>
              <w:spacing w:after="0"/>
              <w:rPr>
                <w:sz w:val="12"/>
                <w:szCs w:val="12"/>
                <w:color w:val="auto"/>
              </w:rPr>
            </w:pP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04/12/21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4,186</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04/12/23</w:t>
            </w:r>
          </w:p>
        </w:tc>
      </w:tr>
      <w:tr>
        <w:trPr>
          <w:trHeight w:val="151"/>
        </w:trPr>
        <w:tc>
          <w:tcPr>
            <w:tcW w:w="4480" w:type="dxa"/>
            <w:vAlign w:val="bottom"/>
          </w:tcPr>
          <w:p>
            <w:pPr>
              <w:spacing w:after="0"/>
              <w:rPr>
                <w:sz w:val="13"/>
                <w:szCs w:val="13"/>
                <w:color w:val="auto"/>
              </w:rPr>
            </w:pP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04/12/21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4,186</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04/12/24</w:t>
            </w:r>
          </w:p>
        </w:tc>
      </w:tr>
      <w:tr>
        <w:trPr>
          <w:trHeight w:val="151"/>
        </w:trPr>
        <w:tc>
          <w:tcPr>
            <w:tcW w:w="4480" w:type="dxa"/>
            <w:vAlign w:val="bottom"/>
            <w:tcBorders>
              <w:bottom w:val="single" w:sz="8" w:color="CCCCCC"/>
            </w:tcBorders>
          </w:tcPr>
          <w:p>
            <w:pPr>
              <w:spacing w:after="0"/>
              <w:rPr>
                <w:sz w:val="13"/>
                <w:szCs w:val="13"/>
                <w:color w:val="auto"/>
              </w:rPr>
            </w:pP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04/13/21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3,168</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04/13/24</w:t>
            </w:r>
          </w:p>
        </w:tc>
      </w:tr>
      <w:tr>
        <w:trPr>
          <w:trHeight w:val="153"/>
        </w:trPr>
        <w:tc>
          <w:tcPr>
            <w:tcW w:w="4480" w:type="dxa"/>
            <w:vAlign w:val="bottom"/>
          </w:tcPr>
          <w:p>
            <w:pPr>
              <w:ind w:left="60"/>
              <w:spacing w:after="0"/>
              <w:rPr>
                <w:sz w:val="20"/>
                <w:szCs w:val="20"/>
                <w:color w:val="auto"/>
              </w:rPr>
            </w:pPr>
            <w:r>
              <w:rPr>
                <w:rFonts w:ascii="Arial" w:cs="Arial" w:eastAsia="Arial" w:hAnsi="Arial"/>
                <w:sz w:val="10"/>
                <w:szCs w:val="10"/>
                <w:b w:val="1"/>
                <w:bCs w:val="1"/>
                <w:color w:val="D60011"/>
              </w:rPr>
              <w:t>Bracken</w:t>
            </w: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03/24/21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3,716</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03/24/24</w:t>
            </w:r>
          </w:p>
        </w:tc>
      </w:tr>
      <w:tr>
        <w:trPr>
          <w:trHeight w:val="149"/>
        </w:trPr>
        <w:tc>
          <w:tcPr>
            <w:tcW w:w="4480" w:type="dxa"/>
            <w:vAlign w:val="bottom"/>
            <w:tcBorders>
              <w:bottom w:val="single" w:sz="8" w:color="CCCCCC"/>
            </w:tcBorders>
          </w:tcPr>
          <w:p>
            <w:pPr>
              <w:spacing w:after="0"/>
              <w:rPr>
                <w:sz w:val="12"/>
                <w:szCs w:val="12"/>
                <w:color w:val="auto"/>
              </w:rPr>
            </w:pP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11/16/21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10,661</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11/16/24</w:t>
            </w:r>
          </w:p>
        </w:tc>
      </w:tr>
      <w:tr>
        <w:trPr>
          <w:trHeight w:val="153"/>
        </w:trPr>
        <w:tc>
          <w:tcPr>
            <w:tcW w:w="4480" w:type="dxa"/>
            <w:vAlign w:val="bottom"/>
          </w:tcPr>
          <w:p>
            <w:pPr>
              <w:ind w:left="60"/>
              <w:spacing w:after="0"/>
              <w:rPr>
                <w:sz w:val="20"/>
                <w:szCs w:val="20"/>
                <w:color w:val="auto"/>
              </w:rPr>
            </w:pPr>
            <w:r>
              <w:rPr>
                <w:rFonts w:ascii="Arial" w:cs="Arial" w:eastAsia="Arial" w:hAnsi="Arial"/>
                <w:sz w:val="10"/>
                <w:szCs w:val="10"/>
                <w:b w:val="1"/>
                <w:bCs w:val="1"/>
                <w:color w:val="D60011"/>
              </w:rPr>
              <w:t>Martin</w:t>
            </w: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03/24/21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3,633</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03/24/24</w:t>
            </w:r>
          </w:p>
        </w:tc>
      </w:tr>
      <w:tr>
        <w:trPr>
          <w:trHeight w:val="149"/>
        </w:trPr>
        <w:tc>
          <w:tcPr>
            <w:tcW w:w="4480" w:type="dxa"/>
            <w:vAlign w:val="bottom"/>
            <w:tcBorders>
              <w:bottom w:val="single" w:sz="8" w:color="CCCCCC"/>
            </w:tcBorders>
          </w:tcPr>
          <w:p>
            <w:pPr>
              <w:spacing w:after="0"/>
              <w:rPr>
                <w:sz w:val="12"/>
                <w:szCs w:val="12"/>
                <w:color w:val="auto"/>
              </w:rPr>
            </w:pP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11/16/21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3,554</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11/16/24</w:t>
            </w:r>
          </w:p>
        </w:tc>
      </w:tr>
      <w:tr>
        <w:trPr>
          <w:trHeight w:val="153"/>
        </w:trPr>
        <w:tc>
          <w:tcPr>
            <w:tcW w:w="4480" w:type="dxa"/>
            <w:vAlign w:val="bottom"/>
          </w:tcPr>
          <w:p>
            <w:pPr>
              <w:ind w:left="60"/>
              <w:spacing w:after="0"/>
              <w:rPr>
                <w:sz w:val="20"/>
                <w:szCs w:val="20"/>
                <w:color w:val="auto"/>
              </w:rPr>
            </w:pPr>
            <w:r>
              <w:rPr>
                <w:rFonts w:ascii="Arial" w:cs="Arial" w:eastAsia="Arial" w:hAnsi="Arial"/>
                <w:sz w:val="10"/>
                <w:szCs w:val="10"/>
                <w:b w:val="1"/>
                <w:bCs w:val="1"/>
                <w:color w:val="D60011"/>
              </w:rPr>
              <w:t>Gray</w:t>
            </w: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03/24/21</w:t>
            </w:r>
          </w:p>
        </w:tc>
        <w:tc>
          <w:tcPr>
            <w:tcW w:w="84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3,633</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03/24/24</w:t>
            </w:r>
          </w:p>
        </w:tc>
      </w:tr>
      <w:tr>
        <w:trPr>
          <w:trHeight w:val="131"/>
        </w:trPr>
        <w:tc>
          <w:tcPr>
            <w:tcW w:w="4480" w:type="dxa"/>
            <w:vAlign w:val="bottom"/>
            <w:tcBorders>
              <w:bottom w:val="single" w:sz="8" w:color="CCCCCC"/>
            </w:tcBorders>
          </w:tcPr>
          <w:p>
            <w:pPr>
              <w:spacing w:after="0"/>
              <w:rPr>
                <w:sz w:val="11"/>
                <w:szCs w:val="11"/>
                <w:color w:val="auto"/>
              </w:rPr>
            </w:pPr>
          </w:p>
        </w:tc>
        <w:tc>
          <w:tcPr>
            <w:tcW w:w="110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11/16/21</w:t>
            </w:r>
          </w:p>
        </w:tc>
        <w:tc>
          <w:tcPr>
            <w:tcW w:w="84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5,331</w:t>
            </w:r>
          </w:p>
        </w:tc>
        <w:tc>
          <w:tcPr>
            <w:tcW w:w="70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11/16/24</w:t>
            </w:r>
          </w:p>
        </w:tc>
      </w:tr>
      <w:tr>
        <w:trPr>
          <w:trHeight w:val="135"/>
        </w:trPr>
        <w:tc>
          <w:tcPr>
            <w:tcW w:w="448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D60011"/>
              </w:rPr>
              <w:t>Talwar</w:t>
            </w:r>
          </w:p>
        </w:tc>
        <w:tc>
          <w:tcPr>
            <w:tcW w:w="1100" w:type="dxa"/>
            <w:vAlign w:val="bottom"/>
            <w:tcBorders>
              <w:bottom w:val="single" w:sz="8" w:color="E31F25"/>
            </w:tcBorders>
          </w:tcPr>
          <w:p>
            <w:pPr>
              <w:jc w:val="right"/>
              <w:ind w:right="212"/>
              <w:spacing w:after="0"/>
              <w:rPr>
                <w:sz w:val="20"/>
                <w:szCs w:val="20"/>
                <w:color w:val="auto"/>
              </w:rPr>
            </w:pPr>
            <w:r>
              <w:rPr>
                <w:rFonts w:ascii="Arial" w:cs="Arial" w:eastAsia="Arial" w:hAnsi="Arial"/>
                <w:sz w:val="10"/>
                <w:szCs w:val="10"/>
                <w:color w:val="auto"/>
              </w:rPr>
              <w:t>03/24/21</w:t>
            </w:r>
          </w:p>
        </w:tc>
        <w:tc>
          <w:tcPr>
            <w:tcW w:w="84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color w:val="auto"/>
              </w:rPr>
              <w:t>3,770*</w:t>
            </w:r>
          </w:p>
        </w:tc>
        <w:tc>
          <w:tcPr>
            <w:tcW w:w="70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03/24/24</w:t>
            </w:r>
          </w:p>
        </w:tc>
      </w:tr>
    </w:tbl>
    <w:p>
      <w:pPr>
        <w:spacing w:after="0" w:line="157" w:lineRule="exact"/>
        <w:rPr>
          <w:sz w:val="20"/>
          <w:szCs w:val="20"/>
          <w:color w:val="auto"/>
        </w:rPr>
      </w:pPr>
    </w:p>
    <w:p>
      <w:pPr>
        <w:ind w:left="2180"/>
        <w:spacing w:after="0"/>
        <w:rPr>
          <w:sz w:val="20"/>
          <w:szCs w:val="20"/>
          <w:color w:val="auto"/>
        </w:rPr>
      </w:pPr>
      <w:r>
        <w:rPr>
          <w:rFonts w:ascii="Arial" w:cs="Arial" w:eastAsia="Arial" w:hAnsi="Arial"/>
          <w:sz w:val="10"/>
          <w:szCs w:val="10"/>
          <w:color w:val="auto"/>
        </w:rPr>
        <w:t>*    Mr. Talwar forfeited these RSU awards in connection with the termination of his employment.</w:t>
      </w:r>
    </w:p>
    <w:p>
      <w:pPr>
        <w:spacing w:after="0" w:line="45" w:lineRule="exact"/>
        <w:rPr>
          <w:sz w:val="20"/>
          <w:szCs w:val="20"/>
          <w:color w:val="auto"/>
        </w:rPr>
      </w:pPr>
    </w:p>
    <w:p>
      <w:pPr>
        <w:ind w:left="2180" w:hanging="208"/>
        <w:spacing w:after="0"/>
        <w:tabs>
          <w:tab w:leader="none" w:pos="2180" w:val="left"/>
        </w:tabs>
        <w:numPr>
          <w:ilvl w:val="0"/>
          <w:numId w:val="127"/>
        </w:numPr>
        <w:rPr>
          <w:rFonts w:ascii="Arial" w:cs="Arial" w:eastAsia="Arial" w:hAnsi="Arial"/>
          <w:sz w:val="16"/>
          <w:szCs w:val="16"/>
          <w:color w:val="auto"/>
          <w:vertAlign w:val="superscript"/>
        </w:rPr>
      </w:pPr>
      <w:r>
        <w:rPr>
          <w:rFonts w:ascii="Arial" w:cs="Arial" w:eastAsia="Arial" w:hAnsi="Arial"/>
          <w:sz w:val="10"/>
          <w:szCs w:val="10"/>
          <w:b w:val="1"/>
          <w:bCs w:val="1"/>
          <w:color w:val="auto"/>
        </w:rPr>
        <w:t>Grant Date Fair Value</w:t>
      </w:r>
    </w:p>
    <w:p>
      <w:pPr>
        <w:spacing w:after="0" w:line="87" w:lineRule="exact"/>
        <w:rPr>
          <w:rFonts w:ascii="Arial" w:cs="Arial" w:eastAsia="Arial" w:hAnsi="Arial"/>
          <w:sz w:val="16"/>
          <w:szCs w:val="16"/>
          <w:color w:val="auto"/>
          <w:vertAlign w:val="superscript"/>
        </w:rPr>
      </w:pPr>
    </w:p>
    <w:p>
      <w:pPr>
        <w:ind w:left="2180" w:right="2060"/>
        <w:spacing w:after="0" w:line="229" w:lineRule="auto"/>
        <w:rPr>
          <w:rFonts w:ascii="Arial" w:cs="Arial" w:eastAsia="Arial" w:hAnsi="Arial"/>
          <w:sz w:val="16"/>
          <w:szCs w:val="16"/>
          <w:color w:val="auto"/>
          <w:vertAlign w:val="superscript"/>
        </w:rPr>
      </w:pPr>
      <w:r>
        <w:rPr>
          <w:rFonts w:ascii="Arial" w:cs="Arial" w:eastAsia="Arial" w:hAnsi="Arial"/>
          <w:sz w:val="10"/>
          <w:szCs w:val="10"/>
          <w:color w:val="auto"/>
        </w:rPr>
        <w:t xml:space="preserve">The amounts in column (l) reflect the aggregate grant date fair values of the RSU, PSU, and stock option awards granted in 2021, calculated in accordance with stock-based compensation accounting rules. A discussion of the assumptions used in computing the award values are found in Note 21 to our financial statements in our Annual Report, which is available at </w:t>
      </w:r>
      <w:r>
        <w:rPr>
          <w:rFonts w:ascii="Arial" w:cs="Arial" w:eastAsia="Arial" w:hAnsi="Arial"/>
          <w:sz w:val="10"/>
          <w:szCs w:val="10"/>
          <w:b w:val="1"/>
          <w:bCs w:val="1"/>
          <w:color w:val="D60011"/>
        </w:rPr>
        <w:t>investors.footlocker-inc.com/ar</w:t>
      </w:r>
      <w:r>
        <w:rPr>
          <w:rFonts w:ascii="Arial" w:cs="Arial" w:eastAsia="Arial" w:hAnsi="Arial"/>
          <w:sz w:val="10"/>
          <w:szCs w:val="10"/>
          <w:color w:val="auto"/>
        </w:rPr>
        <w:t>. For the RSUs, the fair values are calculated by multiplying the closing price of our Common Stock on the NYSE on the award date by the number of RSUs granted. For the PSUs, the fair value is calculated based upon the probable outcome of meeting the performance conditions at the target performance level and multiplying the number of PSUs that would be received at that level by the closing price of our Common Stock on the grant date. This is consistent with the estimate of the aggregate compensation cost to be recognized over the service period determined at the grant date under stock-based compensation accounting rules. For the stock options, the values are calculated by multiplying the Black-Scholes value by the number of stock options awarded. All of these values, and corresponding grant dates, are shown in the table below.</w:t>
      </w:r>
    </w:p>
    <w:p>
      <w:pPr>
        <w:spacing w:after="0" w:line="85" w:lineRule="exact"/>
        <w:rPr>
          <w:sz w:val="20"/>
          <w:szCs w:val="20"/>
          <w:color w:val="auto"/>
        </w:rPr>
      </w:pPr>
    </w:p>
    <w:tbl>
      <w:tblPr>
        <w:tblLayout w:type="fixed"/>
        <w:tblInd w:w="2180" w:type="dxa"/>
        <w:tblCellMar>
          <w:top w:w="0" w:type="dxa"/>
          <w:left w:w="0" w:type="dxa"/>
          <w:bottom w:w="0" w:type="dxa"/>
          <w:right w:w="0" w:type="dxa"/>
        </w:tblCellMar>
      </w:tblPr>
      <w:tr>
        <w:trPr>
          <w:trHeight w:val="115"/>
        </w:trPr>
        <w:tc>
          <w:tcPr>
            <w:tcW w:w="1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right"/>
              <w:ind w:right="112"/>
              <w:spacing w:after="0"/>
              <w:rPr>
                <w:sz w:val="20"/>
                <w:szCs w:val="20"/>
                <w:color w:val="auto"/>
              </w:rPr>
            </w:pPr>
            <w:r>
              <w:rPr>
                <w:rFonts w:ascii="Arial" w:cs="Arial" w:eastAsia="Arial" w:hAnsi="Arial"/>
                <w:sz w:val="10"/>
                <w:szCs w:val="10"/>
                <w:b w:val="1"/>
                <w:bCs w:val="1"/>
                <w:color w:val="auto"/>
              </w:rPr>
              <w:t>Stock</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Stock</w:t>
            </w:r>
          </w:p>
        </w:tc>
      </w:tr>
      <w:tr>
        <w:trPr>
          <w:trHeight w:val="108"/>
        </w:trPr>
        <w:tc>
          <w:tcPr>
            <w:tcW w:w="1660" w:type="dxa"/>
            <w:vAlign w:val="bottom"/>
          </w:tcPr>
          <w:p>
            <w:pPr>
              <w:spacing w:after="0"/>
              <w:rPr>
                <w:sz w:val="9"/>
                <w:szCs w:val="9"/>
                <w:color w:val="auto"/>
              </w:rPr>
            </w:pPr>
          </w:p>
        </w:tc>
        <w:tc>
          <w:tcPr>
            <w:tcW w:w="92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RSUs</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RSUs</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RSUs</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RSUs</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PSUs</w:t>
            </w:r>
          </w:p>
        </w:tc>
        <w:tc>
          <w:tcPr>
            <w:tcW w:w="68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PSUs</w:t>
            </w:r>
          </w:p>
        </w:tc>
        <w:tc>
          <w:tcPr>
            <w:tcW w:w="68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Options</w:t>
            </w:r>
          </w:p>
        </w:tc>
        <w:tc>
          <w:tcPr>
            <w:tcW w:w="5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Options</w:t>
            </w:r>
          </w:p>
        </w:tc>
      </w:tr>
      <w:tr>
        <w:trPr>
          <w:trHeight w:val="108"/>
        </w:trPr>
        <w:tc>
          <w:tcPr>
            <w:tcW w:w="1660" w:type="dxa"/>
            <w:vAlign w:val="bottom"/>
          </w:tcPr>
          <w:p>
            <w:pPr>
              <w:spacing w:after="0"/>
              <w:rPr>
                <w:sz w:val="9"/>
                <w:szCs w:val="9"/>
                <w:color w:val="auto"/>
              </w:rPr>
            </w:pPr>
          </w:p>
        </w:tc>
        <w:tc>
          <w:tcPr>
            <w:tcW w:w="92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03/24/21</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04/12/21</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04/13/21</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11/16/21</w:t>
            </w:r>
          </w:p>
        </w:tc>
        <w:tc>
          <w:tcPr>
            <w:tcW w:w="6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03/24/21</w:t>
            </w:r>
          </w:p>
        </w:tc>
        <w:tc>
          <w:tcPr>
            <w:tcW w:w="68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04/12/21</w:t>
            </w:r>
          </w:p>
        </w:tc>
        <w:tc>
          <w:tcPr>
            <w:tcW w:w="68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03/24/21</w:t>
            </w:r>
          </w:p>
        </w:tc>
        <w:tc>
          <w:tcPr>
            <w:tcW w:w="5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04/13/21</w:t>
            </w:r>
          </w:p>
        </w:tc>
      </w:tr>
      <w:tr>
        <w:trPr>
          <w:trHeight w:val="132"/>
        </w:trPr>
        <w:tc>
          <w:tcPr>
            <w:tcW w:w="166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92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33"/>
        </w:trPr>
        <w:tc>
          <w:tcPr>
            <w:tcW w:w="16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 and Talwar</w:t>
            </w:r>
          </w:p>
        </w:tc>
        <w:tc>
          <w:tcPr>
            <w:tcW w:w="92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53.61</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53.61</w:t>
            </w:r>
          </w:p>
        </w:tc>
        <w:tc>
          <w:tcPr>
            <w:tcW w:w="6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20.13</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16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92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59.73</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58.25</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59.73</w:t>
            </w:r>
          </w:p>
        </w:tc>
        <w:tc>
          <w:tcPr>
            <w:tcW w:w="6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22.14</w:t>
            </w:r>
          </w:p>
        </w:tc>
      </w:tr>
      <w:tr>
        <w:trPr>
          <w:trHeight w:val="133"/>
        </w:trPr>
        <w:tc>
          <w:tcPr>
            <w:tcW w:w="166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D60011"/>
              </w:rPr>
              <w:t>Bracken, Martin, and Gray</w:t>
            </w:r>
          </w:p>
        </w:tc>
        <w:tc>
          <w:tcPr>
            <w:tcW w:w="92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53.61</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56.28</w:t>
            </w:r>
          </w:p>
        </w:tc>
        <w:tc>
          <w:tcPr>
            <w:tcW w:w="66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53.61</w:t>
            </w:r>
          </w:p>
        </w:tc>
        <w:tc>
          <w:tcPr>
            <w:tcW w:w="68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color w:val="auto"/>
              </w:rPr>
              <w:t>20.13</w:t>
            </w:r>
          </w:p>
        </w:tc>
        <w:tc>
          <w:tcPr>
            <w:tcW w:w="54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w:t>
            </w:r>
          </w:p>
        </w:tc>
      </w:tr>
    </w:tbl>
    <w:p>
      <w:pPr>
        <w:spacing w:after="0" w:line="121" w:lineRule="exact"/>
        <w:rPr>
          <w:sz w:val="20"/>
          <w:szCs w:val="20"/>
          <w:color w:val="auto"/>
        </w:rPr>
      </w:pPr>
    </w:p>
    <w:p>
      <w:pPr>
        <w:ind w:left="2180" w:right="2080"/>
        <w:spacing w:after="0" w:line="237" w:lineRule="auto"/>
        <w:rPr>
          <w:sz w:val="20"/>
          <w:szCs w:val="20"/>
          <w:color w:val="auto"/>
        </w:rPr>
      </w:pPr>
      <w:r>
        <w:rPr>
          <w:rFonts w:ascii="Arial" w:cs="Arial" w:eastAsia="Arial" w:hAnsi="Arial"/>
          <w:sz w:val="10"/>
          <w:szCs w:val="10"/>
          <w:color w:val="auto"/>
        </w:rPr>
        <w:t>Assuming the maximum performance level, the grant date fair value of the PSUs granted for the long-term performance period of 2020-21 would be $445,537 for Mr. Page, and for the long-term performance period of 2021-22, would be $9,660,000 for Mr. Johnson; $999,037 for Mr. Page; $1,195,240 for Mr. Bracken; $1,168,500 for Mr. Martin, $1,168,500 for Mr. Gray, and $1,212,346 for Mr.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72390</wp:posOffset>
            </wp:positionV>
            <wp:extent cx="365760" cy="2228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tcPr>
          <w:p>
            <w:pPr>
              <w:ind w:left="7320"/>
              <w:spacing w:after="0"/>
              <w:rPr>
                <w:sz w:val="20"/>
                <w:szCs w:val="20"/>
                <w:color w:val="auto"/>
              </w:rPr>
            </w:pPr>
            <w:r>
              <w:rPr>
                <w:rFonts w:ascii="Arial" w:cs="Arial" w:eastAsia="Arial" w:hAnsi="Arial"/>
                <w:sz w:val="11"/>
                <w:szCs w:val="11"/>
                <w:b w:val="1"/>
                <w:bCs w:val="1"/>
                <w:color w:val="D61100"/>
              </w:rPr>
              <w:t xml:space="preserve">2022 </w:t>
            </w:r>
            <w:r>
              <w:rPr>
                <w:rFonts w:ascii="Arial" w:cs="Arial" w:eastAsia="Arial" w:hAnsi="Arial"/>
                <w:sz w:val="9"/>
                <w:szCs w:val="9"/>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77</w:t>
            </w:r>
          </w:p>
        </w:tc>
      </w:tr>
      <w:tr>
        <w:trPr>
          <w:trHeight w:val="327"/>
        </w:trPr>
        <w:tc>
          <w:tcPr>
            <w:tcW w:w="8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81" w:name="page82"/>
    <w:bookmarkEnd w:id="81"/>
    <w:p>
      <w:pPr>
        <w:spacing w:after="0"/>
        <w:tabs>
          <w:tab w:leader="none" w:pos="9920" w:val="left"/>
        </w:tabs>
        <w:rPr>
          <w:sz w:val="20"/>
          <w:szCs w:val="20"/>
          <w:color w:val="auto"/>
        </w:rPr>
      </w:pPr>
      <w:r>
        <w:rPr>
          <w:rFonts w:ascii="Arial" w:cs="Arial" w:eastAsia="Arial" w:hAnsi="Arial"/>
          <w:sz w:val="10"/>
          <w:szCs w:val="10"/>
          <w:b w:val="1"/>
          <w:bCs w:val="1"/>
          <w:color w:val="D60011"/>
        </w:rPr>
        <w:t>EXECUTIVE COMPENSATION</w:t>
      </w:r>
      <w:r>
        <w:rPr>
          <w:sz w:val="20"/>
          <w:szCs w:val="20"/>
          <w:color w:val="auto"/>
        </w:rPr>
        <w:tab/>
      </w:r>
      <w:r>
        <w:rPr>
          <w:rFonts w:ascii="Arial" w:cs="Arial" w:eastAsia="Arial" w:hAnsi="Arial"/>
          <w:sz w:val="8"/>
          <w:szCs w:val="8"/>
          <w:b w:val="1"/>
          <w:bCs w:val="1"/>
          <w:color w:val="D60011"/>
        </w:rPr>
        <w:t>EXECUTIVE COMPENSATION</w:t>
      </w:r>
    </w:p>
    <w:p>
      <w:pPr>
        <w:spacing w:after="0" w:line="10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OUTSTANDING EQUITY AWARDS AT FISCAL 2021 YEAR-END</w:t>
      </w:r>
    </w:p>
    <w:p>
      <w:pPr>
        <w:spacing w:after="0" w:line="145" w:lineRule="exact"/>
        <w:rPr>
          <w:sz w:val="20"/>
          <w:szCs w:val="20"/>
          <w:color w:val="auto"/>
        </w:rPr>
      </w:pPr>
    </w:p>
    <w:p>
      <w:pPr>
        <w:ind w:right="80"/>
        <w:spacing w:after="0" w:line="268" w:lineRule="auto"/>
        <w:rPr>
          <w:sz w:val="20"/>
          <w:szCs w:val="20"/>
          <w:color w:val="auto"/>
        </w:rPr>
      </w:pPr>
      <w:r>
        <w:rPr>
          <w:rFonts w:ascii="Arial" w:cs="Arial" w:eastAsia="Arial" w:hAnsi="Arial"/>
          <w:sz w:val="11"/>
          <w:szCs w:val="11"/>
          <w:color w:val="auto"/>
        </w:rPr>
        <w:t>The following table shows the number of outstanding stock options, both vested and unvested, the number of unvested shares of RSUs, and the number of PSUs, both earned but unvested and unearned, held by the NEOs at the end of the 2021 fiscal year: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vMerge w:val="restart"/>
          </w:tcPr>
          <w:p>
            <w:pPr>
              <w:spacing w:after="0"/>
              <w:rPr>
                <w:sz w:val="20"/>
                <w:szCs w:val="20"/>
                <w:color w:val="auto"/>
              </w:rPr>
            </w:pPr>
            <w:r>
              <w:rPr>
                <w:rFonts w:ascii="Arial" w:cs="Arial" w:eastAsia="Arial" w:hAnsi="Arial"/>
                <w:sz w:val="10"/>
                <w:szCs w:val="10"/>
                <w:b w:val="1"/>
                <w:bCs w:val="1"/>
                <w:color w:val="auto"/>
              </w:rPr>
              <w:t>(a)</w:t>
            </w:r>
          </w:p>
        </w:tc>
        <w:tc>
          <w:tcPr>
            <w:tcW w:w="1500" w:type="dxa"/>
            <w:vAlign w:val="bottom"/>
            <w:tcBorders>
              <w:bottom w:val="single" w:sz="8" w:color="E31F25"/>
            </w:tcBorders>
          </w:tcPr>
          <w:p>
            <w:pPr>
              <w:spacing w:after="0"/>
              <w:rPr>
                <w:sz w:val="10"/>
                <w:szCs w:val="10"/>
                <w:color w:val="auto"/>
              </w:rPr>
            </w:pPr>
          </w:p>
        </w:tc>
        <w:tc>
          <w:tcPr>
            <w:tcW w:w="162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Option Awards</w:t>
            </w:r>
          </w:p>
        </w:tc>
        <w:tc>
          <w:tcPr>
            <w:tcW w:w="1100" w:type="dxa"/>
            <w:vAlign w:val="bottom"/>
            <w:tcBorders>
              <w:bottom w:val="single" w:sz="8" w:color="E31F25"/>
            </w:tcBorders>
          </w:tcPr>
          <w:p>
            <w:pPr>
              <w:spacing w:after="0"/>
              <w:rPr>
                <w:sz w:val="10"/>
                <w:szCs w:val="10"/>
                <w:color w:val="auto"/>
              </w:rPr>
            </w:pPr>
          </w:p>
        </w:tc>
        <w:tc>
          <w:tcPr>
            <w:tcW w:w="540" w:type="dxa"/>
            <w:vAlign w:val="bottom"/>
            <w:tcBorders>
              <w:bottom w:val="single" w:sz="8" w:color="E31F25"/>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E31F25"/>
            </w:tcBorders>
          </w:tcPr>
          <w:p>
            <w:pPr>
              <w:spacing w:after="0"/>
              <w:rPr>
                <w:sz w:val="10"/>
                <w:szCs w:val="10"/>
                <w:color w:val="auto"/>
              </w:rPr>
            </w:pPr>
          </w:p>
        </w:tc>
        <w:tc>
          <w:tcPr>
            <w:tcW w:w="1120" w:type="dxa"/>
            <w:vAlign w:val="bottom"/>
            <w:tcBorders>
              <w:bottom w:val="single" w:sz="8" w:color="E31F25"/>
            </w:tcBorders>
          </w:tcPr>
          <w:p>
            <w:pPr>
              <w:spacing w:after="0"/>
              <w:rPr>
                <w:sz w:val="10"/>
                <w:szCs w:val="10"/>
                <w:color w:val="auto"/>
              </w:rPr>
            </w:pPr>
          </w:p>
        </w:tc>
        <w:tc>
          <w:tcPr>
            <w:tcW w:w="148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Stock Awards</w:t>
            </w:r>
          </w:p>
        </w:tc>
        <w:tc>
          <w:tcPr>
            <w:tcW w:w="1160" w:type="dxa"/>
            <w:vAlign w:val="bottom"/>
            <w:tcBorders>
              <w:bottom w:val="single" w:sz="8" w:color="E31F25"/>
            </w:tcBorders>
          </w:tcPr>
          <w:p>
            <w:pPr>
              <w:spacing w:after="0"/>
              <w:rPr>
                <w:sz w:val="10"/>
                <w:szCs w:val="10"/>
                <w:color w:val="auto"/>
              </w:rPr>
            </w:pPr>
          </w:p>
        </w:tc>
        <w:tc>
          <w:tcPr>
            <w:tcW w:w="38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 w:type="dxa"/>
            <w:vAlign w:val="bottom"/>
            <w:tcBorders>
              <w:bottom w:val="single" w:sz="8" w:color="E31F25"/>
            </w:tcBorders>
            <w:vMerge w:val="continue"/>
          </w:tcPr>
          <w:p>
            <w:pPr>
              <w:spacing w:after="0"/>
              <w:rPr>
                <w:sz w:val="8"/>
                <w:szCs w:val="8"/>
                <w:color w:val="auto"/>
              </w:rPr>
            </w:pPr>
          </w:p>
        </w:tc>
        <w:tc>
          <w:tcPr>
            <w:tcW w:w="150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b w:val="1"/>
                <w:bCs w:val="1"/>
                <w:color w:val="auto"/>
              </w:rPr>
              <w:t>(b)</w:t>
            </w:r>
          </w:p>
        </w:tc>
        <w:tc>
          <w:tcPr>
            <w:tcW w:w="1620" w:type="dxa"/>
            <w:vAlign w:val="bottom"/>
            <w:tcBorders>
              <w:bottom w:val="single" w:sz="8" w:color="E31F25"/>
            </w:tcBorders>
          </w:tcPr>
          <w:p>
            <w:pPr>
              <w:jc w:val="right"/>
              <w:ind w:right="472"/>
              <w:spacing w:after="0" w:line="97" w:lineRule="exact"/>
              <w:rPr>
                <w:sz w:val="20"/>
                <w:szCs w:val="20"/>
                <w:color w:val="auto"/>
              </w:rPr>
            </w:pPr>
            <w:r>
              <w:rPr>
                <w:rFonts w:ascii="Arial" w:cs="Arial" w:eastAsia="Arial" w:hAnsi="Arial"/>
                <w:sz w:val="10"/>
                <w:szCs w:val="10"/>
                <w:b w:val="1"/>
                <w:bCs w:val="1"/>
                <w:color w:val="auto"/>
              </w:rPr>
              <w:t>(c)</w:t>
            </w:r>
          </w:p>
        </w:tc>
        <w:tc>
          <w:tcPr>
            <w:tcW w:w="1100" w:type="dxa"/>
            <w:vAlign w:val="bottom"/>
            <w:tcBorders>
              <w:bottom w:val="single" w:sz="8" w:color="E31F25"/>
            </w:tcBorders>
          </w:tcPr>
          <w:p>
            <w:pPr>
              <w:jc w:val="right"/>
              <w:ind w:right="92"/>
              <w:spacing w:after="0" w:line="97" w:lineRule="exact"/>
              <w:rPr>
                <w:sz w:val="20"/>
                <w:szCs w:val="20"/>
                <w:color w:val="auto"/>
              </w:rPr>
            </w:pPr>
            <w:r>
              <w:rPr>
                <w:rFonts w:ascii="Arial" w:cs="Arial" w:eastAsia="Arial" w:hAnsi="Arial"/>
                <w:sz w:val="10"/>
                <w:szCs w:val="10"/>
                <w:b w:val="1"/>
                <w:bCs w:val="1"/>
                <w:color w:val="auto"/>
              </w:rPr>
              <w:t>(d)</w:t>
            </w:r>
          </w:p>
        </w:tc>
        <w:tc>
          <w:tcPr>
            <w:tcW w:w="540" w:type="dxa"/>
            <w:vAlign w:val="bottom"/>
            <w:tcBorders>
              <w:bottom w:val="single" w:sz="8" w:color="E31F25"/>
            </w:tcBorders>
          </w:tcPr>
          <w:p>
            <w:pPr>
              <w:jc w:val="right"/>
              <w:spacing w:after="0" w:line="97" w:lineRule="exact"/>
              <w:rPr>
                <w:sz w:val="20"/>
                <w:szCs w:val="20"/>
                <w:color w:val="auto"/>
              </w:rPr>
            </w:pPr>
            <w:r>
              <w:rPr>
                <w:rFonts w:ascii="Arial" w:cs="Arial" w:eastAsia="Arial" w:hAnsi="Arial"/>
                <w:sz w:val="10"/>
                <w:szCs w:val="10"/>
                <w:b w:val="1"/>
                <w:bCs w:val="1"/>
                <w:color w:val="auto"/>
              </w:rPr>
              <w:t>(e)</w:t>
            </w:r>
          </w:p>
        </w:tc>
        <w:tc>
          <w:tcPr>
            <w:tcW w:w="120" w:type="dxa"/>
            <w:vAlign w:val="bottom"/>
            <w:tcBorders>
              <w:bottom w:val="single" w:sz="8" w:color="E31F25"/>
            </w:tcBorders>
          </w:tcPr>
          <w:p>
            <w:pPr>
              <w:spacing w:after="0"/>
              <w:rPr>
                <w:sz w:val="8"/>
                <w:szCs w:val="8"/>
                <w:color w:val="auto"/>
              </w:rPr>
            </w:pPr>
          </w:p>
        </w:tc>
        <w:tc>
          <w:tcPr>
            <w:tcW w:w="820" w:type="dxa"/>
            <w:vAlign w:val="bottom"/>
            <w:tcBorders>
              <w:bottom w:val="single" w:sz="8" w:color="E31F25"/>
            </w:tcBorders>
          </w:tcPr>
          <w:p>
            <w:pPr>
              <w:jc w:val="right"/>
              <w:ind w:right="192"/>
              <w:spacing w:after="0" w:line="97" w:lineRule="exact"/>
              <w:rPr>
                <w:sz w:val="20"/>
                <w:szCs w:val="20"/>
                <w:color w:val="auto"/>
              </w:rPr>
            </w:pPr>
            <w:r>
              <w:rPr>
                <w:rFonts w:ascii="Arial" w:cs="Arial" w:eastAsia="Arial" w:hAnsi="Arial"/>
                <w:sz w:val="10"/>
                <w:szCs w:val="10"/>
                <w:b w:val="1"/>
                <w:bCs w:val="1"/>
                <w:color w:val="auto"/>
              </w:rPr>
              <w:t>(f)</w:t>
            </w:r>
          </w:p>
        </w:tc>
        <w:tc>
          <w:tcPr>
            <w:tcW w:w="112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b w:val="1"/>
                <w:bCs w:val="1"/>
                <w:color w:val="auto"/>
              </w:rPr>
              <w:t>(g)</w:t>
            </w:r>
          </w:p>
        </w:tc>
        <w:tc>
          <w:tcPr>
            <w:tcW w:w="1480" w:type="dxa"/>
            <w:vAlign w:val="bottom"/>
            <w:tcBorders>
              <w:bottom w:val="single" w:sz="8" w:color="E31F25"/>
            </w:tcBorders>
          </w:tcPr>
          <w:p>
            <w:pPr>
              <w:jc w:val="right"/>
              <w:ind w:right="452"/>
              <w:spacing w:after="0" w:line="97" w:lineRule="exact"/>
              <w:rPr>
                <w:sz w:val="20"/>
                <w:szCs w:val="20"/>
                <w:color w:val="auto"/>
              </w:rPr>
            </w:pPr>
            <w:r>
              <w:rPr>
                <w:rFonts w:ascii="Arial" w:cs="Arial" w:eastAsia="Arial" w:hAnsi="Arial"/>
                <w:sz w:val="10"/>
                <w:szCs w:val="10"/>
                <w:b w:val="1"/>
                <w:bCs w:val="1"/>
                <w:color w:val="auto"/>
              </w:rPr>
              <w:t>(h)</w:t>
            </w:r>
          </w:p>
        </w:tc>
        <w:tc>
          <w:tcPr>
            <w:tcW w:w="1160" w:type="dxa"/>
            <w:vAlign w:val="bottom"/>
            <w:tcBorders>
              <w:bottom w:val="single" w:sz="8" w:color="E31F25"/>
            </w:tcBorders>
          </w:tcPr>
          <w:p>
            <w:pPr>
              <w:jc w:val="right"/>
              <w:ind w:right="252"/>
              <w:spacing w:after="0" w:line="97" w:lineRule="exact"/>
              <w:rPr>
                <w:sz w:val="20"/>
                <w:szCs w:val="20"/>
                <w:color w:val="auto"/>
              </w:rPr>
            </w:pPr>
            <w:r>
              <w:rPr>
                <w:rFonts w:ascii="Arial" w:cs="Arial" w:eastAsia="Arial" w:hAnsi="Arial"/>
                <w:sz w:val="10"/>
                <w:szCs w:val="10"/>
                <w:b w:val="1"/>
                <w:bCs w:val="1"/>
                <w:color w:val="auto"/>
              </w:rPr>
              <w:t>(i)</w:t>
            </w:r>
          </w:p>
        </w:tc>
        <w:tc>
          <w:tcPr>
            <w:tcW w:w="380" w:type="dxa"/>
            <w:vAlign w:val="bottom"/>
            <w:tcBorders>
              <w:bottom w:val="single" w:sz="8" w:color="E31F25"/>
            </w:tcBorders>
          </w:tcPr>
          <w:p>
            <w:pPr>
              <w:spacing w:after="0"/>
              <w:rPr>
                <w:sz w:val="8"/>
                <w:szCs w:val="8"/>
                <w:color w:val="auto"/>
              </w:rPr>
            </w:pPr>
          </w:p>
        </w:tc>
        <w:tc>
          <w:tcPr>
            <w:tcW w:w="780" w:type="dxa"/>
            <w:vAlign w:val="bottom"/>
            <w:tcBorders>
              <w:bottom w:val="single" w:sz="8" w:color="E31F25"/>
            </w:tcBorders>
          </w:tcPr>
          <w:p>
            <w:pPr>
              <w:jc w:val="right"/>
              <w:spacing w:after="0" w:line="97" w:lineRule="exact"/>
              <w:rPr>
                <w:sz w:val="20"/>
                <w:szCs w:val="20"/>
                <w:color w:val="auto"/>
              </w:rPr>
            </w:pPr>
            <w:r>
              <w:rPr>
                <w:rFonts w:ascii="Arial" w:cs="Arial" w:eastAsia="Arial" w:hAnsi="Arial"/>
                <w:sz w:val="10"/>
                <w:szCs w:val="10"/>
                <w:b w:val="1"/>
                <w:bCs w:val="1"/>
                <w:color w:val="auto"/>
              </w:rPr>
              <w:t>(j)</w:t>
            </w:r>
          </w:p>
        </w:tc>
        <w:tc>
          <w:tcPr>
            <w:tcW w:w="20" w:type="dxa"/>
            <w:vAlign w:val="bottom"/>
            <w:tcBorders>
              <w:bottom w:val="single" w:sz="8" w:color="E31F25"/>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160" w:type="dxa"/>
            <w:vAlign w:val="bottom"/>
          </w:tcPr>
          <w:p>
            <w:pPr>
              <w:jc w:val="right"/>
              <w:ind w:right="252"/>
              <w:spacing w:after="0" w:line="91" w:lineRule="exact"/>
              <w:rPr>
                <w:sz w:val="20"/>
                <w:szCs w:val="20"/>
                <w:color w:val="auto"/>
              </w:rPr>
            </w:pPr>
            <w:r>
              <w:rPr>
                <w:rFonts w:ascii="Arial" w:cs="Arial" w:eastAsia="Arial" w:hAnsi="Arial"/>
                <w:sz w:val="10"/>
                <w:szCs w:val="10"/>
                <w:b w:val="1"/>
                <w:bCs w:val="1"/>
                <w:color w:val="auto"/>
              </w:rPr>
              <w:t>Equity Incentive</w:t>
            </w:r>
          </w:p>
        </w:tc>
        <w:tc>
          <w:tcPr>
            <w:tcW w:w="380" w:type="dxa"/>
            <w:vAlign w:val="bottom"/>
          </w:tcPr>
          <w:p>
            <w:pPr>
              <w:spacing w:after="0"/>
              <w:rPr>
                <w:sz w:val="7"/>
                <w:szCs w:val="7"/>
                <w:color w:val="auto"/>
              </w:rPr>
            </w:pPr>
          </w:p>
        </w:tc>
        <w:tc>
          <w:tcPr>
            <w:tcW w:w="800" w:type="dxa"/>
            <w:vAlign w:val="bottom"/>
            <w:gridSpan w:val="2"/>
          </w:tcPr>
          <w:p>
            <w:pPr>
              <w:jc w:val="right"/>
              <w:ind w:right="20"/>
              <w:spacing w:after="0" w:line="91" w:lineRule="exact"/>
              <w:rPr>
                <w:sz w:val="20"/>
                <w:szCs w:val="20"/>
                <w:color w:val="auto"/>
              </w:rPr>
            </w:pPr>
            <w:r>
              <w:rPr>
                <w:rFonts w:ascii="Arial" w:cs="Arial" w:eastAsia="Arial" w:hAnsi="Arial"/>
                <w:sz w:val="10"/>
                <w:szCs w:val="10"/>
                <w:b w:val="1"/>
                <w:bCs w:val="1"/>
                <w:color w:val="auto"/>
                <w:w w:val="99"/>
              </w:rPr>
              <w:t>Equity Incentive</w:t>
            </w:r>
          </w:p>
        </w:tc>
        <w:tc>
          <w:tcPr>
            <w:tcW w:w="0" w:type="dxa"/>
            <w:vAlign w:val="bottom"/>
          </w:tcPr>
          <w:p>
            <w:pPr>
              <w:spacing w:after="0"/>
              <w:rPr>
                <w:sz w:val="1"/>
                <w:szCs w:val="1"/>
                <w:color w:val="auto"/>
              </w:rPr>
            </w:pPr>
          </w:p>
        </w:tc>
      </w:tr>
      <w:tr>
        <w:trPr>
          <w:trHeight w:val="115"/>
        </w:trPr>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00" w:type="dxa"/>
            <w:vAlign w:val="bottom"/>
          </w:tcPr>
          <w:p>
            <w:pPr>
              <w:jc w:val="right"/>
              <w:ind w:right="92"/>
              <w:spacing w:after="0"/>
              <w:rPr>
                <w:sz w:val="20"/>
                <w:szCs w:val="20"/>
                <w:color w:val="auto"/>
              </w:rPr>
            </w:pPr>
            <w:r>
              <w:rPr>
                <w:rFonts w:ascii="Arial" w:cs="Arial" w:eastAsia="Arial" w:hAnsi="Arial"/>
                <w:sz w:val="10"/>
                <w:szCs w:val="10"/>
                <w:b w:val="1"/>
                <w:bCs w:val="1"/>
                <w:color w:val="auto"/>
              </w:rPr>
              <w:t>Equity Incentive</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jc w:val="right"/>
              <w:ind w:right="252"/>
              <w:spacing w:after="0"/>
              <w:rPr>
                <w:sz w:val="20"/>
                <w:szCs w:val="20"/>
                <w:color w:val="auto"/>
              </w:rPr>
            </w:pPr>
            <w:r>
              <w:rPr>
                <w:rFonts w:ascii="Arial" w:cs="Arial" w:eastAsia="Arial" w:hAnsi="Arial"/>
                <w:sz w:val="10"/>
                <w:szCs w:val="10"/>
                <w:b w:val="1"/>
                <w:bCs w:val="1"/>
                <w:color w:val="auto"/>
              </w:rPr>
              <w:t>Plan Awards:</w:t>
            </w:r>
          </w:p>
        </w:tc>
        <w:tc>
          <w:tcPr>
            <w:tcW w:w="380" w:type="dxa"/>
            <w:vAlign w:val="bottom"/>
          </w:tcPr>
          <w:p>
            <w:pPr>
              <w:spacing w:after="0"/>
              <w:rPr>
                <w:sz w:val="9"/>
                <w:szCs w:val="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Plan Awards: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Number of</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Number of</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Plan Awards:</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Number</w:t>
            </w:r>
          </w:p>
        </w:tc>
        <w:tc>
          <w:tcPr>
            <w:tcW w:w="1480" w:type="dxa"/>
            <w:vAlign w:val="bottom"/>
          </w:tcPr>
          <w:p>
            <w:pPr>
              <w:spacing w:after="0"/>
              <w:rPr>
                <w:sz w:val="9"/>
                <w:szCs w:val="9"/>
                <w:color w:val="auto"/>
              </w:rPr>
            </w:pPr>
          </w:p>
        </w:tc>
        <w:tc>
          <w:tcPr>
            <w:tcW w:w="116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Number of</w:t>
            </w:r>
          </w:p>
        </w:tc>
        <w:tc>
          <w:tcPr>
            <w:tcW w:w="38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b w:val="1"/>
                <w:bCs w:val="1"/>
                <w:color w:val="auto"/>
                <w:w w:val="93"/>
              </w:rPr>
              <w:t>Market or Payout</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Securities</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Securities</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Number of</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of Shares</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Market Value</w:t>
            </w:r>
          </w:p>
        </w:tc>
        <w:tc>
          <w:tcPr>
            <w:tcW w:w="116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Unearned</w:t>
            </w:r>
          </w:p>
        </w:tc>
        <w:tc>
          <w:tcPr>
            <w:tcW w:w="1180" w:type="dxa"/>
            <w:vAlign w:val="bottom"/>
            <w:gridSpan w:val="3"/>
          </w:tcPr>
          <w:p>
            <w:pPr>
              <w:jc w:val="right"/>
              <w:ind w:right="20"/>
              <w:spacing w:after="0" w:line="108" w:lineRule="exact"/>
              <w:rPr>
                <w:sz w:val="20"/>
                <w:szCs w:val="20"/>
                <w:color w:val="auto"/>
              </w:rPr>
            </w:pPr>
            <w:r>
              <w:rPr>
                <w:rFonts w:ascii="Arial" w:cs="Arial" w:eastAsia="Arial" w:hAnsi="Arial"/>
                <w:sz w:val="10"/>
                <w:szCs w:val="10"/>
                <w:b w:val="1"/>
                <w:bCs w:val="1"/>
                <w:color w:val="auto"/>
              </w:rPr>
              <w:t>Value of Unearned</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Underlying</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Underlying</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Securities</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or Units</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of Shares or</w:t>
            </w:r>
          </w:p>
        </w:tc>
        <w:tc>
          <w:tcPr>
            <w:tcW w:w="116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Shares, Units,</w:t>
            </w:r>
          </w:p>
        </w:tc>
        <w:tc>
          <w:tcPr>
            <w:tcW w:w="38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b w:val="1"/>
                <w:bCs w:val="1"/>
                <w:color w:val="auto"/>
              </w:rPr>
              <w:t>Shares, Units,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Unexercised</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Unexercised</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Underlying</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Option</w:t>
            </w: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of Stock</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Units of Stock</w:t>
            </w:r>
          </w:p>
        </w:tc>
        <w:tc>
          <w:tcPr>
            <w:tcW w:w="116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or Other Rights</w:t>
            </w:r>
          </w:p>
        </w:tc>
        <w:tc>
          <w:tcPr>
            <w:tcW w:w="38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b w:val="1"/>
                <w:bCs w:val="1"/>
                <w:color w:val="auto"/>
              </w:rPr>
              <w:t>or Other Rights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Options</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Options</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Unexercised</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Exercise</w:t>
            </w:r>
          </w:p>
        </w:tc>
        <w:tc>
          <w:tcPr>
            <w:tcW w:w="82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Option</w:t>
            </w: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That Have</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That Have Not</w:t>
            </w:r>
          </w:p>
        </w:tc>
        <w:tc>
          <w:tcPr>
            <w:tcW w:w="116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That Have Not</w:t>
            </w:r>
          </w:p>
        </w:tc>
        <w:tc>
          <w:tcPr>
            <w:tcW w:w="38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b w:val="1"/>
                <w:bCs w:val="1"/>
                <w:color w:val="auto"/>
              </w:rPr>
              <w:t>That Have Not</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8"/>
                <w:szCs w:val="8"/>
                <w:b w:val="1"/>
                <w:bCs w:val="1"/>
                <w:color w:val="auto"/>
              </w:rPr>
              <w:t>Exercisable</w:t>
            </w:r>
            <w:r>
              <w:rPr>
                <w:rFonts w:ascii="Arial" w:cs="Arial" w:eastAsia="Arial" w:hAnsi="Arial"/>
                <w:sz w:val="12"/>
                <w:szCs w:val="12"/>
                <w:b w:val="1"/>
                <w:bCs w:val="1"/>
                <w:color w:val="auto"/>
                <w:vertAlign w:val="superscript"/>
              </w:rPr>
              <w:t>(1)</w:t>
            </w:r>
          </w:p>
        </w:tc>
        <w:tc>
          <w:tcPr>
            <w:tcW w:w="1620" w:type="dxa"/>
            <w:vAlign w:val="bottom"/>
          </w:tcPr>
          <w:p>
            <w:pPr>
              <w:jc w:val="right"/>
              <w:ind w:right="472"/>
              <w:spacing w:after="0" w:line="108" w:lineRule="exact"/>
              <w:rPr>
                <w:sz w:val="20"/>
                <w:szCs w:val="20"/>
                <w:color w:val="auto"/>
              </w:rPr>
            </w:pPr>
            <w:r>
              <w:rPr>
                <w:rFonts w:ascii="Arial" w:cs="Arial" w:eastAsia="Arial" w:hAnsi="Arial"/>
                <w:sz w:val="8"/>
                <w:szCs w:val="8"/>
                <w:b w:val="1"/>
                <w:bCs w:val="1"/>
                <w:color w:val="auto"/>
              </w:rPr>
              <w:t>Unexercisable</w:t>
            </w:r>
            <w:r>
              <w:rPr>
                <w:rFonts w:ascii="Arial" w:cs="Arial" w:eastAsia="Arial" w:hAnsi="Arial"/>
                <w:sz w:val="12"/>
                <w:szCs w:val="12"/>
                <w:b w:val="1"/>
                <w:bCs w:val="1"/>
                <w:color w:val="auto"/>
                <w:vertAlign w:val="superscript"/>
              </w:rPr>
              <w:t>(1)</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Unearned Options</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Price</w:t>
            </w:r>
          </w:p>
        </w:tc>
        <w:tc>
          <w:tcPr>
            <w:tcW w:w="82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Expiration</w:t>
            </w: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Not Vested</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Vested</w:t>
            </w:r>
          </w:p>
        </w:tc>
        <w:tc>
          <w:tcPr>
            <w:tcW w:w="116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Vested</w:t>
            </w:r>
          </w:p>
        </w:tc>
        <w:tc>
          <w:tcPr>
            <w:tcW w:w="380" w:type="dxa"/>
            <w:vAlign w:val="bottom"/>
          </w:tcPr>
          <w:p>
            <w:pPr>
              <w:spacing w:after="0"/>
              <w:rPr>
                <w:sz w:val="9"/>
                <w:szCs w:val="9"/>
                <w:color w:val="auto"/>
              </w:rPr>
            </w:pPr>
          </w:p>
        </w:tc>
        <w:tc>
          <w:tcPr>
            <w:tcW w:w="800" w:type="dxa"/>
            <w:vAlign w:val="bottom"/>
            <w:gridSpan w:val="2"/>
          </w:tcPr>
          <w:p>
            <w:pPr>
              <w:jc w:val="right"/>
              <w:ind w:right="20"/>
              <w:spacing w:after="0" w:line="108" w:lineRule="exact"/>
              <w:rPr>
                <w:sz w:val="20"/>
                <w:szCs w:val="20"/>
                <w:color w:val="auto"/>
              </w:rPr>
            </w:pPr>
            <w:r>
              <w:rPr>
                <w:rFonts w:ascii="Arial" w:cs="Arial" w:eastAsia="Arial" w:hAnsi="Arial"/>
                <w:sz w:val="10"/>
                <w:szCs w:val="10"/>
                <w:b w:val="1"/>
                <w:bCs w:val="1"/>
                <w:color w:val="auto"/>
              </w:rPr>
              <w:t>Vested</w:t>
            </w:r>
          </w:p>
        </w:tc>
        <w:tc>
          <w:tcPr>
            <w:tcW w:w="0" w:type="dxa"/>
            <w:vAlign w:val="bottom"/>
          </w:tcPr>
          <w:p>
            <w:pPr>
              <w:spacing w:after="0"/>
              <w:rPr>
                <w:sz w:val="1"/>
                <w:szCs w:val="1"/>
                <w:color w:val="auto"/>
              </w:rPr>
            </w:pPr>
          </w:p>
        </w:tc>
      </w:tr>
      <w:tr>
        <w:trPr>
          <w:trHeight w:val="126"/>
        </w:trPr>
        <w:tc>
          <w:tcPr>
            <w:tcW w:w="680" w:type="dxa"/>
            <w:vAlign w:val="bottom"/>
            <w:tcBorders>
              <w:bottom w:val="single" w:sz="8" w:color="E31F25"/>
            </w:tcBorders>
          </w:tcPr>
          <w:p>
            <w:pPr>
              <w:spacing w:after="0"/>
              <w:rPr>
                <w:sz w:val="20"/>
                <w:szCs w:val="20"/>
                <w:color w:val="auto"/>
              </w:rPr>
            </w:pPr>
            <w:r>
              <w:rPr>
                <w:rFonts w:ascii="Arial" w:cs="Arial" w:eastAsia="Arial" w:hAnsi="Arial"/>
                <w:sz w:val="10"/>
                <w:szCs w:val="10"/>
                <w:b w:val="1"/>
                <w:bCs w:val="1"/>
                <w:color w:val="auto"/>
              </w:rPr>
              <w:t>Name</w:t>
            </w:r>
          </w:p>
        </w:tc>
        <w:tc>
          <w:tcPr>
            <w:tcW w:w="150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E31F25"/>
            </w:tcBorders>
          </w:tcPr>
          <w:p>
            <w:pPr>
              <w:jc w:val="right"/>
              <w:ind w:right="47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E31F25"/>
            </w:tcBorders>
          </w:tcPr>
          <w:p>
            <w:pPr>
              <w:spacing w:after="0"/>
              <w:rPr>
                <w:sz w:val="10"/>
                <w:szCs w:val="10"/>
                <w:color w:val="auto"/>
              </w:rPr>
            </w:pPr>
          </w:p>
        </w:tc>
        <w:tc>
          <w:tcPr>
            <w:tcW w:w="82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b w:val="1"/>
                <w:bCs w:val="1"/>
                <w:color w:val="auto"/>
              </w:rPr>
              <w:t>Date</w:t>
            </w:r>
          </w:p>
        </w:tc>
        <w:tc>
          <w:tcPr>
            <w:tcW w:w="1120" w:type="dxa"/>
            <w:vAlign w:val="bottom"/>
            <w:tcBorders>
              <w:bottom w:val="single" w:sz="8" w:color="E31F25"/>
            </w:tcBorders>
          </w:tcPr>
          <w:p>
            <w:pPr>
              <w:jc w:val="right"/>
              <w:ind w:right="31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(2)</w:t>
            </w:r>
          </w:p>
        </w:tc>
        <w:tc>
          <w:tcPr>
            <w:tcW w:w="1480" w:type="dxa"/>
            <w:vAlign w:val="bottom"/>
            <w:tcBorders>
              <w:bottom w:val="single" w:sz="8" w:color="E31F25"/>
            </w:tcBorders>
          </w:tcPr>
          <w:p>
            <w:pPr>
              <w:jc w:val="right"/>
              <w:ind w:right="45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(3)</w:t>
            </w:r>
          </w:p>
        </w:tc>
        <w:tc>
          <w:tcPr>
            <w:tcW w:w="1160" w:type="dxa"/>
            <w:vAlign w:val="bottom"/>
            <w:tcBorders>
              <w:bottom w:val="single" w:sz="8" w:color="E31F25"/>
            </w:tcBorders>
          </w:tcPr>
          <w:p>
            <w:pPr>
              <w:jc w:val="right"/>
              <w:ind w:right="25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(2)</w:t>
            </w:r>
          </w:p>
        </w:tc>
        <w:tc>
          <w:tcPr>
            <w:tcW w:w="380" w:type="dxa"/>
            <w:vAlign w:val="bottom"/>
            <w:tcBorders>
              <w:bottom w:val="single" w:sz="8" w:color="E31F25"/>
            </w:tcBorders>
          </w:tcPr>
          <w:p>
            <w:pPr>
              <w:spacing w:after="0"/>
              <w:rPr>
                <w:sz w:val="10"/>
                <w:szCs w:val="10"/>
                <w:color w:val="auto"/>
              </w:rPr>
            </w:pPr>
          </w:p>
        </w:tc>
        <w:tc>
          <w:tcPr>
            <w:tcW w:w="780" w:type="dxa"/>
            <w:vAlign w:val="bottom"/>
            <w:tcBorders>
              <w:bottom w:val="single" w:sz="8" w:color="E31F25"/>
            </w:tcBorders>
          </w:tcPr>
          <w:p>
            <w:pPr>
              <w:jc w:val="right"/>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(3)</w:t>
            </w:r>
          </w:p>
        </w:tc>
        <w:tc>
          <w:tcPr>
            <w:tcW w:w="20" w:type="dxa"/>
            <w:vAlign w:val="bottom"/>
            <w:tcBorders>
              <w:bottom w:val="single" w:sz="8" w:color="E31F25"/>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80" w:type="dxa"/>
            <w:vAlign w:val="bottom"/>
          </w:tcPr>
          <w:p>
            <w:pPr>
              <w:spacing w:after="0"/>
              <w:rPr>
                <w:sz w:val="20"/>
                <w:szCs w:val="20"/>
                <w:color w:val="auto"/>
              </w:rPr>
            </w:pPr>
            <w:r>
              <w:rPr>
                <w:rFonts w:ascii="Arial" w:cs="Arial" w:eastAsia="Arial" w:hAnsi="Arial"/>
                <w:sz w:val="10"/>
                <w:szCs w:val="10"/>
                <w:b w:val="1"/>
                <w:bCs w:val="1"/>
                <w:color w:val="D60011"/>
              </w:rPr>
              <w:t>Johnson</w:t>
            </w: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49,000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30.92</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03/21/2022</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47,000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34.24</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03/28/2023</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37,000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45.08</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03/26/2024</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55,000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56.35</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12/01/2024</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207,900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62.11</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03/25/2025</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139,380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63.79</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03/23/2026</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141,207</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72.83</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03/22/2027</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91,093</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44.78</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03/28/2028</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46,552</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23,277</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58.94</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03/27/2029</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79,582</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159,164</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21.60</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03/25/2030</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79,971</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53.61</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03/24/2031</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20,360</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904,595</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30,032</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1,334,322</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55,556</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2,468,353</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180,191</w:t>
            </w:r>
          </w:p>
        </w:tc>
        <w:tc>
          <w:tcPr>
            <w:tcW w:w="380" w:type="dxa"/>
            <w:vAlign w:val="bottom"/>
            <w:tcBorders>
              <w:bottom w:val="single" w:sz="8" w:color="CCCCCC"/>
            </w:tcBorders>
          </w:tcPr>
          <w:p>
            <w:pPr>
              <w:spacing w:after="0"/>
              <w:rPr>
                <w:sz w:val="11"/>
                <w:szCs w:val="11"/>
                <w:color w:val="auto"/>
              </w:rPr>
            </w:pPr>
          </w:p>
        </w:tc>
        <w:tc>
          <w:tcPr>
            <w:tcW w:w="78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8,005,886</w:t>
            </w:r>
          </w:p>
        </w:tc>
        <w:tc>
          <w:tcPr>
            <w:tcW w:w="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Borders>
              <w:bottom w:val="single" w:sz="8" w:color="E31F25"/>
            </w:tcBorders>
          </w:tcPr>
          <w:p>
            <w:pPr>
              <w:spacing w:after="0"/>
              <w:rPr>
                <w:sz w:val="11"/>
                <w:szCs w:val="11"/>
                <w:color w:val="auto"/>
              </w:rPr>
            </w:pPr>
          </w:p>
        </w:tc>
        <w:tc>
          <w:tcPr>
            <w:tcW w:w="150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E31F25"/>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E31F25"/>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E31F25"/>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E31F25"/>
            </w:tcBorders>
          </w:tcPr>
          <w:p>
            <w:pPr>
              <w:jc w:val="right"/>
              <w:ind w:right="252"/>
              <w:spacing w:after="0"/>
              <w:rPr>
                <w:sz w:val="20"/>
                <w:szCs w:val="20"/>
                <w:color w:val="auto"/>
              </w:rPr>
            </w:pPr>
            <w:r>
              <w:rPr>
                <w:rFonts w:ascii="Arial" w:cs="Arial" w:eastAsia="Arial" w:hAnsi="Arial"/>
                <w:sz w:val="10"/>
                <w:szCs w:val="10"/>
                <w:color w:val="auto"/>
              </w:rPr>
              <w:t>186,782</w:t>
            </w:r>
          </w:p>
        </w:tc>
        <w:tc>
          <w:tcPr>
            <w:tcW w:w="380" w:type="dxa"/>
            <w:vAlign w:val="bottom"/>
            <w:tcBorders>
              <w:bottom w:val="single" w:sz="8" w:color="E31F25"/>
            </w:tcBorders>
          </w:tcPr>
          <w:p>
            <w:pPr>
              <w:spacing w:after="0"/>
              <w:rPr>
                <w:sz w:val="11"/>
                <w:szCs w:val="11"/>
                <w:color w:val="auto"/>
              </w:rPr>
            </w:pPr>
          </w:p>
        </w:tc>
        <w:tc>
          <w:tcPr>
            <w:tcW w:w="78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8,298,724</w:t>
            </w:r>
          </w:p>
        </w:tc>
        <w:tc>
          <w:tcPr>
            <w:tcW w:w="20" w:type="dxa"/>
            <w:vAlign w:val="bottom"/>
            <w:tcBorders>
              <w:bottom w:val="single" w:sz="8" w:color="E31F25"/>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20"/>
                <w:szCs w:val="20"/>
                <w:color w:val="auto"/>
              </w:rPr>
            </w:pPr>
            <w:r>
              <w:rPr>
                <w:rFonts w:ascii="Arial" w:cs="Arial" w:eastAsia="Arial" w:hAnsi="Arial"/>
                <w:sz w:val="10"/>
                <w:szCs w:val="10"/>
                <w:b w:val="1"/>
                <w:bCs w:val="1"/>
                <w:color w:val="D60011"/>
              </w:rPr>
              <w:t>Page</w:t>
            </w: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8,333</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58.25</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04/13/2031</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3,168</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140,754</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12,557</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557,908</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CCCCCC"/>
            </w:tcBorders>
          </w:tcPr>
          <w:p>
            <w:pPr>
              <w:jc w:val="right"/>
              <w:ind w:right="252"/>
              <w:spacing w:after="0"/>
              <w:rPr>
                <w:sz w:val="20"/>
                <w:szCs w:val="20"/>
                <w:color w:val="auto"/>
              </w:rPr>
            </w:pPr>
            <w:r>
              <w:rPr>
                <w:rFonts w:ascii="Arial" w:cs="Arial" w:eastAsia="Arial" w:hAnsi="Arial"/>
                <w:sz w:val="10"/>
                <w:szCs w:val="10"/>
                <w:color w:val="auto"/>
              </w:rPr>
              <w:t>7,460</w:t>
            </w:r>
          </w:p>
        </w:tc>
        <w:tc>
          <w:tcPr>
            <w:tcW w:w="380" w:type="dxa"/>
            <w:vAlign w:val="bottom"/>
            <w:tcBorders>
              <w:bottom w:val="single" w:sz="8" w:color="CCCCCC"/>
            </w:tcBorders>
          </w:tcPr>
          <w:p>
            <w:pPr>
              <w:spacing w:after="0"/>
              <w:rPr>
                <w:sz w:val="11"/>
                <w:szCs w:val="11"/>
                <w:color w:val="auto"/>
              </w:rPr>
            </w:pPr>
          </w:p>
        </w:tc>
        <w:tc>
          <w:tcPr>
            <w:tcW w:w="78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331,448</w:t>
            </w:r>
          </w:p>
        </w:tc>
        <w:tc>
          <w:tcPr>
            <w:tcW w:w="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Borders>
              <w:bottom w:val="single" w:sz="8" w:color="E31F25"/>
            </w:tcBorders>
          </w:tcPr>
          <w:p>
            <w:pPr>
              <w:spacing w:after="0"/>
              <w:rPr>
                <w:sz w:val="11"/>
                <w:szCs w:val="11"/>
                <w:color w:val="auto"/>
              </w:rPr>
            </w:pPr>
          </w:p>
        </w:tc>
        <w:tc>
          <w:tcPr>
            <w:tcW w:w="150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E31F25"/>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E31F25"/>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E31F25"/>
            </w:tcBorders>
          </w:tcPr>
          <w:p>
            <w:pPr>
              <w:jc w:val="right"/>
              <w:ind w:right="45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E31F25"/>
            </w:tcBorders>
          </w:tcPr>
          <w:p>
            <w:pPr>
              <w:jc w:val="right"/>
              <w:ind w:right="252"/>
              <w:spacing w:after="0"/>
              <w:rPr>
                <w:sz w:val="20"/>
                <w:szCs w:val="20"/>
                <w:color w:val="auto"/>
              </w:rPr>
            </w:pPr>
            <w:r>
              <w:rPr>
                <w:rFonts w:ascii="Arial" w:cs="Arial" w:eastAsia="Arial" w:hAnsi="Arial"/>
                <w:sz w:val="10"/>
                <w:szCs w:val="10"/>
                <w:color w:val="auto"/>
              </w:rPr>
              <w:t>16,726</w:t>
            </w:r>
          </w:p>
        </w:tc>
        <w:tc>
          <w:tcPr>
            <w:tcW w:w="380" w:type="dxa"/>
            <w:vAlign w:val="bottom"/>
            <w:tcBorders>
              <w:bottom w:val="single" w:sz="8" w:color="E31F25"/>
            </w:tcBorders>
          </w:tcPr>
          <w:p>
            <w:pPr>
              <w:spacing w:after="0"/>
              <w:rPr>
                <w:sz w:val="11"/>
                <w:szCs w:val="11"/>
                <w:color w:val="auto"/>
              </w:rPr>
            </w:pPr>
          </w:p>
        </w:tc>
        <w:tc>
          <w:tcPr>
            <w:tcW w:w="78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743,136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1"/>
        </w:trPr>
        <w:tc>
          <w:tcPr>
            <w:tcW w:w="680" w:type="dxa"/>
            <w:vAlign w:val="bottom"/>
          </w:tcPr>
          <w:p>
            <w:pPr>
              <w:ind w:left="300"/>
              <w:spacing w:after="0"/>
              <w:rPr>
                <w:sz w:val="20"/>
                <w:szCs w:val="20"/>
                <w:color w:val="auto"/>
              </w:rPr>
            </w:pPr>
            <w:r>
              <w:rPr>
                <w:rFonts w:ascii="Arial" w:cs="Arial" w:eastAsia="Arial" w:hAnsi="Arial"/>
                <w:sz w:val="11"/>
                <w:szCs w:val="11"/>
                <w:b w:val="1"/>
                <w:bCs w:val="1"/>
                <w:color w:val="FFFFFF"/>
              </w:rPr>
              <w:t>78</w:t>
            </w:r>
          </w:p>
        </w:tc>
        <w:tc>
          <w:tcPr>
            <w:tcW w:w="1500" w:type="dxa"/>
            <w:vAlign w:val="bottom"/>
          </w:tcPr>
          <w:p>
            <w:pPr>
              <w:jc w:val="right"/>
              <w:ind w:right="692"/>
              <w:spacing w:after="0"/>
              <w:rPr>
                <w:sz w:val="20"/>
                <w:szCs w:val="20"/>
                <w:color w:val="auto"/>
              </w:rPr>
            </w:pPr>
            <w:r>
              <w:rPr>
                <w:rFonts w:ascii="Times New Roman" w:cs="Times New Roman" w:eastAsia="Times New Roman" w:hAnsi="Times New Roman"/>
                <w:sz w:val="11"/>
                <w:szCs w:val="11"/>
                <w:color w:val="auto"/>
                <w:w w:val="98"/>
              </w:rPr>
              <w:t>F</w:t>
            </w:r>
            <w:r>
              <w:rPr>
                <w:rFonts w:ascii="Times New Roman" w:cs="Times New Roman" w:eastAsia="Times New Roman" w:hAnsi="Times New Roman"/>
                <w:sz w:val="7"/>
                <w:szCs w:val="7"/>
                <w:color w:val="auto"/>
                <w:w w:val="98"/>
              </w:rPr>
              <w:t>OOT</w:t>
            </w:r>
            <w:r>
              <w:rPr>
                <w:rFonts w:ascii="Times New Roman" w:cs="Times New Roman" w:eastAsia="Times New Roman" w:hAnsi="Times New Roman"/>
                <w:sz w:val="11"/>
                <w:szCs w:val="11"/>
                <w:color w:val="auto"/>
                <w:w w:val="98"/>
              </w:rPr>
              <w:t xml:space="preserve"> L</w:t>
            </w:r>
            <w:r>
              <w:rPr>
                <w:rFonts w:ascii="Times New Roman" w:cs="Times New Roman" w:eastAsia="Times New Roman" w:hAnsi="Times New Roman"/>
                <w:sz w:val="7"/>
                <w:szCs w:val="7"/>
                <w:color w:val="auto"/>
                <w:w w:val="98"/>
              </w:rPr>
              <w:t>OCKER</w:t>
            </w:r>
            <w:r>
              <w:rPr>
                <w:rFonts w:ascii="Times New Roman" w:cs="Times New Roman" w:eastAsia="Times New Roman" w:hAnsi="Times New Roman"/>
                <w:sz w:val="11"/>
                <w:szCs w:val="11"/>
                <w:color w:val="auto"/>
                <w:w w:val="98"/>
              </w:rPr>
              <w:t>, I</w:t>
            </w:r>
            <w:r>
              <w:rPr>
                <w:rFonts w:ascii="Times New Roman" w:cs="Times New Roman" w:eastAsia="Times New Roman" w:hAnsi="Times New Roman"/>
                <w:sz w:val="7"/>
                <w:szCs w:val="7"/>
                <w:color w:val="auto"/>
                <w:w w:val="98"/>
              </w:rPr>
              <w:t>NC</w:t>
            </w:r>
            <w:r>
              <w:rPr>
                <w:rFonts w:ascii="Times New Roman" w:cs="Times New Roman" w:eastAsia="Times New Roman" w:hAnsi="Times New Roman"/>
                <w:sz w:val="11"/>
                <w:szCs w:val="11"/>
                <w:color w:val="auto"/>
                <w:w w:val="98"/>
              </w:rPr>
              <w:t>.</w:t>
            </w: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gridSpan w:val="2"/>
          </w:tcPr>
          <w:p>
            <w:pPr>
              <w:ind w:left="360"/>
              <w:spacing w:after="0"/>
              <w:rPr>
                <w:sz w:val="20"/>
                <w:szCs w:val="20"/>
                <w:color w:val="auto"/>
              </w:rPr>
            </w:pPr>
            <w:r>
              <w:rPr>
                <w:rFonts w:ascii="Arial" w:cs="Arial" w:eastAsia="Arial" w:hAnsi="Arial"/>
                <w:sz w:val="10"/>
                <w:szCs w:val="10"/>
                <w:b w:val="1"/>
                <w:bCs w:val="1"/>
                <w:color w:val="D61100"/>
                <w:w w:val="93"/>
              </w:rPr>
              <w:t xml:space="preserve">2022 </w:t>
            </w:r>
            <w:r>
              <w:rPr>
                <w:rFonts w:ascii="Arial" w:cs="Arial" w:eastAsia="Arial" w:hAnsi="Arial"/>
                <w:sz w:val="10"/>
                <w:szCs w:val="10"/>
                <w:b w:val="1"/>
                <w:bCs w:val="1"/>
                <w:color w:val="000000"/>
                <w:w w:val="93"/>
              </w:rPr>
              <w:t>PROXY STATEMENT</w:t>
            </w:r>
          </w:p>
        </w:tc>
        <w:tc>
          <w:tcPr>
            <w:tcW w:w="780" w:type="dxa"/>
            <w:vAlign w:val="bottom"/>
          </w:tcPr>
          <w:p>
            <w:pPr>
              <w:jc w:val="right"/>
              <w:ind w:right="272"/>
              <w:spacing w:after="0"/>
              <w:rPr>
                <w:sz w:val="20"/>
                <w:szCs w:val="20"/>
                <w:color w:val="auto"/>
              </w:rPr>
            </w:pPr>
            <w:r>
              <w:rPr>
                <w:rFonts w:ascii="Arial" w:cs="Arial" w:eastAsia="Arial" w:hAnsi="Arial"/>
                <w:sz w:val="11"/>
                <w:szCs w:val="11"/>
                <w:b w:val="1"/>
                <w:bCs w:val="1"/>
                <w:color w:val="FFFFFF"/>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-405130</wp:posOffset>
            </wp:positionV>
            <wp:extent cx="365760" cy="2171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65760" cy="217170"/>
                    </a:xfrm>
                    <a:prstGeom prst="rect">
                      <a:avLst/>
                    </a:prstGeom>
                    <a:noFill/>
                  </pic:spPr>
                </pic:pic>
              </a:graphicData>
            </a:graphic>
          </wp:anchor>
        </w:drawing>
        <w:drawing>
          <wp:anchor simplePos="0" relativeHeight="251657728" behindDoc="1" locked="0" layoutInCell="0" allowOverlap="1">
            <wp:simplePos x="0" y="0"/>
            <wp:positionH relativeFrom="column">
              <wp:posOffset>6807200</wp:posOffset>
            </wp:positionH>
            <wp:positionV relativeFrom="paragraph">
              <wp:posOffset>-410845</wp:posOffset>
            </wp:positionV>
            <wp:extent cx="365760" cy="2228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31"/>
        </w:trPr>
        <w:tc>
          <w:tcPr>
            <w:tcW w:w="2180" w:type="dxa"/>
            <w:vAlign w:val="bottom"/>
            <w:gridSpan w:val="2"/>
          </w:tcPr>
          <w:p>
            <w:pPr>
              <w:spacing w:after="0"/>
              <w:rPr>
                <w:sz w:val="20"/>
                <w:szCs w:val="20"/>
                <w:color w:val="auto"/>
              </w:rPr>
            </w:pPr>
            <w:r>
              <w:rPr>
                <w:rFonts w:ascii="Arial" w:cs="Arial" w:eastAsia="Arial" w:hAnsi="Arial"/>
                <w:sz w:val="10"/>
                <w:szCs w:val="10"/>
                <w:b w:val="1"/>
                <w:bCs w:val="1"/>
                <w:color w:val="D60011"/>
              </w:rPr>
              <w:t>EXECUTIVE COMPENSATION</w:t>
            </w:r>
          </w:p>
        </w:tc>
        <w:tc>
          <w:tcPr>
            <w:tcW w:w="1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gridSpan w:val="4"/>
          </w:tcPr>
          <w:p>
            <w:pPr>
              <w:jc w:val="right"/>
              <w:ind w:right="40"/>
              <w:spacing w:after="0"/>
              <w:rPr>
                <w:sz w:val="20"/>
                <w:szCs w:val="20"/>
                <w:color w:val="auto"/>
              </w:rPr>
            </w:pPr>
            <w:r>
              <w:rPr>
                <w:rFonts w:ascii="Arial" w:cs="Arial" w:eastAsia="Arial" w:hAnsi="Arial"/>
                <w:sz w:val="10"/>
                <w:szCs w:val="10"/>
                <w:b w:val="1"/>
                <w:bCs w:val="1"/>
                <w:color w:val="D60011"/>
                <w:w w:val="97"/>
              </w:rPr>
              <w:t>EXECUTIVE COMPENSATION</w:t>
            </w:r>
          </w:p>
        </w:tc>
        <w:tc>
          <w:tcPr>
            <w:tcW w:w="0" w:type="dxa"/>
            <w:vAlign w:val="bottom"/>
          </w:tcPr>
          <w:p>
            <w:pPr>
              <w:spacing w:after="0"/>
              <w:rPr>
                <w:sz w:val="1"/>
                <w:szCs w:val="1"/>
                <w:color w:val="auto"/>
              </w:rPr>
            </w:pPr>
          </w:p>
        </w:tc>
      </w:tr>
      <w:tr>
        <w:trPr>
          <w:trHeight w:val="200"/>
        </w:trPr>
        <w:tc>
          <w:tcPr>
            <w:tcW w:w="680" w:type="dxa"/>
            <w:vAlign w:val="bottom"/>
            <w:vMerge w:val="restart"/>
          </w:tcPr>
          <w:p>
            <w:pPr>
              <w:spacing w:after="0"/>
              <w:rPr>
                <w:sz w:val="20"/>
                <w:szCs w:val="20"/>
                <w:color w:val="auto"/>
              </w:rPr>
            </w:pPr>
            <w:r>
              <w:rPr>
                <w:rFonts w:ascii="Arial" w:cs="Arial" w:eastAsia="Arial" w:hAnsi="Arial"/>
                <w:sz w:val="10"/>
                <w:szCs w:val="10"/>
                <w:b w:val="1"/>
                <w:bCs w:val="1"/>
                <w:color w:val="auto"/>
              </w:rPr>
              <w:t>(a)</w:t>
            </w:r>
          </w:p>
        </w:tc>
        <w:tc>
          <w:tcPr>
            <w:tcW w:w="1500" w:type="dxa"/>
            <w:vAlign w:val="bottom"/>
            <w:tcBorders>
              <w:bottom w:val="single" w:sz="8" w:color="E31F25"/>
            </w:tcBorders>
          </w:tcPr>
          <w:p>
            <w:pPr>
              <w:spacing w:after="0"/>
              <w:rPr>
                <w:sz w:val="17"/>
                <w:szCs w:val="17"/>
                <w:color w:val="auto"/>
              </w:rPr>
            </w:pPr>
          </w:p>
        </w:tc>
        <w:tc>
          <w:tcPr>
            <w:tcW w:w="162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Option Awards</w:t>
            </w:r>
          </w:p>
        </w:tc>
        <w:tc>
          <w:tcPr>
            <w:tcW w:w="1100" w:type="dxa"/>
            <w:vAlign w:val="bottom"/>
            <w:tcBorders>
              <w:bottom w:val="single" w:sz="8" w:color="E31F25"/>
            </w:tcBorders>
          </w:tcPr>
          <w:p>
            <w:pPr>
              <w:spacing w:after="0"/>
              <w:rPr>
                <w:sz w:val="17"/>
                <w:szCs w:val="17"/>
                <w:color w:val="auto"/>
              </w:rPr>
            </w:pPr>
          </w:p>
        </w:tc>
        <w:tc>
          <w:tcPr>
            <w:tcW w:w="540" w:type="dxa"/>
            <w:vAlign w:val="bottom"/>
            <w:tcBorders>
              <w:bottom w:val="single" w:sz="8" w:color="E31F25"/>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E31F25"/>
            </w:tcBorders>
          </w:tcPr>
          <w:p>
            <w:pPr>
              <w:spacing w:after="0"/>
              <w:rPr>
                <w:sz w:val="17"/>
                <w:szCs w:val="17"/>
                <w:color w:val="auto"/>
              </w:rPr>
            </w:pPr>
          </w:p>
        </w:tc>
        <w:tc>
          <w:tcPr>
            <w:tcW w:w="1120" w:type="dxa"/>
            <w:vAlign w:val="bottom"/>
            <w:tcBorders>
              <w:bottom w:val="single" w:sz="8" w:color="E31F25"/>
            </w:tcBorders>
          </w:tcPr>
          <w:p>
            <w:pPr>
              <w:spacing w:after="0"/>
              <w:rPr>
                <w:sz w:val="17"/>
                <w:szCs w:val="17"/>
                <w:color w:val="auto"/>
              </w:rPr>
            </w:pPr>
          </w:p>
        </w:tc>
        <w:tc>
          <w:tcPr>
            <w:tcW w:w="148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Stock Awards</w:t>
            </w:r>
          </w:p>
        </w:tc>
        <w:tc>
          <w:tcPr>
            <w:tcW w:w="920" w:type="dxa"/>
            <w:vAlign w:val="bottom"/>
            <w:tcBorders>
              <w:bottom w:val="single" w:sz="8" w:color="E31F25"/>
            </w:tcBorders>
          </w:tcPr>
          <w:p>
            <w:pPr>
              <w:spacing w:after="0"/>
              <w:rPr>
                <w:sz w:val="17"/>
                <w:szCs w:val="17"/>
                <w:color w:val="auto"/>
              </w:rPr>
            </w:pPr>
          </w:p>
        </w:tc>
        <w:tc>
          <w:tcPr>
            <w:tcW w:w="620" w:type="dxa"/>
            <w:vAlign w:val="bottom"/>
            <w:tcBorders>
              <w:bottom w:val="single" w:sz="8" w:color="E31F25"/>
            </w:tcBorders>
          </w:tcPr>
          <w:p>
            <w:pPr>
              <w:spacing w:after="0"/>
              <w:rPr>
                <w:sz w:val="17"/>
                <w:szCs w:val="17"/>
                <w:color w:val="auto"/>
              </w:rPr>
            </w:pPr>
          </w:p>
        </w:tc>
        <w:tc>
          <w:tcPr>
            <w:tcW w:w="780" w:type="dxa"/>
            <w:vAlign w:val="bottom"/>
            <w:tcBorders>
              <w:bottom w:val="single" w:sz="8" w:color="E31F25"/>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680" w:type="dxa"/>
            <w:vAlign w:val="bottom"/>
            <w:vMerge w:val="continue"/>
          </w:tcPr>
          <w:p>
            <w:pPr>
              <w:spacing w:after="0"/>
              <w:rPr>
                <w:sz w:val="8"/>
                <w:szCs w:val="8"/>
                <w:color w:val="auto"/>
              </w:rPr>
            </w:pPr>
          </w:p>
        </w:tc>
        <w:tc>
          <w:tcPr>
            <w:tcW w:w="1500" w:type="dxa"/>
            <w:vAlign w:val="bottom"/>
          </w:tcPr>
          <w:p>
            <w:pPr>
              <w:jc w:val="right"/>
              <w:ind w:right="312"/>
              <w:spacing w:after="0" w:line="97" w:lineRule="exact"/>
              <w:rPr>
                <w:sz w:val="20"/>
                <w:szCs w:val="20"/>
                <w:color w:val="auto"/>
              </w:rPr>
            </w:pPr>
            <w:r>
              <w:rPr>
                <w:rFonts w:ascii="Arial" w:cs="Arial" w:eastAsia="Arial" w:hAnsi="Arial"/>
                <w:sz w:val="10"/>
                <w:szCs w:val="10"/>
                <w:b w:val="1"/>
                <w:bCs w:val="1"/>
                <w:color w:val="auto"/>
              </w:rPr>
              <w:t>(b)</w:t>
            </w:r>
          </w:p>
        </w:tc>
        <w:tc>
          <w:tcPr>
            <w:tcW w:w="1620" w:type="dxa"/>
            <w:vAlign w:val="bottom"/>
          </w:tcPr>
          <w:p>
            <w:pPr>
              <w:jc w:val="right"/>
              <w:ind w:right="472"/>
              <w:spacing w:after="0" w:line="97" w:lineRule="exact"/>
              <w:rPr>
                <w:sz w:val="20"/>
                <w:szCs w:val="20"/>
                <w:color w:val="auto"/>
              </w:rPr>
            </w:pPr>
            <w:r>
              <w:rPr>
                <w:rFonts w:ascii="Arial" w:cs="Arial" w:eastAsia="Arial" w:hAnsi="Arial"/>
                <w:sz w:val="10"/>
                <w:szCs w:val="10"/>
                <w:b w:val="1"/>
                <w:bCs w:val="1"/>
                <w:color w:val="auto"/>
              </w:rPr>
              <w:t>(c)</w:t>
            </w:r>
          </w:p>
        </w:tc>
        <w:tc>
          <w:tcPr>
            <w:tcW w:w="1100" w:type="dxa"/>
            <w:vAlign w:val="bottom"/>
          </w:tcPr>
          <w:p>
            <w:pPr>
              <w:jc w:val="right"/>
              <w:ind w:right="92"/>
              <w:spacing w:after="0" w:line="97" w:lineRule="exact"/>
              <w:rPr>
                <w:sz w:val="20"/>
                <w:szCs w:val="20"/>
                <w:color w:val="auto"/>
              </w:rPr>
            </w:pPr>
            <w:r>
              <w:rPr>
                <w:rFonts w:ascii="Arial" w:cs="Arial" w:eastAsia="Arial" w:hAnsi="Arial"/>
                <w:sz w:val="10"/>
                <w:szCs w:val="10"/>
                <w:b w:val="1"/>
                <w:bCs w:val="1"/>
                <w:color w:val="auto"/>
              </w:rPr>
              <w:t>(d)</w:t>
            </w:r>
          </w:p>
        </w:tc>
        <w:tc>
          <w:tcPr>
            <w:tcW w:w="54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(e)</w:t>
            </w:r>
          </w:p>
        </w:tc>
        <w:tc>
          <w:tcPr>
            <w:tcW w:w="120" w:type="dxa"/>
            <w:vAlign w:val="bottom"/>
          </w:tcPr>
          <w:p>
            <w:pPr>
              <w:spacing w:after="0"/>
              <w:rPr>
                <w:sz w:val="8"/>
                <w:szCs w:val="8"/>
                <w:color w:val="auto"/>
              </w:rPr>
            </w:pPr>
          </w:p>
        </w:tc>
        <w:tc>
          <w:tcPr>
            <w:tcW w:w="820" w:type="dxa"/>
            <w:vAlign w:val="bottom"/>
          </w:tcPr>
          <w:p>
            <w:pPr>
              <w:jc w:val="right"/>
              <w:ind w:right="192"/>
              <w:spacing w:after="0" w:line="97" w:lineRule="exact"/>
              <w:rPr>
                <w:sz w:val="20"/>
                <w:szCs w:val="20"/>
                <w:color w:val="auto"/>
              </w:rPr>
            </w:pPr>
            <w:r>
              <w:rPr>
                <w:rFonts w:ascii="Arial" w:cs="Arial" w:eastAsia="Arial" w:hAnsi="Arial"/>
                <w:sz w:val="10"/>
                <w:szCs w:val="10"/>
                <w:b w:val="1"/>
                <w:bCs w:val="1"/>
                <w:color w:val="auto"/>
              </w:rPr>
              <w:t>(f)</w:t>
            </w:r>
          </w:p>
        </w:tc>
        <w:tc>
          <w:tcPr>
            <w:tcW w:w="1120" w:type="dxa"/>
            <w:vAlign w:val="bottom"/>
          </w:tcPr>
          <w:p>
            <w:pPr>
              <w:jc w:val="right"/>
              <w:ind w:right="312"/>
              <w:spacing w:after="0" w:line="97" w:lineRule="exact"/>
              <w:rPr>
                <w:sz w:val="20"/>
                <w:szCs w:val="20"/>
                <w:color w:val="auto"/>
              </w:rPr>
            </w:pPr>
            <w:r>
              <w:rPr>
                <w:rFonts w:ascii="Arial" w:cs="Arial" w:eastAsia="Arial" w:hAnsi="Arial"/>
                <w:sz w:val="10"/>
                <w:szCs w:val="10"/>
                <w:b w:val="1"/>
                <w:bCs w:val="1"/>
                <w:color w:val="auto"/>
              </w:rPr>
              <w:t>(g)</w:t>
            </w:r>
          </w:p>
        </w:tc>
        <w:tc>
          <w:tcPr>
            <w:tcW w:w="1480" w:type="dxa"/>
            <w:vAlign w:val="bottom"/>
          </w:tcPr>
          <w:p>
            <w:pPr>
              <w:jc w:val="right"/>
              <w:ind w:right="452"/>
              <w:spacing w:after="0" w:line="97" w:lineRule="exact"/>
              <w:rPr>
                <w:sz w:val="20"/>
                <w:szCs w:val="20"/>
                <w:color w:val="auto"/>
              </w:rPr>
            </w:pPr>
            <w:r>
              <w:rPr>
                <w:rFonts w:ascii="Arial" w:cs="Arial" w:eastAsia="Arial" w:hAnsi="Arial"/>
                <w:sz w:val="10"/>
                <w:szCs w:val="10"/>
                <w:b w:val="1"/>
                <w:bCs w:val="1"/>
                <w:color w:val="auto"/>
              </w:rPr>
              <w:t>(h)</w:t>
            </w:r>
          </w:p>
        </w:tc>
        <w:tc>
          <w:tcPr>
            <w:tcW w:w="920" w:type="dxa"/>
            <w:vAlign w:val="bottom"/>
          </w:tcPr>
          <w:p>
            <w:pPr>
              <w:jc w:val="right"/>
              <w:ind w:right="12"/>
              <w:spacing w:after="0" w:line="97" w:lineRule="exact"/>
              <w:rPr>
                <w:sz w:val="20"/>
                <w:szCs w:val="20"/>
                <w:color w:val="auto"/>
              </w:rPr>
            </w:pPr>
            <w:r>
              <w:rPr>
                <w:rFonts w:ascii="Arial" w:cs="Arial" w:eastAsia="Arial" w:hAnsi="Arial"/>
                <w:sz w:val="10"/>
                <w:szCs w:val="10"/>
                <w:b w:val="1"/>
                <w:bCs w:val="1"/>
                <w:color w:val="auto"/>
              </w:rPr>
              <w:t>(i)</w:t>
            </w:r>
          </w:p>
        </w:tc>
        <w:tc>
          <w:tcPr>
            <w:tcW w:w="620" w:type="dxa"/>
            <w:vAlign w:val="bottom"/>
          </w:tcPr>
          <w:p>
            <w:pPr>
              <w:spacing w:after="0"/>
              <w:rPr>
                <w:sz w:val="8"/>
                <w:szCs w:val="8"/>
                <w:color w:val="auto"/>
              </w:rPr>
            </w:pPr>
          </w:p>
        </w:tc>
        <w:tc>
          <w:tcPr>
            <w:tcW w:w="780" w:type="dxa"/>
            <w:vAlign w:val="bottom"/>
          </w:tcPr>
          <w:p>
            <w:pPr>
              <w:jc w:val="right"/>
              <w:spacing w:after="0" w:line="97" w:lineRule="exact"/>
              <w:rPr>
                <w:sz w:val="20"/>
                <w:szCs w:val="20"/>
                <w:color w:val="auto"/>
              </w:rPr>
            </w:pPr>
            <w:r>
              <w:rPr>
                <w:rFonts w:ascii="Arial" w:cs="Arial" w:eastAsia="Arial" w:hAnsi="Arial"/>
                <w:sz w:val="10"/>
                <w:szCs w:val="10"/>
                <w:b w:val="1"/>
                <w:bCs w:val="1"/>
                <w:color w:val="auto"/>
              </w:rPr>
              <w:t>(j)</w:t>
            </w: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80" w:type="dxa"/>
            <w:vAlign w:val="bottom"/>
            <w:tcBorders>
              <w:top w:val="single" w:sz="8" w:color="E31F25"/>
            </w:tcBorders>
          </w:tcPr>
          <w:p>
            <w:pPr>
              <w:spacing w:after="0"/>
              <w:rPr>
                <w:sz w:val="7"/>
                <w:szCs w:val="7"/>
                <w:color w:val="auto"/>
              </w:rPr>
            </w:pPr>
          </w:p>
        </w:tc>
        <w:tc>
          <w:tcPr>
            <w:tcW w:w="1500" w:type="dxa"/>
            <w:vAlign w:val="bottom"/>
            <w:tcBorders>
              <w:top w:val="single" w:sz="8" w:color="E31F25"/>
            </w:tcBorders>
          </w:tcPr>
          <w:p>
            <w:pPr>
              <w:spacing w:after="0"/>
              <w:rPr>
                <w:sz w:val="7"/>
                <w:szCs w:val="7"/>
                <w:color w:val="auto"/>
              </w:rPr>
            </w:pPr>
          </w:p>
        </w:tc>
        <w:tc>
          <w:tcPr>
            <w:tcW w:w="1620" w:type="dxa"/>
            <w:vAlign w:val="bottom"/>
            <w:tcBorders>
              <w:top w:val="single" w:sz="8" w:color="E31F25"/>
            </w:tcBorders>
          </w:tcPr>
          <w:p>
            <w:pPr>
              <w:spacing w:after="0"/>
              <w:rPr>
                <w:sz w:val="7"/>
                <w:szCs w:val="7"/>
                <w:color w:val="auto"/>
              </w:rPr>
            </w:pPr>
          </w:p>
        </w:tc>
        <w:tc>
          <w:tcPr>
            <w:tcW w:w="1100" w:type="dxa"/>
            <w:vAlign w:val="bottom"/>
            <w:tcBorders>
              <w:top w:val="single" w:sz="8" w:color="E31F25"/>
            </w:tcBorders>
          </w:tcPr>
          <w:p>
            <w:pPr>
              <w:spacing w:after="0"/>
              <w:rPr>
                <w:sz w:val="7"/>
                <w:szCs w:val="7"/>
                <w:color w:val="auto"/>
              </w:rPr>
            </w:pPr>
          </w:p>
        </w:tc>
        <w:tc>
          <w:tcPr>
            <w:tcW w:w="540" w:type="dxa"/>
            <w:vAlign w:val="bottom"/>
            <w:tcBorders>
              <w:top w:val="single" w:sz="8" w:color="E31F25"/>
            </w:tcBorders>
          </w:tcPr>
          <w:p>
            <w:pPr>
              <w:spacing w:after="0"/>
              <w:rPr>
                <w:sz w:val="7"/>
                <w:szCs w:val="7"/>
                <w:color w:val="auto"/>
              </w:rPr>
            </w:pPr>
          </w:p>
        </w:tc>
        <w:tc>
          <w:tcPr>
            <w:tcW w:w="120" w:type="dxa"/>
            <w:vAlign w:val="bottom"/>
            <w:tcBorders>
              <w:top w:val="single" w:sz="8" w:color="E31F25"/>
            </w:tcBorders>
          </w:tcPr>
          <w:p>
            <w:pPr>
              <w:spacing w:after="0"/>
              <w:rPr>
                <w:sz w:val="7"/>
                <w:szCs w:val="7"/>
                <w:color w:val="auto"/>
              </w:rPr>
            </w:pPr>
          </w:p>
        </w:tc>
        <w:tc>
          <w:tcPr>
            <w:tcW w:w="820" w:type="dxa"/>
            <w:vAlign w:val="bottom"/>
            <w:tcBorders>
              <w:top w:val="single" w:sz="8" w:color="E31F25"/>
            </w:tcBorders>
          </w:tcPr>
          <w:p>
            <w:pPr>
              <w:spacing w:after="0"/>
              <w:rPr>
                <w:sz w:val="7"/>
                <w:szCs w:val="7"/>
                <w:color w:val="auto"/>
              </w:rPr>
            </w:pPr>
          </w:p>
        </w:tc>
        <w:tc>
          <w:tcPr>
            <w:tcW w:w="1120" w:type="dxa"/>
            <w:vAlign w:val="bottom"/>
            <w:tcBorders>
              <w:top w:val="single" w:sz="8" w:color="E31F25"/>
            </w:tcBorders>
          </w:tcPr>
          <w:p>
            <w:pPr>
              <w:spacing w:after="0"/>
              <w:rPr>
                <w:sz w:val="7"/>
                <w:szCs w:val="7"/>
                <w:color w:val="auto"/>
              </w:rPr>
            </w:pPr>
          </w:p>
        </w:tc>
        <w:tc>
          <w:tcPr>
            <w:tcW w:w="1480" w:type="dxa"/>
            <w:vAlign w:val="bottom"/>
            <w:tcBorders>
              <w:top w:val="single" w:sz="8" w:color="E31F25"/>
            </w:tcBorders>
          </w:tcPr>
          <w:p>
            <w:pPr>
              <w:spacing w:after="0"/>
              <w:rPr>
                <w:sz w:val="7"/>
                <w:szCs w:val="7"/>
                <w:color w:val="auto"/>
              </w:rPr>
            </w:pPr>
          </w:p>
        </w:tc>
        <w:tc>
          <w:tcPr>
            <w:tcW w:w="920" w:type="dxa"/>
            <w:vAlign w:val="bottom"/>
            <w:tcBorders>
              <w:top w:val="single" w:sz="8" w:color="E31F25"/>
            </w:tcBorders>
          </w:tcPr>
          <w:p>
            <w:pPr>
              <w:jc w:val="right"/>
              <w:ind w:right="12"/>
              <w:spacing w:after="0" w:line="91" w:lineRule="exact"/>
              <w:rPr>
                <w:sz w:val="20"/>
                <w:szCs w:val="20"/>
                <w:color w:val="auto"/>
              </w:rPr>
            </w:pPr>
            <w:r>
              <w:rPr>
                <w:rFonts w:ascii="Arial" w:cs="Arial" w:eastAsia="Arial" w:hAnsi="Arial"/>
                <w:sz w:val="10"/>
                <w:szCs w:val="10"/>
                <w:b w:val="1"/>
                <w:bCs w:val="1"/>
                <w:color w:val="auto"/>
              </w:rPr>
              <w:t>Equity Incentive</w:t>
            </w:r>
          </w:p>
        </w:tc>
        <w:tc>
          <w:tcPr>
            <w:tcW w:w="620" w:type="dxa"/>
            <w:vAlign w:val="bottom"/>
            <w:tcBorders>
              <w:top w:val="single" w:sz="8" w:color="E31F25"/>
            </w:tcBorders>
          </w:tcPr>
          <w:p>
            <w:pPr>
              <w:spacing w:after="0"/>
              <w:rPr>
                <w:sz w:val="7"/>
                <w:szCs w:val="7"/>
                <w:color w:val="auto"/>
              </w:rPr>
            </w:pPr>
          </w:p>
        </w:tc>
        <w:tc>
          <w:tcPr>
            <w:tcW w:w="800" w:type="dxa"/>
            <w:vAlign w:val="bottom"/>
            <w:tcBorders>
              <w:top w:val="single" w:sz="8" w:color="E31F25"/>
            </w:tcBorders>
            <w:gridSpan w:val="2"/>
          </w:tcPr>
          <w:p>
            <w:pPr>
              <w:jc w:val="right"/>
              <w:ind w:right="20"/>
              <w:spacing w:after="0" w:line="91" w:lineRule="exact"/>
              <w:rPr>
                <w:sz w:val="20"/>
                <w:szCs w:val="20"/>
                <w:color w:val="auto"/>
              </w:rPr>
            </w:pPr>
            <w:r>
              <w:rPr>
                <w:rFonts w:ascii="Arial" w:cs="Arial" w:eastAsia="Arial" w:hAnsi="Arial"/>
                <w:sz w:val="10"/>
                <w:szCs w:val="10"/>
                <w:b w:val="1"/>
                <w:bCs w:val="1"/>
                <w:color w:val="auto"/>
                <w:w w:val="99"/>
              </w:rPr>
              <w:t>Equity Incentive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00" w:type="dxa"/>
            <w:vAlign w:val="bottom"/>
          </w:tcPr>
          <w:p>
            <w:pPr>
              <w:jc w:val="right"/>
              <w:ind w:right="92"/>
              <w:spacing w:after="0"/>
              <w:rPr>
                <w:sz w:val="20"/>
                <w:szCs w:val="20"/>
                <w:color w:val="auto"/>
              </w:rPr>
            </w:pPr>
            <w:r>
              <w:rPr>
                <w:rFonts w:ascii="Arial" w:cs="Arial" w:eastAsia="Arial" w:hAnsi="Arial"/>
                <w:sz w:val="10"/>
                <w:szCs w:val="10"/>
                <w:b w:val="1"/>
                <w:bCs w:val="1"/>
                <w:color w:val="auto"/>
              </w:rPr>
              <w:t>Equity Incentive</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b w:val="1"/>
                <w:bCs w:val="1"/>
                <w:color w:val="auto"/>
              </w:rPr>
              <w:t>Plan Awards:</w:t>
            </w:r>
          </w:p>
        </w:tc>
        <w:tc>
          <w:tcPr>
            <w:tcW w:w="620" w:type="dxa"/>
            <w:vAlign w:val="bottom"/>
          </w:tcPr>
          <w:p>
            <w:pPr>
              <w:spacing w:after="0"/>
              <w:rPr>
                <w:sz w:val="9"/>
                <w:szCs w:val="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Plan Awards: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Number of</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Number of</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Plan Awards:</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Number</w:t>
            </w:r>
          </w:p>
        </w:tc>
        <w:tc>
          <w:tcPr>
            <w:tcW w:w="1480" w:type="dxa"/>
            <w:vAlign w:val="bottom"/>
          </w:tcPr>
          <w:p>
            <w:pPr>
              <w:spacing w:after="0"/>
              <w:rPr>
                <w:sz w:val="9"/>
                <w:szCs w:val="9"/>
                <w:color w:val="auto"/>
              </w:rPr>
            </w:pP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Number of</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w w:val="93"/>
              </w:rPr>
              <w:t>Market or Payout</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Securities</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Securities</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Number of</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of Shares</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Market Value</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Unearned</w:t>
            </w:r>
          </w:p>
        </w:tc>
        <w:tc>
          <w:tcPr>
            <w:tcW w:w="1440" w:type="dxa"/>
            <w:vAlign w:val="bottom"/>
            <w:gridSpan w:val="4"/>
          </w:tcPr>
          <w:p>
            <w:pPr>
              <w:jc w:val="right"/>
              <w:ind w:right="40"/>
              <w:spacing w:after="0" w:line="108" w:lineRule="exact"/>
              <w:rPr>
                <w:sz w:val="20"/>
                <w:szCs w:val="20"/>
                <w:color w:val="auto"/>
              </w:rPr>
            </w:pPr>
            <w:r>
              <w:rPr>
                <w:rFonts w:ascii="Arial" w:cs="Arial" w:eastAsia="Arial" w:hAnsi="Arial"/>
                <w:sz w:val="10"/>
                <w:szCs w:val="10"/>
                <w:b w:val="1"/>
                <w:bCs w:val="1"/>
                <w:color w:val="auto"/>
              </w:rPr>
              <w:t>Value of Unearned</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Underlying</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Underlying</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Securities</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or Units</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of Shares or</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Shares, Units,</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Shares, Units,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Unexercised</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Unexercised</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Underlying</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Option</w:t>
            </w: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of Stock</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Units of Stock</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or Other Rights</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or Other Rights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Options</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Options</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Unexercised</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Exercise</w:t>
            </w:r>
          </w:p>
        </w:tc>
        <w:tc>
          <w:tcPr>
            <w:tcW w:w="82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Option</w:t>
            </w: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That Have</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That Have Not</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That Have Not</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That Have Not</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8"/>
                <w:szCs w:val="8"/>
                <w:b w:val="1"/>
                <w:bCs w:val="1"/>
                <w:color w:val="auto"/>
              </w:rPr>
              <w:t>Exercisable</w:t>
            </w:r>
            <w:r>
              <w:rPr>
                <w:rFonts w:ascii="Arial" w:cs="Arial" w:eastAsia="Arial" w:hAnsi="Arial"/>
                <w:sz w:val="12"/>
                <w:szCs w:val="12"/>
                <w:b w:val="1"/>
                <w:bCs w:val="1"/>
                <w:color w:val="auto"/>
                <w:vertAlign w:val="superscript"/>
              </w:rPr>
              <w:t>(1)</w:t>
            </w:r>
          </w:p>
        </w:tc>
        <w:tc>
          <w:tcPr>
            <w:tcW w:w="1620" w:type="dxa"/>
            <w:vAlign w:val="bottom"/>
          </w:tcPr>
          <w:p>
            <w:pPr>
              <w:jc w:val="right"/>
              <w:ind w:right="472"/>
              <w:spacing w:after="0" w:line="108" w:lineRule="exact"/>
              <w:rPr>
                <w:sz w:val="20"/>
                <w:szCs w:val="20"/>
                <w:color w:val="auto"/>
              </w:rPr>
            </w:pPr>
            <w:r>
              <w:rPr>
                <w:rFonts w:ascii="Arial" w:cs="Arial" w:eastAsia="Arial" w:hAnsi="Arial"/>
                <w:sz w:val="8"/>
                <w:szCs w:val="8"/>
                <w:b w:val="1"/>
                <w:bCs w:val="1"/>
                <w:color w:val="auto"/>
              </w:rPr>
              <w:t>Unexercisable</w:t>
            </w:r>
            <w:r>
              <w:rPr>
                <w:rFonts w:ascii="Arial" w:cs="Arial" w:eastAsia="Arial" w:hAnsi="Arial"/>
                <w:sz w:val="12"/>
                <w:szCs w:val="12"/>
                <w:b w:val="1"/>
                <w:bCs w:val="1"/>
                <w:color w:val="auto"/>
                <w:vertAlign w:val="superscript"/>
              </w:rPr>
              <w:t>(1)</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Unearned Options</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Price</w:t>
            </w:r>
          </w:p>
        </w:tc>
        <w:tc>
          <w:tcPr>
            <w:tcW w:w="82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Expiration</w:t>
            </w: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Not Vested</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Vested</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Vested</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Vested</w:t>
            </w:r>
          </w:p>
        </w:tc>
        <w:tc>
          <w:tcPr>
            <w:tcW w:w="0" w:type="dxa"/>
            <w:vAlign w:val="bottom"/>
          </w:tcPr>
          <w:p>
            <w:pPr>
              <w:spacing w:after="0"/>
              <w:rPr>
                <w:sz w:val="1"/>
                <w:szCs w:val="1"/>
                <w:color w:val="auto"/>
              </w:rPr>
            </w:pPr>
          </w:p>
        </w:tc>
      </w:tr>
      <w:tr>
        <w:trPr>
          <w:trHeight w:val="126"/>
        </w:trPr>
        <w:tc>
          <w:tcPr>
            <w:tcW w:w="680" w:type="dxa"/>
            <w:vAlign w:val="bottom"/>
            <w:tcBorders>
              <w:bottom w:val="single" w:sz="8" w:color="E31F25"/>
            </w:tcBorders>
          </w:tcPr>
          <w:p>
            <w:pPr>
              <w:spacing w:after="0"/>
              <w:rPr>
                <w:sz w:val="20"/>
                <w:szCs w:val="20"/>
                <w:color w:val="auto"/>
              </w:rPr>
            </w:pPr>
            <w:r>
              <w:rPr>
                <w:rFonts w:ascii="Arial" w:cs="Arial" w:eastAsia="Arial" w:hAnsi="Arial"/>
                <w:sz w:val="10"/>
                <w:szCs w:val="10"/>
                <w:b w:val="1"/>
                <w:bCs w:val="1"/>
                <w:color w:val="auto"/>
              </w:rPr>
              <w:t>Name</w:t>
            </w:r>
          </w:p>
        </w:tc>
        <w:tc>
          <w:tcPr>
            <w:tcW w:w="150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E31F25"/>
            </w:tcBorders>
          </w:tcPr>
          <w:p>
            <w:pPr>
              <w:jc w:val="right"/>
              <w:ind w:right="47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E31F25"/>
            </w:tcBorders>
          </w:tcPr>
          <w:p>
            <w:pPr>
              <w:spacing w:after="0"/>
              <w:rPr>
                <w:sz w:val="10"/>
                <w:szCs w:val="10"/>
                <w:color w:val="auto"/>
              </w:rPr>
            </w:pPr>
          </w:p>
        </w:tc>
        <w:tc>
          <w:tcPr>
            <w:tcW w:w="82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b w:val="1"/>
                <w:bCs w:val="1"/>
                <w:color w:val="auto"/>
              </w:rPr>
              <w:t>Date</w:t>
            </w:r>
          </w:p>
        </w:tc>
        <w:tc>
          <w:tcPr>
            <w:tcW w:w="1120" w:type="dxa"/>
            <w:vAlign w:val="bottom"/>
            <w:tcBorders>
              <w:bottom w:val="single" w:sz="8" w:color="E31F25"/>
            </w:tcBorders>
          </w:tcPr>
          <w:p>
            <w:pPr>
              <w:jc w:val="right"/>
              <w:ind w:right="31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(2)</w:t>
            </w:r>
          </w:p>
        </w:tc>
        <w:tc>
          <w:tcPr>
            <w:tcW w:w="1480" w:type="dxa"/>
            <w:vAlign w:val="bottom"/>
            <w:tcBorders>
              <w:bottom w:val="single" w:sz="8" w:color="E31F25"/>
            </w:tcBorders>
          </w:tcPr>
          <w:p>
            <w:pPr>
              <w:jc w:val="right"/>
              <w:ind w:right="45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(3)</w:t>
            </w:r>
          </w:p>
        </w:tc>
        <w:tc>
          <w:tcPr>
            <w:tcW w:w="920" w:type="dxa"/>
            <w:vAlign w:val="bottom"/>
            <w:tcBorders>
              <w:bottom w:val="single" w:sz="8" w:color="E31F25"/>
            </w:tcBorders>
          </w:tcPr>
          <w:p>
            <w:pPr>
              <w:jc w:val="right"/>
              <w:ind w:right="1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(2)</w:t>
            </w:r>
          </w:p>
        </w:tc>
        <w:tc>
          <w:tcPr>
            <w:tcW w:w="620" w:type="dxa"/>
            <w:vAlign w:val="bottom"/>
            <w:tcBorders>
              <w:bottom w:val="single" w:sz="8" w:color="E31F25"/>
            </w:tcBorders>
          </w:tcPr>
          <w:p>
            <w:pPr>
              <w:spacing w:after="0"/>
              <w:rPr>
                <w:sz w:val="10"/>
                <w:szCs w:val="10"/>
                <w:color w:val="auto"/>
              </w:rPr>
            </w:pPr>
          </w:p>
        </w:tc>
        <w:tc>
          <w:tcPr>
            <w:tcW w:w="800" w:type="dxa"/>
            <w:vAlign w:val="bottom"/>
            <w:tcBorders>
              <w:bottom w:val="single" w:sz="8" w:color="E31F25"/>
            </w:tcBorders>
            <w:gridSpan w:val="2"/>
          </w:tcPr>
          <w:p>
            <w:pPr>
              <w:jc w:val="right"/>
              <w:ind w:right="20"/>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80" w:type="dxa"/>
            <w:vAlign w:val="bottom"/>
          </w:tcPr>
          <w:p>
            <w:pPr>
              <w:spacing w:after="0"/>
              <w:rPr>
                <w:sz w:val="20"/>
                <w:szCs w:val="20"/>
                <w:color w:val="auto"/>
              </w:rPr>
            </w:pPr>
            <w:r>
              <w:rPr>
                <w:rFonts w:ascii="Arial" w:cs="Arial" w:eastAsia="Arial" w:hAnsi="Arial"/>
                <w:sz w:val="10"/>
                <w:szCs w:val="10"/>
                <w:b w:val="1"/>
                <w:bCs w:val="1"/>
                <w:color w:val="D60011"/>
              </w:rPr>
              <w:t>Bracken</w:t>
            </w: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934</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45.08</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03/26/2024</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1,250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62.11</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03/25/2025</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6,336</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63.79</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03/23/2026</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6,419</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72.83</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03/22/2027</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4,049</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44.78</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03/28/2028</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2,910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1,455</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58.94</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03/27/2029</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4,974</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9,948</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21.60</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03/25/2030</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9,895</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53.61</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03/24/2031</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1,273</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56,559</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3,473</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154,305</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3,716</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165,102</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2"/>
              <w:spacing w:after="0"/>
              <w:rPr>
                <w:sz w:val="20"/>
                <w:szCs w:val="20"/>
                <w:color w:val="auto"/>
              </w:rPr>
            </w:pPr>
            <w:r>
              <w:rPr>
                <w:rFonts w:ascii="Arial" w:cs="Arial" w:eastAsia="Arial" w:hAnsi="Arial"/>
                <w:sz w:val="10"/>
                <w:szCs w:val="10"/>
                <w:color w:val="auto"/>
              </w:rPr>
              <w:t>10,661</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473,668</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top w:val="single" w:sz="8" w:color="CCCCCC"/>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top w:val="single" w:sz="8" w:color="CCCCCC"/>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CCCCCC"/>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CCCCCC"/>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CCCCCC"/>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CCCCCC"/>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top w:val="single" w:sz="8" w:color="CCCCCC"/>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CCCCCC"/>
              <w:bottom w:val="single" w:sz="8" w:color="CCCCCC"/>
            </w:tcBorders>
          </w:tcPr>
          <w:p>
            <w:pPr>
              <w:jc w:val="right"/>
              <w:ind w:right="12"/>
              <w:spacing w:after="0"/>
              <w:rPr>
                <w:sz w:val="20"/>
                <w:szCs w:val="20"/>
                <w:color w:val="auto"/>
              </w:rPr>
            </w:pPr>
            <w:r>
              <w:rPr>
                <w:rFonts w:ascii="Arial" w:cs="Arial" w:eastAsia="Arial" w:hAnsi="Arial"/>
                <w:sz w:val="10"/>
                <w:szCs w:val="10"/>
                <w:color w:val="auto"/>
              </w:rPr>
              <w:t>17,987</w:t>
            </w:r>
          </w:p>
        </w:tc>
        <w:tc>
          <w:tcPr>
            <w:tcW w:w="620" w:type="dxa"/>
            <w:vAlign w:val="bottom"/>
            <w:tcBorders>
              <w:top w:val="single" w:sz="8" w:color="CCCCCC"/>
              <w:bottom w:val="single" w:sz="8" w:color="CCCCCC"/>
            </w:tcBorders>
          </w:tcPr>
          <w:p>
            <w:pPr>
              <w:spacing w:after="0"/>
              <w:rPr>
                <w:sz w:val="11"/>
                <w:szCs w:val="11"/>
                <w:color w:val="auto"/>
              </w:rPr>
            </w:pPr>
          </w:p>
        </w:tc>
        <w:tc>
          <w:tcPr>
            <w:tcW w:w="800" w:type="dxa"/>
            <w:vAlign w:val="bottom"/>
            <w:tcBorders>
              <w:top w:val="single" w:sz="8" w:color="CCCCCC"/>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799,162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Borders>
              <w:bottom w:val="single" w:sz="8" w:color="E31F25"/>
            </w:tcBorders>
          </w:tcPr>
          <w:p>
            <w:pPr>
              <w:spacing w:after="0"/>
              <w:rPr>
                <w:sz w:val="11"/>
                <w:szCs w:val="11"/>
                <w:color w:val="auto"/>
              </w:rPr>
            </w:pPr>
          </w:p>
        </w:tc>
        <w:tc>
          <w:tcPr>
            <w:tcW w:w="150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E31F25"/>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E31F25"/>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E31F25"/>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22,296</w:t>
            </w:r>
          </w:p>
        </w:tc>
        <w:tc>
          <w:tcPr>
            <w:tcW w:w="620" w:type="dxa"/>
            <w:vAlign w:val="bottom"/>
            <w:tcBorders>
              <w:bottom w:val="single" w:sz="8" w:color="E31F25"/>
            </w:tcBorders>
          </w:tcPr>
          <w:p>
            <w:pPr>
              <w:spacing w:after="0"/>
              <w:rPr>
                <w:sz w:val="11"/>
                <w:szCs w:val="11"/>
                <w:color w:val="auto"/>
              </w:rPr>
            </w:pPr>
          </w:p>
        </w:tc>
        <w:tc>
          <w:tcPr>
            <w:tcW w:w="800" w:type="dxa"/>
            <w:vAlign w:val="bottom"/>
            <w:tcBorders>
              <w:bottom w:val="single" w:sz="8" w:color="E31F25"/>
            </w:tcBorders>
            <w:gridSpan w:val="2"/>
          </w:tcPr>
          <w:p>
            <w:pPr>
              <w:jc w:val="right"/>
              <w:ind w:right="20"/>
              <w:spacing w:after="0"/>
              <w:rPr>
                <w:sz w:val="20"/>
                <w:szCs w:val="20"/>
                <w:color w:val="auto"/>
              </w:rPr>
            </w:pPr>
            <w:r>
              <w:rPr>
                <w:rFonts w:ascii="Arial" w:cs="Arial" w:eastAsia="Arial" w:hAnsi="Arial"/>
                <w:sz w:val="10"/>
                <w:szCs w:val="10"/>
                <w:color w:val="auto"/>
              </w:rPr>
              <w:t>990,611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20"/>
                <w:szCs w:val="20"/>
                <w:color w:val="auto"/>
              </w:rPr>
            </w:pPr>
            <w:r>
              <w:rPr>
                <w:rFonts w:ascii="Arial" w:cs="Arial" w:eastAsia="Arial" w:hAnsi="Arial"/>
                <w:sz w:val="10"/>
                <w:szCs w:val="10"/>
                <w:b w:val="1"/>
                <w:bCs w:val="1"/>
                <w:color w:val="D60011"/>
              </w:rPr>
              <w:t>Martin</w:t>
            </w: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17,442</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55.02</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06/13/2026</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14,442</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72.83</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03/22/2027</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9,110</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44.78</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03/28/2028</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7,759</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3,880</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58.94</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03/27/2029</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13,263</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26,528</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21.60</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03/25/2030</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9,674</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53.61</w:t>
            </w:r>
          </w:p>
        </w:tc>
        <w:tc>
          <w:tcPr>
            <w:tcW w:w="12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03/24/2031</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3,394</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150,795</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3,554</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157,904</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rPr>
                <w:sz w:val="20"/>
                <w:szCs w:val="20"/>
                <w:color w:val="auto"/>
              </w:rPr>
            </w:pPr>
            <w:r>
              <w:rPr>
                <w:rFonts w:ascii="Arial" w:cs="Arial" w:eastAsia="Arial" w:hAnsi="Arial"/>
                <w:sz w:val="10"/>
                <w:szCs w:val="10"/>
                <w:color w:val="auto"/>
              </w:rPr>
              <w:t>3,633</w:t>
            </w:r>
          </w:p>
        </w:tc>
        <w:tc>
          <w:tcPr>
            <w:tcW w:w="1480" w:type="dxa"/>
            <w:vAlign w:val="bottom"/>
            <w:tcBorders>
              <w:bottom w:val="single" w:sz="8" w:color="CCCCCC"/>
            </w:tcBorders>
          </w:tcPr>
          <w:p>
            <w:pPr>
              <w:jc w:val="right"/>
              <w:ind w:right="452"/>
              <w:spacing w:after="0"/>
              <w:rPr>
                <w:sz w:val="20"/>
                <w:szCs w:val="20"/>
                <w:color w:val="auto"/>
              </w:rPr>
            </w:pPr>
            <w:r>
              <w:rPr>
                <w:rFonts w:ascii="Arial" w:cs="Arial" w:eastAsia="Arial" w:hAnsi="Arial"/>
                <w:sz w:val="10"/>
                <w:szCs w:val="10"/>
                <w:color w:val="auto"/>
              </w:rPr>
              <w:t>161,414</w:t>
            </w:r>
          </w:p>
        </w:tc>
        <w:tc>
          <w:tcPr>
            <w:tcW w:w="9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11"/>
                <w:szCs w:val="11"/>
                <w:color w:val="auto"/>
              </w:rPr>
            </w:pPr>
          </w:p>
        </w:tc>
        <w:tc>
          <w:tcPr>
            <w:tcW w:w="800" w:type="dxa"/>
            <w:vAlign w:val="bottom"/>
            <w:tcBorders>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2"/>
              <w:spacing w:after="0"/>
              <w:rPr>
                <w:sz w:val="20"/>
                <w:szCs w:val="20"/>
                <w:color w:val="auto"/>
              </w:rPr>
            </w:pPr>
            <w:r>
              <w:rPr>
                <w:rFonts w:ascii="Arial" w:cs="Arial" w:eastAsia="Arial" w:hAnsi="Arial"/>
                <w:sz w:val="10"/>
                <w:szCs w:val="10"/>
                <w:color w:val="auto"/>
              </w:rPr>
              <w:t>9,260</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411,422</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Borders>
              <w:top w:val="single" w:sz="8" w:color="CCCCCC"/>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Borders>
              <w:top w:val="single" w:sz="8" w:color="CCCCCC"/>
              <w:bottom w:val="single" w:sz="8" w:color="CCCCCC"/>
            </w:tcBorders>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CCCCCC"/>
              <w:bottom w:val="single" w:sz="8" w:color="CCCCCC"/>
            </w:tcBorders>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CCCCCC"/>
              <w:bottom w:val="single" w:sz="8" w:color="CCCCCC"/>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Borders>
              <w:top w:val="single" w:sz="8" w:color="CCCCCC"/>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CCCCCC"/>
              <w:bottom w:val="single" w:sz="8" w:color="CCCCCC"/>
            </w:tcBorders>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Borders>
              <w:top w:val="single" w:sz="8" w:color="CCCCCC"/>
              <w:bottom w:val="single" w:sz="8" w:color="CCCCCC"/>
            </w:tcBorders>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CCCCCC"/>
              <w:bottom w:val="single" w:sz="8" w:color="CCCCCC"/>
            </w:tcBorders>
          </w:tcPr>
          <w:p>
            <w:pPr>
              <w:jc w:val="right"/>
              <w:ind w:right="12"/>
              <w:spacing w:after="0"/>
              <w:rPr>
                <w:sz w:val="20"/>
                <w:szCs w:val="20"/>
                <w:color w:val="auto"/>
              </w:rPr>
            </w:pPr>
            <w:r>
              <w:rPr>
                <w:rFonts w:ascii="Arial" w:cs="Arial" w:eastAsia="Arial" w:hAnsi="Arial"/>
                <w:sz w:val="10"/>
                <w:szCs w:val="10"/>
                <w:color w:val="auto"/>
              </w:rPr>
              <w:t>21,797</w:t>
            </w:r>
          </w:p>
        </w:tc>
        <w:tc>
          <w:tcPr>
            <w:tcW w:w="620" w:type="dxa"/>
            <w:vAlign w:val="bottom"/>
            <w:tcBorders>
              <w:top w:val="single" w:sz="8" w:color="CCCCCC"/>
              <w:bottom w:val="single" w:sz="8" w:color="CCCCCC"/>
            </w:tcBorders>
          </w:tcPr>
          <w:p>
            <w:pPr>
              <w:spacing w:after="0"/>
              <w:rPr>
                <w:sz w:val="11"/>
                <w:szCs w:val="11"/>
                <w:color w:val="auto"/>
              </w:rPr>
            </w:pPr>
          </w:p>
        </w:tc>
        <w:tc>
          <w:tcPr>
            <w:tcW w:w="800" w:type="dxa"/>
            <w:vAlign w:val="bottom"/>
            <w:tcBorders>
              <w:top w:val="single" w:sz="8" w:color="CCCCCC"/>
              <w:bottom w:val="single" w:sz="8" w:color="CCCCCC"/>
            </w:tcBorders>
            <w:gridSpan w:val="2"/>
          </w:tcPr>
          <w:p>
            <w:pPr>
              <w:jc w:val="right"/>
              <w:ind w:right="20"/>
              <w:spacing w:after="0"/>
              <w:rPr>
                <w:sz w:val="20"/>
                <w:szCs w:val="20"/>
                <w:color w:val="auto"/>
              </w:rPr>
            </w:pPr>
            <w:r>
              <w:rPr>
                <w:rFonts w:ascii="Arial" w:cs="Arial" w:eastAsia="Arial" w:hAnsi="Arial"/>
                <w:sz w:val="10"/>
                <w:szCs w:val="10"/>
                <w:color w:val="auto"/>
              </w:rPr>
              <w:t>968,441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150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620" w:type="dxa"/>
            <w:vAlign w:val="bottom"/>
          </w:tcPr>
          <w:p>
            <w:pPr>
              <w:jc w:val="right"/>
              <w:ind w:right="4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45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22,050</w:t>
            </w:r>
          </w:p>
        </w:tc>
        <w:tc>
          <w:tcPr>
            <w:tcW w:w="620" w:type="dxa"/>
            <w:vAlign w:val="bottom"/>
          </w:tcPr>
          <w:p>
            <w:pPr>
              <w:spacing w:after="0"/>
              <w:rPr>
                <w:sz w:val="11"/>
                <w:szCs w:val="1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color w:val="auto"/>
              </w:rPr>
              <w:t>979,682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680" w:type="dxa"/>
            <w:vAlign w:val="bottom"/>
            <w:tcBorders>
              <w:top w:val="single" w:sz="8" w:color="E31F25"/>
            </w:tcBorders>
          </w:tcPr>
          <w:p>
            <w:pPr>
              <w:ind w:left="300"/>
              <w:spacing w:after="0"/>
              <w:rPr>
                <w:sz w:val="20"/>
                <w:szCs w:val="20"/>
                <w:color w:val="auto"/>
              </w:rPr>
            </w:pPr>
            <w:r>
              <w:rPr>
                <w:rFonts w:ascii="Arial" w:cs="Arial" w:eastAsia="Arial" w:hAnsi="Arial"/>
                <w:sz w:val="11"/>
                <w:szCs w:val="11"/>
                <w:b w:val="1"/>
                <w:bCs w:val="1"/>
                <w:color w:val="FFFFFF"/>
              </w:rPr>
              <w:t>80</w:t>
            </w:r>
          </w:p>
        </w:tc>
        <w:tc>
          <w:tcPr>
            <w:tcW w:w="1500" w:type="dxa"/>
            <w:vAlign w:val="bottom"/>
            <w:tcBorders>
              <w:top w:val="single" w:sz="8" w:color="E31F25"/>
            </w:tcBorders>
          </w:tcPr>
          <w:p>
            <w:pPr>
              <w:jc w:val="right"/>
              <w:ind w:right="692"/>
              <w:spacing w:after="0"/>
              <w:rPr>
                <w:sz w:val="20"/>
                <w:szCs w:val="20"/>
                <w:color w:val="auto"/>
              </w:rPr>
            </w:pPr>
            <w:r>
              <w:rPr>
                <w:rFonts w:ascii="Times New Roman" w:cs="Times New Roman" w:eastAsia="Times New Roman" w:hAnsi="Times New Roman"/>
                <w:sz w:val="11"/>
                <w:szCs w:val="11"/>
                <w:color w:val="auto"/>
                <w:w w:val="98"/>
              </w:rPr>
              <w:t>F</w:t>
            </w:r>
            <w:r>
              <w:rPr>
                <w:rFonts w:ascii="Times New Roman" w:cs="Times New Roman" w:eastAsia="Times New Roman" w:hAnsi="Times New Roman"/>
                <w:sz w:val="7"/>
                <w:szCs w:val="7"/>
                <w:color w:val="auto"/>
                <w:w w:val="98"/>
              </w:rPr>
              <w:t>OOT</w:t>
            </w:r>
            <w:r>
              <w:rPr>
                <w:rFonts w:ascii="Times New Roman" w:cs="Times New Roman" w:eastAsia="Times New Roman" w:hAnsi="Times New Roman"/>
                <w:sz w:val="11"/>
                <w:szCs w:val="11"/>
                <w:color w:val="auto"/>
                <w:w w:val="98"/>
              </w:rPr>
              <w:t xml:space="preserve"> L</w:t>
            </w:r>
            <w:r>
              <w:rPr>
                <w:rFonts w:ascii="Times New Roman" w:cs="Times New Roman" w:eastAsia="Times New Roman" w:hAnsi="Times New Roman"/>
                <w:sz w:val="7"/>
                <w:szCs w:val="7"/>
                <w:color w:val="auto"/>
                <w:w w:val="98"/>
              </w:rPr>
              <w:t>OCKER</w:t>
            </w:r>
            <w:r>
              <w:rPr>
                <w:rFonts w:ascii="Times New Roman" w:cs="Times New Roman" w:eastAsia="Times New Roman" w:hAnsi="Times New Roman"/>
                <w:sz w:val="11"/>
                <w:szCs w:val="11"/>
                <w:color w:val="auto"/>
                <w:w w:val="98"/>
              </w:rPr>
              <w:t>, I</w:t>
            </w:r>
            <w:r>
              <w:rPr>
                <w:rFonts w:ascii="Times New Roman" w:cs="Times New Roman" w:eastAsia="Times New Roman" w:hAnsi="Times New Roman"/>
                <w:sz w:val="7"/>
                <w:szCs w:val="7"/>
                <w:color w:val="auto"/>
                <w:w w:val="98"/>
              </w:rPr>
              <w:t>NC</w:t>
            </w:r>
            <w:r>
              <w:rPr>
                <w:rFonts w:ascii="Times New Roman" w:cs="Times New Roman" w:eastAsia="Times New Roman" w:hAnsi="Times New Roman"/>
                <w:sz w:val="11"/>
                <w:szCs w:val="11"/>
                <w:color w:val="auto"/>
                <w:w w:val="98"/>
              </w:rPr>
              <w:t>.</w:t>
            </w:r>
          </w:p>
        </w:tc>
        <w:tc>
          <w:tcPr>
            <w:tcW w:w="1620" w:type="dxa"/>
            <w:vAlign w:val="bottom"/>
            <w:tcBorders>
              <w:top w:val="single" w:sz="8" w:color="E31F25"/>
            </w:tcBorders>
          </w:tcPr>
          <w:p>
            <w:pPr>
              <w:spacing w:after="0"/>
              <w:rPr>
                <w:sz w:val="24"/>
                <w:szCs w:val="24"/>
                <w:color w:val="auto"/>
              </w:rPr>
            </w:pPr>
          </w:p>
        </w:tc>
        <w:tc>
          <w:tcPr>
            <w:tcW w:w="1100" w:type="dxa"/>
            <w:vAlign w:val="bottom"/>
            <w:tcBorders>
              <w:top w:val="single" w:sz="8" w:color="E31F25"/>
            </w:tcBorders>
          </w:tcPr>
          <w:p>
            <w:pPr>
              <w:spacing w:after="0"/>
              <w:rPr>
                <w:sz w:val="24"/>
                <w:szCs w:val="24"/>
                <w:color w:val="auto"/>
              </w:rPr>
            </w:pPr>
          </w:p>
        </w:tc>
        <w:tc>
          <w:tcPr>
            <w:tcW w:w="540" w:type="dxa"/>
            <w:vAlign w:val="bottom"/>
            <w:tcBorders>
              <w:top w:val="single" w:sz="8" w:color="E31F25"/>
            </w:tcBorders>
          </w:tcPr>
          <w:p>
            <w:pPr>
              <w:spacing w:after="0"/>
              <w:rPr>
                <w:sz w:val="24"/>
                <w:szCs w:val="24"/>
                <w:color w:val="auto"/>
              </w:rPr>
            </w:pPr>
          </w:p>
        </w:tc>
        <w:tc>
          <w:tcPr>
            <w:tcW w:w="120" w:type="dxa"/>
            <w:vAlign w:val="bottom"/>
            <w:tcBorders>
              <w:top w:val="single" w:sz="8" w:color="E31F25"/>
            </w:tcBorders>
          </w:tcPr>
          <w:p>
            <w:pPr>
              <w:spacing w:after="0"/>
              <w:rPr>
                <w:sz w:val="24"/>
                <w:szCs w:val="24"/>
                <w:color w:val="auto"/>
              </w:rPr>
            </w:pPr>
          </w:p>
        </w:tc>
        <w:tc>
          <w:tcPr>
            <w:tcW w:w="820" w:type="dxa"/>
            <w:vAlign w:val="bottom"/>
            <w:tcBorders>
              <w:top w:val="single" w:sz="8" w:color="E31F25"/>
            </w:tcBorders>
          </w:tcPr>
          <w:p>
            <w:pPr>
              <w:spacing w:after="0"/>
              <w:rPr>
                <w:sz w:val="24"/>
                <w:szCs w:val="24"/>
                <w:color w:val="auto"/>
              </w:rPr>
            </w:pPr>
          </w:p>
        </w:tc>
        <w:tc>
          <w:tcPr>
            <w:tcW w:w="1120" w:type="dxa"/>
            <w:vAlign w:val="bottom"/>
            <w:tcBorders>
              <w:top w:val="single" w:sz="8" w:color="E31F25"/>
            </w:tcBorders>
          </w:tcPr>
          <w:p>
            <w:pPr>
              <w:spacing w:after="0"/>
              <w:rPr>
                <w:sz w:val="24"/>
                <w:szCs w:val="24"/>
                <w:color w:val="auto"/>
              </w:rPr>
            </w:pPr>
          </w:p>
        </w:tc>
        <w:tc>
          <w:tcPr>
            <w:tcW w:w="1480" w:type="dxa"/>
            <w:vAlign w:val="bottom"/>
            <w:tcBorders>
              <w:top w:val="single" w:sz="8" w:color="E31F25"/>
            </w:tcBorders>
          </w:tcPr>
          <w:p>
            <w:pPr>
              <w:spacing w:after="0"/>
              <w:rPr>
                <w:sz w:val="24"/>
                <w:szCs w:val="24"/>
                <w:color w:val="auto"/>
              </w:rPr>
            </w:pPr>
          </w:p>
        </w:tc>
        <w:tc>
          <w:tcPr>
            <w:tcW w:w="1540" w:type="dxa"/>
            <w:vAlign w:val="bottom"/>
            <w:tcBorders>
              <w:top w:val="single" w:sz="8" w:color="E31F25"/>
            </w:tcBorders>
            <w:gridSpan w:val="2"/>
          </w:tcPr>
          <w:p>
            <w:pPr>
              <w:ind w:left="360"/>
              <w:spacing w:after="0"/>
              <w:rPr>
                <w:sz w:val="20"/>
                <w:szCs w:val="20"/>
                <w:color w:val="auto"/>
              </w:rPr>
            </w:pPr>
            <w:r>
              <w:rPr>
                <w:rFonts w:ascii="Arial" w:cs="Arial" w:eastAsia="Arial" w:hAnsi="Arial"/>
                <w:sz w:val="10"/>
                <w:szCs w:val="10"/>
                <w:b w:val="1"/>
                <w:bCs w:val="1"/>
                <w:color w:val="D61100"/>
                <w:w w:val="93"/>
              </w:rPr>
              <w:t xml:space="preserve">2022 </w:t>
            </w:r>
            <w:r>
              <w:rPr>
                <w:rFonts w:ascii="Arial" w:cs="Arial" w:eastAsia="Arial" w:hAnsi="Arial"/>
                <w:sz w:val="10"/>
                <w:szCs w:val="10"/>
                <w:b w:val="1"/>
                <w:bCs w:val="1"/>
                <w:color w:val="000000"/>
                <w:w w:val="93"/>
              </w:rPr>
              <w:t>PROXY STATEMENT</w:t>
            </w:r>
          </w:p>
        </w:tc>
        <w:tc>
          <w:tcPr>
            <w:tcW w:w="780" w:type="dxa"/>
            <w:vAlign w:val="bottom"/>
            <w:tcBorders>
              <w:top w:val="single" w:sz="8" w:color="E31F25"/>
            </w:tcBorders>
          </w:tcPr>
          <w:p>
            <w:pPr>
              <w:jc w:val="right"/>
              <w:ind w:right="272"/>
              <w:spacing w:after="0"/>
              <w:rPr>
                <w:sz w:val="20"/>
                <w:szCs w:val="20"/>
                <w:color w:val="auto"/>
              </w:rPr>
            </w:pPr>
            <w:r>
              <w:rPr>
                <w:rFonts w:ascii="Arial" w:cs="Arial" w:eastAsia="Arial" w:hAnsi="Arial"/>
                <w:sz w:val="11"/>
                <w:szCs w:val="11"/>
                <w:b w:val="1"/>
                <w:bCs w:val="1"/>
                <w:color w:val="FFFFFF"/>
              </w:rPr>
              <w:t>81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-405130</wp:posOffset>
            </wp:positionV>
            <wp:extent cx="365760" cy="2171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65760" cy="217170"/>
                    </a:xfrm>
                    <a:prstGeom prst="rect">
                      <a:avLst/>
                    </a:prstGeom>
                    <a:noFill/>
                  </pic:spPr>
                </pic:pic>
              </a:graphicData>
            </a:graphic>
          </wp:anchor>
        </w:drawing>
        <w:drawing>
          <wp:anchor simplePos="0" relativeHeight="251657728" behindDoc="1" locked="0" layoutInCell="0" allowOverlap="1">
            <wp:simplePos x="0" y="0"/>
            <wp:positionH relativeFrom="column">
              <wp:posOffset>6807200</wp:posOffset>
            </wp:positionH>
            <wp:positionV relativeFrom="paragraph">
              <wp:posOffset>-410845</wp:posOffset>
            </wp:positionV>
            <wp:extent cx="365760" cy="2228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31"/>
        </w:trPr>
        <w:tc>
          <w:tcPr>
            <w:tcW w:w="2180" w:type="dxa"/>
            <w:vAlign w:val="bottom"/>
            <w:gridSpan w:val="2"/>
          </w:tcPr>
          <w:p>
            <w:pPr>
              <w:spacing w:after="0"/>
              <w:rPr>
                <w:sz w:val="20"/>
                <w:szCs w:val="20"/>
                <w:color w:val="auto"/>
              </w:rPr>
            </w:pPr>
            <w:r>
              <w:rPr>
                <w:rFonts w:ascii="Arial" w:cs="Arial" w:eastAsia="Arial" w:hAnsi="Arial"/>
                <w:sz w:val="10"/>
                <w:szCs w:val="10"/>
                <w:b w:val="1"/>
                <w:bCs w:val="1"/>
                <w:color w:val="D60011"/>
              </w:rPr>
              <w:t>EXECUTIVE COMPENSATION</w:t>
            </w:r>
          </w:p>
        </w:tc>
        <w:tc>
          <w:tcPr>
            <w:tcW w:w="1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gridSpan w:val="4"/>
          </w:tcPr>
          <w:p>
            <w:pPr>
              <w:jc w:val="right"/>
              <w:ind w:right="40"/>
              <w:spacing w:after="0"/>
              <w:rPr>
                <w:sz w:val="20"/>
                <w:szCs w:val="20"/>
                <w:color w:val="auto"/>
              </w:rPr>
            </w:pPr>
            <w:r>
              <w:rPr>
                <w:rFonts w:ascii="Arial" w:cs="Arial" w:eastAsia="Arial" w:hAnsi="Arial"/>
                <w:sz w:val="10"/>
                <w:szCs w:val="10"/>
                <w:b w:val="1"/>
                <w:bCs w:val="1"/>
                <w:color w:val="D60011"/>
                <w:w w:val="97"/>
              </w:rPr>
              <w:t>EXECUTIVE COMPENSATION</w:t>
            </w:r>
          </w:p>
        </w:tc>
        <w:tc>
          <w:tcPr>
            <w:tcW w:w="0" w:type="dxa"/>
            <w:vAlign w:val="bottom"/>
          </w:tcPr>
          <w:p>
            <w:pPr>
              <w:spacing w:after="0"/>
              <w:rPr>
                <w:sz w:val="1"/>
                <w:szCs w:val="1"/>
                <w:color w:val="auto"/>
              </w:rPr>
            </w:pPr>
          </w:p>
        </w:tc>
      </w:tr>
      <w:tr>
        <w:trPr>
          <w:trHeight w:val="218"/>
        </w:trPr>
        <w:tc>
          <w:tcPr>
            <w:tcW w:w="680" w:type="dxa"/>
            <w:vAlign w:val="bottom"/>
            <w:vMerge w:val="restart"/>
          </w:tcPr>
          <w:p>
            <w:pPr>
              <w:spacing w:after="0"/>
              <w:rPr>
                <w:sz w:val="20"/>
                <w:szCs w:val="20"/>
                <w:color w:val="auto"/>
              </w:rPr>
            </w:pPr>
            <w:r>
              <w:rPr>
                <w:rFonts w:ascii="Arial" w:cs="Arial" w:eastAsia="Arial" w:hAnsi="Arial"/>
                <w:sz w:val="10"/>
                <w:szCs w:val="10"/>
                <w:b w:val="1"/>
                <w:bCs w:val="1"/>
                <w:color w:val="auto"/>
              </w:rPr>
              <w:t>(a)</w:t>
            </w:r>
          </w:p>
        </w:tc>
        <w:tc>
          <w:tcPr>
            <w:tcW w:w="1500" w:type="dxa"/>
            <w:vAlign w:val="bottom"/>
            <w:tcBorders>
              <w:bottom w:val="single" w:sz="8" w:color="E31F25"/>
            </w:tcBorders>
          </w:tcPr>
          <w:p>
            <w:pPr>
              <w:spacing w:after="0"/>
              <w:rPr>
                <w:sz w:val="18"/>
                <w:szCs w:val="18"/>
                <w:color w:val="auto"/>
              </w:rPr>
            </w:pPr>
          </w:p>
        </w:tc>
        <w:tc>
          <w:tcPr>
            <w:tcW w:w="162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Option Awards</w:t>
            </w:r>
          </w:p>
        </w:tc>
        <w:tc>
          <w:tcPr>
            <w:tcW w:w="1100" w:type="dxa"/>
            <w:vAlign w:val="bottom"/>
            <w:tcBorders>
              <w:bottom w:val="single" w:sz="8" w:color="E31F25"/>
            </w:tcBorders>
          </w:tcPr>
          <w:p>
            <w:pPr>
              <w:spacing w:after="0"/>
              <w:rPr>
                <w:sz w:val="18"/>
                <w:szCs w:val="18"/>
                <w:color w:val="auto"/>
              </w:rPr>
            </w:pPr>
          </w:p>
        </w:tc>
        <w:tc>
          <w:tcPr>
            <w:tcW w:w="540" w:type="dxa"/>
            <w:vAlign w:val="bottom"/>
            <w:tcBorders>
              <w:bottom w:val="single" w:sz="8" w:color="E31F25"/>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E31F25"/>
            </w:tcBorders>
          </w:tcPr>
          <w:p>
            <w:pPr>
              <w:spacing w:after="0"/>
              <w:rPr>
                <w:sz w:val="18"/>
                <w:szCs w:val="18"/>
                <w:color w:val="auto"/>
              </w:rPr>
            </w:pPr>
          </w:p>
        </w:tc>
        <w:tc>
          <w:tcPr>
            <w:tcW w:w="1120" w:type="dxa"/>
            <w:vAlign w:val="bottom"/>
            <w:tcBorders>
              <w:bottom w:val="single" w:sz="8" w:color="E31F25"/>
            </w:tcBorders>
          </w:tcPr>
          <w:p>
            <w:pPr>
              <w:spacing w:after="0"/>
              <w:rPr>
                <w:sz w:val="18"/>
                <w:szCs w:val="18"/>
                <w:color w:val="auto"/>
              </w:rPr>
            </w:pPr>
          </w:p>
        </w:tc>
        <w:tc>
          <w:tcPr>
            <w:tcW w:w="148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Stock Awards</w:t>
            </w:r>
          </w:p>
        </w:tc>
        <w:tc>
          <w:tcPr>
            <w:tcW w:w="920" w:type="dxa"/>
            <w:vAlign w:val="bottom"/>
            <w:tcBorders>
              <w:bottom w:val="single" w:sz="8" w:color="E31F25"/>
            </w:tcBorders>
          </w:tcPr>
          <w:p>
            <w:pPr>
              <w:spacing w:after="0"/>
              <w:rPr>
                <w:sz w:val="18"/>
                <w:szCs w:val="18"/>
                <w:color w:val="auto"/>
              </w:rPr>
            </w:pPr>
          </w:p>
        </w:tc>
        <w:tc>
          <w:tcPr>
            <w:tcW w:w="620" w:type="dxa"/>
            <w:vAlign w:val="bottom"/>
            <w:tcBorders>
              <w:bottom w:val="single" w:sz="8" w:color="E31F25"/>
            </w:tcBorders>
          </w:tcPr>
          <w:p>
            <w:pPr>
              <w:spacing w:after="0"/>
              <w:rPr>
                <w:sz w:val="18"/>
                <w:szCs w:val="18"/>
                <w:color w:val="auto"/>
              </w:rPr>
            </w:pPr>
          </w:p>
        </w:tc>
        <w:tc>
          <w:tcPr>
            <w:tcW w:w="780" w:type="dxa"/>
            <w:vAlign w:val="bottom"/>
            <w:tcBorders>
              <w:bottom w:val="single" w:sz="8" w:color="E31F25"/>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80" w:type="dxa"/>
            <w:vAlign w:val="bottom"/>
            <w:tcBorders>
              <w:bottom w:val="single" w:sz="8" w:color="E31F25"/>
            </w:tcBorders>
            <w:vMerge w:val="continue"/>
          </w:tcPr>
          <w:p>
            <w:pPr>
              <w:spacing w:after="0"/>
              <w:rPr>
                <w:sz w:val="8"/>
                <w:szCs w:val="8"/>
                <w:color w:val="auto"/>
              </w:rPr>
            </w:pPr>
          </w:p>
        </w:tc>
        <w:tc>
          <w:tcPr>
            <w:tcW w:w="150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b w:val="1"/>
                <w:bCs w:val="1"/>
                <w:color w:val="auto"/>
              </w:rPr>
              <w:t>(b)</w:t>
            </w:r>
          </w:p>
        </w:tc>
        <w:tc>
          <w:tcPr>
            <w:tcW w:w="1620" w:type="dxa"/>
            <w:vAlign w:val="bottom"/>
            <w:tcBorders>
              <w:bottom w:val="single" w:sz="8" w:color="E31F25"/>
            </w:tcBorders>
          </w:tcPr>
          <w:p>
            <w:pPr>
              <w:jc w:val="right"/>
              <w:ind w:right="472"/>
              <w:spacing w:after="0" w:line="97" w:lineRule="exact"/>
              <w:rPr>
                <w:sz w:val="20"/>
                <w:szCs w:val="20"/>
                <w:color w:val="auto"/>
              </w:rPr>
            </w:pPr>
            <w:r>
              <w:rPr>
                <w:rFonts w:ascii="Arial" w:cs="Arial" w:eastAsia="Arial" w:hAnsi="Arial"/>
                <w:sz w:val="10"/>
                <w:szCs w:val="10"/>
                <w:b w:val="1"/>
                <w:bCs w:val="1"/>
                <w:color w:val="auto"/>
              </w:rPr>
              <w:t>(c)</w:t>
            </w:r>
          </w:p>
        </w:tc>
        <w:tc>
          <w:tcPr>
            <w:tcW w:w="1100" w:type="dxa"/>
            <w:vAlign w:val="bottom"/>
            <w:tcBorders>
              <w:bottom w:val="single" w:sz="8" w:color="E31F25"/>
            </w:tcBorders>
          </w:tcPr>
          <w:p>
            <w:pPr>
              <w:jc w:val="right"/>
              <w:ind w:right="92"/>
              <w:spacing w:after="0" w:line="97" w:lineRule="exact"/>
              <w:rPr>
                <w:sz w:val="20"/>
                <w:szCs w:val="20"/>
                <w:color w:val="auto"/>
              </w:rPr>
            </w:pPr>
            <w:r>
              <w:rPr>
                <w:rFonts w:ascii="Arial" w:cs="Arial" w:eastAsia="Arial" w:hAnsi="Arial"/>
                <w:sz w:val="10"/>
                <w:szCs w:val="10"/>
                <w:b w:val="1"/>
                <w:bCs w:val="1"/>
                <w:color w:val="auto"/>
              </w:rPr>
              <w:t>(d)</w:t>
            </w:r>
          </w:p>
        </w:tc>
        <w:tc>
          <w:tcPr>
            <w:tcW w:w="540" w:type="dxa"/>
            <w:vAlign w:val="bottom"/>
            <w:tcBorders>
              <w:bottom w:val="single" w:sz="8" w:color="E31F25"/>
            </w:tcBorders>
          </w:tcPr>
          <w:p>
            <w:pPr>
              <w:jc w:val="right"/>
              <w:spacing w:after="0" w:line="97" w:lineRule="exact"/>
              <w:rPr>
                <w:sz w:val="20"/>
                <w:szCs w:val="20"/>
                <w:color w:val="auto"/>
              </w:rPr>
            </w:pPr>
            <w:r>
              <w:rPr>
                <w:rFonts w:ascii="Arial" w:cs="Arial" w:eastAsia="Arial" w:hAnsi="Arial"/>
                <w:sz w:val="10"/>
                <w:szCs w:val="10"/>
                <w:b w:val="1"/>
                <w:bCs w:val="1"/>
                <w:color w:val="auto"/>
              </w:rPr>
              <w:t>(e)</w:t>
            </w:r>
          </w:p>
        </w:tc>
        <w:tc>
          <w:tcPr>
            <w:tcW w:w="120" w:type="dxa"/>
            <w:vAlign w:val="bottom"/>
            <w:tcBorders>
              <w:bottom w:val="single" w:sz="8" w:color="E31F25"/>
            </w:tcBorders>
          </w:tcPr>
          <w:p>
            <w:pPr>
              <w:spacing w:after="0"/>
              <w:rPr>
                <w:sz w:val="8"/>
                <w:szCs w:val="8"/>
                <w:color w:val="auto"/>
              </w:rPr>
            </w:pPr>
          </w:p>
        </w:tc>
        <w:tc>
          <w:tcPr>
            <w:tcW w:w="820" w:type="dxa"/>
            <w:vAlign w:val="bottom"/>
            <w:tcBorders>
              <w:bottom w:val="single" w:sz="8" w:color="E31F25"/>
            </w:tcBorders>
          </w:tcPr>
          <w:p>
            <w:pPr>
              <w:jc w:val="right"/>
              <w:ind w:right="192"/>
              <w:spacing w:after="0" w:line="97" w:lineRule="exact"/>
              <w:rPr>
                <w:sz w:val="20"/>
                <w:szCs w:val="20"/>
                <w:color w:val="auto"/>
              </w:rPr>
            </w:pPr>
            <w:r>
              <w:rPr>
                <w:rFonts w:ascii="Arial" w:cs="Arial" w:eastAsia="Arial" w:hAnsi="Arial"/>
                <w:sz w:val="10"/>
                <w:szCs w:val="10"/>
                <w:b w:val="1"/>
                <w:bCs w:val="1"/>
                <w:color w:val="auto"/>
              </w:rPr>
              <w:t>(f)</w:t>
            </w:r>
          </w:p>
        </w:tc>
        <w:tc>
          <w:tcPr>
            <w:tcW w:w="112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b w:val="1"/>
                <w:bCs w:val="1"/>
                <w:color w:val="auto"/>
              </w:rPr>
              <w:t>(g)</w:t>
            </w:r>
          </w:p>
        </w:tc>
        <w:tc>
          <w:tcPr>
            <w:tcW w:w="1480" w:type="dxa"/>
            <w:vAlign w:val="bottom"/>
            <w:tcBorders>
              <w:bottom w:val="single" w:sz="8" w:color="E31F25"/>
            </w:tcBorders>
          </w:tcPr>
          <w:p>
            <w:pPr>
              <w:jc w:val="right"/>
              <w:ind w:right="452"/>
              <w:spacing w:after="0" w:line="97" w:lineRule="exact"/>
              <w:rPr>
                <w:sz w:val="20"/>
                <w:szCs w:val="20"/>
                <w:color w:val="auto"/>
              </w:rPr>
            </w:pPr>
            <w:r>
              <w:rPr>
                <w:rFonts w:ascii="Arial" w:cs="Arial" w:eastAsia="Arial" w:hAnsi="Arial"/>
                <w:sz w:val="10"/>
                <w:szCs w:val="10"/>
                <w:b w:val="1"/>
                <w:bCs w:val="1"/>
                <w:color w:val="auto"/>
              </w:rPr>
              <w:t>(h)</w:t>
            </w:r>
          </w:p>
        </w:tc>
        <w:tc>
          <w:tcPr>
            <w:tcW w:w="920" w:type="dxa"/>
            <w:vAlign w:val="bottom"/>
            <w:tcBorders>
              <w:bottom w:val="single" w:sz="8" w:color="E31F25"/>
            </w:tcBorders>
          </w:tcPr>
          <w:p>
            <w:pPr>
              <w:jc w:val="right"/>
              <w:ind w:right="12"/>
              <w:spacing w:after="0" w:line="97" w:lineRule="exact"/>
              <w:rPr>
                <w:sz w:val="20"/>
                <w:szCs w:val="20"/>
                <w:color w:val="auto"/>
              </w:rPr>
            </w:pPr>
            <w:r>
              <w:rPr>
                <w:rFonts w:ascii="Arial" w:cs="Arial" w:eastAsia="Arial" w:hAnsi="Arial"/>
                <w:sz w:val="10"/>
                <w:szCs w:val="10"/>
                <w:b w:val="1"/>
                <w:bCs w:val="1"/>
                <w:color w:val="auto"/>
              </w:rPr>
              <w:t>(i)</w:t>
            </w:r>
          </w:p>
        </w:tc>
        <w:tc>
          <w:tcPr>
            <w:tcW w:w="620" w:type="dxa"/>
            <w:vAlign w:val="bottom"/>
            <w:tcBorders>
              <w:bottom w:val="single" w:sz="8" w:color="E31F25"/>
            </w:tcBorders>
          </w:tcPr>
          <w:p>
            <w:pPr>
              <w:spacing w:after="0"/>
              <w:rPr>
                <w:sz w:val="8"/>
                <w:szCs w:val="8"/>
                <w:color w:val="auto"/>
              </w:rPr>
            </w:pPr>
          </w:p>
        </w:tc>
        <w:tc>
          <w:tcPr>
            <w:tcW w:w="780" w:type="dxa"/>
            <w:vAlign w:val="bottom"/>
            <w:tcBorders>
              <w:bottom w:val="single" w:sz="8" w:color="E31F25"/>
            </w:tcBorders>
          </w:tcPr>
          <w:p>
            <w:pPr>
              <w:jc w:val="right"/>
              <w:spacing w:after="0" w:line="97" w:lineRule="exact"/>
              <w:rPr>
                <w:sz w:val="20"/>
                <w:szCs w:val="20"/>
                <w:color w:val="auto"/>
              </w:rPr>
            </w:pPr>
            <w:r>
              <w:rPr>
                <w:rFonts w:ascii="Arial" w:cs="Arial" w:eastAsia="Arial" w:hAnsi="Arial"/>
                <w:sz w:val="10"/>
                <w:szCs w:val="10"/>
                <w:b w:val="1"/>
                <w:bCs w:val="1"/>
                <w:color w:val="auto"/>
              </w:rPr>
              <w:t>(j)</w:t>
            </w:r>
          </w:p>
        </w:tc>
        <w:tc>
          <w:tcPr>
            <w:tcW w:w="40" w:type="dxa"/>
            <w:vAlign w:val="bottom"/>
            <w:tcBorders>
              <w:bottom w:val="single" w:sz="8" w:color="E31F2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20" w:type="dxa"/>
            <w:vAlign w:val="bottom"/>
          </w:tcPr>
          <w:p>
            <w:pPr>
              <w:jc w:val="right"/>
              <w:ind w:right="12"/>
              <w:spacing w:after="0" w:line="91" w:lineRule="exact"/>
              <w:rPr>
                <w:sz w:val="20"/>
                <w:szCs w:val="20"/>
                <w:color w:val="auto"/>
              </w:rPr>
            </w:pPr>
            <w:r>
              <w:rPr>
                <w:rFonts w:ascii="Arial" w:cs="Arial" w:eastAsia="Arial" w:hAnsi="Arial"/>
                <w:sz w:val="10"/>
                <w:szCs w:val="10"/>
                <w:b w:val="1"/>
                <w:bCs w:val="1"/>
                <w:color w:val="auto"/>
              </w:rPr>
              <w:t>Equity Incentive</w:t>
            </w:r>
          </w:p>
        </w:tc>
        <w:tc>
          <w:tcPr>
            <w:tcW w:w="620" w:type="dxa"/>
            <w:vAlign w:val="bottom"/>
          </w:tcPr>
          <w:p>
            <w:pPr>
              <w:spacing w:after="0"/>
              <w:rPr>
                <w:sz w:val="7"/>
                <w:szCs w:val="7"/>
                <w:color w:val="auto"/>
              </w:rPr>
            </w:pPr>
          </w:p>
        </w:tc>
        <w:tc>
          <w:tcPr>
            <w:tcW w:w="820" w:type="dxa"/>
            <w:vAlign w:val="bottom"/>
            <w:gridSpan w:val="3"/>
          </w:tcPr>
          <w:p>
            <w:pPr>
              <w:jc w:val="right"/>
              <w:ind w:right="40"/>
              <w:spacing w:after="0" w:line="91" w:lineRule="exact"/>
              <w:rPr>
                <w:sz w:val="20"/>
                <w:szCs w:val="20"/>
                <w:color w:val="auto"/>
              </w:rPr>
            </w:pPr>
            <w:r>
              <w:rPr>
                <w:rFonts w:ascii="Arial" w:cs="Arial" w:eastAsia="Arial" w:hAnsi="Arial"/>
                <w:sz w:val="10"/>
                <w:szCs w:val="10"/>
                <w:b w:val="1"/>
                <w:bCs w:val="1"/>
                <w:color w:val="auto"/>
                <w:w w:val="99"/>
              </w:rPr>
              <w:t>Equity Incentive</w:t>
            </w:r>
          </w:p>
        </w:tc>
        <w:tc>
          <w:tcPr>
            <w:tcW w:w="0" w:type="dxa"/>
            <w:vAlign w:val="bottom"/>
          </w:tcPr>
          <w:p>
            <w:pPr>
              <w:spacing w:after="0"/>
              <w:rPr>
                <w:sz w:val="1"/>
                <w:szCs w:val="1"/>
                <w:color w:val="auto"/>
              </w:rPr>
            </w:pPr>
          </w:p>
        </w:tc>
      </w:tr>
      <w:tr>
        <w:trPr>
          <w:trHeight w:val="115"/>
        </w:trPr>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00" w:type="dxa"/>
            <w:vAlign w:val="bottom"/>
          </w:tcPr>
          <w:p>
            <w:pPr>
              <w:jc w:val="right"/>
              <w:ind w:right="92"/>
              <w:spacing w:after="0"/>
              <w:rPr>
                <w:sz w:val="20"/>
                <w:szCs w:val="20"/>
                <w:color w:val="auto"/>
              </w:rPr>
            </w:pPr>
            <w:r>
              <w:rPr>
                <w:rFonts w:ascii="Arial" w:cs="Arial" w:eastAsia="Arial" w:hAnsi="Arial"/>
                <w:sz w:val="10"/>
                <w:szCs w:val="10"/>
                <w:b w:val="1"/>
                <w:bCs w:val="1"/>
                <w:color w:val="auto"/>
              </w:rPr>
              <w:t>Equity Incentive</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b w:val="1"/>
                <w:bCs w:val="1"/>
                <w:color w:val="auto"/>
              </w:rPr>
              <w:t>Plan Awards:</w:t>
            </w:r>
          </w:p>
        </w:tc>
        <w:tc>
          <w:tcPr>
            <w:tcW w:w="620" w:type="dxa"/>
            <w:vAlign w:val="bottom"/>
          </w:tcPr>
          <w:p>
            <w:pPr>
              <w:spacing w:after="0"/>
              <w:rPr>
                <w:sz w:val="9"/>
                <w:szCs w:val="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Plan Awards: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Number of</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Number of</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Plan Awards:</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Number</w:t>
            </w:r>
          </w:p>
        </w:tc>
        <w:tc>
          <w:tcPr>
            <w:tcW w:w="1480" w:type="dxa"/>
            <w:vAlign w:val="bottom"/>
          </w:tcPr>
          <w:p>
            <w:pPr>
              <w:spacing w:after="0"/>
              <w:rPr>
                <w:sz w:val="9"/>
                <w:szCs w:val="9"/>
                <w:color w:val="auto"/>
              </w:rPr>
            </w:pP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Number of</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w w:val="93"/>
              </w:rPr>
              <w:t>Market or Payout</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Securities</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Securities</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Number of</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of Shares</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Market Value</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Unearned</w:t>
            </w:r>
          </w:p>
        </w:tc>
        <w:tc>
          <w:tcPr>
            <w:tcW w:w="1440" w:type="dxa"/>
            <w:vAlign w:val="bottom"/>
            <w:gridSpan w:val="4"/>
          </w:tcPr>
          <w:p>
            <w:pPr>
              <w:jc w:val="right"/>
              <w:ind w:right="40"/>
              <w:spacing w:after="0" w:line="108" w:lineRule="exact"/>
              <w:rPr>
                <w:sz w:val="20"/>
                <w:szCs w:val="20"/>
                <w:color w:val="auto"/>
              </w:rPr>
            </w:pPr>
            <w:r>
              <w:rPr>
                <w:rFonts w:ascii="Arial" w:cs="Arial" w:eastAsia="Arial" w:hAnsi="Arial"/>
                <w:sz w:val="10"/>
                <w:szCs w:val="10"/>
                <w:b w:val="1"/>
                <w:bCs w:val="1"/>
                <w:color w:val="auto"/>
              </w:rPr>
              <w:t>Value of Unearned</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Underlying</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Underlying</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Securities</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or Units</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of Shares or</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Shares, Units,</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Shares, Units,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Unexercised</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Unexercised</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Underlying</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Option</w:t>
            </w:r>
          </w:p>
        </w:tc>
        <w:tc>
          <w:tcPr>
            <w:tcW w:w="820" w:type="dxa"/>
            <w:vAlign w:val="bottom"/>
          </w:tcPr>
          <w:p>
            <w:pPr>
              <w:spacing w:after="0"/>
              <w:rPr>
                <w:sz w:val="9"/>
                <w:szCs w:val="9"/>
                <w:color w:val="auto"/>
              </w:rPr>
            </w:pP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of Stock</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Units of Stock</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or Other Rights</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or Other Rights</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Options</w:t>
            </w:r>
          </w:p>
        </w:tc>
        <w:tc>
          <w:tcPr>
            <w:tcW w:w="1620" w:type="dxa"/>
            <w:vAlign w:val="bottom"/>
          </w:tcPr>
          <w:p>
            <w:pPr>
              <w:jc w:val="right"/>
              <w:ind w:right="472"/>
              <w:spacing w:after="0" w:line="108" w:lineRule="exact"/>
              <w:rPr>
                <w:sz w:val="20"/>
                <w:szCs w:val="20"/>
                <w:color w:val="auto"/>
              </w:rPr>
            </w:pPr>
            <w:r>
              <w:rPr>
                <w:rFonts w:ascii="Arial" w:cs="Arial" w:eastAsia="Arial" w:hAnsi="Arial"/>
                <w:sz w:val="10"/>
                <w:szCs w:val="10"/>
                <w:b w:val="1"/>
                <w:bCs w:val="1"/>
                <w:color w:val="auto"/>
              </w:rPr>
              <w:t>Options</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Unexercised</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Exercise</w:t>
            </w:r>
          </w:p>
        </w:tc>
        <w:tc>
          <w:tcPr>
            <w:tcW w:w="82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Option</w:t>
            </w: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That Have</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That Have Not</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That Have Not</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That Have Not</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500" w:type="dxa"/>
            <w:vAlign w:val="bottom"/>
          </w:tcPr>
          <w:p>
            <w:pPr>
              <w:jc w:val="right"/>
              <w:ind w:right="312"/>
              <w:spacing w:after="0" w:line="108" w:lineRule="exact"/>
              <w:rPr>
                <w:sz w:val="20"/>
                <w:szCs w:val="20"/>
                <w:color w:val="auto"/>
              </w:rPr>
            </w:pPr>
            <w:r>
              <w:rPr>
                <w:rFonts w:ascii="Arial" w:cs="Arial" w:eastAsia="Arial" w:hAnsi="Arial"/>
                <w:sz w:val="8"/>
                <w:szCs w:val="8"/>
                <w:b w:val="1"/>
                <w:bCs w:val="1"/>
                <w:color w:val="auto"/>
              </w:rPr>
              <w:t>Exercisable</w:t>
            </w:r>
            <w:r>
              <w:rPr>
                <w:rFonts w:ascii="Arial" w:cs="Arial" w:eastAsia="Arial" w:hAnsi="Arial"/>
                <w:sz w:val="12"/>
                <w:szCs w:val="12"/>
                <w:b w:val="1"/>
                <w:bCs w:val="1"/>
                <w:color w:val="auto"/>
                <w:vertAlign w:val="superscript"/>
              </w:rPr>
              <w:t>(1)</w:t>
            </w:r>
          </w:p>
        </w:tc>
        <w:tc>
          <w:tcPr>
            <w:tcW w:w="1620" w:type="dxa"/>
            <w:vAlign w:val="bottom"/>
          </w:tcPr>
          <w:p>
            <w:pPr>
              <w:jc w:val="right"/>
              <w:ind w:right="472"/>
              <w:spacing w:after="0" w:line="108" w:lineRule="exact"/>
              <w:rPr>
                <w:sz w:val="20"/>
                <w:szCs w:val="20"/>
                <w:color w:val="auto"/>
              </w:rPr>
            </w:pPr>
            <w:r>
              <w:rPr>
                <w:rFonts w:ascii="Arial" w:cs="Arial" w:eastAsia="Arial" w:hAnsi="Arial"/>
                <w:sz w:val="8"/>
                <w:szCs w:val="8"/>
                <w:b w:val="1"/>
                <w:bCs w:val="1"/>
                <w:color w:val="auto"/>
              </w:rPr>
              <w:t>Unexercisable</w:t>
            </w:r>
            <w:r>
              <w:rPr>
                <w:rFonts w:ascii="Arial" w:cs="Arial" w:eastAsia="Arial" w:hAnsi="Arial"/>
                <w:sz w:val="12"/>
                <w:szCs w:val="12"/>
                <w:b w:val="1"/>
                <w:bCs w:val="1"/>
                <w:color w:val="auto"/>
                <w:vertAlign w:val="superscript"/>
              </w:rPr>
              <w:t>(1)</w:t>
            </w:r>
          </w:p>
        </w:tc>
        <w:tc>
          <w:tcPr>
            <w:tcW w:w="110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Unearned Options</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0"/>
                <w:szCs w:val="10"/>
                <w:b w:val="1"/>
                <w:bCs w:val="1"/>
                <w:color w:val="auto"/>
              </w:rPr>
              <w:t>Price</w:t>
            </w:r>
          </w:p>
        </w:tc>
        <w:tc>
          <w:tcPr>
            <w:tcW w:w="82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Expiration</w:t>
            </w:r>
          </w:p>
        </w:tc>
        <w:tc>
          <w:tcPr>
            <w:tcW w:w="1120" w:type="dxa"/>
            <w:vAlign w:val="bottom"/>
          </w:tcPr>
          <w:p>
            <w:pPr>
              <w:jc w:val="right"/>
              <w:ind w:right="312"/>
              <w:spacing w:after="0" w:line="108" w:lineRule="exact"/>
              <w:rPr>
                <w:sz w:val="20"/>
                <w:szCs w:val="20"/>
                <w:color w:val="auto"/>
              </w:rPr>
            </w:pPr>
            <w:r>
              <w:rPr>
                <w:rFonts w:ascii="Arial" w:cs="Arial" w:eastAsia="Arial" w:hAnsi="Arial"/>
                <w:sz w:val="10"/>
                <w:szCs w:val="10"/>
                <w:b w:val="1"/>
                <w:bCs w:val="1"/>
                <w:color w:val="auto"/>
              </w:rPr>
              <w:t>Not Vested</w:t>
            </w:r>
          </w:p>
        </w:tc>
        <w:tc>
          <w:tcPr>
            <w:tcW w:w="1480" w:type="dxa"/>
            <w:vAlign w:val="bottom"/>
          </w:tcPr>
          <w:p>
            <w:pPr>
              <w:jc w:val="right"/>
              <w:ind w:right="452"/>
              <w:spacing w:after="0" w:line="108" w:lineRule="exact"/>
              <w:rPr>
                <w:sz w:val="20"/>
                <w:szCs w:val="20"/>
                <w:color w:val="auto"/>
              </w:rPr>
            </w:pPr>
            <w:r>
              <w:rPr>
                <w:rFonts w:ascii="Arial" w:cs="Arial" w:eastAsia="Arial" w:hAnsi="Arial"/>
                <w:sz w:val="10"/>
                <w:szCs w:val="10"/>
                <w:b w:val="1"/>
                <w:bCs w:val="1"/>
                <w:color w:val="auto"/>
              </w:rPr>
              <w:t>Vested</w:t>
            </w:r>
          </w:p>
        </w:tc>
        <w:tc>
          <w:tcPr>
            <w:tcW w:w="9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Vested</w:t>
            </w:r>
          </w:p>
        </w:tc>
        <w:tc>
          <w:tcPr>
            <w:tcW w:w="620" w:type="dxa"/>
            <w:vAlign w:val="bottom"/>
          </w:tcPr>
          <w:p>
            <w:pPr>
              <w:spacing w:after="0"/>
              <w:rPr>
                <w:sz w:val="9"/>
                <w:szCs w:val="9"/>
                <w:color w:val="auto"/>
              </w:rPr>
            </w:pPr>
          </w:p>
        </w:tc>
        <w:tc>
          <w:tcPr>
            <w:tcW w:w="82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rPr>
              <w:t>Vested</w:t>
            </w:r>
          </w:p>
        </w:tc>
        <w:tc>
          <w:tcPr>
            <w:tcW w:w="0" w:type="dxa"/>
            <w:vAlign w:val="bottom"/>
          </w:tcPr>
          <w:p>
            <w:pPr>
              <w:spacing w:after="0"/>
              <w:rPr>
                <w:sz w:val="1"/>
                <w:szCs w:val="1"/>
                <w:color w:val="auto"/>
              </w:rPr>
            </w:pPr>
          </w:p>
        </w:tc>
      </w:tr>
      <w:tr>
        <w:trPr>
          <w:trHeight w:val="126"/>
        </w:trPr>
        <w:tc>
          <w:tcPr>
            <w:tcW w:w="680" w:type="dxa"/>
            <w:vAlign w:val="bottom"/>
            <w:tcBorders>
              <w:bottom w:val="single" w:sz="8" w:color="E31F25"/>
            </w:tcBorders>
          </w:tcPr>
          <w:p>
            <w:pPr>
              <w:spacing w:after="0"/>
              <w:rPr>
                <w:sz w:val="20"/>
                <w:szCs w:val="20"/>
                <w:color w:val="auto"/>
              </w:rPr>
            </w:pPr>
            <w:r>
              <w:rPr>
                <w:rFonts w:ascii="Arial" w:cs="Arial" w:eastAsia="Arial" w:hAnsi="Arial"/>
                <w:sz w:val="10"/>
                <w:szCs w:val="10"/>
                <w:b w:val="1"/>
                <w:bCs w:val="1"/>
                <w:color w:val="auto"/>
              </w:rPr>
              <w:t>Name</w:t>
            </w:r>
          </w:p>
        </w:tc>
        <w:tc>
          <w:tcPr>
            <w:tcW w:w="1500" w:type="dxa"/>
            <w:vAlign w:val="bottom"/>
            <w:tcBorders>
              <w:bottom w:val="single" w:sz="8" w:color="E31F25"/>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E31F25"/>
            </w:tcBorders>
          </w:tcPr>
          <w:p>
            <w:pPr>
              <w:jc w:val="right"/>
              <w:ind w:right="472"/>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E31F25"/>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E31F25"/>
            </w:tcBorders>
          </w:tcPr>
          <w:p>
            <w:pPr>
              <w:spacing w:after="0"/>
              <w:rPr>
                <w:sz w:val="10"/>
                <w:szCs w:val="10"/>
                <w:color w:val="auto"/>
              </w:rPr>
            </w:pPr>
          </w:p>
        </w:tc>
        <w:tc>
          <w:tcPr>
            <w:tcW w:w="82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b w:val="1"/>
                <w:bCs w:val="1"/>
                <w:color w:val="auto"/>
              </w:rPr>
              <w:t>Date</w:t>
            </w:r>
          </w:p>
        </w:tc>
        <w:tc>
          <w:tcPr>
            <w:tcW w:w="1120" w:type="dxa"/>
            <w:vAlign w:val="bottom"/>
            <w:tcBorders>
              <w:bottom w:val="single" w:sz="8" w:color="E31F25"/>
            </w:tcBorders>
          </w:tcPr>
          <w:p>
            <w:pPr>
              <w:jc w:val="right"/>
              <w:ind w:right="31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(2)</w:t>
            </w:r>
          </w:p>
        </w:tc>
        <w:tc>
          <w:tcPr>
            <w:tcW w:w="1480" w:type="dxa"/>
            <w:vAlign w:val="bottom"/>
            <w:tcBorders>
              <w:bottom w:val="single" w:sz="8" w:color="E31F25"/>
            </w:tcBorders>
          </w:tcPr>
          <w:p>
            <w:pPr>
              <w:jc w:val="right"/>
              <w:ind w:right="45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(3)</w:t>
            </w:r>
          </w:p>
        </w:tc>
        <w:tc>
          <w:tcPr>
            <w:tcW w:w="920" w:type="dxa"/>
            <w:vAlign w:val="bottom"/>
            <w:tcBorders>
              <w:bottom w:val="single" w:sz="8" w:color="E31F25"/>
            </w:tcBorders>
          </w:tcPr>
          <w:p>
            <w:pPr>
              <w:jc w:val="right"/>
              <w:ind w:right="12"/>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(2)</w:t>
            </w:r>
          </w:p>
        </w:tc>
        <w:tc>
          <w:tcPr>
            <w:tcW w:w="620" w:type="dxa"/>
            <w:vAlign w:val="bottom"/>
            <w:tcBorders>
              <w:bottom w:val="single" w:sz="8" w:color="E31F25"/>
            </w:tcBorders>
          </w:tcPr>
          <w:p>
            <w:pPr>
              <w:spacing w:after="0"/>
              <w:rPr>
                <w:sz w:val="10"/>
                <w:szCs w:val="10"/>
                <w:color w:val="auto"/>
              </w:rPr>
            </w:pPr>
          </w:p>
        </w:tc>
        <w:tc>
          <w:tcPr>
            <w:tcW w:w="800" w:type="dxa"/>
            <w:vAlign w:val="bottom"/>
            <w:tcBorders>
              <w:bottom w:val="single" w:sz="8" w:color="E31F25"/>
            </w:tcBorders>
            <w:gridSpan w:val="2"/>
          </w:tcPr>
          <w:p>
            <w:pPr>
              <w:jc w:val="right"/>
              <w:ind w:right="20"/>
              <w:spacing w:after="0" w:line="126"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line="97" w:lineRule="exact"/>
              <w:rPr>
                <w:sz w:val="20"/>
                <w:szCs w:val="20"/>
                <w:color w:val="auto"/>
              </w:rPr>
            </w:pPr>
            <w:r>
              <w:rPr>
                <w:rFonts w:ascii="Arial" w:cs="Arial" w:eastAsia="Arial" w:hAnsi="Arial"/>
                <w:sz w:val="10"/>
                <w:szCs w:val="10"/>
                <w:b w:val="1"/>
                <w:bCs w:val="1"/>
                <w:color w:val="D60011"/>
              </w:rPr>
              <w:t>Gray</w:t>
            </w: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1,400</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45.08</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03/26/2024</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2,500</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62.11</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03/25/2025</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6,336</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63.79</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03/23/2026</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6,419</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72.83</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03/22/2027</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25,606</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34.75</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10/02/2027</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6,073</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44.78</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03/28/2028</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2,910</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1,455</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58.94</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03/27/2029</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4,974</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9,948</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21.60</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03/25/2030</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9,674</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53.61</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03/24/2031</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1,273</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56,559</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3,473</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154,305</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3,633</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161,414</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5,331</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236,856</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CCCCCC"/>
            </w:tcBorders>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19,849</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881,891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Borders>
              <w:bottom w:val="single" w:sz="8" w:color="E31F25"/>
            </w:tcBorders>
          </w:tcPr>
          <w:p>
            <w:pPr>
              <w:spacing w:after="0"/>
              <w:rPr>
                <w:sz w:val="8"/>
                <w:szCs w:val="8"/>
                <w:color w:val="auto"/>
              </w:rPr>
            </w:pPr>
          </w:p>
        </w:tc>
        <w:tc>
          <w:tcPr>
            <w:tcW w:w="150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E31F25"/>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E31F25"/>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E31F25"/>
            </w:tcBorders>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E31F25"/>
            </w:tcBorders>
          </w:tcPr>
          <w:p>
            <w:pPr>
              <w:jc w:val="right"/>
              <w:ind w:right="192"/>
              <w:spacing w:after="0" w:line="97" w:lineRule="exact"/>
              <w:rPr>
                <w:sz w:val="20"/>
                <w:szCs w:val="20"/>
                <w:color w:val="auto"/>
              </w:rPr>
            </w:pPr>
            <w:r>
              <w:rPr>
                <w:rFonts w:ascii="Arial" w:cs="Arial" w:eastAsia="Arial" w:hAnsi="Arial"/>
                <w:sz w:val="10"/>
                <w:szCs w:val="10"/>
                <w:color w:val="auto"/>
              </w:rPr>
              <w:t>–</w:t>
            </w:r>
          </w:p>
        </w:tc>
        <w:tc>
          <w:tcPr>
            <w:tcW w:w="112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E31F25"/>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E31F25"/>
            </w:tcBorders>
          </w:tcPr>
          <w:p>
            <w:pPr>
              <w:jc w:val="right"/>
              <w:ind w:right="12"/>
              <w:spacing w:after="0" w:line="97" w:lineRule="exact"/>
              <w:rPr>
                <w:sz w:val="20"/>
                <w:szCs w:val="20"/>
                <w:color w:val="auto"/>
              </w:rPr>
            </w:pPr>
            <w:r>
              <w:rPr>
                <w:rFonts w:ascii="Arial" w:cs="Arial" w:eastAsia="Arial" w:hAnsi="Arial"/>
                <w:sz w:val="10"/>
                <w:szCs w:val="10"/>
                <w:color w:val="auto"/>
              </w:rPr>
              <w:t>21,797</w:t>
            </w:r>
          </w:p>
        </w:tc>
        <w:tc>
          <w:tcPr>
            <w:tcW w:w="620" w:type="dxa"/>
            <w:vAlign w:val="bottom"/>
            <w:tcBorders>
              <w:bottom w:val="single" w:sz="8" w:color="E31F25"/>
            </w:tcBorders>
          </w:tcPr>
          <w:p>
            <w:pPr>
              <w:spacing w:after="0"/>
              <w:rPr>
                <w:sz w:val="8"/>
                <w:szCs w:val="8"/>
                <w:color w:val="auto"/>
              </w:rPr>
            </w:pPr>
          </w:p>
        </w:tc>
        <w:tc>
          <w:tcPr>
            <w:tcW w:w="800" w:type="dxa"/>
            <w:vAlign w:val="bottom"/>
            <w:tcBorders>
              <w:bottom w:val="single" w:sz="8" w:color="E31F25"/>
            </w:tcBorders>
            <w:gridSpan w:val="2"/>
          </w:tcPr>
          <w:p>
            <w:pPr>
              <w:jc w:val="right"/>
              <w:ind w:right="20"/>
              <w:spacing w:after="0" w:line="97" w:lineRule="exact"/>
              <w:rPr>
                <w:sz w:val="20"/>
                <w:szCs w:val="20"/>
                <w:color w:val="auto"/>
              </w:rPr>
            </w:pPr>
            <w:r>
              <w:rPr>
                <w:rFonts w:ascii="Arial" w:cs="Arial" w:eastAsia="Arial" w:hAnsi="Arial"/>
                <w:sz w:val="10"/>
                <w:szCs w:val="10"/>
                <w:color w:val="auto"/>
              </w:rPr>
              <w:t>968,441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line="97" w:lineRule="exact"/>
              <w:rPr>
                <w:sz w:val="20"/>
                <w:szCs w:val="20"/>
                <w:color w:val="auto"/>
              </w:rPr>
            </w:pPr>
            <w:r>
              <w:rPr>
                <w:rFonts w:ascii="Arial" w:cs="Arial" w:eastAsia="Arial" w:hAnsi="Arial"/>
                <w:sz w:val="10"/>
                <w:szCs w:val="10"/>
                <w:b w:val="1"/>
                <w:bCs w:val="1"/>
                <w:color w:val="D60011"/>
              </w:rPr>
              <w:t>Peters</w:t>
            </w: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34,000</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45.08</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03/26/2024</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32,000</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62.11</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03/25/2025</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28,510</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63.79</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03/23/2026</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32,093</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72.83</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03/22/2027</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20,243</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44.78</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03/28/2028</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14,548</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58.94</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03/27/2029</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33,159</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21.60</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03/25/2030</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Borders>
              <w:bottom w:val="single" w:sz="8" w:color="E31F25"/>
            </w:tcBorders>
          </w:tcPr>
          <w:p>
            <w:pPr>
              <w:spacing w:after="0"/>
              <w:rPr>
                <w:sz w:val="8"/>
                <w:szCs w:val="8"/>
                <w:color w:val="auto"/>
              </w:rPr>
            </w:pPr>
          </w:p>
        </w:tc>
        <w:tc>
          <w:tcPr>
            <w:tcW w:w="150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620" w:type="dxa"/>
            <w:vAlign w:val="bottom"/>
            <w:tcBorders>
              <w:bottom w:val="single" w:sz="8" w:color="E31F25"/>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E31F25"/>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E31F25"/>
            </w:tcBorders>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bottom w:val="single" w:sz="8" w:color="E31F25"/>
            </w:tcBorders>
          </w:tcPr>
          <w:p>
            <w:pPr>
              <w:jc w:val="right"/>
              <w:ind w:right="192"/>
              <w:spacing w:after="0" w:line="97" w:lineRule="exact"/>
              <w:rPr>
                <w:sz w:val="20"/>
                <w:szCs w:val="20"/>
                <w:color w:val="auto"/>
              </w:rPr>
            </w:pPr>
            <w:r>
              <w:rPr>
                <w:rFonts w:ascii="Arial" w:cs="Arial" w:eastAsia="Arial" w:hAnsi="Arial"/>
                <w:sz w:val="10"/>
                <w:szCs w:val="10"/>
                <w:color w:val="auto"/>
              </w:rPr>
              <w:t>–</w:t>
            </w:r>
          </w:p>
        </w:tc>
        <w:tc>
          <w:tcPr>
            <w:tcW w:w="1120" w:type="dxa"/>
            <w:vAlign w:val="bottom"/>
            <w:tcBorders>
              <w:bottom w:val="single" w:sz="8" w:color="E31F25"/>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E31F25"/>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E31F25"/>
            </w:tcBorders>
          </w:tcPr>
          <w:p>
            <w:pPr>
              <w:jc w:val="right"/>
              <w:ind w:right="12"/>
              <w:spacing w:after="0" w:line="97" w:lineRule="exact"/>
              <w:rPr>
                <w:sz w:val="20"/>
                <w:szCs w:val="20"/>
                <w:color w:val="auto"/>
              </w:rPr>
            </w:pPr>
            <w:r>
              <w:rPr>
                <w:rFonts w:ascii="Arial" w:cs="Arial" w:eastAsia="Arial" w:hAnsi="Arial"/>
                <w:sz w:val="10"/>
                <w:szCs w:val="10"/>
                <w:color w:val="auto"/>
              </w:rPr>
              <w:t>21,817</w:t>
            </w:r>
          </w:p>
        </w:tc>
        <w:tc>
          <w:tcPr>
            <w:tcW w:w="620" w:type="dxa"/>
            <w:vAlign w:val="bottom"/>
            <w:tcBorders>
              <w:bottom w:val="single" w:sz="8" w:color="E31F25"/>
            </w:tcBorders>
          </w:tcPr>
          <w:p>
            <w:pPr>
              <w:spacing w:after="0"/>
              <w:rPr>
                <w:sz w:val="8"/>
                <w:szCs w:val="8"/>
                <w:color w:val="auto"/>
              </w:rPr>
            </w:pPr>
          </w:p>
        </w:tc>
        <w:tc>
          <w:tcPr>
            <w:tcW w:w="800" w:type="dxa"/>
            <w:vAlign w:val="bottom"/>
            <w:tcBorders>
              <w:bottom w:val="single" w:sz="8" w:color="E31F25"/>
            </w:tcBorders>
            <w:gridSpan w:val="2"/>
          </w:tcPr>
          <w:p>
            <w:pPr>
              <w:jc w:val="right"/>
              <w:ind w:right="20"/>
              <w:spacing w:after="0" w:line="97" w:lineRule="exact"/>
              <w:rPr>
                <w:sz w:val="20"/>
                <w:szCs w:val="20"/>
                <w:color w:val="auto"/>
              </w:rPr>
            </w:pPr>
            <w:r>
              <w:rPr>
                <w:rFonts w:ascii="Arial" w:cs="Arial" w:eastAsia="Arial" w:hAnsi="Arial"/>
                <w:sz w:val="10"/>
                <w:szCs w:val="10"/>
                <w:color w:val="auto"/>
              </w:rPr>
              <w:t>969,329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line="97" w:lineRule="exact"/>
              <w:rPr>
                <w:sz w:val="20"/>
                <w:szCs w:val="20"/>
                <w:color w:val="auto"/>
              </w:rPr>
            </w:pPr>
            <w:r>
              <w:rPr>
                <w:rFonts w:ascii="Arial" w:cs="Arial" w:eastAsia="Arial" w:hAnsi="Arial"/>
                <w:sz w:val="10"/>
                <w:szCs w:val="10"/>
                <w:b w:val="1"/>
                <w:bCs w:val="1"/>
                <w:color w:val="D60011"/>
              </w:rPr>
              <w:t>Talwar</w:t>
            </w: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18,166</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67.07</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09/23/2026</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19,256</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72.83</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03/22/2027</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12,146</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44.78</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03/28/2028</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9,698</w:t>
            </w:r>
          </w:p>
        </w:tc>
        <w:tc>
          <w:tcPr>
            <w:tcW w:w="1620" w:type="dxa"/>
            <w:vAlign w:val="bottom"/>
            <w:tcBorders>
              <w:bottom w:val="single" w:sz="8" w:color="CCCCCC"/>
            </w:tcBorders>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Borders>
              <w:bottom w:val="single" w:sz="8" w:color="CCCCCC"/>
            </w:tcBorders>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Borders>
              <w:bottom w:val="single" w:sz="8" w:color="CCCCCC"/>
            </w:tcBorders>
          </w:tcPr>
          <w:p>
            <w:pPr>
              <w:jc w:val="right"/>
              <w:spacing w:after="0" w:line="97" w:lineRule="exact"/>
              <w:rPr>
                <w:sz w:val="20"/>
                <w:szCs w:val="20"/>
                <w:color w:val="auto"/>
              </w:rPr>
            </w:pPr>
            <w:r>
              <w:rPr>
                <w:rFonts w:ascii="Arial" w:cs="Arial" w:eastAsia="Arial" w:hAnsi="Arial"/>
                <w:sz w:val="10"/>
                <w:szCs w:val="10"/>
                <w:color w:val="auto"/>
              </w:rPr>
              <w:t>58.94</w:t>
            </w: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jc w:val="right"/>
              <w:ind w:right="192"/>
              <w:spacing w:after="0" w:line="97" w:lineRule="exact"/>
              <w:rPr>
                <w:sz w:val="20"/>
                <w:szCs w:val="20"/>
                <w:color w:val="auto"/>
              </w:rPr>
            </w:pPr>
            <w:r>
              <w:rPr>
                <w:rFonts w:ascii="Arial" w:cs="Arial" w:eastAsia="Arial" w:hAnsi="Arial"/>
                <w:sz w:val="10"/>
                <w:szCs w:val="10"/>
                <w:color w:val="auto"/>
              </w:rPr>
              <w:t>03/27/2029</w:t>
            </w:r>
          </w:p>
        </w:tc>
        <w:tc>
          <w:tcPr>
            <w:tcW w:w="1120" w:type="dxa"/>
            <w:vAlign w:val="bottom"/>
            <w:tcBorders>
              <w:bottom w:val="single" w:sz="8" w:color="CCCCCC"/>
            </w:tcBorders>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CCCCCC"/>
            </w:tcBorders>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Borders>
              <w:bottom w:val="single" w:sz="8" w:color="CCCCCC"/>
            </w:tcBorders>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spacing w:after="0"/>
              <w:rPr>
                <w:sz w:val="8"/>
                <w:szCs w:val="8"/>
                <w:color w:val="auto"/>
              </w:rPr>
            </w:pPr>
          </w:p>
        </w:tc>
        <w:tc>
          <w:tcPr>
            <w:tcW w:w="800" w:type="dxa"/>
            <w:vAlign w:val="bottom"/>
            <w:tcBorders>
              <w:bottom w:val="single" w:sz="8" w:color="CCCCCC"/>
            </w:tcBorders>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500" w:type="dxa"/>
            <w:vAlign w:val="bottom"/>
          </w:tcPr>
          <w:p>
            <w:pPr>
              <w:jc w:val="right"/>
              <w:ind w:right="312"/>
              <w:spacing w:after="0" w:line="97" w:lineRule="exact"/>
              <w:rPr>
                <w:sz w:val="20"/>
                <w:szCs w:val="20"/>
                <w:color w:val="auto"/>
              </w:rPr>
            </w:pPr>
            <w:r>
              <w:rPr>
                <w:rFonts w:ascii="Arial" w:cs="Arial" w:eastAsia="Arial" w:hAnsi="Arial"/>
                <w:sz w:val="10"/>
                <w:szCs w:val="10"/>
                <w:color w:val="auto"/>
              </w:rPr>
              <w:t>13,079</w:t>
            </w:r>
          </w:p>
        </w:tc>
        <w:tc>
          <w:tcPr>
            <w:tcW w:w="1620" w:type="dxa"/>
            <w:vAlign w:val="bottom"/>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100" w:type="dxa"/>
            <w:vAlign w:val="bottom"/>
          </w:tcPr>
          <w:p>
            <w:pPr>
              <w:jc w:val="right"/>
              <w:ind w:right="92"/>
              <w:spacing w:after="0" w:line="97"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97" w:lineRule="exact"/>
              <w:rPr>
                <w:sz w:val="20"/>
                <w:szCs w:val="20"/>
                <w:color w:val="auto"/>
              </w:rPr>
            </w:pPr>
            <w:r>
              <w:rPr>
                <w:rFonts w:ascii="Arial" w:cs="Arial" w:eastAsia="Arial" w:hAnsi="Arial"/>
                <w:sz w:val="10"/>
                <w:szCs w:val="10"/>
                <w:color w:val="auto"/>
              </w:rPr>
              <w:t>21.60</w:t>
            </w:r>
          </w:p>
        </w:tc>
        <w:tc>
          <w:tcPr>
            <w:tcW w:w="120" w:type="dxa"/>
            <w:vAlign w:val="bottom"/>
          </w:tcPr>
          <w:p>
            <w:pPr>
              <w:spacing w:after="0"/>
              <w:rPr>
                <w:sz w:val="8"/>
                <w:szCs w:val="8"/>
                <w:color w:val="auto"/>
              </w:rPr>
            </w:pPr>
          </w:p>
        </w:tc>
        <w:tc>
          <w:tcPr>
            <w:tcW w:w="820" w:type="dxa"/>
            <w:vAlign w:val="bottom"/>
          </w:tcPr>
          <w:p>
            <w:pPr>
              <w:jc w:val="right"/>
              <w:ind w:right="192"/>
              <w:spacing w:after="0" w:line="97" w:lineRule="exact"/>
              <w:rPr>
                <w:sz w:val="20"/>
                <w:szCs w:val="20"/>
                <w:color w:val="auto"/>
              </w:rPr>
            </w:pPr>
            <w:r>
              <w:rPr>
                <w:rFonts w:ascii="Arial" w:cs="Arial" w:eastAsia="Arial" w:hAnsi="Arial"/>
                <w:sz w:val="10"/>
                <w:szCs w:val="10"/>
                <w:color w:val="auto"/>
              </w:rPr>
              <w:t>03/25/2030</w:t>
            </w:r>
          </w:p>
        </w:tc>
        <w:tc>
          <w:tcPr>
            <w:tcW w:w="1120" w:type="dxa"/>
            <w:vAlign w:val="bottom"/>
          </w:tcPr>
          <w:p>
            <w:pPr>
              <w:jc w:val="right"/>
              <w:ind w:right="312"/>
              <w:spacing w:after="0" w:line="97" w:lineRule="exact"/>
              <w:rPr>
                <w:sz w:val="20"/>
                <w:szCs w:val="20"/>
                <w:color w:val="auto"/>
              </w:rPr>
            </w:pPr>
            <w:r>
              <w:rPr>
                <w:rFonts w:ascii="Arial" w:cs="Arial" w:eastAsia="Arial" w:hAnsi="Arial"/>
                <w:sz w:val="10"/>
                <w:szCs w:val="10"/>
                <w:color w:val="auto"/>
              </w:rPr>
              <w:t>–</w:t>
            </w:r>
          </w:p>
        </w:tc>
        <w:tc>
          <w:tcPr>
            <w:tcW w:w="1480" w:type="dxa"/>
            <w:vAlign w:val="bottom"/>
          </w:tcPr>
          <w:p>
            <w:pPr>
              <w:jc w:val="right"/>
              <w:ind w:right="452"/>
              <w:spacing w:after="0" w:line="97" w:lineRule="exact"/>
              <w:rPr>
                <w:sz w:val="20"/>
                <w:szCs w:val="20"/>
                <w:color w:val="auto"/>
              </w:rPr>
            </w:pPr>
            <w:r>
              <w:rPr>
                <w:rFonts w:ascii="Arial" w:cs="Arial" w:eastAsia="Arial" w:hAnsi="Arial"/>
                <w:sz w:val="10"/>
                <w:szCs w:val="10"/>
                <w:color w:val="auto"/>
              </w:rPr>
              <w:t>–</w:t>
            </w:r>
          </w:p>
        </w:tc>
        <w:tc>
          <w:tcPr>
            <w:tcW w:w="920" w:type="dxa"/>
            <w:vAlign w:val="bottom"/>
          </w:tcPr>
          <w:p>
            <w:pPr>
              <w:jc w:val="right"/>
              <w:ind w:right="12"/>
              <w:spacing w:after="0" w:line="97" w:lineRule="exact"/>
              <w:rPr>
                <w:sz w:val="20"/>
                <w:szCs w:val="20"/>
                <w:color w:val="auto"/>
              </w:rPr>
            </w:pPr>
            <w:r>
              <w:rPr>
                <w:rFonts w:ascii="Arial" w:cs="Arial" w:eastAsia="Arial" w:hAnsi="Arial"/>
                <w:sz w:val="10"/>
                <w:szCs w:val="10"/>
                <w:color w:val="auto"/>
              </w:rPr>
              <w:t>–</w:t>
            </w:r>
          </w:p>
        </w:tc>
        <w:tc>
          <w:tcPr>
            <w:tcW w:w="620" w:type="dxa"/>
            <w:vAlign w:val="bottom"/>
          </w:tcPr>
          <w:p>
            <w:pPr>
              <w:spacing w:after="0"/>
              <w:rPr>
                <w:sz w:val="8"/>
                <w:szCs w:val="8"/>
                <w:color w:val="auto"/>
              </w:rPr>
            </w:pPr>
          </w:p>
        </w:tc>
        <w:tc>
          <w:tcPr>
            <w:tcW w:w="800" w:type="dxa"/>
            <w:vAlign w:val="bottom"/>
            <w:gridSpan w:val="2"/>
          </w:tcPr>
          <w:p>
            <w:pPr>
              <w:jc w:val="right"/>
              <w:ind w:right="2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680" w:type="dxa"/>
            <w:vAlign w:val="bottom"/>
            <w:tcBorders>
              <w:top w:val="single" w:sz="8" w:color="E31F25"/>
            </w:tcBorders>
          </w:tcPr>
          <w:p>
            <w:pPr>
              <w:ind w:left="300"/>
              <w:spacing w:after="0"/>
              <w:rPr>
                <w:sz w:val="20"/>
                <w:szCs w:val="20"/>
                <w:color w:val="auto"/>
              </w:rPr>
            </w:pPr>
            <w:r>
              <w:rPr>
                <w:rFonts w:ascii="Arial" w:cs="Arial" w:eastAsia="Arial" w:hAnsi="Arial"/>
                <w:sz w:val="11"/>
                <w:szCs w:val="11"/>
                <w:b w:val="1"/>
                <w:bCs w:val="1"/>
                <w:color w:val="FFFFFF"/>
              </w:rPr>
              <w:t>82</w:t>
            </w:r>
          </w:p>
        </w:tc>
        <w:tc>
          <w:tcPr>
            <w:tcW w:w="1500" w:type="dxa"/>
            <w:vAlign w:val="bottom"/>
            <w:tcBorders>
              <w:top w:val="single" w:sz="8" w:color="E31F25"/>
            </w:tcBorders>
          </w:tcPr>
          <w:p>
            <w:pPr>
              <w:jc w:val="right"/>
              <w:ind w:right="692"/>
              <w:spacing w:after="0"/>
              <w:rPr>
                <w:sz w:val="20"/>
                <w:szCs w:val="20"/>
                <w:color w:val="auto"/>
              </w:rPr>
            </w:pPr>
            <w:r>
              <w:rPr>
                <w:rFonts w:ascii="Times New Roman" w:cs="Times New Roman" w:eastAsia="Times New Roman" w:hAnsi="Times New Roman"/>
                <w:sz w:val="11"/>
                <w:szCs w:val="11"/>
                <w:color w:val="auto"/>
                <w:w w:val="98"/>
              </w:rPr>
              <w:t>F</w:t>
            </w:r>
            <w:r>
              <w:rPr>
                <w:rFonts w:ascii="Times New Roman" w:cs="Times New Roman" w:eastAsia="Times New Roman" w:hAnsi="Times New Roman"/>
                <w:sz w:val="7"/>
                <w:szCs w:val="7"/>
                <w:color w:val="auto"/>
                <w:w w:val="98"/>
              </w:rPr>
              <w:t>OOT</w:t>
            </w:r>
            <w:r>
              <w:rPr>
                <w:rFonts w:ascii="Times New Roman" w:cs="Times New Roman" w:eastAsia="Times New Roman" w:hAnsi="Times New Roman"/>
                <w:sz w:val="11"/>
                <w:szCs w:val="11"/>
                <w:color w:val="auto"/>
                <w:w w:val="98"/>
              </w:rPr>
              <w:t xml:space="preserve"> L</w:t>
            </w:r>
            <w:r>
              <w:rPr>
                <w:rFonts w:ascii="Times New Roman" w:cs="Times New Roman" w:eastAsia="Times New Roman" w:hAnsi="Times New Roman"/>
                <w:sz w:val="7"/>
                <w:szCs w:val="7"/>
                <w:color w:val="auto"/>
                <w:w w:val="98"/>
              </w:rPr>
              <w:t>OCKER</w:t>
            </w:r>
            <w:r>
              <w:rPr>
                <w:rFonts w:ascii="Times New Roman" w:cs="Times New Roman" w:eastAsia="Times New Roman" w:hAnsi="Times New Roman"/>
                <w:sz w:val="11"/>
                <w:szCs w:val="11"/>
                <w:color w:val="auto"/>
                <w:w w:val="98"/>
              </w:rPr>
              <w:t>, I</w:t>
            </w:r>
            <w:r>
              <w:rPr>
                <w:rFonts w:ascii="Times New Roman" w:cs="Times New Roman" w:eastAsia="Times New Roman" w:hAnsi="Times New Roman"/>
                <w:sz w:val="7"/>
                <w:szCs w:val="7"/>
                <w:color w:val="auto"/>
                <w:w w:val="98"/>
              </w:rPr>
              <w:t>NC</w:t>
            </w:r>
            <w:r>
              <w:rPr>
                <w:rFonts w:ascii="Times New Roman" w:cs="Times New Roman" w:eastAsia="Times New Roman" w:hAnsi="Times New Roman"/>
                <w:sz w:val="11"/>
                <w:szCs w:val="11"/>
                <w:color w:val="auto"/>
                <w:w w:val="98"/>
              </w:rPr>
              <w:t>.</w:t>
            </w:r>
          </w:p>
        </w:tc>
        <w:tc>
          <w:tcPr>
            <w:tcW w:w="1620" w:type="dxa"/>
            <w:vAlign w:val="bottom"/>
            <w:tcBorders>
              <w:top w:val="single" w:sz="8" w:color="E31F25"/>
            </w:tcBorders>
          </w:tcPr>
          <w:p>
            <w:pPr>
              <w:spacing w:after="0"/>
              <w:rPr>
                <w:sz w:val="24"/>
                <w:szCs w:val="24"/>
                <w:color w:val="auto"/>
              </w:rPr>
            </w:pPr>
          </w:p>
        </w:tc>
        <w:tc>
          <w:tcPr>
            <w:tcW w:w="1100" w:type="dxa"/>
            <w:vAlign w:val="bottom"/>
            <w:tcBorders>
              <w:top w:val="single" w:sz="8" w:color="E31F25"/>
            </w:tcBorders>
          </w:tcPr>
          <w:p>
            <w:pPr>
              <w:spacing w:after="0"/>
              <w:rPr>
                <w:sz w:val="24"/>
                <w:szCs w:val="24"/>
                <w:color w:val="auto"/>
              </w:rPr>
            </w:pPr>
          </w:p>
        </w:tc>
        <w:tc>
          <w:tcPr>
            <w:tcW w:w="540" w:type="dxa"/>
            <w:vAlign w:val="bottom"/>
            <w:tcBorders>
              <w:top w:val="single" w:sz="8" w:color="E31F25"/>
            </w:tcBorders>
          </w:tcPr>
          <w:p>
            <w:pPr>
              <w:spacing w:after="0"/>
              <w:rPr>
                <w:sz w:val="24"/>
                <w:szCs w:val="24"/>
                <w:color w:val="auto"/>
              </w:rPr>
            </w:pPr>
          </w:p>
        </w:tc>
        <w:tc>
          <w:tcPr>
            <w:tcW w:w="120" w:type="dxa"/>
            <w:vAlign w:val="bottom"/>
            <w:tcBorders>
              <w:top w:val="single" w:sz="8" w:color="E31F25"/>
            </w:tcBorders>
          </w:tcPr>
          <w:p>
            <w:pPr>
              <w:spacing w:after="0"/>
              <w:rPr>
                <w:sz w:val="24"/>
                <w:szCs w:val="24"/>
                <w:color w:val="auto"/>
              </w:rPr>
            </w:pPr>
          </w:p>
        </w:tc>
        <w:tc>
          <w:tcPr>
            <w:tcW w:w="820" w:type="dxa"/>
            <w:vAlign w:val="bottom"/>
            <w:tcBorders>
              <w:top w:val="single" w:sz="8" w:color="E31F25"/>
            </w:tcBorders>
          </w:tcPr>
          <w:p>
            <w:pPr>
              <w:spacing w:after="0"/>
              <w:rPr>
                <w:sz w:val="24"/>
                <w:szCs w:val="24"/>
                <w:color w:val="auto"/>
              </w:rPr>
            </w:pPr>
          </w:p>
        </w:tc>
        <w:tc>
          <w:tcPr>
            <w:tcW w:w="1120" w:type="dxa"/>
            <w:vAlign w:val="bottom"/>
            <w:tcBorders>
              <w:top w:val="single" w:sz="8" w:color="E31F25"/>
            </w:tcBorders>
          </w:tcPr>
          <w:p>
            <w:pPr>
              <w:spacing w:after="0"/>
              <w:rPr>
                <w:sz w:val="24"/>
                <w:szCs w:val="24"/>
                <w:color w:val="auto"/>
              </w:rPr>
            </w:pPr>
          </w:p>
        </w:tc>
        <w:tc>
          <w:tcPr>
            <w:tcW w:w="1480" w:type="dxa"/>
            <w:vAlign w:val="bottom"/>
            <w:tcBorders>
              <w:top w:val="single" w:sz="8" w:color="E31F25"/>
            </w:tcBorders>
          </w:tcPr>
          <w:p>
            <w:pPr>
              <w:spacing w:after="0"/>
              <w:rPr>
                <w:sz w:val="24"/>
                <w:szCs w:val="24"/>
                <w:color w:val="auto"/>
              </w:rPr>
            </w:pPr>
          </w:p>
        </w:tc>
        <w:tc>
          <w:tcPr>
            <w:tcW w:w="1540" w:type="dxa"/>
            <w:vAlign w:val="bottom"/>
            <w:tcBorders>
              <w:top w:val="single" w:sz="8" w:color="E31F25"/>
            </w:tcBorders>
            <w:gridSpan w:val="2"/>
          </w:tcPr>
          <w:p>
            <w:pPr>
              <w:ind w:left="360"/>
              <w:spacing w:after="0"/>
              <w:rPr>
                <w:sz w:val="20"/>
                <w:szCs w:val="20"/>
                <w:color w:val="auto"/>
              </w:rPr>
            </w:pPr>
            <w:r>
              <w:rPr>
                <w:rFonts w:ascii="Arial" w:cs="Arial" w:eastAsia="Arial" w:hAnsi="Arial"/>
                <w:sz w:val="10"/>
                <w:szCs w:val="10"/>
                <w:b w:val="1"/>
                <w:bCs w:val="1"/>
                <w:color w:val="D61100"/>
                <w:w w:val="93"/>
              </w:rPr>
              <w:t xml:space="preserve">2022 </w:t>
            </w:r>
            <w:r>
              <w:rPr>
                <w:rFonts w:ascii="Arial" w:cs="Arial" w:eastAsia="Arial" w:hAnsi="Arial"/>
                <w:sz w:val="10"/>
                <w:szCs w:val="10"/>
                <w:b w:val="1"/>
                <w:bCs w:val="1"/>
                <w:color w:val="000000"/>
                <w:w w:val="93"/>
              </w:rPr>
              <w:t>PROXY STATEMENT</w:t>
            </w:r>
          </w:p>
        </w:tc>
        <w:tc>
          <w:tcPr>
            <w:tcW w:w="780" w:type="dxa"/>
            <w:vAlign w:val="bottom"/>
            <w:tcBorders>
              <w:top w:val="single" w:sz="8" w:color="E31F25"/>
            </w:tcBorders>
          </w:tcPr>
          <w:p>
            <w:pPr>
              <w:jc w:val="right"/>
              <w:ind w:right="272"/>
              <w:spacing w:after="0"/>
              <w:rPr>
                <w:sz w:val="20"/>
                <w:szCs w:val="20"/>
                <w:color w:val="auto"/>
              </w:rPr>
            </w:pPr>
            <w:r>
              <w:rPr>
                <w:rFonts w:ascii="Arial" w:cs="Arial" w:eastAsia="Arial" w:hAnsi="Arial"/>
                <w:sz w:val="11"/>
                <w:szCs w:val="11"/>
                <w:b w:val="1"/>
                <w:bCs w:val="1"/>
                <w:color w:val="FFFFFF"/>
              </w:rPr>
              <w:t>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-393700</wp:posOffset>
            </wp:positionV>
            <wp:extent cx="365760" cy="2171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65760" cy="217170"/>
                    </a:xfrm>
                    <a:prstGeom prst="rect">
                      <a:avLst/>
                    </a:prstGeom>
                    <a:noFill/>
                  </pic:spPr>
                </pic:pic>
              </a:graphicData>
            </a:graphic>
          </wp:anchor>
        </w:drawing>
        <w:drawing>
          <wp:anchor simplePos="0" relativeHeight="251657728" behindDoc="1" locked="0" layoutInCell="0" allowOverlap="1">
            <wp:simplePos x="0" y="0"/>
            <wp:positionH relativeFrom="column">
              <wp:posOffset>6807200</wp:posOffset>
            </wp:positionH>
            <wp:positionV relativeFrom="paragraph">
              <wp:posOffset>-399415</wp:posOffset>
            </wp:positionV>
            <wp:extent cx="365760" cy="2228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84" w:name="page85"/>
    <w:bookmarkEnd w:id="84"/>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58" w:lineRule="exact"/>
        <w:rPr>
          <w:sz w:val="20"/>
          <w:szCs w:val="20"/>
          <w:color w:val="auto"/>
        </w:rPr>
      </w:pPr>
    </w:p>
    <w:p>
      <w:pPr>
        <w:ind w:left="1040" w:hanging="208"/>
        <w:spacing w:after="0"/>
        <w:tabs>
          <w:tab w:leader="none" w:pos="1040" w:val="left"/>
        </w:tabs>
        <w:numPr>
          <w:ilvl w:val="0"/>
          <w:numId w:val="128"/>
        </w:numPr>
        <w:rPr>
          <w:rFonts w:ascii="Arial" w:cs="Arial" w:eastAsia="Arial" w:hAnsi="Arial"/>
          <w:sz w:val="18"/>
          <w:szCs w:val="18"/>
          <w:color w:val="auto"/>
          <w:vertAlign w:val="superscript"/>
        </w:rPr>
      </w:pPr>
      <w:r>
        <w:rPr>
          <w:rFonts w:ascii="Arial" w:cs="Arial" w:eastAsia="Arial" w:hAnsi="Arial"/>
          <w:sz w:val="11"/>
          <w:szCs w:val="11"/>
          <w:color w:val="auto"/>
        </w:rPr>
        <w:t xml:space="preserve">The </w:t>
      </w:r>
      <w:r>
        <w:rPr>
          <w:rFonts w:ascii="Arial" w:cs="Arial" w:eastAsia="Arial" w:hAnsi="Arial"/>
          <w:sz w:val="11"/>
          <w:szCs w:val="11"/>
          <w:b w:val="1"/>
          <w:bCs w:val="1"/>
          <w:color w:val="auto"/>
        </w:rPr>
        <w:t>Vesting Schedules</w:t>
      </w:r>
      <w:r>
        <w:rPr>
          <w:rFonts w:ascii="Arial" w:cs="Arial" w:eastAsia="Arial" w:hAnsi="Arial"/>
          <w:sz w:val="11"/>
          <w:szCs w:val="11"/>
          <w:color w:val="auto"/>
        </w:rPr>
        <w:t xml:space="preserve"> for the options shown in columns (b) and (c) are as follows:</w:t>
      </w:r>
    </w:p>
    <w:p>
      <w:pPr>
        <w:spacing w:after="0" w:line="117"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460" w:type="dxa"/>
            <w:vAlign w:val="bottom"/>
          </w:tcPr>
          <w:p>
            <w:pPr>
              <w:spacing w:after="0"/>
              <w:rPr>
                <w:sz w:val="10"/>
                <w:szCs w:val="10"/>
                <w:color w:val="auto"/>
              </w:rPr>
            </w:pPr>
          </w:p>
        </w:tc>
        <w:tc>
          <w:tcPr>
            <w:tcW w:w="1080" w:type="dxa"/>
            <w:vAlign w:val="bottom"/>
          </w:tcPr>
          <w:p>
            <w:pPr>
              <w:jc w:val="right"/>
              <w:ind w:right="172"/>
              <w:spacing w:after="0"/>
              <w:rPr>
                <w:sz w:val="20"/>
                <w:szCs w:val="20"/>
                <w:color w:val="auto"/>
              </w:rPr>
            </w:pPr>
            <w:r>
              <w:rPr>
                <w:rFonts w:ascii="Arial" w:cs="Arial" w:eastAsia="Arial" w:hAnsi="Arial"/>
                <w:sz w:val="10"/>
                <w:szCs w:val="10"/>
                <w:b w:val="1"/>
                <w:bCs w:val="1"/>
                <w:color w:val="auto"/>
              </w:rPr>
              <w:t>Total</w:t>
            </w: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08"/>
        </w:trPr>
        <w:tc>
          <w:tcPr>
            <w:tcW w:w="2460" w:type="dxa"/>
            <w:vAlign w:val="bottom"/>
          </w:tcPr>
          <w:p>
            <w:pPr>
              <w:spacing w:after="0"/>
              <w:rPr>
                <w:sz w:val="9"/>
                <w:szCs w:val="9"/>
                <w:color w:val="auto"/>
              </w:rPr>
            </w:pP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Securities</w:t>
            </w: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08"/>
        </w:trPr>
        <w:tc>
          <w:tcPr>
            <w:tcW w:w="2460" w:type="dxa"/>
            <w:vAlign w:val="bottom"/>
          </w:tcPr>
          <w:p>
            <w:pPr>
              <w:spacing w:after="0"/>
              <w:rPr>
                <w:sz w:val="9"/>
                <w:szCs w:val="9"/>
                <w:color w:val="auto"/>
              </w:rPr>
            </w:pP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Underlying</w:t>
            </w: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08"/>
        </w:trPr>
        <w:tc>
          <w:tcPr>
            <w:tcW w:w="2460" w:type="dxa"/>
            <w:vAlign w:val="bottom"/>
          </w:tcPr>
          <w:p>
            <w:pPr>
              <w:spacing w:after="0"/>
              <w:rPr>
                <w:sz w:val="9"/>
                <w:szCs w:val="9"/>
                <w:color w:val="auto"/>
              </w:rPr>
            </w:pP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Unexercised</w:t>
            </w:r>
          </w:p>
        </w:tc>
        <w:tc>
          <w:tcPr>
            <w:tcW w:w="860" w:type="dxa"/>
            <w:vAlign w:val="bottom"/>
          </w:tcPr>
          <w:p>
            <w:pPr>
              <w:spacing w:after="0"/>
              <w:rPr>
                <w:sz w:val="9"/>
                <w:szCs w:val="9"/>
                <w:color w:val="auto"/>
              </w:rPr>
            </w:pPr>
          </w:p>
        </w:tc>
        <w:tc>
          <w:tcPr>
            <w:tcW w:w="90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Vesting Date</w:t>
            </w:r>
          </w:p>
        </w:tc>
        <w:tc>
          <w:tcPr>
            <w:tcW w:w="90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Vesting Date</w:t>
            </w:r>
          </w:p>
        </w:tc>
        <w:tc>
          <w:tcPr>
            <w:tcW w:w="7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Vesting Date</w:t>
            </w:r>
          </w:p>
        </w:tc>
      </w:tr>
      <w:tr>
        <w:trPr>
          <w:trHeight w:val="108"/>
        </w:trPr>
        <w:tc>
          <w:tcPr>
            <w:tcW w:w="2460" w:type="dxa"/>
            <w:vAlign w:val="bottom"/>
          </w:tcPr>
          <w:p>
            <w:pPr>
              <w:spacing w:after="0"/>
              <w:rPr>
                <w:sz w:val="9"/>
                <w:szCs w:val="9"/>
                <w:color w:val="auto"/>
              </w:rPr>
            </w:pPr>
          </w:p>
        </w:tc>
        <w:tc>
          <w:tcPr>
            <w:tcW w:w="108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Options</w:t>
            </w:r>
          </w:p>
        </w:tc>
        <w:tc>
          <w:tcPr>
            <w:tcW w:w="860" w:type="dxa"/>
            <w:vAlign w:val="bottom"/>
          </w:tcPr>
          <w:p>
            <w:pPr>
              <w:spacing w:after="0"/>
              <w:rPr>
                <w:sz w:val="9"/>
                <w:szCs w:val="9"/>
                <w:color w:val="auto"/>
              </w:rPr>
            </w:pPr>
          </w:p>
        </w:tc>
        <w:tc>
          <w:tcPr>
            <w:tcW w:w="90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for ⅓ of</w:t>
            </w:r>
          </w:p>
        </w:tc>
        <w:tc>
          <w:tcPr>
            <w:tcW w:w="90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for ⅓ of</w:t>
            </w:r>
          </w:p>
        </w:tc>
        <w:tc>
          <w:tcPr>
            <w:tcW w:w="7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for ⅓ of</w:t>
            </w:r>
          </w:p>
        </w:tc>
      </w:tr>
      <w:tr>
        <w:trPr>
          <w:trHeight w:val="132"/>
        </w:trPr>
        <w:tc>
          <w:tcPr>
            <w:tcW w:w="2460" w:type="dxa"/>
            <w:vAlign w:val="bottom"/>
            <w:tcBorders>
              <w:bottom w:val="single" w:sz="8" w:color="E31F25"/>
            </w:tcBorders>
          </w:tcPr>
          <w:p>
            <w:pPr>
              <w:ind w:left="40"/>
              <w:spacing w:after="0"/>
              <w:rPr>
                <w:sz w:val="20"/>
                <w:szCs w:val="20"/>
                <w:color w:val="auto"/>
              </w:rPr>
            </w:pPr>
            <w:r>
              <w:rPr>
                <w:rFonts w:ascii="Arial" w:cs="Arial" w:eastAsia="Arial" w:hAnsi="Arial"/>
                <w:sz w:val="10"/>
                <w:szCs w:val="10"/>
                <w:b w:val="1"/>
                <w:bCs w:val="1"/>
                <w:color w:val="auto"/>
              </w:rPr>
              <w:t>Name</w:t>
            </w:r>
          </w:p>
        </w:tc>
        <w:tc>
          <w:tcPr>
            <w:tcW w:w="10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Grant Date</w:t>
            </w:r>
          </w:p>
        </w:tc>
        <w:tc>
          <w:tcPr>
            <w:tcW w:w="90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Total Grant</w:t>
            </w:r>
          </w:p>
        </w:tc>
        <w:tc>
          <w:tcPr>
            <w:tcW w:w="90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b w:val="1"/>
                <w:bCs w:val="1"/>
                <w:color w:val="auto"/>
              </w:rPr>
              <w:t>Total Grant</w:t>
            </w:r>
          </w:p>
        </w:tc>
        <w:tc>
          <w:tcPr>
            <w:tcW w:w="78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Total Grant</w:t>
            </w:r>
          </w:p>
        </w:tc>
      </w:tr>
      <w:tr>
        <w:trPr>
          <w:trHeight w:val="133"/>
        </w:trPr>
        <w:tc>
          <w:tcPr>
            <w:tcW w:w="2460" w:type="dxa"/>
            <w:vAlign w:val="bottom"/>
          </w:tcPr>
          <w:p>
            <w:pPr>
              <w:ind w:left="40"/>
              <w:spacing w:after="0"/>
              <w:rPr>
                <w:sz w:val="20"/>
                <w:szCs w:val="20"/>
                <w:color w:val="auto"/>
              </w:rPr>
            </w:pPr>
            <w:r>
              <w:rPr>
                <w:rFonts w:ascii="Arial" w:cs="Arial" w:eastAsia="Arial" w:hAnsi="Arial"/>
                <w:sz w:val="10"/>
                <w:szCs w:val="10"/>
                <w:b w:val="1"/>
                <w:bCs w:val="1"/>
                <w:color w:val="D60011"/>
              </w:rPr>
              <w:t>Johnson</w:t>
            </w: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49,000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03/21/2012</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03/21/2013</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03/21/2014</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03/21/2015</w:t>
            </w:r>
          </w:p>
        </w:tc>
      </w:tr>
      <w:tr>
        <w:trPr>
          <w:trHeight w:val="131"/>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47,000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03/28/2013</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03/28/2014</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03/28/2015</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03/28/2016</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37,000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03/26/2014</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03/26/2015</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03/26/2016</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03/26/2017</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55,000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12/01/2014</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12/01/2015</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12/01/2016</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12/01/2017</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207,900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03/25/2015</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03/25/2016</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03/25/2017</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03/25/2018</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139,380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03/23/2016</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03/23/2018</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03/23/2019</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141,207</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03/22/2019</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03/22/2020</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91,093</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03/28/2020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03/28/2021</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69,829</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03/27/2021</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03/27/2022</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238,746</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03/25/2022</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03/25/2023</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79,971</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03/24/2022</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03/24/2023</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03/24/2024</w:t>
            </w:r>
          </w:p>
        </w:tc>
      </w:tr>
      <w:tr>
        <w:trPr>
          <w:trHeight w:val="135"/>
        </w:trPr>
        <w:tc>
          <w:tcPr>
            <w:tcW w:w="2460" w:type="dxa"/>
            <w:vAlign w:val="bottom"/>
            <w:tcBorders>
              <w:bottom w:val="single" w:sz="8" w:color="E31F25"/>
            </w:tcBorders>
          </w:tcPr>
          <w:p>
            <w:pPr>
              <w:spacing w:after="0"/>
              <w:rPr>
                <w:sz w:val="11"/>
                <w:szCs w:val="11"/>
                <w:color w:val="auto"/>
              </w:rPr>
            </w:pPr>
          </w:p>
        </w:tc>
        <w:tc>
          <w:tcPr>
            <w:tcW w:w="10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1,156,126</w:t>
            </w:r>
          </w:p>
        </w:tc>
        <w:tc>
          <w:tcPr>
            <w:tcW w:w="86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780" w:type="dxa"/>
            <w:vAlign w:val="bottom"/>
            <w:tcBorders>
              <w:bottom w:val="single" w:sz="8" w:color="E31F25"/>
            </w:tcBorders>
          </w:tcPr>
          <w:p>
            <w:pPr>
              <w:spacing w:after="0"/>
              <w:rPr>
                <w:sz w:val="11"/>
                <w:szCs w:val="11"/>
                <w:color w:val="auto"/>
              </w:rPr>
            </w:pPr>
          </w:p>
        </w:tc>
      </w:tr>
      <w:tr>
        <w:trPr>
          <w:trHeight w:val="133"/>
        </w:trPr>
        <w:tc>
          <w:tcPr>
            <w:tcW w:w="2460" w:type="dxa"/>
            <w:vAlign w:val="bottom"/>
          </w:tcPr>
          <w:p>
            <w:pPr>
              <w:ind w:left="40"/>
              <w:spacing w:after="0"/>
              <w:rPr>
                <w:sz w:val="20"/>
                <w:szCs w:val="20"/>
                <w:color w:val="auto"/>
              </w:rPr>
            </w:pPr>
            <w:r>
              <w:rPr>
                <w:rFonts w:ascii="Arial" w:cs="Arial" w:eastAsia="Arial" w:hAnsi="Arial"/>
                <w:sz w:val="10"/>
                <w:szCs w:val="10"/>
                <w:b w:val="1"/>
                <w:bCs w:val="1"/>
                <w:color w:val="D60011"/>
              </w:rPr>
              <w:t>Page</w:t>
            </w: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8,333</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04/13/2021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04/13/2022</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04/13/2023</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04/13/2024</w:t>
            </w:r>
          </w:p>
        </w:tc>
      </w:tr>
      <w:tr>
        <w:trPr>
          <w:trHeight w:val="133"/>
        </w:trPr>
        <w:tc>
          <w:tcPr>
            <w:tcW w:w="2460" w:type="dxa"/>
            <w:vAlign w:val="bottom"/>
            <w:tcBorders>
              <w:bottom w:val="single" w:sz="8" w:color="E31F25"/>
            </w:tcBorders>
          </w:tcPr>
          <w:p>
            <w:pPr>
              <w:spacing w:after="0"/>
              <w:rPr>
                <w:sz w:val="11"/>
                <w:szCs w:val="11"/>
                <w:color w:val="auto"/>
              </w:rPr>
            </w:pPr>
          </w:p>
        </w:tc>
        <w:tc>
          <w:tcPr>
            <w:tcW w:w="10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8,333</w:t>
            </w:r>
          </w:p>
        </w:tc>
        <w:tc>
          <w:tcPr>
            <w:tcW w:w="86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780" w:type="dxa"/>
            <w:vAlign w:val="bottom"/>
            <w:tcBorders>
              <w:bottom w:val="single" w:sz="8" w:color="E31F25"/>
            </w:tcBorders>
          </w:tcPr>
          <w:p>
            <w:pPr>
              <w:spacing w:after="0"/>
              <w:rPr>
                <w:sz w:val="11"/>
                <w:szCs w:val="11"/>
                <w:color w:val="auto"/>
              </w:rPr>
            </w:pPr>
          </w:p>
        </w:tc>
      </w:tr>
      <w:tr>
        <w:trPr>
          <w:trHeight w:val="133"/>
        </w:trPr>
        <w:tc>
          <w:tcPr>
            <w:tcW w:w="2460" w:type="dxa"/>
            <w:vAlign w:val="bottom"/>
          </w:tcPr>
          <w:p>
            <w:pPr>
              <w:ind w:left="40"/>
              <w:spacing w:after="0"/>
              <w:rPr>
                <w:sz w:val="20"/>
                <w:szCs w:val="20"/>
                <w:color w:val="auto"/>
              </w:rPr>
            </w:pPr>
            <w:r>
              <w:rPr>
                <w:rFonts w:ascii="Arial" w:cs="Arial" w:eastAsia="Arial" w:hAnsi="Arial"/>
                <w:sz w:val="10"/>
                <w:szCs w:val="10"/>
                <w:b w:val="1"/>
                <w:bCs w:val="1"/>
                <w:color w:val="D60011"/>
              </w:rPr>
              <w:t>Bracken</w:t>
            </w: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934</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03/26/2014</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03/26/2015</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03/26/2016</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03/26/2017</w:t>
            </w:r>
          </w:p>
        </w:tc>
      </w:tr>
      <w:tr>
        <w:trPr>
          <w:trHeight w:val="131"/>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1,250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03/25/2015</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03/25/2016</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03/25/2017</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03/25/2018</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6,336</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03/23/2016</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03/23/2018</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03/23/2019</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6,419</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03/22/2019</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03/22/2020</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4,049</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03/28/2020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03/28/2021</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4,365</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03/27/2021</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03/27/2022</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14,922</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03/25/2022</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03/25/2023</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9,895</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03/24/2022</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03/24/2023</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03/24/2024</w:t>
            </w:r>
          </w:p>
        </w:tc>
      </w:tr>
      <w:tr>
        <w:trPr>
          <w:trHeight w:val="135"/>
        </w:trPr>
        <w:tc>
          <w:tcPr>
            <w:tcW w:w="2460" w:type="dxa"/>
            <w:vAlign w:val="bottom"/>
            <w:tcBorders>
              <w:bottom w:val="single" w:sz="8" w:color="E31F25"/>
            </w:tcBorders>
          </w:tcPr>
          <w:p>
            <w:pPr>
              <w:spacing w:after="0"/>
              <w:rPr>
                <w:sz w:val="11"/>
                <w:szCs w:val="11"/>
                <w:color w:val="auto"/>
              </w:rPr>
            </w:pPr>
          </w:p>
        </w:tc>
        <w:tc>
          <w:tcPr>
            <w:tcW w:w="10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48,170</w:t>
            </w:r>
          </w:p>
        </w:tc>
        <w:tc>
          <w:tcPr>
            <w:tcW w:w="86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780" w:type="dxa"/>
            <w:vAlign w:val="bottom"/>
            <w:tcBorders>
              <w:bottom w:val="single" w:sz="8" w:color="E31F25"/>
            </w:tcBorders>
          </w:tcPr>
          <w:p>
            <w:pPr>
              <w:spacing w:after="0"/>
              <w:rPr>
                <w:sz w:val="11"/>
                <w:szCs w:val="11"/>
                <w:color w:val="auto"/>
              </w:rPr>
            </w:pPr>
          </w:p>
        </w:tc>
      </w:tr>
      <w:tr>
        <w:trPr>
          <w:trHeight w:val="133"/>
        </w:trPr>
        <w:tc>
          <w:tcPr>
            <w:tcW w:w="2460" w:type="dxa"/>
            <w:vAlign w:val="bottom"/>
          </w:tcPr>
          <w:p>
            <w:pPr>
              <w:ind w:left="40"/>
              <w:spacing w:after="0"/>
              <w:rPr>
                <w:sz w:val="20"/>
                <w:szCs w:val="20"/>
                <w:color w:val="auto"/>
              </w:rPr>
            </w:pPr>
            <w:r>
              <w:rPr>
                <w:rFonts w:ascii="Arial" w:cs="Arial" w:eastAsia="Arial" w:hAnsi="Arial"/>
                <w:sz w:val="10"/>
                <w:szCs w:val="10"/>
                <w:b w:val="1"/>
                <w:bCs w:val="1"/>
                <w:color w:val="D60011"/>
              </w:rPr>
              <w:t>Gray</w:t>
            </w: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1,400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03/26/2014</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03/26/2015</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03/26/2016</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03/26/2017</w:t>
            </w:r>
          </w:p>
        </w:tc>
      </w:tr>
      <w:tr>
        <w:trPr>
          <w:trHeight w:val="131"/>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2,500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03/25/2015</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03/25/2016</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03/25/2017</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03/25/2018</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6,336</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03/23/2016</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03/23/2018</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03/23/2019</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6,419</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03/22/2019</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03/22/2020</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25,606</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10/02/2017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10/02/2018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10/02/2019</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10/02/2020</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6,073</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03/28/2020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03/28/2021</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4,365</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03/27/2021</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03/27/2022</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14,922</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03/25/2022</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03/25/2023</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9,674</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03/24/2022</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03/24/2023</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03/24/2024</w:t>
            </w:r>
          </w:p>
        </w:tc>
      </w:tr>
      <w:tr>
        <w:trPr>
          <w:trHeight w:val="135"/>
        </w:trPr>
        <w:tc>
          <w:tcPr>
            <w:tcW w:w="2460" w:type="dxa"/>
            <w:vAlign w:val="bottom"/>
            <w:tcBorders>
              <w:bottom w:val="single" w:sz="8" w:color="E31F25"/>
            </w:tcBorders>
          </w:tcPr>
          <w:p>
            <w:pPr>
              <w:spacing w:after="0"/>
              <w:rPr>
                <w:sz w:val="11"/>
                <w:szCs w:val="11"/>
                <w:color w:val="auto"/>
              </w:rPr>
            </w:pPr>
          </w:p>
        </w:tc>
        <w:tc>
          <w:tcPr>
            <w:tcW w:w="10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77,295</w:t>
            </w:r>
          </w:p>
        </w:tc>
        <w:tc>
          <w:tcPr>
            <w:tcW w:w="86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780" w:type="dxa"/>
            <w:vAlign w:val="bottom"/>
            <w:tcBorders>
              <w:bottom w:val="single" w:sz="8" w:color="E31F25"/>
            </w:tcBorders>
          </w:tcPr>
          <w:p>
            <w:pPr>
              <w:spacing w:after="0"/>
              <w:rPr>
                <w:sz w:val="11"/>
                <w:szCs w:val="11"/>
                <w:color w:val="auto"/>
              </w:rPr>
            </w:pPr>
          </w:p>
        </w:tc>
      </w:tr>
      <w:tr>
        <w:trPr>
          <w:trHeight w:val="133"/>
        </w:trPr>
        <w:tc>
          <w:tcPr>
            <w:tcW w:w="2460" w:type="dxa"/>
            <w:vAlign w:val="bottom"/>
          </w:tcPr>
          <w:p>
            <w:pPr>
              <w:ind w:left="40"/>
              <w:spacing w:after="0"/>
              <w:rPr>
                <w:sz w:val="20"/>
                <w:szCs w:val="20"/>
                <w:color w:val="auto"/>
              </w:rPr>
            </w:pPr>
            <w:r>
              <w:rPr>
                <w:rFonts w:ascii="Arial" w:cs="Arial" w:eastAsia="Arial" w:hAnsi="Arial"/>
                <w:sz w:val="10"/>
                <w:szCs w:val="10"/>
                <w:b w:val="1"/>
                <w:bCs w:val="1"/>
                <w:color w:val="D60011"/>
              </w:rPr>
              <w:t>Martin</w:t>
            </w: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17,442</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06/13/2016</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06/13/2017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06/13/2018</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06/13/2019</w:t>
            </w:r>
          </w:p>
        </w:tc>
      </w:tr>
      <w:tr>
        <w:trPr>
          <w:trHeight w:val="131"/>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14,442</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03/22/2017</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03/22/2019</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03/22/2020</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9,110</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03/28/2018</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03/28/2020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03/28/2021</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11,639</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03/27/2019</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03/27/2021</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03/27/2022</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39,791</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03/25/2020</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03/25/2022</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03/25/2023</w:t>
            </w:r>
          </w:p>
        </w:tc>
      </w:tr>
      <w:tr>
        <w:trPr>
          <w:trHeight w:val="133"/>
        </w:trPr>
        <w:tc>
          <w:tcPr>
            <w:tcW w:w="2460" w:type="dxa"/>
            <w:vAlign w:val="bottom"/>
          </w:tcPr>
          <w:p>
            <w:pPr>
              <w:spacing w:after="0"/>
              <w:rPr>
                <w:sz w:val="11"/>
                <w:szCs w:val="11"/>
                <w:color w:val="auto"/>
              </w:rPr>
            </w:pPr>
          </w:p>
        </w:tc>
        <w:tc>
          <w:tcPr>
            <w:tcW w:w="108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9,674</w:t>
            </w:r>
          </w:p>
        </w:tc>
        <w:tc>
          <w:tcPr>
            <w:tcW w:w="8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03/24/2021</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03/24/2022</w:t>
            </w:r>
          </w:p>
        </w:tc>
        <w:tc>
          <w:tcPr>
            <w:tcW w:w="9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03/24/2023</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03/24/2024</w:t>
            </w:r>
          </w:p>
        </w:tc>
      </w:tr>
      <w:tr>
        <w:trPr>
          <w:trHeight w:val="135"/>
        </w:trPr>
        <w:tc>
          <w:tcPr>
            <w:tcW w:w="2460" w:type="dxa"/>
            <w:vAlign w:val="bottom"/>
            <w:tcBorders>
              <w:bottom w:val="single" w:sz="8" w:color="E31F25"/>
            </w:tcBorders>
          </w:tcPr>
          <w:p>
            <w:pPr>
              <w:spacing w:after="0"/>
              <w:rPr>
                <w:sz w:val="11"/>
                <w:szCs w:val="11"/>
                <w:color w:val="auto"/>
              </w:rPr>
            </w:pPr>
          </w:p>
        </w:tc>
        <w:tc>
          <w:tcPr>
            <w:tcW w:w="108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102,098</w:t>
            </w:r>
          </w:p>
        </w:tc>
        <w:tc>
          <w:tcPr>
            <w:tcW w:w="86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900" w:type="dxa"/>
            <w:vAlign w:val="bottom"/>
            <w:tcBorders>
              <w:bottom w:val="single" w:sz="8" w:color="E31F25"/>
            </w:tcBorders>
          </w:tcPr>
          <w:p>
            <w:pPr>
              <w:spacing w:after="0"/>
              <w:rPr>
                <w:sz w:val="11"/>
                <w:szCs w:val="11"/>
                <w:color w:val="auto"/>
              </w:rPr>
            </w:pPr>
          </w:p>
        </w:tc>
        <w:tc>
          <w:tcPr>
            <w:tcW w:w="780" w:type="dxa"/>
            <w:vAlign w:val="bottom"/>
            <w:tcBorders>
              <w:bottom w:val="single" w:sz="8" w:color="E31F25"/>
            </w:tcBorders>
          </w:tcPr>
          <w:p>
            <w:pPr>
              <w:spacing w:after="0"/>
              <w:rPr>
                <w:sz w:val="11"/>
                <w:szCs w:val="11"/>
                <w:color w:val="auto"/>
              </w:rPr>
            </w:pPr>
          </w:p>
        </w:tc>
      </w:tr>
    </w:tbl>
    <w:p>
      <w:pPr>
        <w:spacing w:after="0" w:line="112" w:lineRule="exact"/>
        <w:rPr>
          <w:sz w:val="20"/>
          <w:szCs w:val="20"/>
          <w:color w:val="auto"/>
        </w:rPr>
      </w:pPr>
    </w:p>
    <w:p>
      <w:pPr>
        <w:ind w:left="1540" w:hanging="408"/>
        <w:spacing w:after="0"/>
        <w:tabs>
          <w:tab w:leader="none" w:pos="1540" w:val="left"/>
        </w:tabs>
        <w:numPr>
          <w:ilvl w:val="0"/>
          <w:numId w:val="129"/>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254000</wp:posOffset>
            </wp:positionV>
            <wp:extent cx="717804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31"/>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920" w:type="dxa"/>
            <w:vAlign w:val="bottom"/>
            <w:gridSpan w:val="4"/>
          </w:tcPr>
          <w:p>
            <w:pPr>
              <w:ind w:left="580"/>
              <w:spacing w:after="0"/>
              <w:rPr>
                <w:sz w:val="20"/>
                <w:szCs w:val="20"/>
                <w:color w:val="auto"/>
              </w:rPr>
            </w:pPr>
            <w:r>
              <w:rPr>
                <w:rFonts w:ascii="Arial" w:cs="Arial" w:eastAsia="Arial" w:hAnsi="Arial"/>
                <w:sz w:val="10"/>
                <w:szCs w:val="10"/>
                <w:b w:val="1"/>
                <w:bCs w:val="1"/>
                <w:color w:val="D60011"/>
              </w:rPr>
              <w:t>EXECUTIVE COMPENSATION</w:t>
            </w:r>
          </w:p>
        </w:tc>
      </w:tr>
      <w:tr>
        <w:trPr>
          <w:trHeight w:val="229"/>
        </w:trPr>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80" w:type="dxa"/>
            <w:vAlign w:val="bottom"/>
          </w:tcPr>
          <w:p>
            <w:pPr>
              <w:jc w:val="right"/>
              <w:ind w:right="372"/>
              <w:spacing w:after="0"/>
              <w:rPr>
                <w:sz w:val="20"/>
                <w:szCs w:val="20"/>
                <w:color w:val="auto"/>
              </w:rPr>
            </w:pPr>
            <w:r>
              <w:rPr>
                <w:rFonts w:ascii="Arial" w:cs="Arial" w:eastAsia="Arial" w:hAnsi="Arial"/>
                <w:sz w:val="10"/>
                <w:szCs w:val="10"/>
                <w:b w:val="1"/>
                <w:bCs w:val="1"/>
                <w:color w:val="auto"/>
              </w:rPr>
              <w:t>Total</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108"/>
        </w:trPr>
        <w:tc>
          <w:tcPr>
            <w:tcW w:w="2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jc w:val="right"/>
              <w:ind w:right="372"/>
              <w:spacing w:after="0" w:line="108" w:lineRule="exact"/>
              <w:rPr>
                <w:sz w:val="20"/>
                <w:szCs w:val="20"/>
                <w:color w:val="auto"/>
              </w:rPr>
            </w:pPr>
            <w:r>
              <w:rPr>
                <w:rFonts w:ascii="Arial" w:cs="Arial" w:eastAsia="Arial" w:hAnsi="Arial"/>
                <w:sz w:val="10"/>
                <w:szCs w:val="10"/>
                <w:b w:val="1"/>
                <w:bCs w:val="1"/>
                <w:color w:val="auto"/>
              </w:rPr>
              <w:t>Securities</w:t>
            </w: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108"/>
        </w:trPr>
        <w:tc>
          <w:tcPr>
            <w:tcW w:w="2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jc w:val="right"/>
              <w:ind w:right="372"/>
              <w:spacing w:after="0" w:line="108" w:lineRule="exact"/>
              <w:rPr>
                <w:sz w:val="20"/>
                <w:szCs w:val="20"/>
                <w:color w:val="auto"/>
              </w:rPr>
            </w:pPr>
            <w:r>
              <w:rPr>
                <w:rFonts w:ascii="Arial" w:cs="Arial" w:eastAsia="Arial" w:hAnsi="Arial"/>
                <w:sz w:val="10"/>
                <w:szCs w:val="10"/>
                <w:b w:val="1"/>
                <w:bCs w:val="1"/>
                <w:color w:val="auto"/>
              </w:rPr>
              <w:t>Underlying</w:t>
            </w: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108"/>
        </w:trPr>
        <w:tc>
          <w:tcPr>
            <w:tcW w:w="2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jc w:val="right"/>
              <w:ind w:right="372"/>
              <w:spacing w:after="0" w:line="108" w:lineRule="exact"/>
              <w:rPr>
                <w:sz w:val="20"/>
                <w:szCs w:val="20"/>
                <w:color w:val="auto"/>
              </w:rPr>
            </w:pPr>
            <w:r>
              <w:rPr>
                <w:rFonts w:ascii="Arial" w:cs="Arial" w:eastAsia="Arial" w:hAnsi="Arial"/>
                <w:sz w:val="10"/>
                <w:szCs w:val="10"/>
                <w:b w:val="1"/>
                <w:bCs w:val="1"/>
                <w:color w:val="auto"/>
              </w:rPr>
              <w:t>Unexercised</w:t>
            </w:r>
          </w:p>
        </w:tc>
        <w:tc>
          <w:tcPr>
            <w:tcW w:w="660" w:type="dxa"/>
            <w:vAlign w:val="bottom"/>
          </w:tcPr>
          <w:p>
            <w:pPr>
              <w:spacing w:after="0"/>
              <w:rPr>
                <w:sz w:val="9"/>
                <w:szCs w:val="9"/>
                <w:color w:val="auto"/>
              </w:rPr>
            </w:pPr>
          </w:p>
        </w:tc>
        <w:tc>
          <w:tcPr>
            <w:tcW w:w="80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Vesting Date</w:t>
            </w:r>
          </w:p>
        </w:tc>
        <w:tc>
          <w:tcPr>
            <w:tcW w:w="100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Vesting Date</w:t>
            </w:r>
          </w:p>
        </w:tc>
        <w:tc>
          <w:tcPr>
            <w:tcW w:w="2920" w:type="dxa"/>
            <w:vAlign w:val="bottom"/>
            <w:gridSpan w:val="3"/>
          </w:tcPr>
          <w:p>
            <w:pPr>
              <w:jc w:val="right"/>
              <w:ind w:right="2180"/>
              <w:spacing w:after="0" w:line="108" w:lineRule="exact"/>
              <w:rPr>
                <w:sz w:val="20"/>
                <w:szCs w:val="20"/>
                <w:color w:val="auto"/>
              </w:rPr>
            </w:pPr>
            <w:r>
              <w:rPr>
                <w:rFonts w:ascii="Arial" w:cs="Arial" w:eastAsia="Arial" w:hAnsi="Arial"/>
                <w:sz w:val="10"/>
                <w:szCs w:val="10"/>
                <w:b w:val="1"/>
                <w:bCs w:val="1"/>
                <w:color w:val="auto"/>
              </w:rPr>
              <w:t>Vesting Date</w:t>
            </w:r>
          </w:p>
        </w:tc>
      </w:tr>
      <w:tr>
        <w:trPr>
          <w:trHeight w:val="108"/>
        </w:trPr>
        <w:tc>
          <w:tcPr>
            <w:tcW w:w="2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jc w:val="right"/>
              <w:ind w:right="372"/>
              <w:spacing w:after="0" w:line="108" w:lineRule="exact"/>
              <w:rPr>
                <w:sz w:val="20"/>
                <w:szCs w:val="20"/>
                <w:color w:val="auto"/>
              </w:rPr>
            </w:pPr>
            <w:r>
              <w:rPr>
                <w:rFonts w:ascii="Arial" w:cs="Arial" w:eastAsia="Arial" w:hAnsi="Arial"/>
                <w:sz w:val="10"/>
                <w:szCs w:val="10"/>
                <w:b w:val="1"/>
                <w:bCs w:val="1"/>
                <w:color w:val="auto"/>
              </w:rPr>
              <w:t>Options</w:t>
            </w:r>
          </w:p>
        </w:tc>
        <w:tc>
          <w:tcPr>
            <w:tcW w:w="660" w:type="dxa"/>
            <w:vAlign w:val="bottom"/>
          </w:tcPr>
          <w:p>
            <w:pPr>
              <w:spacing w:after="0"/>
              <w:rPr>
                <w:sz w:val="9"/>
                <w:szCs w:val="9"/>
                <w:color w:val="auto"/>
              </w:rPr>
            </w:pPr>
          </w:p>
        </w:tc>
        <w:tc>
          <w:tcPr>
            <w:tcW w:w="80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for ⅓ of</w:t>
            </w:r>
          </w:p>
        </w:tc>
        <w:tc>
          <w:tcPr>
            <w:tcW w:w="100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for ⅓ of</w:t>
            </w:r>
          </w:p>
        </w:tc>
        <w:tc>
          <w:tcPr>
            <w:tcW w:w="240" w:type="dxa"/>
            <w:vAlign w:val="bottom"/>
          </w:tcPr>
          <w:p>
            <w:pPr>
              <w:spacing w:after="0"/>
              <w:rPr>
                <w:sz w:val="9"/>
                <w:szCs w:val="9"/>
                <w:color w:val="auto"/>
              </w:rPr>
            </w:pPr>
          </w:p>
        </w:tc>
        <w:tc>
          <w:tcPr>
            <w:tcW w:w="2680" w:type="dxa"/>
            <w:vAlign w:val="bottom"/>
            <w:gridSpan w:val="2"/>
          </w:tcPr>
          <w:p>
            <w:pPr>
              <w:jc w:val="right"/>
              <w:ind w:right="2180"/>
              <w:spacing w:after="0" w:line="108" w:lineRule="exact"/>
              <w:rPr>
                <w:sz w:val="20"/>
                <w:szCs w:val="20"/>
                <w:color w:val="auto"/>
              </w:rPr>
            </w:pPr>
            <w:r>
              <w:rPr>
                <w:rFonts w:ascii="Arial" w:cs="Arial" w:eastAsia="Arial" w:hAnsi="Arial"/>
                <w:sz w:val="10"/>
                <w:szCs w:val="10"/>
                <w:b w:val="1"/>
                <w:bCs w:val="1"/>
                <w:color w:val="auto"/>
              </w:rPr>
              <w:t>for ⅓ of</w:t>
            </w:r>
          </w:p>
        </w:tc>
      </w:tr>
      <w:tr>
        <w:trPr>
          <w:trHeight w:val="132"/>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280" w:type="dxa"/>
            <w:vAlign w:val="bottom"/>
          </w:tcPr>
          <w:p>
            <w:pPr>
              <w:jc w:val="right"/>
              <w:ind w:right="372"/>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112"/>
              <w:spacing w:after="0"/>
              <w:rPr>
                <w:sz w:val="20"/>
                <w:szCs w:val="20"/>
                <w:color w:val="auto"/>
              </w:rPr>
            </w:pPr>
            <w:r>
              <w:rPr>
                <w:rFonts w:ascii="Arial" w:cs="Arial" w:eastAsia="Arial" w:hAnsi="Arial"/>
                <w:sz w:val="10"/>
                <w:szCs w:val="10"/>
                <w:b w:val="1"/>
                <w:bCs w:val="1"/>
                <w:color w:val="auto"/>
                <w:w w:val="93"/>
              </w:rPr>
              <w:t>Grant Date</w:t>
            </w:r>
          </w:p>
        </w:tc>
        <w:tc>
          <w:tcPr>
            <w:tcW w:w="800" w:type="dxa"/>
            <w:vAlign w:val="bottom"/>
          </w:tcPr>
          <w:p>
            <w:pPr>
              <w:jc w:val="right"/>
              <w:ind w:right="12"/>
              <w:spacing w:after="0"/>
              <w:rPr>
                <w:sz w:val="20"/>
                <w:szCs w:val="20"/>
                <w:color w:val="auto"/>
              </w:rPr>
            </w:pPr>
            <w:r>
              <w:rPr>
                <w:rFonts w:ascii="Arial" w:cs="Arial" w:eastAsia="Arial" w:hAnsi="Arial"/>
                <w:sz w:val="10"/>
                <w:szCs w:val="10"/>
                <w:b w:val="1"/>
                <w:bCs w:val="1"/>
                <w:color w:val="auto"/>
              </w:rPr>
              <w:t>Total Grant</w:t>
            </w:r>
          </w:p>
        </w:tc>
        <w:tc>
          <w:tcPr>
            <w:tcW w:w="1000" w:type="dxa"/>
            <w:vAlign w:val="bottom"/>
          </w:tcPr>
          <w:p>
            <w:pPr>
              <w:jc w:val="right"/>
              <w:ind w:right="112"/>
              <w:spacing w:after="0"/>
              <w:rPr>
                <w:sz w:val="20"/>
                <w:szCs w:val="20"/>
                <w:color w:val="auto"/>
              </w:rPr>
            </w:pPr>
            <w:r>
              <w:rPr>
                <w:rFonts w:ascii="Arial" w:cs="Arial" w:eastAsia="Arial" w:hAnsi="Arial"/>
                <w:sz w:val="10"/>
                <w:szCs w:val="10"/>
                <w:b w:val="1"/>
                <w:bCs w:val="1"/>
                <w:color w:val="auto"/>
              </w:rPr>
              <w:t>Total Grant</w:t>
            </w:r>
          </w:p>
        </w:tc>
        <w:tc>
          <w:tcPr>
            <w:tcW w:w="240" w:type="dxa"/>
            <w:vAlign w:val="bottom"/>
          </w:tcPr>
          <w:p>
            <w:pPr>
              <w:spacing w:after="0"/>
              <w:rPr>
                <w:sz w:val="11"/>
                <w:szCs w:val="11"/>
                <w:color w:val="auto"/>
              </w:rPr>
            </w:pPr>
          </w:p>
        </w:tc>
        <w:tc>
          <w:tcPr>
            <w:tcW w:w="2680" w:type="dxa"/>
            <w:vAlign w:val="bottom"/>
            <w:gridSpan w:val="2"/>
          </w:tcPr>
          <w:p>
            <w:pPr>
              <w:jc w:val="right"/>
              <w:ind w:right="2180"/>
              <w:spacing w:after="0"/>
              <w:rPr>
                <w:sz w:val="20"/>
                <w:szCs w:val="20"/>
                <w:color w:val="auto"/>
              </w:rPr>
            </w:pPr>
            <w:r>
              <w:rPr>
                <w:rFonts w:ascii="Arial" w:cs="Arial" w:eastAsia="Arial" w:hAnsi="Arial"/>
                <w:sz w:val="10"/>
                <w:szCs w:val="10"/>
                <w:b w:val="1"/>
                <w:bCs w:val="1"/>
                <w:color w:val="auto"/>
                <w:w w:val="89"/>
              </w:rPr>
              <w:t>Total Grant</w:t>
            </w:r>
          </w:p>
        </w:tc>
      </w:tr>
      <w:tr>
        <w:trPr>
          <w:trHeight w:val="133"/>
        </w:trPr>
        <w:tc>
          <w:tcPr>
            <w:tcW w:w="2180" w:type="dxa"/>
            <w:vAlign w:val="bottom"/>
          </w:tcPr>
          <w:p>
            <w:pPr>
              <w:spacing w:after="0"/>
              <w:rPr>
                <w:sz w:val="11"/>
                <w:szCs w:val="11"/>
                <w:color w:val="auto"/>
              </w:rPr>
            </w:pPr>
          </w:p>
        </w:tc>
        <w:tc>
          <w:tcPr>
            <w:tcW w:w="40" w:type="dxa"/>
            <w:vAlign w:val="bottom"/>
            <w:tcBorders>
              <w:top w:val="single" w:sz="8" w:color="E31F25"/>
            </w:tcBorders>
          </w:tcPr>
          <w:p>
            <w:pPr>
              <w:spacing w:after="0"/>
              <w:rPr>
                <w:sz w:val="11"/>
                <w:szCs w:val="11"/>
                <w:color w:val="auto"/>
              </w:rPr>
            </w:pPr>
          </w:p>
        </w:tc>
        <w:tc>
          <w:tcPr>
            <w:tcW w:w="2420" w:type="dxa"/>
            <w:vAlign w:val="bottom"/>
            <w:tcBorders>
              <w:top w:val="single" w:sz="8" w:color="E31F25"/>
            </w:tcBorders>
          </w:tcPr>
          <w:p>
            <w:pPr>
              <w:spacing w:after="0"/>
              <w:rPr>
                <w:sz w:val="20"/>
                <w:szCs w:val="20"/>
                <w:color w:val="auto"/>
              </w:rPr>
            </w:pPr>
            <w:r>
              <w:rPr>
                <w:rFonts w:ascii="Arial" w:cs="Arial" w:eastAsia="Arial" w:hAnsi="Arial"/>
                <w:sz w:val="10"/>
                <w:szCs w:val="10"/>
                <w:b w:val="1"/>
                <w:bCs w:val="1"/>
                <w:color w:val="D60011"/>
              </w:rPr>
              <w:t>Peters</w:t>
            </w:r>
          </w:p>
        </w:tc>
        <w:tc>
          <w:tcPr>
            <w:tcW w:w="1280" w:type="dxa"/>
            <w:vAlign w:val="bottom"/>
            <w:tcBorders>
              <w:top w:val="single" w:sz="8" w:color="E31F25"/>
              <w:bottom w:val="single" w:sz="8" w:color="BCBEC0"/>
            </w:tcBorders>
          </w:tcPr>
          <w:p>
            <w:pPr>
              <w:jc w:val="right"/>
              <w:ind w:right="372"/>
              <w:spacing w:after="0"/>
              <w:rPr>
                <w:sz w:val="20"/>
                <w:szCs w:val="20"/>
                <w:color w:val="auto"/>
              </w:rPr>
            </w:pPr>
            <w:r>
              <w:rPr>
                <w:rFonts w:ascii="Arial" w:cs="Arial" w:eastAsia="Arial" w:hAnsi="Arial"/>
                <w:sz w:val="10"/>
                <w:szCs w:val="10"/>
                <w:color w:val="auto"/>
              </w:rPr>
              <w:t>34,000</w:t>
            </w:r>
          </w:p>
        </w:tc>
        <w:tc>
          <w:tcPr>
            <w:tcW w:w="660" w:type="dxa"/>
            <w:vAlign w:val="bottom"/>
            <w:tcBorders>
              <w:top w:val="single" w:sz="8" w:color="E31F25"/>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03/26/2014</w:t>
            </w:r>
          </w:p>
        </w:tc>
        <w:tc>
          <w:tcPr>
            <w:tcW w:w="800" w:type="dxa"/>
            <w:vAlign w:val="bottom"/>
            <w:tcBorders>
              <w:top w:val="single" w:sz="8" w:color="E31F25"/>
              <w:bottom w:val="single" w:sz="8" w:color="BCBEC0"/>
            </w:tcBorders>
          </w:tcPr>
          <w:p>
            <w:pPr>
              <w:jc w:val="right"/>
              <w:ind w:right="12"/>
              <w:spacing w:after="0"/>
              <w:rPr>
                <w:sz w:val="20"/>
                <w:szCs w:val="20"/>
                <w:color w:val="auto"/>
              </w:rPr>
            </w:pPr>
            <w:r>
              <w:rPr>
                <w:rFonts w:ascii="Arial" w:cs="Arial" w:eastAsia="Arial" w:hAnsi="Arial"/>
                <w:sz w:val="10"/>
                <w:szCs w:val="10"/>
                <w:color w:val="auto"/>
              </w:rPr>
              <w:t>03/26/2015</w:t>
            </w:r>
          </w:p>
        </w:tc>
        <w:tc>
          <w:tcPr>
            <w:tcW w:w="1000" w:type="dxa"/>
            <w:vAlign w:val="bottom"/>
            <w:tcBorders>
              <w:top w:val="single" w:sz="8" w:color="E31F25"/>
              <w:bottom w:val="single" w:sz="8" w:color="BCBEC0"/>
            </w:tcBorders>
          </w:tcPr>
          <w:p>
            <w:pPr>
              <w:jc w:val="right"/>
              <w:ind w:right="112"/>
              <w:spacing w:after="0"/>
              <w:rPr>
                <w:sz w:val="20"/>
                <w:szCs w:val="20"/>
                <w:color w:val="auto"/>
              </w:rPr>
            </w:pPr>
            <w:r>
              <w:rPr>
                <w:rFonts w:ascii="Arial" w:cs="Arial" w:eastAsia="Arial" w:hAnsi="Arial"/>
                <w:sz w:val="10"/>
                <w:szCs w:val="10"/>
                <w:color w:val="auto"/>
              </w:rPr>
              <w:t>03/26/2016</w:t>
            </w:r>
          </w:p>
        </w:tc>
        <w:tc>
          <w:tcPr>
            <w:tcW w:w="240" w:type="dxa"/>
            <w:vAlign w:val="bottom"/>
            <w:tcBorders>
              <w:top w:val="single" w:sz="8" w:color="E31F25"/>
              <w:bottom w:val="single" w:sz="8" w:color="BCBEC0"/>
            </w:tcBorders>
          </w:tcPr>
          <w:p>
            <w:pPr>
              <w:spacing w:after="0"/>
              <w:rPr>
                <w:sz w:val="11"/>
                <w:szCs w:val="11"/>
                <w:color w:val="auto"/>
              </w:rPr>
            </w:pPr>
          </w:p>
        </w:tc>
        <w:tc>
          <w:tcPr>
            <w:tcW w:w="540" w:type="dxa"/>
            <w:vAlign w:val="bottom"/>
            <w:tcBorders>
              <w:top w:val="single" w:sz="8" w:color="E31F25"/>
              <w:bottom w:val="single" w:sz="8" w:color="BCBEC0"/>
            </w:tcBorders>
          </w:tcPr>
          <w:p>
            <w:pPr>
              <w:jc w:val="right"/>
              <w:spacing w:after="0"/>
              <w:rPr>
                <w:sz w:val="20"/>
                <w:szCs w:val="20"/>
                <w:color w:val="auto"/>
              </w:rPr>
            </w:pPr>
            <w:r>
              <w:rPr>
                <w:rFonts w:ascii="Arial" w:cs="Arial" w:eastAsia="Arial" w:hAnsi="Arial"/>
                <w:sz w:val="10"/>
                <w:szCs w:val="10"/>
                <w:color w:val="auto"/>
                <w:w w:val="95"/>
              </w:rPr>
              <w:t>03/26/2017</w:t>
            </w:r>
          </w:p>
        </w:tc>
        <w:tc>
          <w:tcPr>
            <w:tcW w:w="2140" w:type="dxa"/>
            <w:vAlign w:val="bottom"/>
          </w:tcPr>
          <w:p>
            <w:pPr>
              <w:spacing w:after="0"/>
              <w:rPr>
                <w:sz w:val="11"/>
                <w:szCs w:val="11"/>
                <w:color w:val="auto"/>
              </w:rPr>
            </w:pPr>
          </w:p>
        </w:tc>
      </w:tr>
      <w:tr>
        <w:trPr>
          <w:trHeight w:val="131"/>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32,000</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03/25/2015</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03/25/2016</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03/25/2017</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03/25/2018</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28,510</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03/23/2016</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03/23/2017</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03/23/2018</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03/23/2019</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32,093</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03/22/2017</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03/22/2018</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03/22/2019</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03/22/2020</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20,243</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03/28/2018</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03/28/2019</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03/28/2020</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03/28/2021</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14,548</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03/27/2019</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03/27/2020</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03/27/2021</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03/27/2022</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33,159</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03/25/2020</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03/25/2021</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03/25/2022</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w:t>
            </w:r>
          </w:p>
        </w:tc>
        <w:tc>
          <w:tcPr>
            <w:tcW w:w="214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40" w:type="dxa"/>
            <w:vAlign w:val="bottom"/>
            <w:tcBorders>
              <w:bottom w:val="single" w:sz="8" w:color="E31F25"/>
            </w:tcBorders>
          </w:tcPr>
          <w:p>
            <w:pPr>
              <w:spacing w:after="0"/>
              <w:rPr>
                <w:sz w:val="11"/>
                <w:szCs w:val="11"/>
                <w:color w:val="auto"/>
              </w:rPr>
            </w:pPr>
          </w:p>
        </w:tc>
        <w:tc>
          <w:tcPr>
            <w:tcW w:w="2420" w:type="dxa"/>
            <w:vAlign w:val="bottom"/>
            <w:tcBorders>
              <w:bottom w:val="single" w:sz="8" w:color="E31F25"/>
            </w:tcBorders>
          </w:tcPr>
          <w:p>
            <w:pPr>
              <w:spacing w:after="0"/>
              <w:rPr>
                <w:sz w:val="11"/>
                <w:szCs w:val="11"/>
                <w:color w:val="auto"/>
              </w:rPr>
            </w:pPr>
          </w:p>
        </w:tc>
        <w:tc>
          <w:tcPr>
            <w:tcW w:w="1280" w:type="dxa"/>
            <w:vAlign w:val="bottom"/>
            <w:tcBorders>
              <w:bottom w:val="single" w:sz="8" w:color="E31F25"/>
            </w:tcBorders>
          </w:tcPr>
          <w:p>
            <w:pPr>
              <w:jc w:val="right"/>
              <w:ind w:right="372"/>
              <w:spacing w:after="0"/>
              <w:rPr>
                <w:sz w:val="20"/>
                <w:szCs w:val="20"/>
                <w:color w:val="auto"/>
              </w:rPr>
            </w:pPr>
            <w:r>
              <w:rPr>
                <w:rFonts w:ascii="Arial" w:cs="Arial" w:eastAsia="Arial" w:hAnsi="Arial"/>
                <w:sz w:val="10"/>
                <w:szCs w:val="10"/>
                <w:b w:val="1"/>
                <w:bCs w:val="1"/>
                <w:color w:val="auto"/>
              </w:rPr>
              <w:t>194,553</w:t>
            </w:r>
          </w:p>
        </w:tc>
        <w:tc>
          <w:tcPr>
            <w:tcW w:w="660" w:type="dxa"/>
            <w:vAlign w:val="bottom"/>
            <w:tcBorders>
              <w:bottom w:val="single" w:sz="8" w:color="E31F25"/>
            </w:tcBorders>
          </w:tcPr>
          <w:p>
            <w:pPr>
              <w:spacing w:after="0"/>
              <w:rPr>
                <w:sz w:val="11"/>
                <w:szCs w:val="11"/>
                <w:color w:val="auto"/>
              </w:rPr>
            </w:pPr>
          </w:p>
        </w:tc>
        <w:tc>
          <w:tcPr>
            <w:tcW w:w="800" w:type="dxa"/>
            <w:vAlign w:val="bottom"/>
            <w:tcBorders>
              <w:bottom w:val="single" w:sz="8" w:color="E31F25"/>
            </w:tcBorders>
          </w:tcPr>
          <w:p>
            <w:pPr>
              <w:spacing w:after="0"/>
              <w:rPr>
                <w:sz w:val="11"/>
                <w:szCs w:val="11"/>
                <w:color w:val="auto"/>
              </w:rPr>
            </w:pPr>
          </w:p>
        </w:tc>
        <w:tc>
          <w:tcPr>
            <w:tcW w:w="1000" w:type="dxa"/>
            <w:vAlign w:val="bottom"/>
            <w:tcBorders>
              <w:bottom w:val="single" w:sz="8" w:color="E31F25"/>
            </w:tcBorders>
          </w:tcPr>
          <w:p>
            <w:pPr>
              <w:spacing w:after="0"/>
              <w:rPr>
                <w:sz w:val="11"/>
                <w:szCs w:val="11"/>
                <w:color w:val="auto"/>
              </w:rPr>
            </w:pPr>
          </w:p>
        </w:tc>
        <w:tc>
          <w:tcPr>
            <w:tcW w:w="240" w:type="dxa"/>
            <w:vAlign w:val="bottom"/>
            <w:tcBorders>
              <w:bottom w:val="single" w:sz="8" w:color="E31F25"/>
            </w:tcBorders>
          </w:tcPr>
          <w:p>
            <w:pPr>
              <w:spacing w:after="0"/>
              <w:rPr>
                <w:sz w:val="11"/>
                <w:szCs w:val="11"/>
                <w:color w:val="auto"/>
              </w:rPr>
            </w:pPr>
          </w:p>
        </w:tc>
        <w:tc>
          <w:tcPr>
            <w:tcW w:w="540" w:type="dxa"/>
            <w:vAlign w:val="bottom"/>
            <w:tcBorders>
              <w:bottom w:val="single" w:sz="8" w:color="E31F25"/>
            </w:tcBorders>
          </w:tcPr>
          <w:p>
            <w:pPr>
              <w:spacing w:after="0"/>
              <w:rPr>
                <w:sz w:val="11"/>
                <w:szCs w:val="11"/>
                <w:color w:val="auto"/>
              </w:rPr>
            </w:pP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20"/>
                <w:szCs w:val="20"/>
                <w:color w:val="auto"/>
              </w:rPr>
            </w:pPr>
            <w:r>
              <w:rPr>
                <w:rFonts w:ascii="Arial" w:cs="Arial" w:eastAsia="Arial" w:hAnsi="Arial"/>
                <w:sz w:val="10"/>
                <w:szCs w:val="10"/>
                <w:b w:val="1"/>
                <w:bCs w:val="1"/>
                <w:color w:val="D60011"/>
              </w:rPr>
              <w:t>Talwar</w:t>
            </w: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18,166</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09/23/2016</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09/23/2017</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09/23/2018</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09/23/2019</w:t>
            </w:r>
          </w:p>
        </w:tc>
        <w:tc>
          <w:tcPr>
            <w:tcW w:w="2140" w:type="dxa"/>
            <w:vAlign w:val="bottom"/>
          </w:tcPr>
          <w:p>
            <w:pPr>
              <w:spacing w:after="0"/>
              <w:rPr>
                <w:sz w:val="11"/>
                <w:szCs w:val="11"/>
                <w:color w:val="auto"/>
              </w:rPr>
            </w:pPr>
          </w:p>
        </w:tc>
      </w:tr>
      <w:tr>
        <w:trPr>
          <w:trHeight w:val="131"/>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19,256</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03/22/2017</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03/22/2018</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03/22/2019</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03/22/2020</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12,146</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03/28/2018</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03/28/2019</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03/28/2020</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w w:val="95"/>
              </w:rPr>
              <w:t>03/28/2021</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9,698</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03/27/2019</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03/27/2020</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03/27/2021</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w:t>
            </w:r>
          </w:p>
        </w:tc>
        <w:tc>
          <w:tcPr>
            <w:tcW w:w="2140" w:type="dxa"/>
            <w:vAlign w:val="bottom"/>
          </w:tcPr>
          <w:p>
            <w:pPr>
              <w:spacing w:after="0"/>
              <w:rPr>
                <w:sz w:val="11"/>
                <w:szCs w:val="11"/>
                <w:color w:val="auto"/>
              </w:rPr>
            </w:pPr>
          </w:p>
        </w:tc>
      </w:tr>
      <w:tr>
        <w:trPr>
          <w:trHeight w:val="133"/>
        </w:trPr>
        <w:tc>
          <w:tcPr>
            <w:tcW w:w="2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Borders>
              <w:bottom w:val="single" w:sz="8" w:color="BCBEC0"/>
            </w:tcBorders>
          </w:tcPr>
          <w:p>
            <w:pPr>
              <w:jc w:val="right"/>
              <w:ind w:right="372"/>
              <w:spacing w:after="0"/>
              <w:rPr>
                <w:sz w:val="20"/>
                <w:szCs w:val="20"/>
                <w:color w:val="auto"/>
              </w:rPr>
            </w:pPr>
            <w:r>
              <w:rPr>
                <w:rFonts w:ascii="Arial" w:cs="Arial" w:eastAsia="Arial" w:hAnsi="Arial"/>
                <w:sz w:val="10"/>
                <w:szCs w:val="10"/>
                <w:color w:val="auto"/>
              </w:rPr>
              <w:t>13,079</w:t>
            </w:r>
          </w:p>
        </w:tc>
        <w:tc>
          <w:tcPr>
            <w:tcW w:w="66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w w:val="95"/>
              </w:rPr>
              <w:t>03/25/2020</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03/25/2021</w:t>
            </w:r>
          </w:p>
        </w:tc>
        <w:tc>
          <w:tcPr>
            <w:tcW w:w="1000" w:type="dxa"/>
            <w:vAlign w:val="bottom"/>
            <w:tcBorders>
              <w:bottom w:val="single" w:sz="8" w:color="BCBEC0"/>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EC0"/>
            </w:tcBorders>
          </w:tcPr>
          <w:p>
            <w:pPr>
              <w:spacing w:after="0"/>
              <w:rPr>
                <w:sz w:val="11"/>
                <w:szCs w:val="11"/>
                <w:color w:val="auto"/>
              </w:rPr>
            </w:pP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w:t>
            </w:r>
          </w:p>
        </w:tc>
        <w:tc>
          <w:tcPr>
            <w:tcW w:w="214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40" w:type="dxa"/>
            <w:vAlign w:val="bottom"/>
            <w:tcBorders>
              <w:bottom w:val="single" w:sz="8" w:color="E31F25"/>
            </w:tcBorders>
          </w:tcPr>
          <w:p>
            <w:pPr>
              <w:spacing w:after="0"/>
              <w:rPr>
                <w:sz w:val="11"/>
                <w:szCs w:val="11"/>
                <w:color w:val="auto"/>
              </w:rPr>
            </w:pPr>
          </w:p>
        </w:tc>
        <w:tc>
          <w:tcPr>
            <w:tcW w:w="2420" w:type="dxa"/>
            <w:vAlign w:val="bottom"/>
            <w:tcBorders>
              <w:bottom w:val="single" w:sz="8" w:color="E31F25"/>
            </w:tcBorders>
          </w:tcPr>
          <w:p>
            <w:pPr>
              <w:spacing w:after="0"/>
              <w:rPr>
                <w:sz w:val="11"/>
                <w:szCs w:val="11"/>
                <w:color w:val="auto"/>
              </w:rPr>
            </w:pPr>
          </w:p>
        </w:tc>
        <w:tc>
          <w:tcPr>
            <w:tcW w:w="1280" w:type="dxa"/>
            <w:vAlign w:val="bottom"/>
            <w:tcBorders>
              <w:bottom w:val="single" w:sz="8" w:color="E31F25"/>
            </w:tcBorders>
          </w:tcPr>
          <w:p>
            <w:pPr>
              <w:jc w:val="right"/>
              <w:ind w:right="372"/>
              <w:spacing w:after="0"/>
              <w:rPr>
                <w:sz w:val="20"/>
                <w:szCs w:val="20"/>
                <w:color w:val="auto"/>
              </w:rPr>
            </w:pPr>
            <w:r>
              <w:rPr>
                <w:rFonts w:ascii="Arial" w:cs="Arial" w:eastAsia="Arial" w:hAnsi="Arial"/>
                <w:sz w:val="10"/>
                <w:szCs w:val="10"/>
                <w:b w:val="1"/>
                <w:bCs w:val="1"/>
                <w:color w:val="auto"/>
              </w:rPr>
              <w:t>72,345</w:t>
            </w:r>
          </w:p>
        </w:tc>
        <w:tc>
          <w:tcPr>
            <w:tcW w:w="660" w:type="dxa"/>
            <w:vAlign w:val="bottom"/>
            <w:tcBorders>
              <w:bottom w:val="single" w:sz="8" w:color="E31F25"/>
            </w:tcBorders>
          </w:tcPr>
          <w:p>
            <w:pPr>
              <w:spacing w:after="0"/>
              <w:rPr>
                <w:sz w:val="11"/>
                <w:szCs w:val="11"/>
                <w:color w:val="auto"/>
              </w:rPr>
            </w:pPr>
          </w:p>
        </w:tc>
        <w:tc>
          <w:tcPr>
            <w:tcW w:w="800" w:type="dxa"/>
            <w:vAlign w:val="bottom"/>
            <w:tcBorders>
              <w:bottom w:val="single" w:sz="8" w:color="E31F25"/>
            </w:tcBorders>
          </w:tcPr>
          <w:p>
            <w:pPr>
              <w:spacing w:after="0"/>
              <w:rPr>
                <w:sz w:val="11"/>
                <w:szCs w:val="11"/>
                <w:color w:val="auto"/>
              </w:rPr>
            </w:pPr>
          </w:p>
        </w:tc>
        <w:tc>
          <w:tcPr>
            <w:tcW w:w="1000" w:type="dxa"/>
            <w:vAlign w:val="bottom"/>
            <w:tcBorders>
              <w:bottom w:val="single" w:sz="8" w:color="E31F25"/>
            </w:tcBorders>
          </w:tcPr>
          <w:p>
            <w:pPr>
              <w:spacing w:after="0"/>
              <w:rPr>
                <w:sz w:val="11"/>
                <w:szCs w:val="11"/>
                <w:color w:val="auto"/>
              </w:rPr>
            </w:pPr>
          </w:p>
        </w:tc>
        <w:tc>
          <w:tcPr>
            <w:tcW w:w="240" w:type="dxa"/>
            <w:vAlign w:val="bottom"/>
            <w:tcBorders>
              <w:bottom w:val="single" w:sz="8" w:color="E31F25"/>
            </w:tcBorders>
          </w:tcPr>
          <w:p>
            <w:pPr>
              <w:spacing w:after="0"/>
              <w:rPr>
                <w:sz w:val="11"/>
                <w:szCs w:val="11"/>
                <w:color w:val="auto"/>
              </w:rPr>
            </w:pPr>
          </w:p>
        </w:tc>
        <w:tc>
          <w:tcPr>
            <w:tcW w:w="540" w:type="dxa"/>
            <w:vAlign w:val="bottom"/>
            <w:tcBorders>
              <w:bottom w:val="single" w:sz="8" w:color="E31F25"/>
            </w:tcBorders>
          </w:tcPr>
          <w:p>
            <w:pPr>
              <w:spacing w:after="0"/>
              <w:rPr>
                <w:sz w:val="11"/>
                <w:szCs w:val="11"/>
                <w:color w:val="auto"/>
              </w:rPr>
            </w:pPr>
          </w:p>
        </w:tc>
        <w:tc>
          <w:tcPr>
            <w:tcW w:w="2140" w:type="dxa"/>
            <w:vAlign w:val="bottom"/>
          </w:tcPr>
          <w:p>
            <w:pPr>
              <w:spacing w:after="0"/>
              <w:rPr>
                <w:sz w:val="11"/>
                <w:szCs w:val="11"/>
                <w:color w:val="auto"/>
              </w:rPr>
            </w:pPr>
          </w:p>
        </w:tc>
      </w:tr>
      <w:tr>
        <w:trPr>
          <w:trHeight w:val="236"/>
        </w:trPr>
        <w:tc>
          <w:tcPr>
            <w:tcW w:w="21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3700" w:type="dxa"/>
            <w:vAlign w:val="bottom"/>
            <w:gridSpan w:val="2"/>
          </w:tcPr>
          <w:p>
            <w:pPr>
              <w:jc w:val="right"/>
              <w:spacing w:after="0"/>
              <w:rPr>
                <w:sz w:val="20"/>
                <w:szCs w:val="20"/>
                <w:color w:val="auto"/>
              </w:rPr>
            </w:pPr>
            <w:r>
              <w:rPr>
                <w:rFonts w:ascii="Arial" w:cs="Arial" w:eastAsia="Arial" w:hAnsi="Arial"/>
                <w:sz w:val="10"/>
                <w:szCs w:val="10"/>
                <w:color w:val="auto"/>
              </w:rPr>
              <w:t>Unvested portion of stock option award cancelled upon termination of employment.</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5"/>
        </w:trPr>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FF0000"/>
                <w:w w:val="93"/>
              </w:rPr>
              <w:t xml:space="preserve">2022 </w:t>
            </w:r>
            <w:r>
              <w:rPr>
                <w:rFonts w:ascii="Arial" w:cs="Arial" w:eastAsia="Arial" w:hAnsi="Arial"/>
                <w:sz w:val="10"/>
                <w:szCs w:val="10"/>
                <w:b w:val="1"/>
                <w:bCs w:val="1"/>
                <w:color w:val="000000"/>
                <w:w w:val="93"/>
              </w:rPr>
              <w:t>PROXY STATEMENT</w:t>
            </w:r>
          </w:p>
        </w:tc>
        <w:tc>
          <w:tcPr>
            <w:tcW w:w="540" w:type="dxa"/>
            <w:vAlign w:val="bottom"/>
          </w:tcPr>
          <w:p>
            <w:pPr>
              <w:jc w:val="right"/>
              <w:ind w:right="112"/>
              <w:spacing w:after="0"/>
              <w:rPr>
                <w:sz w:val="20"/>
                <w:szCs w:val="20"/>
                <w:color w:val="auto"/>
              </w:rPr>
            </w:pPr>
            <w:r>
              <w:rPr>
                <w:rFonts w:ascii="Arial" w:cs="Arial" w:eastAsia="Arial" w:hAnsi="Arial"/>
                <w:sz w:val="11"/>
                <w:szCs w:val="11"/>
                <w:b w:val="1"/>
                <w:bCs w:val="1"/>
                <w:color w:val="FFFFFF"/>
              </w:rPr>
              <w:t>85</w:t>
            </w:r>
          </w:p>
        </w:tc>
        <w:tc>
          <w:tcPr>
            <w:tcW w:w="2140" w:type="dxa"/>
            <w:vAlign w:val="bottom"/>
          </w:tcPr>
          <w:p>
            <w:pPr>
              <w:spacing w:after="0"/>
              <w:rPr>
                <w:sz w:val="24"/>
                <w:szCs w:val="24"/>
                <w:color w:val="auto"/>
              </w:rPr>
            </w:pPr>
          </w:p>
        </w:tc>
      </w:tr>
      <w:tr>
        <w:trPr>
          <w:trHeight w:val="354"/>
        </w:trPr>
        <w:tc>
          <w:tcPr>
            <w:tcW w:w="2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-427990</wp:posOffset>
            </wp:positionV>
            <wp:extent cx="365760" cy="2228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86" w:name="page87"/>
    <w:bookmarkEnd w:id="86"/>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65" w:lineRule="exact"/>
        <w:rPr>
          <w:sz w:val="20"/>
          <w:szCs w:val="20"/>
          <w:color w:val="auto"/>
        </w:rPr>
      </w:pPr>
    </w:p>
    <w:p>
      <w:pPr>
        <w:ind w:left="1040" w:hanging="208"/>
        <w:spacing w:after="0"/>
        <w:tabs>
          <w:tab w:leader="none" w:pos="1040" w:val="left"/>
        </w:tabs>
        <w:numPr>
          <w:ilvl w:val="0"/>
          <w:numId w:val="130"/>
        </w:numPr>
        <w:rPr>
          <w:rFonts w:ascii="Arial" w:cs="Arial" w:eastAsia="Arial" w:hAnsi="Arial"/>
          <w:sz w:val="15"/>
          <w:szCs w:val="15"/>
          <w:color w:val="auto"/>
          <w:vertAlign w:val="superscript"/>
        </w:rPr>
      </w:pPr>
      <w:r>
        <w:rPr>
          <w:rFonts w:ascii="Arial" w:cs="Arial" w:eastAsia="Arial" w:hAnsi="Arial"/>
          <w:sz w:val="9"/>
          <w:szCs w:val="9"/>
          <w:color w:val="auto"/>
        </w:rPr>
        <w:t>The vesting dates for the RSU awards shown in column (g) and the PSUs shown in column (i) are set forth in the table below. The PSUs shown in column (i) consist of</w:t>
      </w:r>
    </w:p>
    <w:p>
      <w:pPr>
        <w:ind w:left="1040" w:right="879"/>
        <w:spacing w:after="0" w:line="234" w:lineRule="auto"/>
        <w:rPr>
          <w:rFonts w:ascii="Arial" w:cs="Arial" w:eastAsia="Arial" w:hAnsi="Arial"/>
          <w:sz w:val="15"/>
          <w:szCs w:val="15"/>
          <w:color w:val="auto"/>
          <w:vertAlign w:val="superscript"/>
        </w:rPr>
      </w:pPr>
      <w:r>
        <w:rPr>
          <w:rFonts w:ascii="Arial" w:cs="Arial" w:eastAsia="Arial" w:hAnsi="Arial"/>
          <w:sz w:val="10"/>
          <w:szCs w:val="10"/>
          <w:color w:val="auto"/>
        </w:rPr>
        <w:t>(a) PSUs granted in 2020 for the 2020-21 performance period; and (b) PSUs granted in 2021 that will be earned only if the threshold performance goals for the 2021-22 performance period are achieved (and, if earned, will vest in 2024).</w:t>
      </w:r>
    </w:p>
    <w:p>
      <w:pPr>
        <w:spacing w:after="0" w:line="126" w:lineRule="exact"/>
        <w:rPr>
          <w:sz w:val="20"/>
          <w:szCs w:val="20"/>
          <w:color w:val="auto"/>
        </w:rPr>
      </w:pPr>
    </w:p>
    <w:tbl>
      <w:tblPr>
        <w:tblLayout w:type="fixed"/>
        <w:tblInd w:w="1040" w:type="dxa"/>
        <w:tblCellMar>
          <w:top w:w="0" w:type="dxa"/>
          <w:left w:w="0" w:type="dxa"/>
          <w:bottom w:w="0" w:type="dxa"/>
          <w:right w:w="0" w:type="dxa"/>
        </w:tblCellMar>
      </w:tblPr>
      <w:tr>
        <w:trPr>
          <w:trHeight w:val="132"/>
        </w:trPr>
        <w:tc>
          <w:tcPr>
            <w:tcW w:w="3780" w:type="dxa"/>
            <w:vAlign w:val="bottom"/>
            <w:tcBorders>
              <w:bottom w:val="single" w:sz="8" w:color="E31F25"/>
            </w:tcBorders>
          </w:tcPr>
          <w:p>
            <w:pPr>
              <w:ind w:left="40"/>
              <w:spacing w:after="0"/>
              <w:rPr>
                <w:sz w:val="20"/>
                <w:szCs w:val="20"/>
                <w:color w:val="auto"/>
              </w:rPr>
            </w:pPr>
            <w:r>
              <w:rPr>
                <w:rFonts w:ascii="Arial" w:cs="Arial" w:eastAsia="Arial" w:hAnsi="Arial"/>
                <w:sz w:val="10"/>
                <w:szCs w:val="10"/>
                <w:b w:val="1"/>
                <w:bCs w:val="1"/>
                <w:color w:val="auto"/>
              </w:rPr>
              <w:t>Name</w:t>
            </w:r>
          </w:p>
        </w:tc>
        <w:tc>
          <w:tcPr>
            <w:tcW w:w="8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b w:val="1"/>
                <w:bCs w:val="1"/>
                <w:color w:val="auto"/>
              </w:rPr>
              <w:t>Grant Date</w:t>
            </w:r>
          </w:p>
        </w:tc>
        <w:tc>
          <w:tcPr>
            <w:tcW w:w="96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b w:val="1"/>
                <w:bCs w:val="1"/>
                <w:color w:val="auto"/>
              </w:rPr>
              <w:t>Type of Award</w:t>
            </w:r>
          </w:p>
        </w:tc>
        <w:tc>
          <w:tcPr>
            <w:tcW w:w="6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b w:val="1"/>
                <w:bCs w:val="1"/>
                <w:color w:val="auto"/>
              </w:rPr>
              <w:t>Shares (#)</w:t>
            </w:r>
          </w:p>
        </w:tc>
        <w:tc>
          <w:tcPr>
            <w:tcW w:w="7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b w:val="1"/>
                <w:bCs w:val="1"/>
                <w:color w:val="auto"/>
              </w:rPr>
              <w:t>Vesting Date</w:t>
            </w:r>
          </w:p>
        </w:tc>
      </w:tr>
      <w:tr>
        <w:trPr>
          <w:trHeight w:val="134"/>
        </w:trPr>
        <w:tc>
          <w:tcPr>
            <w:tcW w:w="3780" w:type="dxa"/>
            <w:vAlign w:val="bottom"/>
          </w:tcPr>
          <w:p>
            <w:pPr>
              <w:ind w:left="40"/>
              <w:spacing w:after="0"/>
              <w:rPr>
                <w:sz w:val="20"/>
                <w:szCs w:val="20"/>
                <w:color w:val="auto"/>
              </w:rPr>
            </w:pPr>
            <w:r>
              <w:rPr>
                <w:rFonts w:ascii="Arial" w:cs="Arial" w:eastAsia="Arial" w:hAnsi="Arial"/>
                <w:sz w:val="10"/>
                <w:szCs w:val="10"/>
                <w:b w:val="1"/>
                <w:bCs w:val="1"/>
                <w:color w:val="D60011"/>
              </w:rPr>
              <w:t>Johnson</w:t>
            </w: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03/27/2019</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20,360</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03/27/2022</w:t>
            </w:r>
          </w:p>
        </w:tc>
      </w:tr>
      <w:tr>
        <w:trPr>
          <w:trHeight w:val="130"/>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03/25/2020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55,556</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11/17/2020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186,782</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30,032</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3"/>
        </w:trPr>
        <w:tc>
          <w:tcPr>
            <w:tcW w:w="3780" w:type="dxa"/>
            <w:vAlign w:val="bottom"/>
            <w:tcBorders>
              <w:bottom w:val="single" w:sz="8" w:color="E31F25"/>
            </w:tcBorders>
          </w:tcPr>
          <w:p>
            <w:pPr>
              <w:spacing w:after="0"/>
              <w:rPr>
                <w:sz w:val="11"/>
                <w:szCs w:val="11"/>
                <w:color w:val="auto"/>
              </w:rPr>
            </w:pPr>
          </w:p>
        </w:tc>
        <w:tc>
          <w:tcPr>
            <w:tcW w:w="8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180,191</w:t>
            </w:r>
          </w:p>
        </w:tc>
        <w:tc>
          <w:tcPr>
            <w:tcW w:w="7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6"/>
        </w:trPr>
        <w:tc>
          <w:tcPr>
            <w:tcW w:w="3780" w:type="dxa"/>
            <w:vAlign w:val="bottom"/>
          </w:tcPr>
          <w:p>
            <w:pPr>
              <w:ind w:left="40"/>
              <w:spacing w:after="0"/>
              <w:rPr>
                <w:sz w:val="20"/>
                <w:szCs w:val="20"/>
                <w:color w:val="auto"/>
              </w:rPr>
            </w:pPr>
            <w:r>
              <w:rPr>
                <w:rFonts w:ascii="Arial" w:cs="Arial" w:eastAsia="Arial" w:hAnsi="Arial"/>
                <w:sz w:val="10"/>
                <w:szCs w:val="10"/>
                <w:b w:val="1"/>
                <w:bCs w:val="1"/>
                <w:color w:val="D60011"/>
              </w:rPr>
              <w:t>Page</w:t>
            </w: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04/12/2021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4,185</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04/12/2022</w:t>
            </w:r>
          </w:p>
        </w:tc>
      </w:tr>
      <w:tr>
        <w:trPr>
          <w:trHeight w:val="130"/>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04/12/2021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4,186</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04/12/2023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04/12/2021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4,186</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04/12/2024</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04/12/2021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7,460</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04/12/2021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16,726</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3"/>
        </w:trPr>
        <w:tc>
          <w:tcPr>
            <w:tcW w:w="3780" w:type="dxa"/>
            <w:vAlign w:val="bottom"/>
            <w:tcBorders>
              <w:bottom w:val="single" w:sz="8" w:color="E31F25"/>
            </w:tcBorders>
          </w:tcPr>
          <w:p>
            <w:pPr>
              <w:spacing w:after="0"/>
              <w:rPr>
                <w:sz w:val="11"/>
                <w:szCs w:val="11"/>
                <w:color w:val="auto"/>
              </w:rPr>
            </w:pPr>
          </w:p>
        </w:tc>
        <w:tc>
          <w:tcPr>
            <w:tcW w:w="8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04/13/2021</w:t>
            </w:r>
          </w:p>
        </w:tc>
        <w:tc>
          <w:tcPr>
            <w:tcW w:w="96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3,168</w:t>
            </w:r>
          </w:p>
        </w:tc>
        <w:tc>
          <w:tcPr>
            <w:tcW w:w="7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04/13/2024</w:t>
            </w:r>
          </w:p>
        </w:tc>
      </w:tr>
      <w:tr>
        <w:trPr>
          <w:trHeight w:val="136"/>
        </w:trPr>
        <w:tc>
          <w:tcPr>
            <w:tcW w:w="3780" w:type="dxa"/>
            <w:vAlign w:val="bottom"/>
          </w:tcPr>
          <w:p>
            <w:pPr>
              <w:ind w:left="40"/>
              <w:spacing w:after="0"/>
              <w:rPr>
                <w:sz w:val="20"/>
                <w:szCs w:val="20"/>
                <w:color w:val="auto"/>
              </w:rPr>
            </w:pPr>
            <w:r>
              <w:rPr>
                <w:rFonts w:ascii="Arial" w:cs="Arial" w:eastAsia="Arial" w:hAnsi="Arial"/>
                <w:sz w:val="10"/>
                <w:szCs w:val="10"/>
                <w:b w:val="1"/>
                <w:bCs w:val="1"/>
                <w:color w:val="D60011"/>
              </w:rPr>
              <w:t>Bracken</w:t>
            </w: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03/27/2019</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1,273</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03/27/2022</w:t>
            </w:r>
          </w:p>
        </w:tc>
      </w:tr>
      <w:tr>
        <w:trPr>
          <w:trHeight w:val="130"/>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03/25/2020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3,473</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11/17/2020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17,987</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3,716</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11/16/2021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10,661</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11/16/2024</w:t>
            </w:r>
          </w:p>
        </w:tc>
      </w:tr>
      <w:tr>
        <w:trPr>
          <w:trHeight w:val="133"/>
        </w:trPr>
        <w:tc>
          <w:tcPr>
            <w:tcW w:w="3780" w:type="dxa"/>
            <w:vAlign w:val="bottom"/>
            <w:tcBorders>
              <w:bottom w:val="single" w:sz="8" w:color="E31F25"/>
            </w:tcBorders>
          </w:tcPr>
          <w:p>
            <w:pPr>
              <w:spacing w:after="0"/>
              <w:rPr>
                <w:sz w:val="11"/>
                <w:szCs w:val="11"/>
                <w:color w:val="auto"/>
              </w:rPr>
            </w:pPr>
          </w:p>
        </w:tc>
        <w:tc>
          <w:tcPr>
            <w:tcW w:w="8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22,296</w:t>
            </w:r>
          </w:p>
        </w:tc>
        <w:tc>
          <w:tcPr>
            <w:tcW w:w="7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6"/>
        </w:trPr>
        <w:tc>
          <w:tcPr>
            <w:tcW w:w="3780" w:type="dxa"/>
            <w:vAlign w:val="bottom"/>
          </w:tcPr>
          <w:p>
            <w:pPr>
              <w:ind w:left="40"/>
              <w:spacing w:after="0"/>
              <w:rPr>
                <w:sz w:val="20"/>
                <w:szCs w:val="20"/>
                <w:color w:val="auto"/>
              </w:rPr>
            </w:pPr>
            <w:r>
              <w:rPr>
                <w:rFonts w:ascii="Arial" w:cs="Arial" w:eastAsia="Arial" w:hAnsi="Arial"/>
                <w:sz w:val="10"/>
                <w:szCs w:val="10"/>
                <w:b w:val="1"/>
                <w:bCs w:val="1"/>
                <w:color w:val="D60011"/>
              </w:rPr>
              <w:t>Martin</w:t>
            </w: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03/27/2019</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3,394</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03/27/2022</w:t>
            </w:r>
          </w:p>
        </w:tc>
      </w:tr>
      <w:tr>
        <w:trPr>
          <w:trHeight w:val="130"/>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03/25/2020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9,260</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11/17/2020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22,050</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3,633</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21,797</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3"/>
        </w:trPr>
        <w:tc>
          <w:tcPr>
            <w:tcW w:w="3780" w:type="dxa"/>
            <w:vAlign w:val="bottom"/>
            <w:tcBorders>
              <w:bottom w:val="single" w:sz="8" w:color="E31F25"/>
            </w:tcBorders>
          </w:tcPr>
          <w:p>
            <w:pPr>
              <w:spacing w:after="0"/>
              <w:rPr>
                <w:sz w:val="11"/>
                <w:szCs w:val="11"/>
                <w:color w:val="auto"/>
              </w:rPr>
            </w:pPr>
          </w:p>
        </w:tc>
        <w:tc>
          <w:tcPr>
            <w:tcW w:w="8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11/16/2021</w:t>
            </w:r>
          </w:p>
        </w:tc>
        <w:tc>
          <w:tcPr>
            <w:tcW w:w="96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3,554</w:t>
            </w:r>
          </w:p>
        </w:tc>
        <w:tc>
          <w:tcPr>
            <w:tcW w:w="7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11/16/2024</w:t>
            </w:r>
          </w:p>
        </w:tc>
      </w:tr>
      <w:tr>
        <w:trPr>
          <w:trHeight w:val="136"/>
        </w:trPr>
        <w:tc>
          <w:tcPr>
            <w:tcW w:w="3780" w:type="dxa"/>
            <w:vAlign w:val="bottom"/>
          </w:tcPr>
          <w:p>
            <w:pPr>
              <w:ind w:left="40"/>
              <w:spacing w:after="0"/>
              <w:rPr>
                <w:sz w:val="20"/>
                <w:szCs w:val="20"/>
                <w:color w:val="auto"/>
              </w:rPr>
            </w:pPr>
            <w:r>
              <w:rPr>
                <w:rFonts w:ascii="Arial" w:cs="Arial" w:eastAsia="Arial" w:hAnsi="Arial"/>
                <w:sz w:val="10"/>
                <w:szCs w:val="10"/>
                <w:b w:val="1"/>
                <w:bCs w:val="1"/>
                <w:color w:val="D60011"/>
              </w:rPr>
              <w:t>Gray</w:t>
            </w: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03/27/2019</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1,273</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03/27/2022</w:t>
            </w:r>
          </w:p>
        </w:tc>
      </w:tr>
      <w:tr>
        <w:trPr>
          <w:trHeight w:val="130"/>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03/25/2020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3,473</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11/17/2020</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19,849</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03/25/2023</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3,633</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3"/>
        </w:trPr>
        <w:tc>
          <w:tcPr>
            <w:tcW w:w="3780" w:type="dxa"/>
            <w:vAlign w:val="bottom"/>
          </w:tcPr>
          <w:p>
            <w:pPr>
              <w:spacing w:after="0"/>
              <w:rPr>
                <w:sz w:val="11"/>
                <w:szCs w:val="11"/>
                <w:color w:val="auto"/>
              </w:rPr>
            </w:pPr>
          </w:p>
        </w:tc>
        <w:tc>
          <w:tcPr>
            <w:tcW w:w="860" w:type="dxa"/>
            <w:vAlign w:val="bottom"/>
            <w:tcBorders>
              <w:bottom w:val="single" w:sz="8" w:color="BCBEC0"/>
            </w:tcBorders>
          </w:tcPr>
          <w:p>
            <w:pPr>
              <w:jc w:val="right"/>
              <w:ind w:right="152"/>
              <w:spacing w:after="0"/>
              <w:rPr>
                <w:sz w:val="20"/>
                <w:szCs w:val="20"/>
                <w:color w:val="auto"/>
              </w:rPr>
            </w:pPr>
            <w:r>
              <w:rPr>
                <w:rFonts w:ascii="Arial" w:cs="Arial" w:eastAsia="Arial" w:hAnsi="Arial"/>
                <w:sz w:val="10"/>
                <w:szCs w:val="10"/>
                <w:color w:val="auto"/>
              </w:rPr>
              <w:t>03/24/2021</w:t>
            </w:r>
          </w:p>
        </w:tc>
        <w:tc>
          <w:tcPr>
            <w:tcW w:w="960" w:type="dxa"/>
            <w:vAlign w:val="bottom"/>
            <w:tcBorders>
              <w:bottom w:val="single" w:sz="8" w:color="BCBEC0"/>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BCBEC0"/>
            </w:tcBorders>
          </w:tcPr>
          <w:p>
            <w:pPr>
              <w:jc w:val="right"/>
              <w:ind w:right="32"/>
              <w:spacing w:after="0"/>
              <w:rPr>
                <w:sz w:val="20"/>
                <w:szCs w:val="20"/>
                <w:color w:val="auto"/>
              </w:rPr>
            </w:pPr>
            <w:r>
              <w:rPr>
                <w:rFonts w:ascii="Arial" w:cs="Arial" w:eastAsia="Arial" w:hAnsi="Arial"/>
                <w:sz w:val="10"/>
                <w:szCs w:val="10"/>
                <w:color w:val="auto"/>
              </w:rPr>
              <w:t>21,797</w:t>
            </w:r>
          </w:p>
        </w:tc>
        <w:tc>
          <w:tcPr>
            <w:tcW w:w="72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03/24/2024</w:t>
            </w:r>
          </w:p>
        </w:tc>
      </w:tr>
      <w:tr>
        <w:trPr>
          <w:trHeight w:val="133"/>
        </w:trPr>
        <w:tc>
          <w:tcPr>
            <w:tcW w:w="3780" w:type="dxa"/>
            <w:vAlign w:val="bottom"/>
            <w:tcBorders>
              <w:bottom w:val="single" w:sz="8" w:color="E31F25"/>
            </w:tcBorders>
          </w:tcPr>
          <w:p>
            <w:pPr>
              <w:spacing w:after="0"/>
              <w:rPr>
                <w:sz w:val="11"/>
                <w:szCs w:val="11"/>
                <w:color w:val="auto"/>
              </w:rPr>
            </w:pPr>
          </w:p>
        </w:tc>
        <w:tc>
          <w:tcPr>
            <w:tcW w:w="8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11/16/2021</w:t>
            </w:r>
          </w:p>
        </w:tc>
        <w:tc>
          <w:tcPr>
            <w:tcW w:w="96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RSU</w:t>
            </w:r>
          </w:p>
        </w:tc>
        <w:tc>
          <w:tcPr>
            <w:tcW w:w="6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5,331</w:t>
            </w:r>
          </w:p>
        </w:tc>
        <w:tc>
          <w:tcPr>
            <w:tcW w:w="72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11/16/2024</w:t>
            </w:r>
          </w:p>
        </w:tc>
      </w:tr>
      <w:tr>
        <w:trPr>
          <w:trHeight w:val="135"/>
        </w:trPr>
        <w:tc>
          <w:tcPr>
            <w:tcW w:w="3780" w:type="dxa"/>
            <w:vAlign w:val="bottom"/>
            <w:tcBorders>
              <w:bottom w:val="single" w:sz="8" w:color="E31F25"/>
            </w:tcBorders>
          </w:tcPr>
          <w:p>
            <w:pPr>
              <w:ind w:left="40"/>
              <w:spacing w:after="0"/>
              <w:rPr>
                <w:sz w:val="20"/>
                <w:szCs w:val="20"/>
                <w:color w:val="auto"/>
              </w:rPr>
            </w:pPr>
            <w:r>
              <w:rPr>
                <w:rFonts w:ascii="Arial" w:cs="Arial" w:eastAsia="Arial" w:hAnsi="Arial"/>
                <w:sz w:val="10"/>
                <w:szCs w:val="10"/>
                <w:b w:val="1"/>
                <w:bCs w:val="1"/>
                <w:color w:val="D60011"/>
              </w:rPr>
              <w:t>Peters</w:t>
            </w:r>
          </w:p>
        </w:tc>
        <w:tc>
          <w:tcPr>
            <w:tcW w:w="860" w:type="dxa"/>
            <w:vAlign w:val="bottom"/>
            <w:tcBorders>
              <w:bottom w:val="single" w:sz="8" w:color="E31F25"/>
            </w:tcBorders>
          </w:tcPr>
          <w:p>
            <w:pPr>
              <w:jc w:val="right"/>
              <w:ind w:right="152"/>
              <w:spacing w:after="0"/>
              <w:rPr>
                <w:sz w:val="20"/>
                <w:szCs w:val="20"/>
                <w:color w:val="auto"/>
              </w:rPr>
            </w:pPr>
            <w:r>
              <w:rPr>
                <w:rFonts w:ascii="Arial" w:cs="Arial" w:eastAsia="Arial" w:hAnsi="Arial"/>
                <w:sz w:val="10"/>
                <w:szCs w:val="10"/>
                <w:color w:val="auto"/>
              </w:rPr>
              <w:t>11/17/2020</w:t>
            </w:r>
          </w:p>
        </w:tc>
        <w:tc>
          <w:tcPr>
            <w:tcW w:w="960" w:type="dxa"/>
            <w:vAlign w:val="bottom"/>
            <w:tcBorders>
              <w:bottom w:val="single" w:sz="8" w:color="E31F25"/>
            </w:tcBorders>
          </w:tcPr>
          <w:p>
            <w:pPr>
              <w:jc w:val="right"/>
              <w:ind w:right="72"/>
              <w:spacing w:after="0"/>
              <w:rPr>
                <w:sz w:val="20"/>
                <w:szCs w:val="20"/>
                <w:color w:val="auto"/>
              </w:rPr>
            </w:pPr>
            <w:r>
              <w:rPr>
                <w:rFonts w:ascii="Arial" w:cs="Arial" w:eastAsia="Arial" w:hAnsi="Arial"/>
                <w:sz w:val="10"/>
                <w:szCs w:val="10"/>
                <w:color w:val="auto"/>
              </w:rPr>
              <w:t>PSU</w:t>
            </w:r>
          </w:p>
        </w:tc>
        <w:tc>
          <w:tcPr>
            <w:tcW w:w="6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21,817</w:t>
            </w:r>
          </w:p>
        </w:tc>
        <w:tc>
          <w:tcPr>
            <w:tcW w:w="72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03/25/2023*</w:t>
            </w:r>
          </w:p>
        </w:tc>
      </w:tr>
    </w:tbl>
    <w:p>
      <w:pPr>
        <w:spacing w:after="0" w:line="121" w:lineRule="exact"/>
        <w:rPr>
          <w:sz w:val="20"/>
          <w:szCs w:val="20"/>
          <w:color w:val="auto"/>
        </w:rPr>
      </w:pPr>
    </w:p>
    <w:p>
      <w:pPr>
        <w:ind w:left="1260" w:right="879" w:hanging="212"/>
        <w:spacing w:after="0" w:line="245" w:lineRule="auto"/>
        <w:tabs>
          <w:tab w:leader="none" w:pos="1260" w:val="left"/>
        </w:tabs>
        <w:numPr>
          <w:ilvl w:val="1"/>
          <w:numId w:val="131"/>
        </w:numPr>
        <w:rPr>
          <w:rFonts w:ascii="Arial" w:cs="Arial" w:eastAsia="Arial" w:hAnsi="Arial"/>
          <w:sz w:val="10"/>
          <w:szCs w:val="10"/>
          <w:color w:val="auto"/>
        </w:rPr>
      </w:pPr>
      <w:r>
        <w:rPr>
          <w:rFonts w:ascii="Arial" w:cs="Arial" w:eastAsia="Arial" w:hAnsi="Arial"/>
          <w:sz w:val="10"/>
          <w:szCs w:val="10"/>
          <w:color w:val="auto"/>
        </w:rPr>
        <w:t>Due to Ms. Peters’s retirement in 2021, she earned the pro rata portion of her PSU award for the 2020-21 performance period, as shown in the table, which will be paid to her at the same time as the payouts to the other NEOs in 2023.</w:t>
      </w:r>
    </w:p>
    <w:p>
      <w:pPr>
        <w:spacing w:after="0" w:line="89" w:lineRule="exact"/>
        <w:rPr>
          <w:rFonts w:ascii="Arial" w:cs="Arial" w:eastAsia="Arial" w:hAnsi="Arial"/>
          <w:sz w:val="10"/>
          <w:szCs w:val="10"/>
          <w:color w:val="auto"/>
        </w:rPr>
      </w:pPr>
    </w:p>
    <w:p>
      <w:pPr>
        <w:ind w:left="1040" w:right="1079" w:hanging="208"/>
        <w:spacing w:after="0" w:line="186" w:lineRule="auto"/>
        <w:tabs>
          <w:tab w:leader="none" w:pos="1040" w:val="left"/>
        </w:tabs>
        <w:numPr>
          <w:ilvl w:val="0"/>
          <w:numId w:val="131"/>
        </w:numPr>
        <w:rPr>
          <w:rFonts w:ascii="Arial" w:cs="Arial" w:eastAsia="Arial" w:hAnsi="Arial"/>
          <w:sz w:val="16"/>
          <w:szCs w:val="16"/>
          <w:color w:val="auto"/>
          <w:vertAlign w:val="superscript"/>
        </w:rPr>
      </w:pPr>
      <w:r>
        <w:rPr>
          <w:rFonts w:ascii="Arial" w:cs="Arial" w:eastAsia="Arial" w:hAnsi="Arial"/>
          <w:sz w:val="10"/>
          <w:szCs w:val="10"/>
          <w:color w:val="auto"/>
        </w:rPr>
        <w:t>Values in columns (h) and (j) calculated by multiplying the number of unvested RSUs and PSUs, as applicable, by the closing price of $44.43 on January 28, 2022, which was the last business day of the 2021 fiscal year. The values shown in column (j) for the PSUs are based on:</w:t>
      </w:r>
    </w:p>
    <w:p>
      <w:pPr>
        <w:spacing w:after="0" w:line="90" w:lineRule="exact"/>
        <w:rPr>
          <w:rFonts w:ascii="Arial" w:cs="Arial" w:eastAsia="Arial" w:hAnsi="Arial"/>
          <w:sz w:val="16"/>
          <w:szCs w:val="16"/>
          <w:color w:val="auto"/>
          <w:vertAlign w:val="superscript"/>
        </w:rPr>
      </w:pPr>
    </w:p>
    <w:p>
      <w:pPr>
        <w:ind w:left="1040"/>
        <w:spacing w:after="0"/>
        <w:rPr>
          <w:rFonts w:ascii="Arial" w:cs="Arial" w:eastAsia="Arial" w:hAnsi="Arial"/>
          <w:sz w:val="16"/>
          <w:szCs w:val="16"/>
          <w:color w:val="auto"/>
          <w:vertAlign w:val="superscript"/>
        </w:rPr>
      </w:pPr>
      <w:r>
        <w:rPr>
          <w:rFonts w:ascii="Arial" w:cs="Arial" w:eastAsia="Arial" w:hAnsi="Arial"/>
          <w:sz w:val="10"/>
          <w:szCs w:val="10"/>
          <w:b w:val="1"/>
          <w:bCs w:val="1"/>
          <w:color w:val="D60011"/>
        </w:rPr>
        <w:t xml:space="preserve">►  </w:t>
      </w:r>
      <w:r>
        <w:rPr>
          <w:rFonts w:ascii="Arial" w:cs="Arial" w:eastAsia="Arial" w:hAnsi="Arial"/>
          <w:sz w:val="10"/>
          <w:szCs w:val="10"/>
          <w:color w:val="000000"/>
        </w:rPr>
        <w:t>the number of PSUs at maximum performance for the 2020-21 long-term performance period, which will vest in March 2023; and</w:t>
      </w:r>
    </w:p>
    <w:p>
      <w:pPr>
        <w:spacing w:after="0" w:line="101" w:lineRule="exact"/>
        <w:rPr>
          <w:rFonts w:ascii="Arial" w:cs="Arial" w:eastAsia="Arial" w:hAnsi="Arial"/>
          <w:sz w:val="16"/>
          <w:szCs w:val="16"/>
          <w:color w:val="auto"/>
          <w:vertAlign w:val="superscript"/>
        </w:rPr>
      </w:pPr>
    </w:p>
    <w:p>
      <w:pPr>
        <w:ind w:left="1040"/>
        <w:spacing w:after="0"/>
        <w:rPr>
          <w:rFonts w:ascii="Arial" w:cs="Arial" w:eastAsia="Arial" w:hAnsi="Arial"/>
          <w:sz w:val="16"/>
          <w:szCs w:val="16"/>
          <w:color w:val="auto"/>
          <w:vertAlign w:val="superscript"/>
        </w:rPr>
      </w:pPr>
      <w:r>
        <w:rPr>
          <w:rFonts w:ascii="Arial" w:cs="Arial" w:eastAsia="Arial" w:hAnsi="Arial"/>
          <w:sz w:val="10"/>
          <w:szCs w:val="10"/>
          <w:b w:val="1"/>
          <w:bCs w:val="1"/>
          <w:color w:val="D60011"/>
        </w:rPr>
        <w:t xml:space="preserve">►  </w:t>
      </w:r>
      <w:r>
        <w:rPr>
          <w:rFonts w:ascii="Arial" w:cs="Arial" w:eastAsia="Arial" w:hAnsi="Arial"/>
          <w:sz w:val="10"/>
          <w:szCs w:val="10"/>
          <w:color w:val="000000"/>
        </w:rPr>
        <w:t>the number of PSUs that may be earned at maximum performance for the 2021-22 long-term performance period, which, if earned, will vest in March 2024.</w:t>
      </w:r>
    </w:p>
    <w:p>
      <w:pPr>
        <w:spacing w:after="0" w:line="148" w:lineRule="exact"/>
        <w:rPr>
          <w:sz w:val="20"/>
          <w:szCs w:val="20"/>
          <w:color w:val="auto"/>
        </w:rPr>
      </w:pPr>
    </w:p>
    <w:p>
      <w:pPr>
        <w:ind w:left="1540" w:hanging="408"/>
        <w:spacing w:after="0"/>
        <w:tabs>
          <w:tab w:leader="none" w:pos="1540" w:val="left"/>
        </w:tabs>
        <w:numPr>
          <w:ilvl w:val="0"/>
          <w:numId w:val="132"/>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276860</wp:posOffset>
            </wp:positionV>
            <wp:extent cx="717804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87" w:name="page88"/>
    <w:bookmarkEnd w:id="87"/>
    <w:p>
      <w:pPr>
        <w:ind w:left="7960"/>
        <w:spacing w:after="0"/>
        <w:rPr>
          <w:sz w:val="20"/>
          <w:szCs w:val="20"/>
          <w:color w:val="auto"/>
        </w:rPr>
      </w:pPr>
      <w:r>
        <w:rPr>
          <w:rFonts w:ascii="Arial" w:cs="Arial" w:eastAsia="Arial" w:hAnsi="Arial"/>
          <w:sz w:val="10"/>
          <w:szCs w:val="10"/>
          <w:b w:val="1"/>
          <w:bCs w:val="1"/>
          <w:color w:val="D60011"/>
        </w:rPr>
        <w:t>EXECUTIVE COMPENSATION</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OPTION EXERCISES AND STOCK VESTED IN FISCAL 2021</w:t>
      </w:r>
    </w:p>
    <w:p>
      <w:pPr>
        <w:spacing w:after="0" w:line="14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provides information on the stock options exercised by, and RSU awards vested for, the NEOs during 2021:</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148"/>
        </w:trPr>
        <w:tc>
          <w:tcPr>
            <w:tcW w:w="1420" w:type="dxa"/>
            <w:vAlign w:val="bottom"/>
          </w:tcPr>
          <w:p>
            <w:pPr>
              <w:spacing w:after="0"/>
              <w:rPr>
                <w:sz w:val="12"/>
                <w:szCs w:val="12"/>
                <w:color w:val="auto"/>
              </w:rPr>
            </w:pPr>
          </w:p>
        </w:tc>
        <w:tc>
          <w:tcPr>
            <w:tcW w:w="1960" w:type="dxa"/>
            <w:vAlign w:val="bottom"/>
            <w:tcBorders>
              <w:bottom w:val="single" w:sz="8" w:color="E31F25"/>
            </w:tcBorders>
          </w:tcPr>
          <w:p>
            <w:pPr>
              <w:jc w:val="right"/>
              <w:ind w:right="6"/>
              <w:spacing w:after="0"/>
              <w:rPr>
                <w:sz w:val="20"/>
                <w:szCs w:val="20"/>
                <w:color w:val="auto"/>
              </w:rPr>
            </w:pPr>
            <w:r>
              <w:rPr>
                <w:rFonts w:ascii="Arial" w:cs="Arial" w:eastAsia="Arial" w:hAnsi="Arial"/>
                <w:sz w:val="11"/>
                <w:szCs w:val="11"/>
                <w:b w:val="1"/>
                <w:bCs w:val="1"/>
                <w:color w:val="auto"/>
              </w:rPr>
              <w:t>Options Awards</w:t>
            </w:r>
          </w:p>
        </w:tc>
        <w:tc>
          <w:tcPr>
            <w:tcW w:w="1020" w:type="dxa"/>
            <w:vAlign w:val="bottom"/>
            <w:tcBorders>
              <w:bottom w:val="single" w:sz="8" w:color="E31F25"/>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Borders>
              <w:bottom w:val="single" w:sz="8" w:color="E31F25"/>
            </w:tcBorders>
          </w:tcPr>
          <w:p>
            <w:pPr>
              <w:jc w:val="right"/>
              <w:ind w:right="6"/>
              <w:spacing w:after="0"/>
              <w:rPr>
                <w:sz w:val="20"/>
                <w:szCs w:val="20"/>
                <w:color w:val="auto"/>
              </w:rPr>
            </w:pPr>
            <w:r>
              <w:rPr>
                <w:rFonts w:ascii="Arial" w:cs="Arial" w:eastAsia="Arial" w:hAnsi="Arial"/>
                <w:sz w:val="11"/>
                <w:szCs w:val="11"/>
                <w:b w:val="1"/>
                <w:bCs w:val="1"/>
                <w:color w:val="auto"/>
              </w:rPr>
              <w:t>Stock Awards</w:t>
            </w:r>
          </w:p>
        </w:tc>
        <w:tc>
          <w:tcPr>
            <w:tcW w:w="1000" w:type="dxa"/>
            <w:vAlign w:val="bottom"/>
            <w:tcBorders>
              <w:bottom w:val="single" w:sz="8" w:color="E31F25"/>
            </w:tcBorders>
          </w:tcPr>
          <w:p>
            <w:pPr>
              <w:spacing w:after="0"/>
              <w:rPr>
                <w:sz w:val="12"/>
                <w:szCs w:val="12"/>
                <w:color w:val="auto"/>
              </w:rPr>
            </w:pPr>
          </w:p>
        </w:tc>
      </w:tr>
      <w:tr>
        <w:trPr>
          <w:trHeight w:val="153"/>
        </w:trPr>
        <w:tc>
          <w:tcPr>
            <w:tcW w:w="1420" w:type="dxa"/>
            <w:vAlign w:val="bottom"/>
            <w:tcBorders>
              <w:bottom w:val="single" w:sz="8" w:color="E31F25"/>
            </w:tcBorders>
          </w:tcPr>
          <w:p>
            <w:pPr>
              <w:ind w:left="20"/>
              <w:spacing w:after="0"/>
              <w:rPr>
                <w:sz w:val="20"/>
                <w:szCs w:val="20"/>
                <w:color w:val="auto"/>
              </w:rPr>
            </w:pPr>
            <w:r>
              <w:rPr>
                <w:rFonts w:ascii="Arial" w:cs="Arial" w:eastAsia="Arial" w:hAnsi="Arial"/>
                <w:sz w:val="11"/>
                <w:szCs w:val="11"/>
                <w:b w:val="1"/>
                <w:bCs w:val="1"/>
                <w:color w:val="auto"/>
              </w:rPr>
              <w:t>(a)</w:t>
            </w:r>
          </w:p>
        </w:tc>
        <w:tc>
          <w:tcPr>
            <w:tcW w:w="1960" w:type="dxa"/>
            <w:vAlign w:val="bottom"/>
            <w:tcBorders>
              <w:bottom w:val="single" w:sz="8" w:color="E31F25"/>
            </w:tcBorders>
          </w:tcPr>
          <w:p>
            <w:pPr>
              <w:jc w:val="right"/>
              <w:ind w:right="526"/>
              <w:spacing w:after="0"/>
              <w:rPr>
                <w:sz w:val="20"/>
                <w:szCs w:val="20"/>
                <w:color w:val="auto"/>
              </w:rPr>
            </w:pPr>
            <w:r>
              <w:rPr>
                <w:rFonts w:ascii="Arial" w:cs="Arial" w:eastAsia="Arial" w:hAnsi="Arial"/>
                <w:sz w:val="11"/>
                <w:szCs w:val="11"/>
                <w:b w:val="1"/>
                <w:bCs w:val="1"/>
                <w:color w:val="auto"/>
              </w:rPr>
              <w:t>(b)</w:t>
            </w:r>
          </w:p>
        </w:tc>
        <w:tc>
          <w:tcPr>
            <w:tcW w:w="1120" w:type="dxa"/>
            <w:vAlign w:val="bottom"/>
            <w:tcBorders>
              <w:bottom w:val="single" w:sz="8" w:color="E31F25"/>
            </w:tcBorders>
            <w:gridSpan w:val="2"/>
          </w:tcPr>
          <w:p>
            <w:pPr>
              <w:jc w:val="right"/>
              <w:ind w:right="140"/>
              <w:spacing w:after="0"/>
              <w:rPr>
                <w:sz w:val="20"/>
                <w:szCs w:val="20"/>
                <w:color w:val="auto"/>
              </w:rPr>
            </w:pPr>
            <w:r>
              <w:rPr>
                <w:rFonts w:ascii="Arial" w:cs="Arial" w:eastAsia="Arial" w:hAnsi="Arial"/>
                <w:sz w:val="11"/>
                <w:szCs w:val="11"/>
                <w:b w:val="1"/>
                <w:bCs w:val="1"/>
                <w:color w:val="auto"/>
              </w:rPr>
              <w:t>(c)</w:t>
            </w:r>
          </w:p>
        </w:tc>
        <w:tc>
          <w:tcPr>
            <w:tcW w:w="1840" w:type="dxa"/>
            <w:vAlign w:val="bottom"/>
            <w:tcBorders>
              <w:bottom w:val="single" w:sz="8" w:color="E31F25"/>
            </w:tcBorders>
          </w:tcPr>
          <w:p>
            <w:pPr>
              <w:jc w:val="right"/>
              <w:ind w:right="426"/>
              <w:spacing w:after="0"/>
              <w:rPr>
                <w:sz w:val="20"/>
                <w:szCs w:val="20"/>
                <w:color w:val="auto"/>
              </w:rPr>
            </w:pPr>
            <w:r>
              <w:rPr>
                <w:rFonts w:ascii="Arial" w:cs="Arial" w:eastAsia="Arial" w:hAnsi="Arial"/>
                <w:sz w:val="11"/>
                <w:szCs w:val="11"/>
                <w:b w:val="1"/>
                <w:bCs w:val="1"/>
                <w:color w:val="auto"/>
              </w:rPr>
              <w:t>(d)</w:t>
            </w:r>
          </w:p>
        </w:tc>
        <w:tc>
          <w:tcPr>
            <w:tcW w:w="1000" w:type="dxa"/>
            <w:vAlign w:val="bottom"/>
            <w:tcBorders>
              <w:bottom w:val="single" w:sz="8" w:color="E31F25"/>
            </w:tcBorders>
          </w:tcPr>
          <w:p>
            <w:pPr>
              <w:jc w:val="right"/>
              <w:spacing w:after="0"/>
              <w:rPr>
                <w:sz w:val="20"/>
                <w:szCs w:val="20"/>
                <w:color w:val="auto"/>
              </w:rPr>
            </w:pPr>
            <w:r>
              <w:rPr>
                <w:rFonts w:ascii="Arial" w:cs="Arial" w:eastAsia="Arial" w:hAnsi="Arial"/>
                <w:sz w:val="11"/>
                <w:szCs w:val="11"/>
                <w:b w:val="1"/>
                <w:bCs w:val="1"/>
                <w:color w:val="auto"/>
              </w:rPr>
              <w:t>(e)</w:t>
            </w:r>
          </w:p>
        </w:tc>
      </w:tr>
      <w:tr>
        <w:trPr>
          <w:trHeight w:val="127"/>
        </w:trPr>
        <w:tc>
          <w:tcPr>
            <w:tcW w:w="1420" w:type="dxa"/>
            <w:vAlign w:val="bottom"/>
          </w:tcPr>
          <w:p>
            <w:pPr>
              <w:spacing w:after="0"/>
              <w:rPr>
                <w:sz w:val="11"/>
                <w:szCs w:val="11"/>
                <w:color w:val="auto"/>
              </w:rPr>
            </w:pPr>
          </w:p>
        </w:tc>
        <w:tc>
          <w:tcPr>
            <w:tcW w:w="1960" w:type="dxa"/>
            <w:vAlign w:val="bottom"/>
          </w:tcPr>
          <w:p>
            <w:pPr>
              <w:jc w:val="right"/>
              <w:ind w:right="526"/>
              <w:spacing w:after="0"/>
              <w:rPr>
                <w:sz w:val="20"/>
                <w:szCs w:val="20"/>
                <w:color w:val="auto"/>
              </w:rPr>
            </w:pPr>
            <w:r>
              <w:rPr>
                <w:rFonts w:ascii="Arial" w:cs="Arial" w:eastAsia="Arial" w:hAnsi="Arial"/>
                <w:sz w:val="11"/>
                <w:szCs w:val="11"/>
                <w:b w:val="1"/>
                <w:bCs w:val="1"/>
                <w:color w:val="auto"/>
              </w:rPr>
              <w:t>Number of Shares</w:t>
            </w:r>
          </w:p>
        </w:tc>
        <w:tc>
          <w:tcPr>
            <w:tcW w:w="11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Value Realized on</w:t>
            </w:r>
          </w:p>
        </w:tc>
        <w:tc>
          <w:tcPr>
            <w:tcW w:w="1840" w:type="dxa"/>
            <w:vAlign w:val="bottom"/>
          </w:tcPr>
          <w:p>
            <w:pPr>
              <w:jc w:val="right"/>
              <w:ind w:right="426"/>
              <w:spacing w:after="0"/>
              <w:rPr>
                <w:sz w:val="20"/>
                <w:szCs w:val="20"/>
                <w:color w:val="auto"/>
              </w:rPr>
            </w:pPr>
            <w:r>
              <w:rPr>
                <w:rFonts w:ascii="Arial" w:cs="Arial" w:eastAsia="Arial" w:hAnsi="Arial"/>
                <w:sz w:val="11"/>
                <w:szCs w:val="11"/>
                <w:b w:val="1"/>
                <w:bCs w:val="1"/>
                <w:color w:val="auto"/>
              </w:rPr>
              <w:t>Number of Shares</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Value Realized on</w:t>
            </w:r>
          </w:p>
        </w:tc>
      </w:tr>
      <w:tr>
        <w:trPr>
          <w:trHeight w:val="126"/>
        </w:trPr>
        <w:tc>
          <w:tcPr>
            <w:tcW w:w="1420" w:type="dxa"/>
            <w:vAlign w:val="bottom"/>
          </w:tcPr>
          <w:p>
            <w:pPr>
              <w:spacing w:after="0"/>
              <w:rPr>
                <w:sz w:val="10"/>
                <w:szCs w:val="10"/>
                <w:color w:val="auto"/>
              </w:rPr>
            </w:pPr>
          </w:p>
        </w:tc>
        <w:tc>
          <w:tcPr>
            <w:tcW w:w="1960" w:type="dxa"/>
            <w:vAlign w:val="bottom"/>
          </w:tcPr>
          <w:p>
            <w:pPr>
              <w:jc w:val="right"/>
              <w:ind w:right="526"/>
              <w:spacing w:after="0"/>
              <w:rPr>
                <w:sz w:val="20"/>
                <w:szCs w:val="20"/>
                <w:color w:val="auto"/>
              </w:rPr>
            </w:pPr>
            <w:r>
              <w:rPr>
                <w:rFonts w:ascii="Arial" w:cs="Arial" w:eastAsia="Arial" w:hAnsi="Arial"/>
                <w:sz w:val="11"/>
                <w:szCs w:val="11"/>
                <w:b w:val="1"/>
                <w:bCs w:val="1"/>
                <w:color w:val="auto"/>
              </w:rPr>
              <w:t>Acquired on Exercise</w:t>
            </w:r>
          </w:p>
        </w:tc>
        <w:tc>
          <w:tcPr>
            <w:tcW w:w="11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Exercise</w:t>
            </w:r>
          </w:p>
        </w:tc>
        <w:tc>
          <w:tcPr>
            <w:tcW w:w="1840" w:type="dxa"/>
            <w:vAlign w:val="bottom"/>
          </w:tcPr>
          <w:p>
            <w:pPr>
              <w:jc w:val="right"/>
              <w:ind w:right="426"/>
              <w:spacing w:after="0"/>
              <w:rPr>
                <w:sz w:val="20"/>
                <w:szCs w:val="20"/>
                <w:color w:val="auto"/>
              </w:rPr>
            </w:pPr>
            <w:r>
              <w:rPr>
                <w:rFonts w:ascii="Arial" w:cs="Arial" w:eastAsia="Arial" w:hAnsi="Arial"/>
                <w:sz w:val="11"/>
                <w:szCs w:val="11"/>
                <w:b w:val="1"/>
                <w:bCs w:val="1"/>
                <w:color w:val="auto"/>
              </w:rPr>
              <w:t>Acquired on Vesting</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Vesting</w:t>
            </w:r>
          </w:p>
        </w:tc>
      </w:tr>
      <w:tr>
        <w:trPr>
          <w:trHeight w:val="150"/>
        </w:trPr>
        <w:tc>
          <w:tcPr>
            <w:tcW w:w="1420" w:type="dxa"/>
            <w:vAlign w:val="bottom"/>
            <w:tcBorders>
              <w:bottom w:val="single" w:sz="8" w:color="E31F25"/>
            </w:tcBorders>
          </w:tcPr>
          <w:p>
            <w:pPr>
              <w:ind w:left="20"/>
              <w:spacing w:after="0"/>
              <w:rPr>
                <w:sz w:val="20"/>
                <w:szCs w:val="20"/>
                <w:color w:val="auto"/>
              </w:rPr>
            </w:pPr>
            <w:r>
              <w:rPr>
                <w:rFonts w:ascii="Arial" w:cs="Arial" w:eastAsia="Arial" w:hAnsi="Arial"/>
                <w:sz w:val="11"/>
                <w:szCs w:val="11"/>
                <w:b w:val="1"/>
                <w:bCs w:val="1"/>
                <w:color w:val="auto"/>
              </w:rPr>
              <w:t>Name</w:t>
            </w:r>
          </w:p>
        </w:tc>
        <w:tc>
          <w:tcPr>
            <w:tcW w:w="1960" w:type="dxa"/>
            <w:vAlign w:val="bottom"/>
            <w:tcBorders>
              <w:bottom w:val="single" w:sz="8" w:color="E31F25"/>
            </w:tcBorders>
          </w:tcPr>
          <w:p>
            <w:pPr>
              <w:jc w:val="right"/>
              <w:ind w:right="526"/>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E31F25"/>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E31F25"/>
            </w:tcBorders>
          </w:tcPr>
          <w:p>
            <w:pPr>
              <w:spacing w:after="0"/>
              <w:rPr>
                <w:sz w:val="13"/>
                <w:szCs w:val="13"/>
                <w:color w:val="auto"/>
              </w:rPr>
            </w:pPr>
          </w:p>
        </w:tc>
        <w:tc>
          <w:tcPr>
            <w:tcW w:w="1840" w:type="dxa"/>
            <w:vAlign w:val="bottom"/>
            <w:tcBorders>
              <w:bottom w:val="single" w:sz="8" w:color="E31F25"/>
            </w:tcBorders>
          </w:tcPr>
          <w:p>
            <w:pPr>
              <w:jc w:val="right"/>
              <w:ind w:right="426"/>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E31F25"/>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51"/>
        </w:trPr>
        <w:tc>
          <w:tcPr>
            <w:tcW w:w="1420" w:type="dxa"/>
            <w:vAlign w:val="bottom"/>
            <w:tcBorders>
              <w:bottom w:val="single" w:sz="8" w:color="BCBEC0"/>
            </w:tcBorders>
          </w:tcPr>
          <w:p>
            <w:pPr>
              <w:ind w:left="20"/>
              <w:spacing w:after="0"/>
              <w:rPr>
                <w:sz w:val="20"/>
                <w:szCs w:val="20"/>
                <w:color w:val="auto"/>
              </w:rPr>
            </w:pPr>
            <w:r>
              <w:rPr>
                <w:rFonts w:ascii="Arial" w:cs="Arial" w:eastAsia="Arial" w:hAnsi="Arial"/>
                <w:sz w:val="11"/>
                <w:szCs w:val="11"/>
                <w:b w:val="1"/>
                <w:bCs w:val="1"/>
                <w:color w:val="D60011"/>
              </w:rPr>
              <w:t>Johnson</w:t>
            </w:r>
          </w:p>
        </w:tc>
        <w:tc>
          <w:tcPr>
            <w:tcW w:w="1960" w:type="dxa"/>
            <w:vAlign w:val="bottom"/>
            <w:tcBorders>
              <w:bottom w:val="single" w:sz="8" w:color="BCBEC0"/>
            </w:tcBorders>
          </w:tcPr>
          <w:p>
            <w:pPr>
              <w:jc w:val="right"/>
              <w:ind w:right="52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BCBEC0"/>
            </w:tcBorders>
          </w:tcPr>
          <w:p>
            <w:pPr>
              <w:jc w:val="right"/>
              <w:ind w:right="426"/>
              <w:spacing w:after="0"/>
              <w:rPr>
                <w:sz w:val="20"/>
                <w:szCs w:val="20"/>
                <w:color w:val="auto"/>
              </w:rPr>
            </w:pPr>
            <w:r>
              <w:rPr>
                <w:rFonts w:ascii="Arial" w:cs="Arial" w:eastAsia="Arial" w:hAnsi="Arial"/>
                <w:sz w:val="11"/>
                <w:szCs w:val="11"/>
                <w:color w:val="auto"/>
              </w:rPr>
              <w:t>25,123</w:t>
            </w:r>
          </w:p>
        </w:tc>
        <w:tc>
          <w:tcPr>
            <w:tcW w:w="1000" w:type="dxa"/>
            <w:vAlign w:val="bottom"/>
            <w:tcBorders>
              <w:bottom w:val="single" w:sz="8" w:color="BCBEC0"/>
            </w:tcBorders>
          </w:tcPr>
          <w:p>
            <w:pPr>
              <w:jc w:val="right"/>
              <w:spacing w:after="0"/>
              <w:rPr>
                <w:sz w:val="20"/>
                <w:szCs w:val="20"/>
                <w:color w:val="auto"/>
              </w:rPr>
            </w:pPr>
            <w:r>
              <w:rPr>
                <w:rFonts w:ascii="Arial" w:cs="Arial" w:eastAsia="Arial" w:hAnsi="Arial"/>
                <w:sz w:val="11"/>
                <w:szCs w:val="11"/>
                <w:color w:val="auto"/>
              </w:rPr>
              <w:t>1,405,632</w:t>
            </w:r>
          </w:p>
        </w:tc>
      </w:tr>
      <w:tr>
        <w:trPr>
          <w:trHeight w:val="151"/>
        </w:trPr>
        <w:tc>
          <w:tcPr>
            <w:tcW w:w="1420" w:type="dxa"/>
            <w:vAlign w:val="bottom"/>
            <w:tcBorders>
              <w:bottom w:val="single" w:sz="8" w:color="BCBEC0"/>
            </w:tcBorders>
          </w:tcPr>
          <w:p>
            <w:pPr>
              <w:ind w:left="20"/>
              <w:spacing w:after="0"/>
              <w:rPr>
                <w:sz w:val="20"/>
                <w:szCs w:val="20"/>
                <w:color w:val="auto"/>
              </w:rPr>
            </w:pPr>
            <w:r>
              <w:rPr>
                <w:rFonts w:ascii="Arial" w:cs="Arial" w:eastAsia="Arial" w:hAnsi="Arial"/>
                <w:sz w:val="11"/>
                <w:szCs w:val="11"/>
                <w:b w:val="1"/>
                <w:bCs w:val="1"/>
                <w:color w:val="D60011"/>
              </w:rPr>
              <w:t>Bracken</w:t>
            </w:r>
          </w:p>
        </w:tc>
        <w:tc>
          <w:tcPr>
            <w:tcW w:w="1960" w:type="dxa"/>
            <w:vAlign w:val="bottom"/>
            <w:tcBorders>
              <w:bottom w:val="single" w:sz="8" w:color="BCBEC0"/>
            </w:tcBorders>
          </w:tcPr>
          <w:p>
            <w:pPr>
              <w:jc w:val="right"/>
              <w:ind w:right="52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BCBEC0"/>
            </w:tcBorders>
          </w:tcPr>
          <w:p>
            <w:pPr>
              <w:jc w:val="right"/>
              <w:ind w:right="426"/>
              <w:spacing w:after="0"/>
              <w:rPr>
                <w:sz w:val="20"/>
                <w:szCs w:val="20"/>
                <w:color w:val="auto"/>
              </w:rPr>
            </w:pPr>
            <w:r>
              <w:rPr>
                <w:rFonts w:ascii="Arial" w:cs="Arial" w:eastAsia="Arial" w:hAnsi="Arial"/>
                <w:sz w:val="11"/>
                <w:szCs w:val="11"/>
                <w:color w:val="auto"/>
              </w:rPr>
              <w:t>1,934</w:t>
            </w:r>
          </w:p>
        </w:tc>
        <w:tc>
          <w:tcPr>
            <w:tcW w:w="1000" w:type="dxa"/>
            <w:vAlign w:val="bottom"/>
            <w:tcBorders>
              <w:bottom w:val="single" w:sz="8" w:color="BCBEC0"/>
            </w:tcBorders>
          </w:tcPr>
          <w:p>
            <w:pPr>
              <w:jc w:val="right"/>
              <w:spacing w:after="0"/>
              <w:rPr>
                <w:sz w:val="20"/>
                <w:szCs w:val="20"/>
                <w:color w:val="auto"/>
              </w:rPr>
            </w:pPr>
            <w:r>
              <w:rPr>
                <w:rFonts w:ascii="Arial" w:cs="Arial" w:eastAsia="Arial" w:hAnsi="Arial"/>
                <w:sz w:val="11"/>
                <w:szCs w:val="11"/>
                <w:color w:val="auto"/>
              </w:rPr>
              <w:t>106,295</w:t>
            </w:r>
          </w:p>
        </w:tc>
      </w:tr>
      <w:tr>
        <w:trPr>
          <w:trHeight w:val="151"/>
        </w:trPr>
        <w:tc>
          <w:tcPr>
            <w:tcW w:w="1420" w:type="dxa"/>
            <w:vAlign w:val="bottom"/>
            <w:tcBorders>
              <w:bottom w:val="single" w:sz="8" w:color="BCBEC0"/>
            </w:tcBorders>
          </w:tcPr>
          <w:p>
            <w:pPr>
              <w:ind w:left="20"/>
              <w:spacing w:after="0"/>
              <w:rPr>
                <w:sz w:val="20"/>
                <w:szCs w:val="20"/>
                <w:color w:val="auto"/>
              </w:rPr>
            </w:pPr>
            <w:r>
              <w:rPr>
                <w:rFonts w:ascii="Arial" w:cs="Arial" w:eastAsia="Arial" w:hAnsi="Arial"/>
                <w:sz w:val="11"/>
                <w:szCs w:val="11"/>
                <w:b w:val="1"/>
                <w:bCs w:val="1"/>
                <w:color w:val="D60011"/>
              </w:rPr>
              <w:t>Martin</w:t>
            </w:r>
          </w:p>
        </w:tc>
        <w:tc>
          <w:tcPr>
            <w:tcW w:w="1960" w:type="dxa"/>
            <w:vAlign w:val="bottom"/>
            <w:tcBorders>
              <w:bottom w:val="single" w:sz="8" w:color="BCBEC0"/>
            </w:tcBorders>
          </w:tcPr>
          <w:p>
            <w:pPr>
              <w:jc w:val="right"/>
              <w:ind w:right="52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BCBEC0"/>
            </w:tcBorders>
          </w:tcPr>
          <w:p>
            <w:pPr>
              <w:jc w:val="right"/>
              <w:ind w:right="426"/>
              <w:spacing w:after="0"/>
              <w:rPr>
                <w:sz w:val="20"/>
                <w:szCs w:val="20"/>
                <w:color w:val="auto"/>
              </w:rPr>
            </w:pPr>
            <w:r>
              <w:rPr>
                <w:rFonts w:ascii="Arial" w:cs="Arial" w:eastAsia="Arial" w:hAnsi="Arial"/>
                <w:sz w:val="11"/>
                <w:szCs w:val="11"/>
                <w:color w:val="auto"/>
              </w:rPr>
              <w:t>19,579</w:t>
            </w:r>
          </w:p>
        </w:tc>
        <w:tc>
          <w:tcPr>
            <w:tcW w:w="1000" w:type="dxa"/>
            <w:vAlign w:val="bottom"/>
            <w:tcBorders>
              <w:bottom w:val="single" w:sz="8" w:color="BCBEC0"/>
            </w:tcBorders>
          </w:tcPr>
          <w:p>
            <w:pPr>
              <w:jc w:val="right"/>
              <w:spacing w:after="0"/>
              <w:rPr>
                <w:sz w:val="20"/>
                <w:szCs w:val="20"/>
                <w:color w:val="auto"/>
              </w:rPr>
            </w:pPr>
            <w:r>
              <w:rPr>
                <w:rFonts w:ascii="Arial" w:cs="Arial" w:eastAsia="Arial" w:hAnsi="Arial"/>
                <w:sz w:val="11"/>
                <w:szCs w:val="11"/>
                <w:color w:val="auto"/>
              </w:rPr>
              <w:t>993,831</w:t>
            </w:r>
          </w:p>
        </w:tc>
      </w:tr>
      <w:tr>
        <w:trPr>
          <w:trHeight w:val="151"/>
        </w:trPr>
        <w:tc>
          <w:tcPr>
            <w:tcW w:w="1420" w:type="dxa"/>
            <w:vAlign w:val="bottom"/>
            <w:tcBorders>
              <w:bottom w:val="single" w:sz="8" w:color="BCBEC0"/>
            </w:tcBorders>
          </w:tcPr>
          <w:p>
            <w:pPr>
              <w:ind w:left="20"/>
              <w:spacing w:after="0"/>
              <w:rPr>
                <w:sz w:val="20"/>
                <w:szCs w:val="20"/>
                <w:color w:val="auto"/>
              </w:rPr>
            </w:pPr>
            <w:r>
              <w:rPr>
                <w:rFonts w:ascii="Arial" w:cs="Arial" w:eastAsia="Arial" w:hAnsi="Arial"/>
                <w:sz w:val="11"/>
                <w:szCs w:val="11"/>
                <w:b w:val="1"/>
                <w:bCs w:val="1"/>
                <w:color w:val="D60011"/>
              </w:rPr>
              <w:t>Gray</w:t>
            </w:r>
          </w:p>
        </w:tc>
        <w:tc>
          <w:tcPr>
            <w:tcW w:w="1960" w:type="dxa"/>
            <w:vAlign w:val="bottom"/>
            <w:tcBorders>
              <w:bottom w:val="single" w:sz="8" w:color="BCBEC0"/>
            </w:tcBorders>
          </w:tcPr>
          <w:p>
            <w:pPr>
              <w:jc w:val="right"/>
              <w:ind w:right="52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BCBEC0"/>
            </w:tcBorders>
          </w:tcPr>
          <w:p>
            <w:pPr>
              <w:jc w:val="right"/>
              <w:ind w:right="426"/>
              <w:spacing w:after="0"/>
              <w:rPr>
                <w:sz w:val="20"/>
                <w:szCs w:val="20"/>
                <w:color w:val="auto"/>
              </w:rPr>
            </w:pPr>
            <w:r>
              <w:rPr>
                <w:rFonts w:ascii="Arial" w:cs="Arial" w:eastAsia="Arial" w:hAnsi="Arial"/>
                <w:sz w:val="11"/>
                <w:szCs w:val="11"/>
                <w:color w:val="auto"/>
              </w:rPr>
              <w:t>2,492</w:t>
            </w:r>
          </w:p>
        </w:tc>
        <w:tc>
          <w:tcPr>
            <w:tcW w:w="1000" w:type="dxa"/>
            <w:vAlign w:val="bottom"/>
            <w:tcBorders>
              <w:bottom w:val="single" w:sz="8" w:color="BCBEC0"/>
            </w:tcBorders>
          </w:tcPr>
          <w:p>
            <w:pPr>
              <w:jc w:val="right"/>
              <w:spacing w:after="0"/>
              <w:rPr>
                <w:sz w:val="20"/>
                <w:szCs w:val="20"/>
                <w:color w:val="auto"/>
              </w:rPr>
            </w:pPr>
            <w:r>
              <w:rPr>
                <w:rFonts w:ascii="Arial" w:cs="Arial" w:eastAsia="Arial" w:hAnsi="Arial"/>
                <w:sz w:val="11"/>
                <w:szCs w:val="11"/>
                <w:color w:val="auto"/>
              </w:rPr>
              <w:t>131,515</w:t>
            </w:r>
          </w:p>
        </w:tc>
      </w:tr>
      <w:tr>
        <w:trPr>
          <w:trHeight w:val="153"/>
        </w:trPr>
        <w:tc>
          <w:tcPr>
            <w:tcW w:w="1420" w:type="dxa"/>
            <w:vAlign w:val="bottom"/>
            <w:tcBorders>
              <w:bottom w:val="single" w:sz="8" w:color="BCBEC0"/>
            </w:tcBorders>
          </w:tcPr>
          <w:p>
            <w:pPr>
              <w:ind w:left="20"/>
              <w:spacing w:after="0"/>
              <w:rPr>
                <w:sz w:val="20"/>
                <w:szCs w:val="20"/>
                <w:color w:val="auto"/>
              </w:rPr>
            </w:pPr>
            <w:r>
              <w:rPr>
                <w:rFonts w:ascii="Arial" w:cs="Arial" w:eastAsia="Arial" w:hAnsi="Arial"/>
                <w:sz w:val="11"/>
                <w:szCs w:val="11"/>
                <w:b w:val="1"/>
                <w:bCs w:val="1"/>
                <w:color w:val="D60011"/>
              </w:rPr>
              <w:t>Peters</w:t>
            </w:r>
          </w:p>
        </w:tc>
        <w:tc>
          <w:tcPr>
            <w:tcW w:w="1960" w:type="dxa"/>
            <w:vAlign w:val="bottom"/>
            <w:tcBorders>
              <w:bottom w:val="single" w:sz="8" w:color="BCBEC0"/>
            </w:tcBorders>
          </w:tcPr>
          <w:p>
            <w:pPr>
              <w:jc w:val="right"/>
              <w:ind w:right="406"/>
              <w:spacing w:after="0" w:line="154" w:lineRule="exact"/>
              <w:rPr>
                <w:sz w:val="20"/>
                <w:szCs w:val="20"/>
                <w:color w:val="auto"/>
              </w:rPr>
            </w:pPr>
            <w:r>
              <w:rPr>
                <w:rFonts w:ascii="Arial" w:cs="Arial" w:eastAsia="Arial" w:hAnsi="Arial"/>
                <w:sz w:val="11"/>
                <w:szCs w:val="11"/>
                <w:color w:val="auto"/>
              </w:rPr>
              <w:t>86,000</w:t>
            </w:r>
            <w:r>
              <w:rPr>
                <w:rFonts w:ascii="Arial" w:cs="Arial" w:eastAsia="Arial" w:hAnsi="Arial"/>
                <w:sz w:val="17"/>
                <w:szCs w:val="17"/>
                <w:color w:val="auto"/>
                <w:vertAlign w:val="superscript"/>
              </w:rPr>
              <w:t>(1)</w:t>
            </w:r>
          </w:p>
        </w:tc>
        <w:tc>
          <w:tcPr>
            <w:tcW w:w="1020" w:type="dxa"/>
            <w:vAlign w:val="bottom"/>
            <w:tcBorders>
              <w:bottom w:val="single" w:sz="8" w:color="BCBEC0"/>
            </w:tcBorders>
          </w:tcPr>
          <w:p>
            <w:pPr>
              <w:jc w:val="right"/>
              <w:spacing w:after="0"/>
              <w:rPr>
                <w:sz w:val="20"/>
                <w:szCs w:val="20"/>
                <w:color w:val="auto"/>
              </w:rPr>
            </w:pPr>
            <w:r>
              <w:rPr>
                <w:rFonts w:ascii="Arial" w:cs="Arial" w:eastAsia="Arial" w:hAnsi="Arial"/>
                <w:sz w:val="11"/>
                <w:szCs w:val="11"/>
                <w:color w:val="auto"/>
              </w:rPr>
              <w:t>2,728,426</w:t>
            </w:r>
          </w:p>
        </w:tc>
        <w:tc>
          <w:tcPr>
            <w:tcW w:w="100" w:type="dxa"/>
            <w:vAlign w:val="bottom"/>
            <w:tcBorders>
              <w:bottom w:val="single" w:sz="8" w:color="BCBEC0"/>
            </w:tcBorders>
          </w:tcPr>
          <w:p>
            <w:pPr>
              <w:spacing w:after="0"/>
              <w:rPr>
                <w:sz w:val="13"/>
                <w:szCs w:val="13"/>
                <w:color w:val="auto"/>
              </w:rPr>
            </w:pPr>
          </w:p>
        </w:tc>
        <w:tc>
          <w:tcPr>
            <w:tcW w:w="1840" w:type="dxa"/>
            <w:vAlign w:val="bottom"/>
            <w:tcBorders>
              <w:bottom w:val="single" w:sz="8" w:color="BCBEC0"/>
            </w:tcBorders>
          </w:tcPr>
          <w:p>
            <w:pPr>
              <w:jc w:val="right"/>
              <w:ind w:right="426"/>
              <w:spacing w:after="0"/>
              <w:rPr>
                <w:sz w:val="20"/>
                <w:szCs w:val="20"/>
                <w:color w:val="auto"/>
              </w:rPr>
            </w:pPr>
            <w:r>
              <w:rPr>
                <w:rFonts w:ascii="Arial" w:cs="Arial" w:eastAsia="Arial" w:hAnsi="Arial"/>
                <w:sz w:val="11"/>
                <w:szCs w:val="11"/>
                <w:color w:val="auto"/>
              </w:rPr>
              <w:t>18,236</w:t>
            </w:r>
          </w:p>
        </w:tc>
        <w:tc>
          <w:tcPr>
            <w:tcW w:w="1000" w:type="dxa"/>
            <w:vAlign w:val="bottom"/>
            <w:tcBorders>
              <w:bottom w:val="single" w:sz="8" w:color="BCBEC0"/>
            </w:tcBorders>
          </w:tcPr>
          <w:p>
            <w:pPr>
              <w:jc w:val="right"/>
              <w:spacing w:after="0"/>
              <w:rPr>
                <w:sz w:val="20"/>
                <w:szCs w:val="20"/>
                <w:color w:val="auto"/>
              </w:rPr>
            </w:pPr>
            <w:r>
              <w:rPr>
                <w:rFonts w:ascii="Arial" w:cs="Arial" w:eastAsia="Arial" w:hAnsi="Arial"/>
                <w:sz w:val="11"/>
                <w:szCs w:val="11"/>
                <w:color w:val="auto"/>
              </w:rPr>
              <w:t>1,029,409</w:t>
            </w:r>
          </w:p>
        </w:tc>
      </w:tr>
      <w:tr>
        <w:trPr>
          <w:trHeight w:val="149"/>
        </w:trPr>
        <w:tc>
          <w:tcPr>
            <w:tcW w:w="1420" w:type="dxa"/>
            <w:vAlign w:val="bottom"/>
            <w:tcBorders>
              <w:bottom w:val="single" w:sz="8" w:color="E31F25"/>
            </w:tcBorders>
          </w:tcPr>
          <w:p>
            <w:pPr>
              <w:ind w:left="20"/>
              <w:spacing w:after="0"/>
              <w:rPr>
                <w:sz w:val="20"/>
                <w:szCs w:val="20"/>
                <w:color w:val="auto"/>
              </w:rPr>
            </w:pPr>
            <w:r>
              <w:rPr>
                <w:rFonts w:ascii="Arial" w:cs="Arial" w:eastAsia="Arial" w:hAnsi="Arial"/>
                <w:sz w:val="11"/>
                <w:szCs w:val="11"/>
                <w:b w:val="1"/>
                <w:bCs w:val="1"/>
                <w:color w:val="D60011"/>
              </w:rPr>
              <w:t>Talwar</w:t>
            </w:r>
          </w:p>
        </w:tc>
        <w:tc>
          <w:tcPr>
            <w:tcW w:w="1960" w:type="dxa"/>
            <w:vAlign w:val="bottom"/>
            <w:tcBorders>
              <w:bottom w:val="single" w:sz="8" w:color="E31F25"/>
            </w:tcBorders>
          </w:tcPr>
          <w:p>
            <w:pPr>
              <w:jc w:val="right"/>
              <w:ind w:right="526"/>
              <w:spacing w:after="0"/>
              <w:rPr>
                <w:sz w:val="20"/>
                <w:szCs w:val="20"/>
                <w:color w:val="auto"/>
              </w:rPr>
            </w:pPr>
            <w:r>
              <w:rPr>
                <w:rFonts w:ascii="Arial" w:cs="Arial" w:eastAsia="Arial" w:hAnsi="Arial"/>
                <w:sz w:val="11"/>
                <w:szCs w:val="11"/>
                <w:color w:val="auto"/>
              </w:rPr>
              <w:t>3,500</w:t>
            </w:r>
          </w:p>
        </w:tc>
        <w:tc>
          <w:tcPr>
            <w:tcW w:w="1020" w:type="dxa"/>
            <w:vAlign w:val="bottom"/>
            <w:tcBorders>
              <w:bottom w:val="single" w:sz="8" w:color="E31F25"/>
            </w:tcBorders>
          </w:tcPr>
          <w:p>
            <w:pPr>
              <w:jc w:val="right"/>
              <w:spacing w:after="0"/>
              <w:rPr>
                <w:sz w:val="20"/>
                <w:szCs w:val="20"/>
                <w:color w:val="auto"/>
              </w:rPr>
            </w:pPr>
            <w:r>
              <w:rPr>
                <w:rFonts w:ascii="Arial" w:cs="Arial" w:eastAsia="Arial" w:hAnsi="Arial"/>
                <w:sz w:val="11"/>
                <w:szCs w:val="11"/>
                <w:color w:val="auto"/>
              </w:rPr>
              <w:t>148,474</w:t>
            </w:r>
          </w:p>
        </w:tc>
        <w:tc>
          <w:tcPr>
            <w:tcW w:w="100" w:type="dxa"/>
            <w:vAlign w:val="bottom"/>
            <w:tcBorders>
              <w:bottom w:val="single" w:sz="8" w:color="E31F25"/>
            </w:tcBorders>
          </w:tcPr>
          <w:p>
            <w:pPr>
              <w:spacing w:after="0"/>
              <w:rPr>
                <w:sz w:val="12"/>
                <w:szCs w:val="12"/>
                <w:color w:val="auto"/>
              </w:rPr>
            </w:pPr>
          </w:p>
        </w:tc>
        <w:tc>
          <w:tcPr>
            <w:tcW w:w="1840" w:type="dxa"/>
            <w:vAlign w:val="bottom"/>
            <w:tcBorders>
              <w:bottom w:val="single" w:sz="8" w:color="E31F25"/>
            </w:tcBorders>
          </w:tcPr>
          <w:p>
            <w:pPr>
              <w:jc w:val="right"/>
              <w:ind w:right="426"/>
              <w:spacing w:after="0"/>
              <w:rPr>
                <w:sz w:val="20"/>
                <w:szCs w:val="20"/>
                <w:color w:val="auto"/>
              </w:rPr>
            </w:pPr>
            <w:r>
              <w:rPr>
                <w:rFonts w:ascii="Arial" w:cs="Arial" w:eastAsia="Arial" w:hAnsi="Arial"/>
                <w:sz w:val="11"/>
                <w:szCs w:val="11"/>
                <w:color w:val="auto"/>
              </w:rPr>
              <w:t>7,433</w:t>
            </w:r>
          </w:p>
        </w:tc>
        <w:tc>
          <w:tcPr>
            <w:tcW w:w="1000" w:type="dxa"/>
            <w:vAlign w:val="bottom"/>
            <w:tcBorders>
              <w:bottom w:val="single" w:sz="8" w:color="E31F25"/>
            </w:tcBorders>
          </w:tcPr>
          <w:p>
            <w:pPr>
              <w:jc w:val="right"/>
              <w:spacing w:after="0"/>
              <w:rPr>
                <w:sz w:val="20"/>
                <w:szCs w:val="20"/>
                <w:color w:val="auto"/>
              </w:rPr>
            </w:pPr>
            <w:r>
              <w:rPr>
                <w:rFonts w:ascii="Arial" w:cs="Arial" w:eastAsia="Arial" w:hAnsi="Arial"/>
                <w:sz w:val="11"/>
                <w:szCs w:val="11"/>
                <w:color w:val="auto"/>
              </w:rPr>
              <w:t>406,323</w:t>
            </w:r>
          </w:p>
        </w:tc>
      </w:tr>
    </w:tbl>
    <w:p>
      <w:pPr>
        <w:spacing w:after="0" w:line="52" w:lineRule="exact"/>
        <w:rPr>
          <w:sz w:val="20"/>
          <w:szCs w:val="20"/>
          <w:color w:val="auto"/>
        </w:rPr>
      </w:pPr>
    </w:p>
    <w:p>
      <w:pPr>
        <w:ind w:left="2180" w:hanging="208"/>
        <w:spacing w:after="0"/>
        <w:tabs>
          <w:tab w:leader="none" w:pos="2180" w:val="left"/>
        </w:tabs>
        <w:numPr>
          <w:ilvl w:val="0"/>
          <w:numId w:val="133"/>
        </w:numPr>
        <w:rPr>
          <w:rFonts w:ascii="Arial" w:cs="Arial" w:eastAsia="Arial" w:hAnsi="Arial"/>
          <w:sz w:val="18"/>
          <w:szCs w:val="18"/>
          <w:color w:val="auto"/>
          <w:vertAlign w:val="superscript"/>
        </w:rPr>
      </w:pPr>
      <w:r>
        <w:rPr>
          <w:rFonts w:ascii="Arial" w:cs="Arial" w:eastAsia="Arial" w:hAnsi="Arial"/>
          <w:sz w:val="11"/>
          <w:szCs w:val="11"/>
          <w:color w:val="auto"/>
        </w:rPr>
        <w:t>Represents shares acquired upon the exercise of stock options by Ms. Peters after her retirement in 2021.</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PENSION BENEFITS IN FISCAL 2021</w:t>
      </w:r>
    </w:p>
    <w:p>
      <w:pPr>
        <w:spacing w:after="0" w:line="141" w:lineRule="exact"/>
        <w:rPr>
          <w:sz w:val="20"/>
          <w:szCs w:val="20"/>
          <w:color w:val="auto"/>
        </w:rPr>
      </w:pPr>
    </w:p>
    <w:p>
      <w:pPr>
        <w:ind w:left="1980" w:right="2020"/>
        <w:spacing w:after="0" w:line="253" w:lineRule="auto"/>
        <w:rPr>
          <w:sz w:val="20"/>
          <w:szCs w:val="20"/>
          <w:color w:val="auto"/>
        </w:rPr>
      </w:pPr>
      <w:r>
        <w:rPr>
          <w:rFonts w:ascii="Arial" w:cs="Arial" w:eastAsia="Arial" w:hAnsi="Arial"/>
          <w:sz w:val="11"/>
          <w:szCs w:val="11"/>
          <w:color w:val="auto"/>
        </w:rPr>
        <w:t>The table below provides the present value of the accumulated benefit payable to each of the NEOs and the years of service credited to each of them under the Retirement Plan, the Excess Cash Plan, and the SERP, as applicable, determined using interest rate and mortality rate assumptions consistent with those used in our 2021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980" w:type="dxa"/>
            <w:vAlign w:val="bottom"/>
          </w:tcPr>
          <w:p>
            <w:pPr>
              <w:spacing w:after="0"/>
              <w:rPr>
                <w:sz w:val="13"/>
                <w:szCs w:val="13"/>
                <w:color w:val="auto"/>
              </w:rPr>
            </w:pPr>
          </w:p>
        </w:tc>
        <w:tc>
          <w:tcPr>
            <w:tcW w:w="3160" w:type="dxa"/>
            <w:vAlign w:val="bottom"/>
            <w:tcBorders>
              <w:bottom w:val="single" w:sz="8" w:color="E31F25"/>
            </w:tcBorders>
          </w:tcPr>
          <w:p>
            <w:pPr>
              <w:ind w:left="60"/>
              <w:spacing w:after="0"/>
              <w:rPr>
                <w:sz w:val="20"/>
                <w:szCs w:val="20"/>
                <w:color w:val="auto"/>
              </w:rPr>
            </w:pPr>
            <w:r>
              <w:rPr>
                <w:rFonts w:ascii="Arial" w:cs="Arial" w:eastAsia="Arial" w:hAnsi="Arial"/>
                <w:sz w:val="11"/>
                <w:szCs w:val="11"/>
                <w:b w:val="1"/>
                <w:bCs w:val="1"/>
                <w:color w:val="auto"/>
              </w:rPr>
              <w:t>(a)</w:t>
            </w:r>
          </w:p>
        </w:tc>
        <w:tc>
          <w:tcPr>
            <w:tcW w:w="1340" w:type="dxa"/>
            <w:vAlign w:val="bottom"/>
            <w:tcBorders>
              <w:bottom w:val="single" w:sz="8" w:color="E31F25"/>
            </w:tcBorders>
          </w:tcPr>
          <w:p>
            <w:pPr>
              <w:ind w:left="60"/>
              <w:spacing w:after="0"/>
              <w:rPr>
                <w:sz w:val="20"/>
                <w:szCs w:val="20"/>
                <w:color w:val="auto"/>
              </w:rPr>
            </w:pPr>
            <w:r>
              <w:rPr>
                <w:rFonts w:ascii="Arial" w:cs="Arial" w:eastAsia="Arial" w:hAnsi="Arial"/>
                <w:sz w:val="11"/>
                <w:szCs w:val="11"/>
                <w:b w:val="1"/>
                <w:bCs w:val="1"/>
                <w:color w:val="auto"/>
              </w:rPr>
              <w:t>(b)</w:t>
            </w:r>
          </w:p>
        </w:tc>
        <w:tc>
          <w:tcPr>
            <w:tcW w:w="920" w:type="dxa"/>
            <w:vAlign w:val="bottom"/>
            <w:tcBorders>
              <w:bottom w:val="single" w:sz="8" w:color="E31F25"/>
            </w:tcBorders>
          </w:tcPr>
          <w:p>
            <w:pPr>
              <w:jc w:val="right"/>
              <w:ind w:right="6"/>
              <w:spacing w:after="0"/>
              <w:rPr>
                <w:sz w:val="20"/>
                <w:szCs w:val="20"/>
                <w:color w:val="auto"/>
              </w:rPr>
            </w:pPr>
            <w:r>
              <w:rPr>
                <w:rFonts w:ascii="Arial" w:cs="Arial" w:eastAsia="Arial" w:hAnsi="Arial"/>
                <w:sz w:val="11"/>
                <w:szCs w:val="11"/>
                <w:b w:val="1"/>
                <w:bCs w:val="1"/>
                <w:color w:val="auto"/>
              </w:rPr>
              <w:t>(c)</w:t>
            </w:r>
          </w:p>
        </w:tc>
        <w:tc>
          <w:tcPr>
            <w:tcW w:w="1240" w:type="dxa"/>
            <w:vAlign w:val="bottom"/>
            <w:tcBorders>
              <w:bottom w:val="single" w:sz="8" w:color="E31F25"/>
            </w:tcBorders>
          </w:tcPr>
          <w:p>
            <w:pPr>
              <w:jc w:val="right"/>
              <w:ind w:right="286"/>
              <w:spacing w:after="0"/>
              <w:rPr>
                <w:sz w:val="20"/>
                <w:szCs w:val="20"/>
                <w:color w:val="auto"/>
              </w:rPr>
            </w:pPr>
            <w:r>
              <w:rPr>
                <w:rFonts w:ascii="Arial" w:cs="Arial" w:eastAsia="Arial" w:hAnsi="Arial"/>
                <w:sz w:val="11"/>
                <w:szCs w:val="11"/>
                <w:b w:val="1"/>
                <w:bCs w:val="1"/>
                <w:color w:val="auto"/>
              </w:rPr>
              <w:t>(d)</w:t>
            </w:r>
          </w:p>
        </w:tc>
        <w:tc>
          <w:tcPr>
            <w:tcW w:w="680" w:type="dxa"/>
            <w:vAlign w:val="bottom"/>
            <w:tcBorders>
              <w:bottom w:val="single" w:sz="8" w:color="E31F25"/>
            </w:tcBorders>
          </w:tcPr>
          <w:p>
            <w:pPr>
              <w:jc w:val="right"/>
              <w:ind w:right="6"/>
              <w:spacing w:after="0"/>
              <w:rPr>
                <w:sz w:val="20"/>
                <w:szCs w:val="20"/>
                <w:color w:val="auto"/>
              </w:rPr>
            </w:pPr>
            <w:r>
              <w:rPr>
                <w:rFonts w:ascii="Arial" w:cs="Arial" w:eastAsia="Arial" w:hAnsi="Arial"/>
                <w:sz w:val="11"/>
                <w:szCs w:val="11"/>
                <w:b w:val="1"/>
                <w:bCs w:val="1"/>
                <w:color w:val="auto"/>
              </w:rPr>
              <w:t>(e)</w:t>
            </w:r>
          </w:p>
        </w:tc>
        <w:tc>
          <w:tcPr>
            <w:tcW w:w="1980" w:type="dxa"/>
            <w:vAlign w:val="bottom"/>
          </w:tcPr>
          <w:p>
            <w:pPr>
              <w:spacing w:after="0"/>
              <w:rPr>
                <w:sz w:val="13"/>
                <w:szCs w:val="13"/>
                <w:color w:val="auto"/>
              </w:rPr>
            </w:pPr>
          </w:p>
        </w:tc>
      </w:tr>
      <w:tr>
        <w:trPr>
          <w:trHeight w:val="127"/>
        </w:trPr>
        <w:tc>
          <w:tcPr>
            <w:tcW w:w="19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Number</w:t>
            </w:r>
          </w:p>
        </w:tc>
        <w:tc>
          <w:tcPr>
            <w:tcW w:w="1240" w:type="dxa"/>
            <w:vAlign w:val="bottom"/>
          </w:tcPr>
          <w:p>
            <w:pPr>
              <w:jc w:val="right"/>
              <w:ind w:right="286"/>
              <w:spacing w:after="0"/>
              <w:rPr>
                <w:sz w:val="20"/>
                <w:szCs w:val="20"/>
                <w:color w:val="auto"/>
              </w:rPr>
            </w:pPr>
            <w:r>
              <w:rPr>
                <w:rFonts w:ascii="Arial" w:cs="Arial" w:eastAsia="Arial" w:hAnsi="Arial"/>
                <w:sz w:val="11"/>
                <w:szCs w:val="11"/>
                <w:b w:val="1"/>
                <w:bCs w:val="1"/>
                <w:color w:val="auto"/>
              </w:rPr>
              <w:t>Present</w:t>
            </w:r>
          </w:p>
        </w:tc>
        <w:tc>
          <w:tcPr>
            <w:tcW w:w="68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35"/>
        </w:trPr>
        <w:tc>
          <w:tcPr>
            <w:tcW w:w="19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of Years</w:t>
            </w:r>
          </w:p>
        </w:tc>
        <w:tc>
          <w:tcPr>
            <w:tcW w:w="1240" w:type="dxa"/>
            <w:vAlign w:val="bottom"/>
          </w:tcPr>
          <w:p>
            <w:pPr>
              <w:jc w:val="right"/>
              <w:ind w:right="286"/>
              <w:spacing w:after="0"/>
              <w:rPr>
                <w:sz w:val="20"/>
                <w:szCs w:val="20"/>
                <w:color w:val="auto"/>
              </w:rPr>
            </w:pPr>
            <w:r>
              <w:rPr>
                <w:rFonts w:ascii="Arial" w:cs="Arial" w:eastAsia="Arial" w:hAnsi="Arial"/>
                <w:sz w:val="11"/>
                <w:szCs w:val="11"/>
                <w:b w:val="1"/>
                <w:bCs w:val="1"/>
                <w:color w:val="auto"/>
              </w:rPr>
              <w:t>Value of</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Payments</w:t>
            </w:r>
          </w:p>
        </w:tc>
        <w:tc>
          <w:tcPr>
            <w:tcW w:w="1980" w:type="dxa"/>
            <w:vAlign w:val="bottom"/>
          </w:tcPr>
          <w:p>
            <w:pPr>
              <w:spacing w:after="0"/>
              <w:rPr>
                <w:sz w:val="11"/>
                <w:szCs w:val="11"/>
                <w:color w:val="auto"/>
              </w:rPr>
            </w:pPr>
          </w:p>
        </w:tc>
      </w:tr>
      <w:tr>
        <w:trPr>
          <w:trHeight w:val="126"/>
        </w:trPr>
        <w:tc>
          <w:tcPr>
            <w:tcW w:w="19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Credited</w:t>
            </w:r>
          </w:p>
        </w:tc>
        <w:tc>
          <w:tcPr>
            <w:tcW w:w="1240" w:type="dxa"/>
            <w:vAlign w:val="bottom"/>
          </w:tcPr>
          <w:p>
            <w:pPr>
              <w:jc w:val="right"/>
              <w:ind w:right="286"/>
              <w:spacing w:after="0"/>
              <w:rPr>
                <w:sz w:val="20"/>
                <w:szCs w:val="20"/>
                <w:color w:val="auto"/>
              </w:rPr>
            </w:pPr>
            <w:r>
              <w:rPr>
                <w:rFonts w:ascii="Arial" w:cs="Arial" w:eastAsia="Arial" w:hAnsi="Arial"/>
                <w:sz w:val="11"/>
                <w:szCs w:val="11"/>
                <w:b w:val="1"/>
                <w:bCs w:val="1"/>
                <w:color w:val="auto"/>
              </w:rPr>
              <w:t>Accumulated</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w w:val="98"/>
              </w:rPr>
              <w:t>During Last</w:t>
            </w:r>
          </w:p>
        </w:tc>
        <w:tc>
          <w:tcPr>
            <w:tcW w:w="1980" w:type="dxa"/>
            <w:vAlign w:val="bottom"/>
          </w:tcPr>
          <w:p>
            <w:pPr>
              <w:spacing w:after="0"/>
              <w:rPr>
                <w:sz w:val="10"/>
                <w:szCs w:val="10"/>
                <w:color w:val="auto"/>
              </w:rPr>
            </w:pPr>
          </w:p>
        </w:tc>
      </w:tr>
      <w:tr>
        <w:trPr>
          <w:trHeight w:val="126"/>
        </w:trPr>
        <w:tc>
          <w:tcPr>
            <w:tcW w:w="19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Service</w:t>
            </w:r>
          </w:p>
        </w:tc>
        <w:tc>
          <w:tcPr>
            <w:tcW w:w="1240" w:type="dxa"/>
            <w:vAlign w:val="bottom"/>
          </w:tcPr>
          <w:p>
            <w:pPr>
              <w:jc w:val="right"/>
              <w:ind w:right="286"/>
              <w:spacing w:after="0"/>
              <w:rPr>
                <w:sz w:val="20"/>
                <w:szCs w:val="20"/>
                <w:color w:val="auto"/>
              </w:rPr>
            </w:pPr>
            <w:r>
              <w:rPr>
                <w:rFonts w:ascii="Arial" w:cs="Arial" w:eastAsia="Arial" w:hAnsi="Arial"/>
                <w:sz w:val="11"/>
                <w:szCs w:val="11"/>
                <w:b w:val="1"/>
                <w:bCs w:val="1"/>
                <w:color w:val="auto"/>
              </w:rPr>
              <w:t>Benefit</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Fiscal Year</w:t>
            </w:r>
          </w:p>
        </w:tc>
        <w:tc>
          <w:tcPr>
            <w:tcW w:w="1980" w:type="dxa"/>
            <w:vAlign w:val="bottom"/>
          </w:tcPr>
          <w:p>
            <w:pPr>
              <w:spacing w:after="0"/>
              <w:rPr>
                <w:sz w:val="10"/>
                <w:szCs w:val="10"/>
                <w:color w:val="auto"/>
              </w:rPr>
            </w:pPr>
          </w:p>
        </w:tc>
      </w:tr>
      <w:tr>
        <w:trPr>
          <w:trHeight w:val="171"/>
        </w:trPr>
        <w:tc>
          <w:tcPr>
            <w:tcW w:w="1980" w:type="dxa"/>
            <w:vAlign w:val="bottom"/>
          </w:tcPr>
          <w:p>
            <w:pPr>
              <w:spacing w:after="0"/>
              <w:rPr>
                <w:sz w:val="14"/>
                <w:szCs w:val="14"/>
                <w:color w:val="auto"/>
              </w:rPr>
            </w:pPr>
          </w:p>
        </w:tc>
        <w:tc>
          <w:tcPr>
            <w:tcW w:w="3160" w:type="dxa"/>
            <w:vAlign w:val="bottom"/>
            <w:tcBorders>
              <w:bottom w:val="single" w:sz="8" w:color="E31F25"/>
            </w:tcBorders>
          </w:tcPr>
          <w:p>
            <w:pPr>
              <w:ind w:left="60"/>
              <w:spacing w:after="0"/>
              <w:rPr>
                <w:sz w:val="20"/>
                <w:szCs w:val="20"/>
                <w:color w:val="auto"/>
              </w:rPr>
            </w:pPr>
            <w:r>
              <w:rPr>
                <w:rFonts w:ascii="Arial" w:cs="Arial" w:eastAsia="Arial" w:hAnsi="Arial"/>
                <w:sz w:val="11"/>
                <w:szCs w:val="11"/>
                <w:b w:val="1"/>
                <w:bCs w:val="1"/>
                <w:color w:val="auto"/>
              </w:rPr>
              <w:t>Name</w:t>
            </w:r>
          </w:p>
        </w:tc>
        <w:tc>
          <w:tcPr>
            <w:tcW w:w="1340" w:type="dxa"/>
            <w:vAlign w:val="bottom"/>
            <w:tcBorders>
              <w:bottom w:val="single" w:sz="8" w:color="E31F25"/>
            </w:tcBorders>
          </w:tcPr>
          <w:p>
            <w:pPr>
              <w:ind w:left="60"/>
              <w:spacing w:after="0"/>
              <w:rPr>
                <w:sz w:val="20"/>
                <w:szCs w:val="20"/>
                <w:color w:val="auto"/>
              </w:rPr>
            </w:pPr>
            <w:r>
              <w:rPr>
                <w:rFonts w:ascii="Arial" w:cs="Arial" w:eastAsia="Arial" w:hAnsi="Arial"/>
                <w:sz w:val="11"/>
                <w:szCs w:val="11"/>
                <w:b w:val="1"/>
                <w:bCs w:val="1"/>
                <w:color w:val="auto"/>
              </w:rPr>
              <w:t>Plan Name</w:t>
            </w:r>
          </w:p>
        </w:tc>
        <w:tc>
          <w:tcPr>
            <w:tcW w:w="920" w:type="dxa"/>
            <w:vAlign w:val="bottom"/>
            <w:tcBorders>
              <w:bottom w:val="single" w:sz="8" w:color="E31F25"/>
            </w:tcBorders>
          </w:tcPr>
          <w:p>
            <w:pPr>
              <w:jc w:val="right"/>
              <w:ind w:right="6"/>
              <w:spacing w:after="0" w:line="171"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1240" w:type="dxa"/>
            <w:vAlign w:val="bottom"/>
            <w:tcBorders>
              <w:bottom w:val="single" w:sz="8" w:color="E31F25"/>
            </w:tcBorders>
          </w:tcPr>
          <w:p>
            <w:pPr>
              <w:jc w:val="right"/>
              <w:ind w:right="286"/>
              <w:spacing w:after="0" w:line="171"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680" w:type="dxa"/>
            <w:vAlign w:val="bottom"/>
            <w:tcBorders>
              <w:bottom w:val="single" w:sz="8" w:color="E31F25"/>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1980" w:type="dxa"/>
            <w:vAlign w:val="bottom"/>
          </w:tcPr>
          <w:p>
            <w:pPr>
              <w:spacing w:after="0"/>
              <w:rPr>
                <w:sz w:val="14"/>
                <w:szCs w:val="14"/>
                <w:color w:val="auto"/>
              </w:rPr>
            </w:pPr>
          </w:p>
        </w:tc>
      </w:tr>
      <w:tr>
        <w:trPr>
          <w:trHeight w:val="151"/>
        </w:trPr>
        <w:tc>
          <w:tcPr>
            <w:tcW w:w="1980" w:type="dxa"/>
            <w:vAlign w:val="bottom"/>
          </w:tcPr>
          <w:p>
            <w:pPr>
              <w:spacing w:after="0"/>
              <w:rPr>
                <w:sz w:val="13"/>
                <w:szCs w:val="13"/>
                <w:color w:val="auto"/>
              </w:rPr>
            </w:pPr>
          </w:p>
        </w:tc>
        <w:tc>
          <w:tcPr>
            <w:tcW w:w="3160" w:type="dxa"/>
            <w:vAlign w:val="bottom"/>
          </w:tcPr>
          <w:p>
            <w:pPr>
              <w:ind w:left="60"/>
              <w:spacing w:after="0"/>
              <w:rPr>
                <w:sz w:val="20"/>
                <w:szCs w:val="20"/>
                <w:color w:val="auto"/>
              </w:rPr>
            </w:pPr>
            <w:r>
              <w:rPr>
                <w:rFonts w:ascii="Arial" w:cs="Arial" w:eastAsia="Arial" w:hAnsi="Arial"/>
                <w:sz w:val="11"/>
                <w:szCs w:val="11"/>
                <w:b w:val="1"/>
                <w:bCs w:val="1"/>
                <w:color w:val="D60011"/>
              </w:rPr>
              <w:t>Johnson</w:t>
            </w: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Retirement Plan</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23</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286,813</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145"/>
        </w:trPr>
        <w:tc>
          <w:tcPr>
            <w:tcW w:w="1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Excess Cash Plan</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23</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1,416,715</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2"/>
                <w:szCs w:val="12"/>
                <w:color w:val="auto"/>
              </w:rPr>
            </w:pPr>
          </w:p>
        </w:tc>
      </w:tr>
      <w:tr>
        <w:trPr>
          <w:trHeight w:val="151"/>
        </w:trPr>
        <w:tc>
          <w:tcPr>
            <w:tcW w:w="19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SERP</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19</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4,063,958</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154"/>
        </w:trPr>
        <w:tc>
          <w:tcPr>
            <w:tcW w:w="1980" w:type="dxa"/>
            <w:vAlign w:val="bottom"/>
          </w:tcPr>
          <w:p>
            <w:pPr>
              <w:spacing w:after="0"/>
              <w:rPr>
                <w:sz w:val="13"/>
                <w:szCs w:val="13"/>
                <w:color w:val="auto"/>
              </w:rPr>
            </w:pPr>
          </w:p>
        </w:tc>
        <w:tc>
          <w:tcPr>
            <w:tcW w:w="3160" w:type="dxa"/>
            <w:vAlign w:val="bottom"/>
            <w:tcBorders>
              <w:bottom w:val="single" w:sz="8" w:color="BCBEC0"/>
            </w:tcBorders>
          </w:tcPr>
          <w:p>
            <w:pPr>
              <w:spacing w:after="0"/>
              <w:rPr>
                <w:sz w:val="13"/>
                <w:szCs w:val="13"/>
                <w:color w:val="auto"/>
              </w:rPr>
            </w:pPr>
          </w:p>
        </w:tc>
        <w:tc>
          <w:tcPr>
            <w:tcW w:w="1340" w:type="dxa"/>
            <w:vAlign w:val="bottom"/>
            <w:tcBorders>
              <w:bottom w:val="single" w:sz="8" w:color="BCBEC0"/>
            </w:tcBorders>
          </w:tcPr>
          <w:p>
            <w:pPr>
              <w:spacing w:after="0"/>
              <w:rPr>
                <w:sz w:val="13"/>
                <w:szCs w:val="13"/>
                <w:color w:val="auto"/>
              </w:rPr>
            </w:pPr>
          </w:p>
        </w:tc>
        <w:tc>
          <w:tcPr>
            <w:tcW w:w="920" w:type="dxa"/>
            <w:vAlign w:val="bottom"/>
            <w:tcBorders>
              <w:bottom w:val="single" w:sz="8" w:color="BCBEC0"/>
            </w:tcBorders>
          </w:tcPr>
          <w:p>
            <w:pPr>
              <w:spacing w:after="0"/>
              <w:rPr>
                <w:sz w:val="13"/>
                <w:szCs w:val="13"/>
                <w:color w:val="auto"/>
              </w:rPr>
            </w:pP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b w:val="1"/>
                <w:bCs w:val="1"/>
                <w:color w:val="auto"/>
              </w:rPr>
              <w:t>5,767,486</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153"/>
        </w:trPr>
        <w:tc>
          <w:tcPr>
            <w:tcW w:w="1980" w:type="dxa"/>
            <w:vAlign w:val="bottom"/>
          </w:tcPr>
          <w:p>
            <w:pPr>
              <w:spacing w:after="0"/>
              <w:rPr>
                <w:sz w:val="13"/>
                <w:szCs w:val="13"/>
                <w:color w:val="auto"/>
              </w:rPr>
            </w:pPr>
          </w:p>
        </w:tc>
        <w:tc>
          <w:tcPr>
            <w:tcW w:w="3160" w:type="dxa"/>
            <w:vAlign w:val="bottom"/>
          </w:tcPr>
          <w:p>
            <w:pPr>
              <w:ind w:left="60"/>
              <w:spacing w:after="0"/>
              <w:rPr>
                <w:sz w:val="20"/>
                <w:szCs w:val="20"/>
                <w:color w:val="auto"/>
              </w:rPr>
            </w:pPr>
            <w:r>
              <w:rPr>
                <w:rFonts w:ascii="Arial" w:cs="Arial" w:eastAsia="Arial" w:hAnsi="Arial"/>
                <w:sz w:val="11"/>
                <w:szCs w:val="11"/>
                <w:b w:val="1"/>
                <w:bCs w:val="1"/>
                <w:color w:val="D60011"/>
              </w:rPr>
              <w:t>Bracken</w:t>
            </w: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Retirement Plan</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9</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80,850</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145"/>
        </w:trPr>
        <w:tc>
          <w:tcPr>
            <w:tcW w:w="1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Excess Cash Plan</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9</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57,121</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2"/>
                <w:szCs w:val="12"/>
                <w:color w:val="auto"/>
              </w:rPr>
            </w:pPr>
          </w:p>
        </w:tc>
      </w:tr>
      <w:tr>
        <w:trPr>
          <w:trHeight w:val="154"/>
        </w:trPr>
        <w:tc>
          <w:tcPr>
            <w:tcW w:w="1980" w:type="dxa"/>
            <w:vAlign w:val="bottom"/>
          </w:tcPr>
          <w:p>
            <w:pPr>
              <w:spacing w:after="0"/>
              <w:rPr>
                <w:sz w:val="13"/>
                <w:szCs w:val="13"/>
                <w:color w:val="auto"/>
              </w:rPr>
            </w:pPr>
          </w:p>
        </w:tc>
        <w:tc>
          <w:tcPr>
            <w:tcW w:w="3160" w:type="dxa"/>
            <w:vAlign w:val="bottom"/>
            <w:tcBorders>
              <w:bottom w:val="single" w:sz="8" w:color="BCBEC0"/>
            </w:tcBorders>
          </w:tcPr>
          <w:p>
            <w:pPr>
              <w:spacing w:after="0"/>
              <w:rPr>
                <w:sz w:val="13"/>
                <w:szCs w:val="13"/>
                <w:color w:val="auto"/>
              </w:rPr>
            </w:pPr>
          </w:p>
        </w:tc>
        <w:tc>
          <w:tcPr>
            <w:tcW w:w="1340" w:type="dxa"/>
            <w:vAlign w:val="bottom"/>
            <w:tcBorders>
              <w:bottom w:val="single" w:sz="8" w:color="BCBEC0"/>
            </w:tcBorders>
          </w:tcPr>
          <w:p>
            <w:pPr>
              <w:spacing w:after="0"/>
              <w:rPr>
                <w:sz w:val="13"/>
                <w:szCs w:val="13"/>
                <w:color w:val="auto"/>
              </w:rPr>
            </w:pPr>
          </w:p>
        </w:tc>
        <w:tc>
          <w:tcPr>
            <w:tcW w:w="920" w:type="dxa"/>
            <w:vAlign w:val="bottom"/>
            <w:tcBorders>
              <w:bottom w:val="single" w:sz="8" w:color="BCBEC0"/>
            </w:tcBorders>
          </w:tcPr>
          <w:p>
            <w:pPr>
              <w:spacing w:after="0"/>
              <w:rPr>
                <w:sz w:val="13"/>
                <w:szCs w:val="13"/>
                <w:color w:val="auto"/>
              </w:rPr>
            </w:pP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b w:val="1"/>
                <w:bCs w:val="1"/>
                <w:color w:val="auto"/>
              </w:rPr>
              <w:t>137,971</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153"/>
        </w:trPr>
        <w:tc>
          <w:tcPr>
            <w:tcW w:w="1980" w:type="dxa"/>
            <w:vAlign w:val="bottom"/>
          </w:tcPr>
          <w:p>
            <w:pPr>
              <w:spacing w:after="0"/>
              <w:rPr>
                <w:sz w:val="13"/>
                <w:szCs w:val="13"/>
                <w:color w:val="auto"/>
              </w:rPr>
            </w:pPr>
          </w:p>
        </w:tc>
        <w:tc>
          <w:tcPr>
            <w:tcW w:w="3160" w:type="dxa"/>
            <w:vAlign w:val="bottom"/>
          </w:tcPr>
          <w:p>
            <w:pPr>
              <w:ind w:left="60"/>
              <w:spacing w:after="0"/>
              <w:rPr>
                <w:sz w:val="20"/>
                <w:szCs w:val="20"/>
                <w:color w:val="auto"/>
              </w:rPr>
            </w:pPr>
            <w:r>
              <w:rPr>
                <w:rFonts w:ascii="Arial" w:cs="Arial" w:eastAsia="Arial" w:hAnsi="Arial"/>
                <w:sz w:val="11"/>
                <w:szCs w:val="11"/>
                <w:b w:val="1"/>
                <w:bCs w:val="1"/>
                <w:color w:val="D60011"/>
              </w:rPr>
              <w:t>Martin</w:t>
            </w: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Retirement Plan</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4</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17,857</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145"/>
        </w:trPr>
        <w:tc>
          <w:tcPr>
            <w:tcW w:w="1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Excess Cash Plan</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4</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19,175</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2"/>
                <w:szCs w:val="12"/>
                <w:color w:val="auto"/>
              </w:rPr>
            </w:pPr>
          </w:p>
        </w:tc>
      </w:tr>
      <w:tr>
        <w:trPr>
          <w:trHeight w:val="151"/>
        </w:trPr>
        <w:tc>
          <w:tcPr>
            <w:tcW w:w="19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340" w:type="dxa"/>
            <w:vAlign w:val="bottom"/>
            <w:tcBorders>
              <w:bottom w:val="single" w:sz="8" w:color="BCBEC0"/>
            </w:tcBorders>
          </w:tcPr>
          <w:p>
            <w:pPr>
              <w:ind w:left="60"/>
              <w:spacing w:after="0"/>
              <w:rPr>
                <w:sz w:val="20"/>
                <w:szCs w:val="20"/>
                <w:color w:val="auto"/>
              </w:rPr>
            </w:pPr>
            <w:r>
              <w:rPr>
                <w:rFonts w:ascii="Arial" w:cs="Arial" w:eastAsia="Arial" w:hAnsi="Arial"/>
                <w:sz w:val="11"/>
                <w:szCs w:val="11"/>
                <w:color w:val="auto"/>
              </w:rPr>
              <w:t>SERP</w:t>
            </w:r>
          </w:p>
        </w:tc>
        <w:tc>
          <w:tcPr>
            <w:tcW w:w="9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6</w:t>
            </w: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color w:val="auto"/>
              </w:rPr>
              <w:t>434,349</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154"/>
        </w:trPr>
        <w:tc>
          <w:tcPr>
            <w:tcW w:w="1980" w:type="dxa"/>
            <w:vAlign w:val="bottom"/>
          </w:tcPr>
          <w:p>
            <w:pPr>
              <w:spacing w:after="0"/>
              <w:rPr>
                <w:sz w:val="13"/>
                <w:szCs w:val="13"/>
                <w:color w:val="auto"/>
              </w:rPr>
            </w:pPr>
          </w:p>
        </w:tc>
        <w:tc>
          <w:tcPr>
            <w:tcW w:w="3160" w:type="dxa"/>
            <w:vAlign w:val="bottom"/>
            <w:tcBorders>
              <w:bottom w:val="single" w:sz="8" w:color="BCBEC0"/>
            </w:tcBorders>
          </w:tcPr>
          <w:p>
            <w:pPr>
              <w:spacing w:after="0"/>
              <w:rPr>
                <w:sz w:val="13"/>
                <w:szCs w:val="13"/>
                <w:color w:val="auto"/>
              </w:rPr>
            </w:pPr>
          </w:p>
        </w:tc>
        <w:tc>
          <w:tcPr>
            <w:tcW w:w="1340" w:type="dxa"/>
            <w:vAlign w:val="bottom"/>
            <w:tcBorders>
              <w:bottom w:val="single" w:sz="8" w:color="BCBEC0"/>
            </w:tcBorders>
          </w:tcPr>
          <w:p>
            <w:pPr>
              <w:spacing w:after="0"/>
              <w:rPr>
                <w:sz w:val="13"/>
                <w:szCs w:val="13"/>
                <w:color w:val="auto"/>
              </w:rPr>
            </w:pPr>
          </w:p>
        </w:tc>
        <w:tc>
          <w:tcPr>
            <w:tcW w:w="920" w:type="dxa"/>
            <w:vAlign w:val="bottom"/>
            <w:tcBorders>
              <w:bottom w:val="single" w:sz="8" w:color="BCBEC0"/>
            </w:tcBorders>
          </w:tcPr>
          <w:p>
            <w:pPr>
              <w:spacing w:after="0"/>
              <w:rPr>
                <w:sz w:val="13"/>
                <w:szCs w:val="13"/>
                <w:color w:val="auto"/>
              </w:rPr>
            </w:pPr>
          </w:p>
        </w:tc>
        <w:tc>
          <w:tcPr>
            <w:tcW w:w="1240" w:type="dxa"/>
            <w:vAlign w:val="bottom"/>
            <w:tcBorders>
              <w:bottom w:val="single" w:sz="8" w:color="BCBEC0"/>
            </w:tcBorders>
          </w:tcPr>
          <w:p>
            <w:pPr>
              <w:jc w:val="right"/>
              <w:ind w:right="286"/>
              <w:spacing w:after="0"/>
              <w:rPr>
                <w:sz w:val="20"/>
                <w:szCs w:val="20"/>
                <w:color w:val="auto"/>
              </w:rPr>
            </w:pPr>
            <w:r>
              <w:rPr>
                <w:rFonts w:ascii="Arial" w:cs="Arial" w:eastAsia="Arial" w:hAnsi="Arial"/>
                <w:sz w:val="11"/>
                <w:szCs w:val="11"/>
                <w:b w:val="1"/>
                <w:bCs w:val="1"/>
                <w:color w:val="auto"/>
              </w:rPr>
              <w:t>471,381</w:t>
            </w:r>
          </w:p>
        </w:tc>
        <w:tc>
          <w:tcPr>
            <w:tcW w:w="68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Pr>
          <w:p>
            <w:pPr>
              <w:spacing w:after="0"/>
              <w:rPr>
                <w:sz w:val="13"/>
                <w:szCs w:val="13"/>
                <w:color w:val="auto"/>
              </w:rPr>
            </w:pPr>
          </w:p>
        </w:tc>
      </w:tr>
      <w:tr>
        <w:trPr>
          <w:trHeight w:val="418"/>
        </w:trPr>
        <w:tc>
          <w:tcPr>
            <w:tcW w:w="1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0"/>
                <w:szCs w:val="10"/>
                <w:b w:val="1"/>
                <w:bCs w:val="1"/>
                <w:color w:val="FF0000"/>
                <w:w w:val="96"/>
              </w:rPr>
              <w:t xml:space="preserve">2022 </w:t>
            </w:r>
            <w:r>
              <w:rPr>
                <w:rFonts w:ascii="Arial" w:cs="Arial" w:eastAsia="Arial" w:hAnsi="Arial"/>
                <w:sz w:val="10"/>
                <w:szCs w:val="10"/>
                <w:b w:val="1"/>
                <w:bCs w:val="1"/>
                <w:color w:val="000000"/>
                <w:w w:val="96"/>
              </w:rPr>
              <w:t>PROXY STATEMENT</w:t>
            </w: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FFFFFF"/>
              </w:rPr>
              <w:t>87</w:t>
            </w:r>
          </w:p>
        </w:tc>
        <w:tc>
          <w:tcPr>
            <w:tcW w:w="1980" w:type="dxa"/>
            <w:vAlign w:val="bottom"/>
          </w:tcPr>
          <w:p>
            <w:pPr>
              <w:spacing w:after="0"/>
              <w:rPr>
                <w:sz w:val="24"/>
                <w:szCs w:val="24"/>
                <w:color w:val="auto"/>
              </w:rPr>
            </w:pPr>
          </w:p>
        </w:tc>
      </w:tr>
      <w:tr>
        <w:trPr>
          <w:trHeight w:val="354"/>
        </w:trPr>
        <w:tc>
          <w:tcPr>
            <w:tcW w:w="19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-427990</wp:posOffset>
            </wp:positionV>
            <wp:extent cx="365760" cy="2228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88" w:name="page89"/>
    <w:bookmarkEnd w:id="88"/>
    <w:tbl>
      <w:tblPr>
        <w:tblLayout w:type="fixed"/>
        <w:tblInd w:w="840" w:type="dxa"/>
        <w:tblCellMar>
          <w:top w:w="0" w:type="dxa"/>
          <w:left w:w="0" w:type="dxa"/>
          <w:bottom w:w="0" w:type="dxa"/>
          <w:right w:w="0" w:type="dxa"/>
        </w:tblCellMar>
      </w:tblPr>
      <w:tr>
        <w:trPr>
          <w:trHeight w:val="131"/>
        </w:trPr>
        <w:tc>
          <w:tcPr>
            <w:tcW w:w="3160" w:type="dxa"/>
            <w:vAlign w:val="bottom"/>
          </w:tcPr>
          <w:p>
            <w:pPr>
              <w:spacing w:after="0"/>
              <w:rPr>
                <w:sz w:val="20"/>
                <w:szCs w:val="20"/>
                <w:color w:val="auto"/>
              </w:rPr>
            </w:pPr>
            <w:r>
              <w:rPr>
                <w:rFonts w:ascii="Arial" w:cs="Arial" w:eastAsia="Arial" w:hAnsi="Arial"/>
                <w:sz w:val="10"/>
                <w:szCs w:val="10"/>
                <w:b w:val="1"/>
                <w:bCs w:val="1"/>
                <w:color w:val="D60011"/>
              </w:rPr>
              <w:t>EXECUTIVE COMPENSATION</w:t>
            </w: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53"/>
        </w:trPr>
        <w:tc>
          <w:tcPr>
            <w:tcW w:w="316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(a)</w:t>
            </w:r>
          </w:p>
        </w:tc>
        <w:tc>
          <w:tcPr>
            <w:tcW w:w="132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(b)</w:t>
            </w:r>
          </w:p>
        </w:tc>
        <w:tc>
          <w:tcPr>
            <w:tcW w:w="1060" w:type="dxa"/>
            <w:vAlign w:val="bottom"/>
            <w:tcBorders>
              <w:bottom w:val="single" w:sz="8" w:color="E31F25"/>
            </w:tcBorders>
          </w:tcPr>
          <w:p>
            <w:pPr>
              <w:jc w:val="right"/>
              <w:ind w:right="134"/>
              <w:spacing w:after="0"/>
              <w:rPr>
                <w:sz w:val="20"/>
                <w:szCs w:val="20"/>
                <w:color w:val="auto"/>
              </w:rPr>
            </w:pPr>
            <w:r>
              <w:rPr>
                <w:rFonts w:ascii="Arial" w:cs="Arial" w:eastAsia="Arial" w:hAnsi="Arial"/>
                <w:sz w:val="10"/>
                <w:szCs w:val="10"/>
                <w:b w:val="1"/>
                <w:bCs w:val="1"/>
                <w:color w:val="auto"/>
              </w:rPr>
              <w:t>(c)</w:t>
            </w:r>
          </w:p>
        </w:tc>
        <w:tc>
          <w:tcPr>
            <w:tcW w:w="100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(d)</w:t>
            </w:r>
          </w:p>
        </w:tc>
        <w:tc>
          <w:tcPr>
            <w:tcW w:w="80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b w:val="1"/>
                <w:bCs w:val="1"/>
                <w:color w:val="auto"/>
              </w:rPr>
              <w:t>(e)</w:t>
            </w:r>
          </w:p>
        </w:tc>
      </w:tr>
      <w:tr>
        <w:trPr>
          <w:trHeight w:val="109"/>
        </w:trPr>
        <w:tc>
          <w:tcPr>
            <w:tcW w:w="3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jc w:val="right"/>
              <w:ind w:right="134"/>
              <w:spacing w:after="0" w:line="109" w:lineRule="exact"/>
              <w:rPr>
                <w:sz w:val="20"/>
                <w:szCs w:val="20"/>
                <w:color w:val="auto"/>
              </w:rPr>
            </w:pPr>
            <w:r>
              <w:rPr>
                <w:rFonts w:ascii="Arial" w:cs="Arial" w:eastAsia="Arial" w:hAnsi="Arial"/>
                <w:sz w:val="10"/>
                <w:szCs w:val="10"/>
                <w:b w:val="1"/>
                <w:bCs w:val="1"/>
                <w:color w:val="auto"/>
              </w:rPr>
              <w:t>Number</w:t>
            </w:r>
          </w:p>
        </w:tc>
        <w:tc>
          <w:tcPr>
            <w:tcW w:w="1000" w:type="dxa"/>
            <w:vAlign w:val="bottom"/>
          </w:tcPr>
          <w:p>
            <w:pPr>
              <w:jc w:val="right"/>
              <w:ind w:right="172"/>
              <w:spacing w:after="0" w:line="109" w:lineRule="exact"/>
              <w:rPr>
                <w:sz w:val="20"/>
                <w:szCs w:val="20"/>
                <w:color w:val="auto"/>
              </w:rPr>
            </w:pPr>
            <w:r>
              <w:rPr>
                <w:rFonts w:ascii="Arial" w:cs="Arial" w:eastAsia="Arial" w:hAnsi="Arial"/>
                <w:sz w:val="10"/>
                <w:szCs w:val="10"/>
                <w:b w:val="1"/>
                <w:bCs w:val="1"/>
                <w:color w:val="auto"/>
              </w:rPr>
              <w:t>Present</w:t>
            </w:r>
          </w:p>
        </w:tc>
        <w:tc>
          <w:tcPr>
            <w:tcW w:w="800" w:type="dxa"/>
            <w:vAlign w:val="bottom"/>
          </w:tcPr>
          <w:p>
            <w:pPr>
              <w:spacing w:after="0"/>
              <w:rPr>
                <w:sz w:val="9"/>
                <w:szCs w:val="9"/>
                <w:color w:val="auto"/>
              </w:rPr>
            </w:pPr>
          </w:p>
        </w:tc>
      </w:tr>
      <w:tr>
        <w:trPr>
          <w:trHeight w:val="115"/>
        </w:trPr>
        <w:tc>
          <w:tcPr>
            <w:tcW w:w="3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jc w:val="right"/>
              <w:ind w:right="134"/>
              <w:spacing w:after="0"/>
              <w:rPr>
                <w:sz w:val="20"/>
                <w:szCs w:val="20"/>
                <w:color w:val="auto"/>
              </w:rPr>
            </w:pPr>
            <w:r>
              <w:rPr>
                <w:rFonts w:ascii="Arial" w:cs="Arial" w:eastAsia="Arial" w:hAnsi="Arial"/>
                <w:sz w:val="10"/>
                <w:szCs w:val="10"/>
                <w:b w:val="1"/>
                <w:bCs w:val="1"/>
                <w:color w:val="auto"/>
              </w:rPr>
              <w:t>of Years</w:t>
            </w:r>
          </w:p>
        </w:tc>
        <w:tc>
          <w:tcPr>
            <w:tcW w:w="1000" w:type="dxa"/>
            <w:vAlign w:val="bottom"/>
          </w:tcPr>
          <w:p>
            <w:pPr>
              <w:jc w:val="right"/>
              <w:ind w:right="172"/>
              <w:spacing w:after="0"/>
              <w:rPr>
                <w:sz w:val="20"/>
                <w:szCs w:val="20"/>
                <w:color w:val="auto"/>
              </w:rPr>
            </w:pPr>
            <w:r>
              <w:rPr>
                <w:rFonts w:ascii="Arial" w:cs="Arial" w:eastAsia="Arial" w:hAnsi="Arial"/>
                <w:sz w:val="10"/>
                <w:szCs w:val="10"/>
                <w:b w:val="1"/>
                <w:bCs w:val="1"/>
                <w:color w:val="auto"/>
              </w:rPr>
              <w:t>Value of</w:t>
            </w:r>
          </w:p>
        </w:tc>
        <w:tc>
          <w:tcPr>
            <w:tcW w:w="800" w:type="dxa"/>
            <w:vAlign w:val="bottom"/>
          </w:tcPr>
          <w:p>
            <w:pPr>
              <w:jc w:val="right"/>
              <w:ind w:right="12"/>
              <w:spacing w:after="0"/>
              <w:rPr>
                <w:sz w:val="20"/>
                <w:szCs w:val="20"/>
                <w:color w:val="auto"/>
              </w:rPr>
            </w:pPr>
            <w:r>
              <w:rPr>
                <w:rFonts w:ascii="Arial" w:cs="Arial" w:eastAsia="Arial" w:hAnsi="Arial"/>
                <w:sz w:val="10"/>
                <w:szCs w:val="10"/>
                <w:b w:val="1"/>
                <w:bCs w:val="1"/>
                <w:color w:val="auto"/>
              </w:rPr>
              <w:t>Payments</w:t>
            </w:r>
          </w:p>
        </w:tc>
      </w:tr>
      <w:tr>
        <w:trPr>
          <w:trHeight w:val="108"/>
        </w:trPr>
        <w:tc>
          <w:tcPr>
            <w:tcW w:w="3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jc w:val="right"/>
              <w:ind w:right="134"/>
              <w:spacing w:after="0" w:line="108" w:lineRule="exact"/>
              <w:rPr>
                <w:sz w:val="20"/>
                <w:szCs w:val="20"/>
                <w:color w:val="auto"/>
              </w:rPr>
            </w:pPr>
            <w:r>
              <w:rPr>
                <w:rFonts w:ascii="Arial" w:cs="Arial" w:eastAsia="Arial" w:hAnsi="Arial"/>
                <w:sz w:val="10"/>
                <w:szCs w:val="10"/>
                <w:b w:val="1"/>
                <w:bCs w:val="1"/>
                <w:color w:val="auto"/>
              </w:rPr>
              <w:t>Credited</w:t>
            </w:r>
          </w:p>
        </w:tc>
        <w:tc>
          <w:tcPr>
            <w:tcW w:w="100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Accumulated</w:t>
            </w:r>
          </w:p>
        </w:tc>
        <w:tc>
          <w:tcPr>
            <w:tcW w:w="80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During Last</w:t>
            </w:r>
          </w:p>
        </w:tc>
      </w:tr>
      <w:tr>
        <w:trPr>
          <w:trHeight w:val="108"/>
        </w:trPr>
        <w:tc>
          <w:tcPr>
            <w:tcW w:w="3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jc w:val="right"/>
              <w:ind w:right="134"/>
              <w:spacing w:after="0" w:line="108" w:lineRule="exact"/>
              <w:rPr>
                <w:sz w:val="20"/>
                <w:szCs w:val="20"/>
                <w:color w:val="auto"/>
              </w:rPr>
            </w:pPr>
            <w:r>
              <w:rPr>
                <w:rFonts w:ascii="Arial" w:cs="Arial" w:eastAsia="Arial" w:hAnsi="Arial"/>
                <w:sz w:val="10"/>
                <w:szCs w:val="10"/>
                <w:b w:val="1"/>
                <w:bCs w:val="1"/>
                <w:color w:val="auto"/>
              </w:rPr>
              <w:t>Service</w:t>
            </w:r>
          </w:p>
        </w:tc>
        <w:tc>
          <w:tcPr>
            <w:tcW w:w="100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Benefit</w:t>
            </w:r>
          </w:p>
        </w:tc>
        <w:tc>
          <w:tcPr>
            <w:tcW w:w="80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Fiscal Year</w:t>
            </w:r>
          </w:p>
        </w:tc>
      </w:tr>
      <w:tr>
        <w:trPr>
          <w:trHeight w:val="144"/>
        </w:trPr>
        <w:tc>
          <w:tcPr>
            <w:tcW w:w="316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Name</w:t>
            </w:r>
          </w:p>
        </w:tc>
        <w:tc>
          <w:tcPr>
            <w:tcW w:w="132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Plan Name</w:t>
            </w:r>
          </w:p>
        </w:tc>
        <w:tc>
          <w:tcPr>
            <w:tcW w:w="1060" w:type="dxa"/>
            <w:vAlign w:val="bottom"/>
            <w:tcBorders>
              <w:bottom w:val="single" w:sz="8" w:color="E31F25"/>
            </w:tcBorders>
          </w:tcPr>
          <w:p>
            <w:pPr>
              <w:jc w:val="right"/>
              <w:ind w:right="134"/>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(1)</w:t>
            </w:r>
          </w:p>
        </w:tc>
        <w:tc>
          <w:tcPr>
            <w:tcW w:w="1000" w:type="dxa"/>
            <w:vAlign w:val="bottom"/>
            <w:tcBorders>
              <w:bottom w:val="single" w:sz="8" w:color="E31F25"/>
            </w:tcBorders>
          </w:tcPr>
          <w:p>
            <w:pPr>
              <w:jc w:val="right"/>
              <w:ind w:right="17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(1)</w:t>
            </w:r>
          </w:p>
        </w:tc>
        <w:tc>
          <w:tcPr>
            <w:tcW w:w="80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51"/>
        </w:trPr>
        <w:tc>
          <w:tcPr>
            <w:tcW w:w="3160" w:type="dxa"/>
            <w:vAlign w:val="bottom"/>
          </w:tcPr>
          <w:p>
            <w:pPr>
              <w:ind w:left="60"/>
              <w:spacing w:after="0"/>
              <w:rPr>
                <w:sz w:val="20"/>
                <w:szCs w:val="20"/>
                <w:color w:val="auto"/>
              </w:rPr>
            </w:pPr>
            <w:r>
              <w:rPr>
                <w:rFonts w:ascii="Arial" w:cs="Arial" w:eastAsia="Arial" w:hAnsi="Arial"/>
                <w:sz w:val="10"/>
                <w:szCs w:val="10"/>
                <w:b w:val="1"/>
                <w:bCs w:val="1"/>
                <w:color w:val="D60011"/>
              </w:rPr>
              <w:t>Gray</w:t>
            </w: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Retirement Plan</w:t>
            </w:r>
          </w:p>
        </w:tc>
        <w:tc>
          <w:tcPr>
            <w:tcW w:w="1060" w:type="dxa"/>
            <w:vAlign w:val="bottom"/>
            <w:tcBorders>
              <w:bottom w:val="single" w:sz="8" w:color="BCBEC0"/>
            </w:tcBorders>
          </w:tcPr>
          <w:p>
            <w:pPr>
              <w:jc w:val="right"/>
              <w:ind w:right="134"/>
              <w:spacing w:after="0" w:line="151" w:lineRule="exact"/>
              <w:rPr>
                <w:sz w:val="20"/>
                <w:szCs w:val="20"/>
                <w:color w:val="auto"/>
              </w:rPr>
            </w:pPr>
            <w:r>
              <w:rPr>
                <w:rFonts w:ascii="Arial" w:cs="Arial" w:eastAsia="Arial" w:hAnsi="Arial"/>
                <w:sz w:val="17"/>
                <w:szCs w:val="17"/>
                <w:color w:val="auto"/>
                <w:vertAlign w:val="subscript"/>
              </w:rPr>
              <w:t>3</w:t>
            </w:r>
            <w:r>
              <w:rPr>
                <w:rFonts w:ascii="Arial" w:cs="Arial" w:eastAsia="Arial" w:hAnsi="Arial"/>
                <w:sz w:val="7"/>
                <w:szCs w:val="7"/>
                <w:color w:val="auto"/>
              </w:rPr>
              <w:t>(2)</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62,420</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w:t>
            </w:r>
          </w:p>
        </w:tc>
      </w:tr>
      <w:tr>
        <w:trPr>
          <w:trHeight w:val="151"/>
        </w:trPr>
        <w:tc>
          <w:tcPr>
            <w:tcW w:w="3160" w:type="dxa"/>
            <w:vAlign w:val="bottom"/>
          </w:tcPr>
          <w:p>
            <w:pPr>
              <w:spacing w:after="0"/>
              <w:rPr>
                <w:sz w:val="13"/>
                <w:szCs w:val="13"/>
                <w:color w:val="auto"/>
              </w:rPr>
            </w:pP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Excess Cash Plan</w:t>
            </w:r>
          </w:p>
        </w:tc>
        <w:tc>
          <w:tcPr>
            <w:tcW w:w="1060" w:type="dxa"/>
            <w:vAlign w:val="bottom"/>
            <w:tcBorders>
              <w:bottom w:val="single" w:sz="8" w:color="BCBEC0"/>
            </w:tcBorders>
          </w:tcPr>
          <w:p>
            <w:pPr>
              <w:jc w:val="right"/>
              <w:ind w:right="134"/>
              <w:spacing w:after="0" w:line="151" w:lineRule="exact"/>
              <w:rPr>
                <w:sz w:val="20"/>
                <w:szCs w:val="20"/>
                <w:color w:val="auto"/>
              </w:rPr>
            </w:pPr>
            <w:r>
              <w:rPr>
                <w:rFonts w:ascii="Arial" w:cs="Arial" w:eastAsia="Arial" w:hAnsi="Arial"/>
                <w:sz w:val="17"/>
                <w:szCs w:val="17"/>
                <w:color w:val="auto"/>
                <w:vertAlign w:val="subscript"/>
              </w:rPr>
              <w:t>3</w:t>
            </w:r>
            <w:r>
              <w:rPr>
                <w:rFonts w:ascii="Arial" w:cs="Arial" w:eastAsia="Arial" w:hAnsi="Arial"/>
                <w:sz w:val="7"/>
                <w:szCs w:val="7"/>
                <w:color w:val="auto"/>
              </w:rPr>
              <w:t>(2)</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103,316</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3160" w:type="dxa"/>
            <w:vAlign w:val="bottom"/>
            <w:tcBorders>
              <w:bottom w:val="single" w:sz="8" w:color="BCBEC0"/>
            </w:tcBorders>
          </w:tcPr>
          <w:p>
            <w:pPr>
              <w:spacing w:after="0"/>
              <w:rPr>
                <w:sz w:val="11"/>
                <w:szCs w:val="11"/>
                <w:color w:val="auto"/>
              </w:rPr>
            </w:pPr>
          </w:p>
        </w:tc>
        <w:tc>
          <w:tcPr>
            <w:tcW w:w="1320" w:type="dxa"/>
            <w:vAlign w:val="bottom"/>
            <w:tcBorders>
              <w:bottom w:val="single" w:sz="8" w:color="BCBEC0"/>
            </w:tcBorders>
          </w:tcPr>
          <w:p>
            <w:pPr>
              <w:spacing w:after="0"/>
              <w:rPr>
                <w:sz w:val="11"/>
                <w:szCs w:val="11"/>
                <w:color w:val="auto"/>
              </w:rPr>
            </w:pPr>
          </w:p>
        </w:tc>
        <w:tc>
          <w:tcPr>
            <w:tcW w:w="1060" w:type="dxa"/>
            <w:vAlign w:val="bottom"/>
            <w:tcBorders>
              <w:bottom w:val="single" w:sz="8" w:color="BCBEC0"/>
            </w:tcBorders>
          </w:tcPr>
          <w:p>
            <w:pPr>
              <w:spacing w:after="0"/>
              <w:rPr>
                <w:sz w:val="11"/>
                <w:szCs w:val="11"/>
                <w:color w:val="auto"/>
              </w:rPr>
            </w:pP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b w:val="1"/>
                <w:bCs w:val="1"/>
                <w:color w:val="auto"/>
              </w:rPr>
              <w:t>165,736</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4"/>
        </w:trPr>
        <w:tc>
          <w:tcPr>
            <w:tcW w:w="3160" w:type="dxa"/>
            <w:vAlign w:val="bottom"/>
          </w:tcPr>
          <w:p>
            <w:pPr>
              <w:ind w:left="60"/>
              <w:spacing w:after="0"/>
              <w:rPr>
                <w:sz w:val="20"/>
                <w:szCs w:val="20"/>
                <w:color w:val="auto"/>
              </w:rPr>
            </w:pPr>
            <w:r>
              <w:rPr>
                <w:rFonts w:ascii="Arial" w:cs="Arial" w:eastAsia="Arial" w:hAnsi="Arial"/>
                <w:sz w:val="10"/>
                <w:szCs w:val="10"/>
                <w:b w:val="1"/>
                <w:bCs w:val="1"/>
                <w:color w:val="D60011"/>
              </w:rPr>
              <w:t>Peters</w:t>
            </w: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Retirement Plan</w:t>
            </w:r>
          </w:p>
        </w:tc>
        <w:tc>
          <w:tcPr>
            <w:tcW w:w="1060" w:type="dxa"/>
            <w:vAlign w:val="bottom"/>
            <w:tcBorders>
              <w:bottom w:val="single" w:sz="8" w:color="BCBEC0"/>
            </w:tcBorders>
          </w:tcPr>
          <w:p>
            <w:pPr>
              <w:jc w:val="right"/>
              <w:ind w:right="214"/>
              <w:spacing w:after="0"/>
              <w:rPr>
                <w:sz w:val="20"/>
                <w:szCs w:val="20"/>
                <w:color w:val="auto"/>
              </w:rPr>
            </w:pPr>
            <w:r>
              <w:rPr>
                <w:rFonts w:ascii="Arial" w:cs="Arial" w:eastAsia="Arial" w:hAnsi="Arial"/>
                <w:sz w:val="10"/>
                <w:szCs w:val="10"/>
                <w:color w:val="auto"/>
              </w:rPr>
              <w:t>23</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315,370</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0"/>
        </w:trPr>
        <w:tc>
          <w:tcPr>
            <w:tcW w:w="3160" w:type="dxa"/>
            <w:vAlign w:val="bottom"/>
          </w:tcPr>
          <w:p>
            <w:pPr>
              <w:spacing w:after="0"/>
              <w:rPr>
                <w:sz w:val="11"/>
                <w:szCs w:val="11"/>
                <w:color w:val="auto"/>
              </w:rPr>
            </w:pP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Excess Cash Plan</w:t>
            </w:r>
          </w:p>
        </w:tc>
        <w:tc>
          <w:tcPr>
            <w:tcW w:w="1060" w:type="dxa"/>
            <w:vAlign w:val="bottom"/>
            <w:tcBorders>
              <w:bottom w:val="single" w:sz="8" w:color="BCBEC0"/>
            </w:tcBorders>
          </w:tcPr>
          <w:p>
            <w:pPr>
              <w:jc w:val="right"/>
              <w:ind w:right="214"/>
              <w:spacing w:after="0"/>
              <w:rPr>
                <w:sz w:val="20"/>
                <w:szCs w:val="20"/>
                <w:color w:val="auto"/>
              </w:rPr>
            </w:pPr>
            <w:r>
              <w:rPr>
                <w:rFonts w:ascii="Arial" w:cs="Arial" w:eastAsia="Arial" w:hAnsi="Arial"/>
                <w:sz w:val="10"/>
                <w:szCs w:val="10"/>
                <w:color w:val="auto"/>
              </w:rPr>
              <w:t>23</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532,023</w:t>
            </w:r>
          </w:p>
        </w:tc>
      </w:tr>
      <w:tr>
        <w:trPr>
          <w:trHeight w:val="133"/>
        </w:trPr>
        <w:tc>
          <w:tcPr>
            <w:tcW w:w="3160" w:type="dxa"/>
            <w:vAlign w:val="bottom"/>
          </w:tcPr>
          <w:p>
            <w:pPr>
              <w:spacing w:after="0"/>
              <w:rPr>
                <w:sz w:val="11"/>
                <w:szCs w:val="11"/>
                <w:color w:val="auto"/>
              </w:rPr>
            </w:pP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SERP</w:t>
            </w:r>
          </w:p>
        </w:tc>
        <w:tc>
          <w:tcPr>
            <w:tcW w:w="1060" w:type="dxa"/>
            <w:vAlign w:val="bottom"/>
            <w:tcBorders>
              <w:bottom w:val="single" w:sz="8" w:color="BCBEC0"/>
            </w:tcBorders>
          </w:tcPr>
          <w:p>
            <w:pPr>
              <w:jc w:val="right"/>
              <w:ind w:right="214"/>
              <w:spacing w:after="0"/>
              <w:rPr>
                <w:sz w:val="20"/>
                <w:szCs w:val="20"/>
                <w:color w:val="auto"/>
              </w:rPr>
            </w:pPr>
            <w:r>
              <w:rPr>
                <w:rFonts w:ascii="Arial" w:cs="Arial" w:eastAsia="Arial" w:hAnsi="Arial"/>
                <w:sz w:val="10"/>
                <w:szCs w:val="10"/>
                <w:color w:val="auto"/>
              </w:rPr>
              <w:t>19</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1,505,384</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375,637</w:t>
            </w:r>
          </w:p>
        </w:tc>
      </w:tr>
      <w:tr>
        <w:trPr>
          <w:trHeight w:val="135"/>
        </w:trPr>
        <w:tc>
          <w:tcPr>
            <w:tcW w:w="3160" w:type="dxa"/>
            <w:vAlign w:val="bottom"/>
            <w:tcBorders>
              <w:bottom w:val="single" w:sz="8" w:color="BCBEC0"/>
            </w:tcBorders>
          </w:tcPr>
          <w:p>
            <w:pPr>
              <w:spacing w:after="0"/>
              <w:rPr>
                <w:sz w:val="11"/>
                <w:szCs w:val="11"/>
                <w:color w:val="auto"/>
              </w:rPr>
            </w:pPr>
          </w:p>
        </w:tc>
        <w:tc>
          <w:tcPr>
            <w:tcW w:w="1320" w:type="dxa"/>
            <w:vAlign w:val="bottom"/>
            <w:tcBorders>
              <w:bottom w:val="single" w:sz="8" w:color="BCBEC0"/>
            </w:tcBorders>
          </w:tcPr>
          <w:p>
            <w:pPr>
              <w:spacing w:after="0"/>
              <w:rPr>
                <w:sz w:val="11"/>
                <w:szCs w:val="11"/>
                <w:color w:val="auto"/>
              </w:rPr>
            </w:pPr>
          </w:p>
        </w:tc>
        <w:tc>
          <w:tcPr>
            <w:tcW w:w="1060" w:type="dxa"/>
            <w:vAlign w:val="bottom"/>
            <w:tcBorders>
              <w:bottom w:val="single" w:sz="8" w:color="BCBEC0"/>
            </w:tcBorders>
          </w:tcPr>
          <w:p>
            <w:pPr>
              <w:spacing w:after="0"/>
              <w:rPr>
                <w:sz w:val="11"/>
                <w:szCs w:val="11"/>
                <w:color w:val="auto"/>
              </w:rPr>
            </w:pP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b w:val="1"/>
                <w:bCs w:val="1"/>
                <w:color w:val="auto"/>
              </w:rPr>
              <w:t>1,820,754</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b w:val="1"/>
                <w:bCs w:val="1"/>
                <w:color w:val="auto"/>
              </w:rPr>
              <w:t>907,660</w:t>
            </w:r>
          </w:p>
        </w:tc>
      </w:tr>
      <w:tr>
        <w:trPr>
          <w:trHeight w:val="134"/>
        </w:trPr>
        <w:tc>
          <w:tcPr>
            <w:tcW w:w="3160" w:type="dxa"/>
            <w:vAlign w:val="bottom"/>
          </w:tcPr>
          <w:p>
            <w:pPr>
              <w:ind w:left="60"/>
              <w:spacing w:after="0"/>
              <w:rPr>
                <w:sz w:val="20"/>
                <w:szCs w:val="20"/>
                <w:color w:val="auto"/>
              </w:rPr>
            </w:pPr>
            <w:r>
              <w:rPr>
                <w:rFonts w:ascii="Arial" w:cs="Arial" w:eastAsia="Arial" w:hAnsi="Arial"/>
                <w:sz w:val="10"/>
                <w:szCs w:val="10"/>
                <w:b w:val="1"/>
                <w:bCs w:val="1"/>
                <w:color w:val="D60011"/>
              </w:rPr>
              <w:t>Talwar</w:t>
            </w: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Retirement Plan</w:t>
            </w:r>
          </w:p>
        </w:tc>
        <w:tc>
          <w:tcPr>
            <w:tcW w:w="1060" w:type="dxa"/>
            <w:vAlign w:val="bottom"/>
            <w:tcBorders>
              <w:bottom w:val="single" w:sz="8" w:color="BCBEC0"/>
            </w:tcBorders>
          </w:tcPr>
          <w:p>
            <w:pPr>
              <w:jc w:val="right"/>
              <w:ind w:right="214"/>
              <w:spacing w:after="0"/>
              <w:rPr>
                <w:sz w:val="20"/>
                <w:szCs w:val="20"/>
                <w:color w:val="auto"/>
              </w:rPr>
            </w:pPr>
            <w:r>
              <w:rPr>
                <w:rFonts w:ascii="Arial" w:cs="Arial" w:eastAsia="Arial" w:hAnsi="Arial"/>
                <w:sz w:val="10"/>
                <w:szCs w:val="10"/>
                <w:color w:val="auto"/>
              </w:rPr>
              <w:t>3</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17,306</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0"/>
        </w:trPr>
        <w:tc>
          <w:tcPr>
            <w:tcW w:w="3160" w:type="dxa"/>
            <w:vAlign w:val="bottom"/>
          </w:tcPr>
          <w:p>
            <w:pPr>
              <w:spacing w:after="0"/>
              <w:rPr>
                <w:sz w:val="11"/>
                <w:szCs w:val="11"/>
                <w:color w:val="auto"/>
              </w:rPr>
            </w:pP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Excess Cash Plan</w:t>
            </w:r>
          </w:p>
        </w:tc>
        <w:tc>
          <w:tcPr>
            <w:tcW w:w="1060" w:type="dxa"/>
            <w:vAlign w:val="bottom"/>
            <w:tcBorders>
              <w:bottom w:val="single" w:sz="8" w:color="BCBEC0"/>
            </w:tcBorders>
          </w:tcPr>
          <w:p>
            <w:pPr>
              <w:jc w:val="right"/>
              <w:ind w:right="214"/>
              <w:spacing w:after="0"/>
              <w:rPr>
                <w:sz w:val="20"/>
                <w:szCs w:val="20"/>
                <w:color w:val="auto"/>
              </w:rPr>
            </w:pPr>
            <w:r>
              <w:rPr>
                <w:rFonts w:ascii="Arial" w:cs="Arial" w:eastAsia="Arial" w:hAnsi="Arial"/>
                <w:sz w:val="10"/>
                <w:szCs w:val="10"/>
                <w:color w:val="auto"/>
              </w:rPr>
              <w:t>3</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20,177</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w:t>
            </w:r>
          </w:p>
        </w:tc>
      </w:tr>
      <w:tr>
        <w:trPr>
          <w:trHeight w:val="154"/>
        </w:trPr>
        <w:tc>
          <w:tcPr>
            <w:tcW w:w="3160" w:type="dxa"/>
            <w:vAlign w:val="bottom"/>
          </w:tcPr>
          <w:p>
            <w:pPr>
              <w:spacing w:after="0"/>
              <w:rPr>
                <w:sz w:val="13"/>
                <w:szCs w:val="13"/>
                <w:color w:val="auto"/>
              </w:rPr>
            </w:pPr>
          </w:p>
        </w:tc>
        <w:tc>
          <w:tcPr>
            <w:tcW w:w="1320" w:type="dxa"/>
            <w:vAlign w:val="bottom"/>
            <w:tcBorders>
              <w:bottom w:val="single" w:sz="8" w:color="BCBEC0"/>
            </w:tcBorders>
          </w:tcPr>
          <w:p>
            <w:pPr>
              <w:ind w:left="60"/>
              <w:spacing w:after="0"/>
              <w:rPr>
                <w:sz w:val="20"/>
                <w:szCs w:val="20"/>
                <w:color w:val="auto"/>
              </w:rPr>
            </w:pPr>
            <w:r>
              <w:rPr>
                <w:rFonts w:ascii="Arial" w:cs="Arial" w:eastAsia="Arial" w:hAnsi="Arial"/>
                <w:sz w:val="10"/>
                <w:szCs w:val="10"/>
                <w:color w:val="auto"/>
              </w:rPr>
              <w:t>SERP</w:t>
            </w:r>
          </w:p>
        </w:tc>
        <w:tc>
          <w:tcPr>
            <w:tcW w:w="1060" w:type="dxa"/>
            <w:vAlign w:val="bottom"/>
            <w:tcBorders>
              <w:bottom w:val="single" w:sz="8" w:color="BCBEC0"/>
            </w:tcBorders>
          </w:tcPr>
          <w:p>
            <w:pPr>
              <w:jc w:val="right"/>
              <w:ind w:right="134"/>
              <w:spacing w:after="0" w:line="154" w:lineRule="exact"/>
              <w:rPr>
                <w:sz w:val="20"/>
                <w:szCs w:val="20"/>
                <w:color w:val="auto"/>
              </w:rPr>
            </w:pPr>
            <w:r>
              <w:rPr>
                <w:rFonts w:ascii="Arial" w:cs="Arial" w:eastAsia="Arial" w:hAnsi="Arial"/>
                <w:sz w:val="17"/>
                <w:szCs w:val="17"/>
                <w:color w:val="auto"/>
                <w:vertAlign w:val="subscript"/>
              </w:rPr>
              <w:t>5</w:t>
            </w:r>
            <w:r>
              <w:rPr>
                <w:rFonts w:ascii="Arial" w:cs="Arial" w:eastAsia="Arial" w:hAnsi="Arial"/>
                <w:sz w:val="7"/>
                <w:szCs w:val="7"/>
                <w:color w:val="auto"/>
              </w:rPr>
              <w:t>(3)</w:t>
            </w:r>
          </w:p>
        </w:tc>
        <w:tc>
          <w:tcPr>
            <w:tcW w:w="1000" w:type="dxa"/>
            <w:vAlign w:val="bottom"/>
            <w:tcBorders>
              <w:bottom w:val="single" w:sz="8" w:color="BCBEC0"/>
            </w:tcBorders>
          </w:tcPr>
          <w:p>
            <w:pPr>
              <w:jc w:val="right"/>
              <w:ind w:right="17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BCBEC0"/>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3160" w:type="dxa"/>
            <w:vAlign w:val="bottom"/>
            <w:tcBorders>
              <w:bottom w:val="single" w:sz="8" w:color="E31F25"/>
            </w:tcBorders>
          </w:tcPr>
          <w:p>
            <w:pPr>
              <w:spacing w:after="0"/>
              <w:rPr>
                <w:sz w:val="11"/>
                <w:szCs w:val="11"/>
                <w:color w:val="auto"/>
              </w:rPr>
            </w:pPr>
          </w:p>
        </w:tc>
        <w:tc>
          <w:tcPr>
            <w:tcW w:w="1320" w:type="dxa"/>
            <w:vAlign w:val="bottom"/>
            <w:tcBorders>
              <w:bottom w:val="single" w:sz="8" w:color="E31F25"/>
            </w:tcBorders>
          </w:tcPr>
          <w:p>
            <w:pPr>
              <w:spacing w:after="0"/>
              <w:rPr>
                <w:sz w:val="11"/>
                <w:szCs w:val="11"/>
                <w:color w:val="auto"/>
              </w:rPr>
            </w:pPr>
          </w:p>
        </w:tc>
        <w:tc>
          <w:tcPr>
            <w:tcW w:w="1060" w:type="dxa"/>
            <w:vAlign w:val="bottom"/>
            <w:tcBorders>
              <w:bottom w:val="single" w:sz="8" w:color="E31F25"/>
            </w:tcBorders>
          </w:tcPr>
          <w:p>
            <w:pPr>
              <w:spacing w:after="0"/>
              <w:rPr>
                <w:sz w:val="11"/>
                <w:szCs w:val="11"/>
                <w:color w:val="auto"/>
              </w:rPr>
            </w:pPr>
          </w:p>
        </w:tc>
        <w:tc>
          <w:tcPr>
            <w:tcW w:w="1000" w:type="dxa"/>
            <w:vAlign w:val="bottom"/>
            <w:tcBorders>
              <w:bottom w:val="single" w:sz="8" w:color="E31F25"/>
            </w:tcBorders>
          </w:tcPr>
          <w:p>
            <w:pPr>
              <w:jc w:val="right"/>
              <w:ind w:right="172"/>
              <w:spacing w:after="0"/>
              <w:rPr>
                <w:sz w:val="20"/>
                <w:szCs w:val="20"/>
                <w:color w:val="auto"/>
              </w:rPr>
            </w:pPr>
            <w:r>
              <w:rPr>
                <w:rFonts w:ascii="Arial" w:cs="Arial" w:eastAsia="Arial" w:hAnsi="Arial"/>
                <w:sz w:val="10"/>
                <w:szCs w:val="10"/>
                <w:b w:val="1"/>
                <w:bCs w:val="1"/>
                <w:color w:val="auto"/>
              </w:rPr>
              <w:t>37,483</w:t>
            </w:r>
          </w:p>
        </w:tc>
        <w:tc>
          <w:tcPr>
            <w:tcW w:w="80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w:t>
            </w:r>
          </w:p>
        </w:tc>
      </w:tr>
    </w:tbl>
    <w:p>
      <w:pPr>
        <w:spacing w:after="0" w:line="103" w:lineRule="exact"/>
        <w:rPr>
          <w:sz w:val="20"/>
          <w:szCs w:val="20"/>
          <w:color w:val="auto"/>
        </w:rPr>
      </w:pPr>
    </w:p>
    <w:p>
      <w:pPr>
        <w:ind w:left="1040" w:right="859" w:hanging="208"/>
        <w:spacing w:after="0" w:line="186" w:lineRule="auto"/>
        <w:tabs>
          <w:tab w:leader="none" w:pos="1040" w:val="left"/>
        </w:tabs>
        <w:numPr>
          <w:ilvl w:val="0"/>
          <w:numId w:val="134"/>
        </w:numPr>
        <w:rPr>
          <w:rFonts w:ascii="Arial" w:cs="Arial" w:eastAsia="Arial" w:hAnsi="Arial"/>
          <w:sz w:val="16"/>
          <w:szCs w:val="16"/>
          <w:color w:val="auto"/>
          <w:vertAlign w:val="superscript"/>
        </w:rPr>
      </w:pPr>
      <w:r>
        <w:rPr>
          <w:rFonts w:ascii="Arial" w:cs="Arial" w:eastAsia="Arial" w:hAnsi="Arial"/>
          <w:sz w:val="10"/>
          <w:szCs w:val="10"/>
          <w:color w:val="auto"/>
        </w:rPr>
        <w:t>In general, the present value of accumulated benefits was determined using the same measurement date (January 29, 2022) and assumptions used for financial reporting purposes. The following key assumptions were used in calculating the values:</w:t>
      </w:r>
    </w:p>
    <w:p>
      <w:pPr>
        <w:spacing w:after="0" w:line="92" w:lineRule="exact"/>
        <w:rPr>
          <w:rFonts w:ascii="Arial" w:cs="Arial" w:eastAsia="Arial" w:hAnsi="Arial"/>
          <w:sz w:val="16"/>
          <w:szCs w:val="16"/>
          <w:color w:val="auto"/>
          <w:vertAlign w:val="superscript"/>
        </w:rPr>
      </w:pPr>
    </w:p>
    <w:p>
      <w:pPr>
        <w:ind w:left="1260" w:hanging="212"/>
        <w:spacing w:after="0"/>
        <w:tabs>
          <w:tab w:leader="none" w:pos="1260" w:val="left"/>
        </w:tabs>
        <w:numPr>
          <w:ilvl w:val="1"/>
          <w:numId w:val="134"/>
        </w:numPr>
        <w:rPr>
          <w:rFonts w:ascii="Arial" w:cs="Arial" w:eastAsia="Arial" w:hAnsi="Arial"/>
          <w:sz w:val="10"/>
          <w:szCs w:val="10"/>
          <w:color w:val="D60011"/>
        </w:rPr>
      </w:pPr>
      <w:r>
        <w:rPr>
          <w:rFonts w:ascii="Arial" w:cs="Arial" w:eastAsia="Arial" w:hAnsi="Arial"/>
          <w:sz w:val="10"/>
          <w:szCs w:val="10"/>
          <w:color w:val="auto"/>
        </w:rPr>
        <w:t>ASC 715 discount rate of 3.2% for the Retirement Plan and ASC 715 discount rate of 2.7% for the Excess Cash Plan and the SERP;</w:t>
      </w:r>
    </w:p>
    <w:p>
      <w:pPr>
        <w:spacing w:after="0" w:line="101" w:lineRule="exact"/>
        <w:rPr>
          <w:rFonts w:ascii="Arial" w:cs="Arial" w:eastAsia="Arial" w:hAnsi="Arial"/>
          <w:sz w:val="10"/>
          <w:szCs w:val="10"/>
          <w:color w:val="D60011"/>
        </w:rPr>
      </w:pPr>
    </w:p>
    <w:p>
      <w:pPr>
        <w:ind w:left="1260" w:right="879" w:hanging="212"/>
        <w:spacing w:after="0" w:line="237" w:lineRule="auto"/>
        <w:tabs>
          <w:tab w:leader="none" w:pos="1260" w:val="left"/>
        </w:tabs>
        <w:numPr>
          <w:ilvl w:val="1"/>
          <w:numId w:val="134"/>
        </w:numPr>
        <w:rPr>
          <w:rFonts w:ascii="Arial" w:cs="Arial" w:eastAsia="Arial" w:hAnsi="Arial"/>
          <w:sz w:val="10"/>
          <w:szCs w:val="10"/>
          <w:color w:val="D60011"/>
        </w:rPr>
      </w:pPr>
      <w:r>
        <w:rPr>
          <w:rFonts w:ascii="Arial" w:cs="Arial" w:eastAsia="Arial" w:hAnsi="Arial"/>
          <w:sz w:val="10"/>
          <w:szCs w:val="10"/>
          <w:color w:val="auto"/>
        </w:rPr>
        <w:t>For the Retirement Plan and the Excess Cash Plan, retirement age is assumed to be 65; for the SERP, retirement age is assumed to be when age plus years of service equals 65 for participants in the plan on May 26, 2011 and, for participants in the SERP after such date, when the participant reaches age 55 with 10 years of service;</w:t>
      </w:r>
    </w:p>
    <w:p>
      <w:pPr>
        <w:spacing w:after="0" w:line="91" w:lineRule="exact"/>
        <w:rPr>
          <w:rFonts w:ascii="Arial" w:cs="Arial" w:eastAsia="Arial" w:hAnsi="Arial"/>
          <w:sz w:val="10"/>
          <w:szCs w:val="10"/>
          <w:color w:val="D60011"/>
        </w:rPr>
      </w:pPr>
    </w:p>
    <w:p>
      <w:pPr>
        <w:ind w:left="1260" w:hanging="212"/>
        <w:spacing w:after="0"/>
        <w:tabs>
          <w:tab w:leader="none" w:pos="1260" w:val="left"/>
        </w:tabs>
        <w:numPr>
          <w:ilvl w:val="1"/>
          <w:numId w:val="134"/>
        </w:numPr>
        <w:rPr>
          <w:rFonts w:ascii="Arial" w:cs="Arial" w:eastAsia="Arial" w:hAnsi="Arial"/>
          <w:sz w:val="10"/>
          <w:szCs w:val="10"/>
          <w:color w:val="D60011"/>
        </w:rPr>
      </w:pPr>
      <w:r>
        <w:rPr>
          <w:rFonts w:ascii="Arial" w:cs="Arial" w:eastAsia="Arial" w:hAnsi="Arial"/>
          <w:sz w:val="10"/>
          <w:szCs w:val="10"/>
          <w:color w:val="auto"/>
        </w:rPr>
        <w:t>Form of payment for the Retirement Plan and the Excess Cash Plan is a lump sum and form of payment for the SERP is 12 quarterly installments; and</w:t>
      </w:r>
    </w:p>
    <w:p>
      <w:pPr>
        <w:spacing w:after="0" w:line="101" w:lineRule="exact"/>
        <w:rPr>
          <w:rFonts w:ascii="Arial" w:cs="Arial" w:eastAsia="Arial" w:hAnsi="Arial"/>
          <w:sz w:val="10"/>
          <w:szCs w:val="10"/>
          <w:color w:val="D60011"/>
        </w:rPr>
      </w:pPr>
    </w:p>
    <w:p>
      <w:pPr>
        <w:ind w:left="1260" w:hanging="212"/>
        <w:spacing w:after="0"/>
        <w:tabs>
          <w:tab w:leader="none" w:pos="1260" w:val="left"/>
        </w:tabs>
        <w:numPr>
          <w:ilvl w:val="1"/>
          <w:numId w:val="134"/>
        </w:numPr>
        <w:rPr>
          <w:rFonts w:ascii="Arial" w:cs="Arial" w:eastAsia="Arial" w:hAnsi="Arial"/>
          <w:sz w:val="10"/>
          <w:szCs w:val="10"/>
          <w:color w:val="D60011"/>
        </w:rPr>
      </w:pPr>
      <w:r>
        <w:rPr>
          <w:rFonts w:ascii="Arial" w:cs="Arial" w:eastAsia="Arial" w:hAnsi="Arial"/>
          <w:sz w:val="10"/>
          <w:szCs w:val="10"/>
          <w:color w:val="auto"/>
        </w:rPr>
        <w:t>Ms. Peters’s SERP amount, and Mr. Talwar’s Retirement Plan, Excess Cash Plan, and SERP amounts, reflect no credited service for fiscal year 2021.</w:t>
      </w:r>
    </w:p>
    <w:p>
      <w:pPr>
        <w:spacing w:after="0" w:line="101" w:lineRule="exact"/>
        <w:rPr>
          <w:rFonts w:ascii="Arial" w:cs="Arial" w:eastAsia="Arial" w:hAnsi="Arial"/>
          <w:sz w:val="10"/>
          <w:szCs w:val="10"/>
          <w:color w:val="D60011"/>
        </w:rPr>
      </w:pPr>
    </w:p>
    <w:p>
      <w:pPr>
        <w:ind w:left="1040" w:right="859" w:hanging="208"/>
        <w:spacing w:after="0" w:line="186" w:lineRule="auto"/>
        <w:tabs>
          <w:tab w:leader="none" w:pos="1040" w:val="left"/>
        </w:tabs>
        <w:numPr>
          <w:ilvl w:val="0"/>
          <w:numId w:val="134"/>
        </w:numPr>
        <w:rPr>
          <w:rFonts w:ascii="Arial" w:cs="Arial" w:eastAsia="Arial" w:hAnsi="Arial"/>
          <w:sz w:val="16"/>
          <w:szCs w:val="16"/>
          <w:color w:val="auto"/>
          <w:vertAlign w:val="superscript"/>
        </w:rPr>
      </w:pPr>
      <w:r>
        <w:rPr>
          <w:rFonts w:ascii="Arial" w:cs="Arial" w:eastAsia="Arial" w:hAnsi="Arial"/>
          <w:sz w:val="10"/>
          <w:szCs w:val="10"/>
          <w:color w:val="auto"/>
        </w:rPr>
        <w:t>While Mr. Gray has participated in the Retirement Plan and the Excess Cash Plan for 3 years, his crediting rate was based on his 19 years of service in accordance with the plan.</w:t>
      </w:r>
    </w:p>
    <w:p>
      <w:pPr>
        <w:spacing w:after="0" w:line="33" w:lineRule="exact"/>
        <w:rPr>
          <w:rFonts w:ascii="Arial" w:cs="Arial" w:eastAsia="Arial" w:hAnsi="Arial"/>
          <w:sz w:val="16"/>
          <w:szCs w:val="16"/>
          <w:color w:val="auto"/>
          <w:vertAlign w:val="superscript"/>
        </w:rPr>
      </w:pPr>
    </w:p>
    <w:p>
      <w:pPr>
        <w:ind w:left="1040" w:hanging="208"/>
        <w:spacing w:after="0"/>
        <w:tabs>
          <w:tab w:leader="none" w:pos="1040" w:val="left"/>
        </w:tabs>
        <w:numPr>
          <w:ilvl w:val="0"/>
          <w:numId w:val="134"/>
        </w:numPr>
        <w:rPr>
          <w:rFonts w:ascii="Arial" w:cs="Arial" w:eastAsia="Arial" w:hAnsi="Arial"/>
          <w:sz w:val="16"/>
          <w:szCs w:val="16"/>
          <w:color w:val="auto"/>
          <w:vertAlign w:val="superscript"/>
        </w:rPr>
      </w:pPr>
      <w:r>
        <w:rPr>
          <w:rFonts w:ascii="Arial" w:cs="Arial" w:eastAsia="Arial" w:hAnsi="Arial"/>
          <w:sz w:val="10"/>
          <w:szCs w:val="10"/>
          <w:color w:val="auto"/>
        </w:rPr>
        <w:t>The total benefit payable to Mr. Talwar under the SERP was forfeited when his employment was terminated.</w:t>
      </w:r>
    </w:p>
    <w:p>
      <w:pPr>
        <w:spacing w:after="0" w:line="105" w:lineRule="exact"/>
        <w:rPr>
          <w:sz w:val="20"/>
          <w:szCs w:val="20"/>
          <w:color w:val="auto"/>
        </w:rPr>
      </w:pPr>
    </w:p>
    <w:p>
      <w:pPr>
        <w:ind w:left="840" w:right="919"/>
        <w:spacing w:after="0" w:line="268" w:lineRule="auto"/>
        <w:rPr>
          <w:sz w:val="20"/>
          <w:szCs w:val="20"/>
          <w:color w:val="auto"/>
        </w:rPr>
      </w:pPr>
      <w:r>
        <w:rPr>
          <w:rFonts w:ascii="Arial" w:cs="Arial" w:eastAsia="Arial" w:hAnsi="Arial"/>
          <w:sz w:val="11"/>
          <w:szCs w:val="11"/>
          <w:color w:val="auto"/>
        </w:rPr>
        <w:t>The years of service for the SERP reflect the number of years that the NEO has been approved by the Human Capital Committee as a participant in that plan.</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DEFINED BENEFIT RETIREMENT PLANS</w:t>
      </w:r>
    </w:p>
    <w:p>
      <w:pPr>
        <w:spacing w:after="0" w:line="13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RETIREMENT PLAN</w:t>
      </w:r>
    </w:p>
    <w:p>
      <w:pPr>
        <w:spacing w:after="0" w:line="136" w:lineRule="exact"/>
        <w:rPr>
          <w:sz w:val="20"/>
          <w:szCs w:val="20"/>
          <w:color w:val="auto"/>
        </w:rPr>
      </w:pPr>
    </w:p>
    <w:p>
      <w:pPr>
        <w:ind w:left="840" w:right="939"/>
        <w:spacing w:after="0" w:line="281" w:lineRule="auto"/>
        <w:rPr>
          <w:sz w:val="20"/>
          <w:szCs w:val="20"/>
          <w:color w:val="auto"/>
        </w:rPr>
      </w:pPr>
      <w:r>
        <w:rPr>
          <w:rFonts w:ascii="Arial" w:cs="Arial" w:eastAsia="Arial" w:hAnsi="Arial"/>
          <w:sz w:val="10"/>
          <w:szCs w:val="10"/>
          <w:color w:val="auto"/>
        </w:rPr>
        <w:t>The Retirement Plan is a defined benefit plan with a cash balance formula wherein each participant has an account for record keeping purposes only, which covers eligible team members of the Company and substantially all of its U.S. subsidiaries who were at least 21 years old with one year of service before the Retirement Plan was frozen on December 31, 2019. The Retirement Plan takes into account only base salary and Annual Incentive Plan awards in determining pension benefits. Therefore, LTI Awards have no effect on the calculation of benefits or payments under this plan.</w:t>
      </w:r>
    </w:p>
    <w:p>
      <w:pPr>
        <w:spacing w:after="0" w:line="91" w:lineRule="exact"/>
        <w:rPr>
          <w:sz w:val="20"/>
          <w:szCs w:val="20"/>
          <w:color w:val="auto"/>
        </w:rPr>
      </w:pPr>
    </w:p>
    <w:p>
      <w:pPr>
        <w:ind w:left="840" w:right="1239"/>
        <w:spacing w:after="0" w:line="268" w:lineRule="auto"/>
        <w:rPr>
          <w:sz w:val="20"/>
          <w:szCs w:val="20"/>
          <w:color w:val="auto"/>
        </w:rPr>
      </w:pPr>
      <w:r>
        <w:rPr>
          <w:rFonts w:ascii="Arial" w:cs="Arial" w:eastAsia="Arial" w:hAnsi="Arial"/>
          <w:sz w:val="11"/>
          <w:szCs w:val="11"/>
          <w:color w:val="auto"/>
        </w:rPr>
        <w:t>Plan participants become fully vested in their benefits under this plan generally upon completion of three years of service or upon reaching normal retirement age (age 65) while actively employed.</w:t>
      </w:r>
    </w:p>
    <w:p>
      <w:pPr>
        <w:spacing w:after="0" w:line="96" w:lineRule="exact"/>
        <w:rPr>
          <w:sz w:val="20"/>
          <w:szCs w:val="20"/>
          <w:color w:val="auto"/>
        </w:rPr>
      </w:pPr>
    </w:p>
    <w:p>
      <w:pPr>
        <w:ind w:left="840" w:right="1079"/>
        <w:spacing w:after="0" w:line="268" w:lineRule="auto"/>
        <w:rPr>
          <w:sz w:val="20"/>
          <w:szCs w:val="20"/>
          <w:color w:val="auto"/>
        </w:rPr>
      </w:pPr>
      <w:r>
        <w:rPr>
          <w:rFonts w:ascii="Arial" w:cs="Arial" w:eastAsia="Arial" w:hAnsi="Arial"/>
          <w:sz w:val="11"/>
          <w:szCs w:val="11"/>
          <w:color w:val="auto"/>
        </w:rPr>
        <w:t>The Retirement Plan was frozen as of December 31, 2019, for new participants (including rehires), and for benefit accruals for participants with fewer than 11 years of benefit service.</w:t>
      </w:r>
    </w:p>
    <w:p>
      <w:pPr>
        <w:spacing w:after="0" w:line="96" w:lineRule="exact"/>
        <w:rPr>
          <w:sz w:val="20"/>
          <w:szCs w:val="20"/>
          <w:color w:val="auto"/>
        </w:rPr>
      </w:pPr>
    </w:p>
    <w:p>
      <w:pPr>
        <w:ind w:left="840" w:right="1139"/>
        <w:spacing w:after="0" w:line="246" w:lineRule="auto"/>
        <w:rPr>
          <w:sz w:val="20"/>
          <w:szCs w:val="20"/>
          <w:color w:val="auto"/>
        </w:rPr>
      </w:pPr>
      <w:r>
        <w:rPr>
          <w:rFonts w:ascii="Arial" w:cs="Arial" w:eastAsia="Arial" w:hAnsi="Arial"/>
          <w:sz w:val="11"/>
          <w:szCs w:val="11"/>
          <w:color w:val="auto"/>
        </w:rPr>
        <w:t>Participants with 11 or more years of benefit service as of December 31, 2019 will continue to earn credits annually for a three-year transition period ending December 31, 2022 under the cash balance formula based upon a percentage of the participant’s W-2 Compensation, as defined in the Retirement Plan. After this three-year transition period, compensation credits will no longer accrue. This percentage is determined based on the participant’s years of service with the Company as of the beginning of each calendar year. The following table shows the percentages of employees’ compensation used to determine credits for each of the years of service indicated:</w:t>
      </w:r>
    </w:p>
    <w:p>
      <w:pPr>
        <w:spacing w:after="0" w:line="103" w:lineRule="exact"/>
        <w:rPr>
          <w:sz w:val="20"/>
          <w:szCs w:val="20"/>
          <w:color w:val="auto"/>
        </w:rPr>
      </w:pPr>
    </w:p>
    <w:p>
      <w:pPr>
        <w:ind w:left="1540" w:hanging="408"/>
        <w:spacing w:after="0"/>
        <w:tabs>
          <w:tab w:leader="none" w:pos="1540" w:val="left"/>
        </w:tabs>
        <w:numPr>
          <w:ilvl w:val="0"/>
          <w:numId w:val="135"/>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254000</wp:posOffset>
            </wp:positionV>
            <wp:extent cx="717804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89" w:name="page90"/>
    <w:bookmarkEnd w:id="89"/>
    <w:tbl>
      <w:tblPr>
        <w:tblLayout w:type="fixed"/>
        <w:tblInd w:w="1980" w:type="dxa"/>
        <w:tblCellMar>
          <w:top w:w="0" w:type="dxa"/>
          <w:left w:w="0" w:type="dxa"/>
          <w:bottom w:w="0" w:type="dxa"/>
          <w:right w:w="0" w:type="dxa"/>
        </w:tblCellMar>
      </w:tblPr>
      <w:tr>
        <w:trPr>
          <w:trHeight w:val="131"/>
        </w:trPr>
        <w:tc>
          <w:tcPr>
            <w:tcW w:w="23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20" w:type="dxa"/>
            <w:vAlign w:val="bottom"/>
          </w:tcPr>
          <w:p>
            <w:pPr>
              <w:jc w:val="right"/>
              <w:spacing w:after="0"/>
              <w:rPr>
                <w:sz w:val="20"/>
                <w:szCs w:val="20"/>
                <w:color w:val="auto"/>
              </w:rPr>
            </w:pPr>
            <w:r>
              <w:rPr>
                <w:rFonts w:ascii="Arial" w:cs="Arial" w:eastAsia="Arial" w:hAnsi="Arial"/>
                <w:sz w:val="10"/>
                <w:szCs w:val="10"/>
                <w:b w:val="1"/>
                <w:bCs w:val="1"/>
                <w:color w:val="D60011"/>
              </w:rPr>
              <w:t>EXECUTIVE COMPENSATION</w:t>
            </w:r>
          </w:p>
        </w:tc>
      </w:tr>
      <w:tr>
        <w:trPr>
          <w:trHeight w:val="245"/>
        </w:trPr>
        <w:tc>
          <w:tcPr>
            <w:tcW w:w="23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b w:val="1"/>
                <w:bCs w:val="1"/>
                <w:color w:val="auto"/>
              </w:rPr>
              <w:t>Percent of</w:t>
            </w:r>
          </w:p>
        </w:tc>
      </w:tr>
      <w:tr>
        <w:trPr>
          <w:trHeight w:val="126"/>
        </w:trPr>
        <w:tc>
          <w:tcPr>
            <w:tcW w:w="2340" w:type="dxa"/>
            <w:vAlign w:val="bottom"/>
          </w:tcPr>
          <w:p>
            <w:pPr>
              <w:spacing w:after="0"/>
              <w:rPr>
                <w:sz w:val="10"/>
                <w:szCs w:val="10"/>
                <w:color w:val="auto"/>
              </w:rPr>
            </w:pPr>
          </w:p>
        </w:tc>
        <w:tc>
          <w:tcPr>
            <w:tcW w:w="2700" w:type="dxa"/>
            <w:vAlign w:val="bottom"/>
          </w:tcPr>
          <w:p>
            <w:pPr>
              <w:jc w:val="right"/>
              <w:ind w:right="266"/>
              <w:spacing w:after="0"/>
              <w:rPr>
                <w:sz w:val="20"/>
                <w:szCs w:val="20"/>
                <w:color w:val="auto"/>
              </w:rPr>
            </w:pPr>
            <w:r>
              <w:rPr>
                <w:rFonts w:ascii="Arial" w:cs="Arial" w:eastAsia="Arial" w:hAnsi="Arial"/>
                <w:sz w:val="11"/>
                <w:szCs w:val="11"/>
                <w:b w:val="1"/>
                <w:bCs w:val="1"/>
                <w:color w:val="auto"/>
              </w:rPr>
              <w:t>Percent of All W-2</w:t>
            </w:r>
          </w:p>
        </w:tc>
        <w:tc>
          <w:tcPr>
            <w:tcW w:w="680" w:type="dxa"/>
            <w:vAlign w:val="bottom"/>
          </w:tcPr>
          <w:p>
            <w:pPr>
              <w:spacing w:after="0"/>
              <w:rPr>
                <w:sz w:val="10"/>
                <w:szCs w:val="10"/>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b w:val="1"/>
                <w:bCs w:val="1"/>
                <w:color w:val="auto"/>
              </w:rPr>
              <w:t>W-2 Compensation</w:t>
            </w:r>
          </w:p>
        </w:tc>
      </w:tr>
      <w:tr>
        <w:trPr>
          <w:trHeight w:val="126"/>
        </w:trPr>
        <w:tc>
          <w:tcPr>
            <w:tcW w:w="2340" w:type="dxa"/>
            <w:vAlign w:val="bottom"/>
          </w:tcPr>
          <w:p>
            <w:pPr>
              <w:spacing w:after="0"/>
              <w:rPr>
                <w:sz w:val="10"/>
                <w:szCs w:val="10"/>
                <w:color w:val="auto"/>
              </w:rPr>
            </w:pPr>
          </w:p>
        </w:tc>
        <w:tc>
          <w:tcPr>
            <w:tcW w:w="2700" w:type="dxa"/>
            <w:vAlign w:val="bottom"/>
          </w:tcPr>
          <w:p>
            <w:pPr>
              <w:jc w:val="right"/>
              <w:ind w:right="266"/>
              <w:spacing w:after="0"/>
              <w:rPr>
                <w:sz w:val="20"/>
                <w:szCs w:val="20"/>
                <w:color w:val="auto"/>
              </w:rPr>
            </w:pPr>
            <w:r>
              <w:rPr>
                <w:rFonts w:ascii="Arial" w:cs="Arial" w:eastAsia="Arial" w:hAnsi="Arial"/>
                <w:sz w:val="11"/>
                <w:szCs w:val="11"/>
                <w:b w:val="1"/>
                <w:bCs w:val="1"/>
                <w:color w:val="auto"/>
              </w:rPr>
              <w:t>Compensation</w:t>
            </w:r>
          </w:p>
        </w:tc>
        <w:tc>
          <w:tcPr>
            <w:tcW w:w="680" w:type="dxa"/>
            <w:vAlign w:val="bottom"/>
          </w:tcPr>
          <w:p>
            <w:pPr>
              <w:spacing w:after="0"/>
              <w:rPr>
                <w:sz w:val="10"/>
                <w:szCs w:val="10"/>
                <w:color w:val="auto"/>
              </w:rPr>
            </w:pPr>
          </w:p>
        </w:tc>
        <w:tc>
          <w:tcPr>
            <w:tcW w:w="1620" w:type="dxa"/>
            <w:vAlign w:val="bottom"/>
          </w:tcPr>
          <w:p>
            <w:pPr>
              <w:jc w:val="right"/>
              <w:ind w:right="6"/>
              <w:spacing w:after="0"/>
              <w:rPr>
                <w:sz w:val="20"/>
                <w:szCs w:val="20"/>
                <w:color w:val="auto"/>
              </w:rPr>
            </w:pPr>
            <w:r>
              <w:rPr>
                <w:rFonts w:ascii="Arial" w:cs="Arial" w:eastAsia="Arial" w:hAnsi="Arial"/>
                <w:sz w:val="11"/>
                <w:szCs w:val="11"/>
                <w:b w:val="1"/>
                <w:bCs w:val="1"/>
                <w:color w:val="auto"/>
              </w:rPr>
              <w:t>Over $22,000</w:t>
            </w:r>
          </w:p>
        </w:tc>
      </w:tr>
      <w:tr>
        <w:trPr>
          <w:trHeight w:val="150"/>
        </w:trPr>
        <w:tc>
          <w:tcPr>
            <w:tcW w:w="2340" w:type="dxa"/>
            <w:vAlign w:val="bottom"/>
            <w:tcBorders>
              <w:bottom w:val="single" w:sz="8" w:color="E31F25"/>
            </w:tcBorders>
          </w:tcPr>
          <w:p>
            <w:pPr>
              <w:ind w:left="60"/>
              <w:spacing w:after="0"/>
              <w:rPr>
                <w:sz w:val="20"/>
                <w:szCs w:val="20"/>
                <w:color w:val="auto"/>
              </w:rPr>
            </w:pPr>
            <w:r>
              <w:rPr>
                <w:rFonts w:ascii="Arial" w:cs="Arial" w:eastAsia="Arial" w:hAnsi="Arial"/>
                <w:sz w:val="11"/>
                <w:szCs w:val="11"/>
                <w:b w:val="1"/>
                <w:bCs w:val="1"/>
                <w:color w:val="auto"/>
              </w:rPr>
              <w:t>Years of Service</w:t>
            </w:r>
          </w:p>
        </w:tc>
        <w:tc>
          <w:tcPr>
            <w:tcW w:w="2700" w:type="dxa"/>
            <w:vAlign w:val="bottom"/>
            <w:tcBorders>
              <w:bottom w:val="single" w:sz="8" w:color="E31F25"/>
            </w:tcBorders>
          </w:tcPr>
          <w:p>
            <w:pPr>
              <w:jc w:val="right"/>
              <w:ind w:right="266"/>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E31F25"/>
            </w:tcBorders>
          </w:tcPr>
          <w:p>
            <w:pPr>
              <w:jc w:val="right"/>
              <w:ind w:right="226"/>
              <w:spacing w:after="0"/>
              <w:rPr>
                <w:sz w:val="20"/>
                <w:szCs w:val="20"/>
                <w:color w:val="auto"/>
              </w:rPr>
            </w:pPr>
            <w:r>
              <w:rPr>
                <w:rFonts w:ascii="Arial" w:cs="Arial" w:eastAsia="Arial" w:hAnsi="Arial"/>
                <w:sz w:val="11"/>
                <w:szCs w:val="11"/>
                <w:b w:val="1"/>
                <w:bCs w:val="1"/>
                <w:color w:val="auto"/>
              </w:rPr>
              <w:t>+</w:t>
            </w:r>
          </w:p>
        </w:tc>
        <w:tc>
          <w:tcPr>
            <w:tcW w:w="1620" w:type="dxa"/>
            <w:vAlign w:val="bottom"/>
            <w:tcBorders>
              <w:bottom w:val="single" w:sz="8" w:color="E31F25"/>
            </w:tcBorders>
          </w:tcPr>
          <w:p>
            <w:pPr>
              <w:jc w:val="right"/>
              <w:ind w:right="6"/>
              <w:spacing w:after="0"/>
              <w:rPr>
                <w:sz w:val="20"/>
                <w:szCs w:val="20"/>
                <w:color w:val="auto"/>
              </w:rPr>
            </w:pPr>
            <w:r>
              <w:rPr>
                <w:rFonts w:ascii="Arial" w:cs="Arial" w:eastAsia="Arial" w:hAnsi="Arial"/>
                <w:sz w:val="11"/>
                <w:szCs w:val="11"/>
                <w:b w:val="1"/>
                <w:bCs w:val="1"/>
                <w:color w:val="auto"/>
              </w:rPr>
              <w:t>(%)</w:t>
            </w:r>
          </w:p>
        </w:tc>
      </w:tr>
      <w:tr>
        <w:trPr>
          <w:trHeight w:val="151"/>
        </w:trPr>
        <w:tc>
          <w:tcPr>
            <w:tcW w:w="2340" w:type="dxa"/>
            <w:vAlign w:val="bottom"/>
            <w:tcBorders>
              <w:bottom w:val="single" w:sz="8" w:color="BCBEC0"/>
            </w:tcBorders>
          </w:tcPr>
          <w:p>
            <w:pPr>
              <w:ind w:left="60"/>
              <w:spacing w:after="0"/>
              <w:rPr>
                <w:sz w:val="20"/>
                <w:szCs w:val="20"/>
                <w:color w:val="auto"/>
              </w:rPr>
            </w:pPr>
            <w:r>
              <w:rPr>
                <w:rFonts w:ascii="Arial" w:cs="Arial" w:eastAsia="Arial" w:hAnsi="Arial"/>
                <w:sz w:val="11"/>
                <w:szCs w:val="11"/>
                <w:b w:val="1"/>
                <w:bCs w:val="1"/>
                <w:color w:val="D60011"/>
              </w:rPr>
              <w:t>&lt; 6</w:t>
            </w:r>
          </w:p>
        </w:tc>
        <w:tc>
          <w:tcPr>
            <w:tcW w:w="2700" w:type="dxa"/>
            <w:vAlign w:val="bottom"/>
            <w:tcBorders>
              <w:bottom w:val="single" w:sz="8" w:color="BCBEC0"/>
            </w:tcBorders>
          </w:tcPr>
          <w:p>
            <w:pPr>
              <w:jc w:val="right"/>
              <w:ind w:right="266"/>
              <w:spacing w:after="0"/>
              <w:rPr>
                <w:sz w:val="20"/>
                <w:szCs w:val="20"/>
                <w:color w:val="auto"/>
              </w:rPr>
            </w:pPr>
            <w:r>
              <w:rPr>
                <w:rFonts w:ascii="Arial" w:cs="Arial" w:eastAsia="Arial" w:hAnsi="Arial"/>
                <w:sz w:val="11"/>
                <w:szCs w:val="11"/>
                <w:color w:val="auto"/>
              </w:rPr>
              <w:t>1.10</w:t>
            </w:r>
          </w:p>
        </w:tc>
        <w:tc>
          <w:tcPr>
            <w:tcW w:w="680" w:type="dxa"/>
            <w:vAlign w:val="bottom"/>
            <w:tcBorders>
              <w:bottom w:val="single" w:sz="8" w:color="BCBEC0"/>
            </w:tcBorders>
          </w:tcPr>
          <w:p>
            <w:pPr>
              <w:spacing w:after="0"/>
              <w:rPr>
                <w:sz w:val="13"/>
                <w:szCs w:val="13"/>
                <w:color w:val="auto"/>
              </w:rPr>
            </w:pPr>
          </w:p>
        </w:tc>
        <w:tc>
          <w:tcPr>
            <w:tcW w:w="16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0.55</w:t>
            </w:r>
          </w:p>
        </w:tc>
      </w:tr>
      <w:tr>
        <w:trPr>
          <w:trHeight w:val="151"/>
        </w:trPr>
        <w:tc>
          <w:tcPr>
            <w:tcW w:w="2340" w:type="dxa"/>
            <w:vAlign w:val="bottom"/>
            <w:tcBorders>
              <w:bottom w:val="single" w:sz="8" w:color="BCBEC0"/>
            </w:tcBorders>
          </w:tcPr>
          <w:p>
            <w:pPr>
              <w:ind w:left="60"/>
              <w:spacing w:after="0"/>
              <w:rPr>
                <w:sz w:val="20"/>
                <w:szCs w:val="20"/>
                <w:color w:val="auto"/>
              </w:rPr>
            </w:pPr>
            <w:r>
              <w:rPr>
                <w:rFonts w:ascii="Arial" w:cs="Arial" w:eastAsia="Arial" w:hAnsi="Arial"/>
                <w:sz w:val="11"/>
                <w:szCs w:val="11"/>
                <w:b w:val="1"/>
                <w:bCs w:val="1"/>
                <w:color w:val="D60011"/>
              </w:rPr>
              <w:t>6–10</w:t>
            </w:r>
          </w:p>
        </w:tc>
        <w:tc>
          <w:tcPr>
            <w:tcW w:w="2700" w:type="dxa"/>
            <w:vAlign w:val="bottom"/>
            <w:tcBorders>
              <w:bottom w:val="single" w:sz="8" w:color="BCBEC0"/>
            </w:tcBorders>
          </w:tcPr>
          <w:p>
            <w:pPr>
              <w:jc w:val="right"/>
              <w:ind w:right="266"/>
              <w:spacing w:after="0"/>
              <w:rPr>
                <w:sz w:val="20"/>
                <w:szCs w:val="20"/>
                <w:color w:val="auto"/>
              </w:rPr>
            </w:pPr>
            <w:r>
              <w:rPr>
                <w:rFonts w:ascii="Arial" w:cs="Arial" w:eastAsia="Arial" w:hAnsi="Arial"/>
                <w:sz w:val="11"/>
                <w:szCs w:val="11"/>
                <w:color w:val="auto"/>
              </w:rPr>
              <w:t>1.50</w:t>
            </w:r>
          </w:p>
        </w:tc>
        <w:tc>
          <w:tcPr>
            <w:tcW w:w="680" w:type="dxa"/>
            <w:vAlign w:val="bottom"/>
            <w:tcBorders>
              <w:bottom w:val="single" w:sz="8" w:color="BCBEC0"/>
            </w:tcBorders>
          </w:tcPr>
          <w:p>
            <w:pPr>
              <w:spacing w:after="0"/>
              <w:rPr>
                <w:sz w:val="13"/>
                <w:szCs w:val="13"/>
                <w:color w:val="auto"/>
              </w:rPr>
            </w:pPr>
          </w:p>
        </w:tc>
        <w:tc>
          <w:tcPr>
            <w:tcW w:w="16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0.75</w:t>
            </w:r>
          </w:p>
        </w:tc>
      </w:tr>
      <w:tr>
        <w:trPr>
          <w:trHeight w:val="151"/>
        </w:trPr>
        <w:tc>
          <w:tcPr>
            <w:tcW w:w="2340" w:type="dxa"/>
            <w:vAlign w:val="bottom"/>
            <w:tcBorders>
              <w:bottom w:val="single" w:sz="8" w:color="BCBEC0"/>
            </w:tcBorders>
          </w:tcPr>
          <w:p>
            <w:pPr>
              <w:ind w:left="60"/>
              <w:spacing w:after="0"/>
              <w:rPr>
                <w:sz w:val="20"/>
                <w:szCs w:val="20"/>
                <w:color w:val="auto"/>
              </w:rPr>
            </w:pPr>
            <w:r>
              <w:rPr>
                <w:rFonts w:ascii="Arial" w:cs="Arial" w:eastAsia="Arial" w:hAnsi="Arial"/>
                <w:sz w:val="11"/>
                <w:szCs w:val="11"/>
                <w:b w:val="1"/>
                <w:bCs w:val="1"/>
                <w:color w:val="D60011"/>
              </w:rPr>
              <w:t>11–15</w:t>
            </w:r>
          </w:p>
        </w:tc>
        <w:tc>
          <w:tcPr>
            <w:tcW w:w="2700" w:type="dxa"/>
            <w:vAlign w:val="bottom"/>
            <w:tcBorders>
              <w:bottom w:val="single" w:sz="8" w:color="BCBEC0"/>
            </w:tcBorders>
          </w:tcPr>
          <w:p>
            <w:pPr>
              <w:jc w:val="right"/>
              <w:ind w:right="266"/>
              <w:spacing w:after="0"/>
              <w:rPr>
                <w:sz w:val="20"/>
                <w:szCs w:val="20"/>
                <w:color w:val="auto"/>
              </w:rPr>
            </w:pPr>
            <w:r>
              <w:rPr>
                <w:rFonts w:ascii="Arial" w:cs="Arial" w:eastAsia="Arial" w:hAnsi="Arial"/>
                <w:sz w:val="11"/>
                <w:szCs w:val="11"/>
                <w:color w:val="auto"/>
              </w:rPr>
              <w:t>2.00</w:t>
            </w:r>
          </w:p>
        </w:tc>
        <w:tc>
          <w:tcPr>
            <w:tcW w:w="680" w:type="dxa"/>
            <w:vAlign w:val="bottom"/>
            <w:tcBorders>
              <w:bottom w:val="single" w:sz="8" w:color="BCBEC0"/>
            </w:tcBorders>
          </w:tcPr>
          <w:p>
            <w:pPr>
              <w:spacing w:after="0"/>
              <w:rPr>
                <w:sz w:val="13"/>
                <w:szCs w:val="13"/>
                <w:color w:val="auto"/>
              </w:rPr>
            </w:pPr>
          </w:p>
        </w:tc>
        <w:tc>
          <w:tcPr>
            <w:tcW w:w="16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1.00</w:t>
            </w:r>
          </w:p>
        </w:tc>
      </w:tr>
      <w:tr>
        <w:trPr>
          <w:trHeight w:val="151"/>
        </w:trPr>
        <w:tc>
          <w:tcPr>
            <w:tcW w:w="2340" w:type="dxa"/>
            <w:vAlign w:val="bottom"/>
            <w:tcBorders>
              <w:bottom w:val="single" w:sz="8" w:color="BCBEC0"/>
            </w:tcBorders>
          </w:tcPr>
          <w:p>
            <w:pPr>
              <w:ind w:left="60"/>
              <w:spacing w:after="0"/>
              <w:rPr>
                <w:sz w:val="20"/>
                <w:szCs w:val="20"/>
                <w:color w:val="auto"/>
              </w:rPr>
            </w:pPr>
            <w:r>
              <w:rPr>
                <w:rFonts w:ascii="Arial" w:cs="Arial" w:eastAsia="Arial" w:hAnsi="Arial"/>
                <w:sz w:val="11"/>
                <w:szCs w:val="11"/>
                <w:b w:val="1"/>
                <w:bCs w:val="1"/>
                <w:color w:val="D60011"/>
              </w:rPr>
              <w:t>16–20</w:t>
            </w:r>
          </w:p>
        </w:tc>
        <w:tc>
          <w:tcPr>
            <w:tcW w:w="2700" w:type="dxa"/>
            <w:vAlign w:val="bottom"/>
            <w:tcBorders>
              <w:bottom w:val="single" w:sz="8" w:color="BCBEC0"/>
            </w:tcBorders>
          </w:tcPr>
          <w:p>
            <w:pPr>
              <w:jc w:val="right"/>
              <w:ind w:right="266"/>
              <w:spacing w:after="0"/>
              <w:rPr>
                <w:sz w:val="20"/>
                <w:szCs w:val="20"/>
                <w:color w:val="auto"/>
              </w:rPr>
            </w:pPr>
            <w:r>
              <w:rPr>
                <w:rFonts w:ascii="Arial" w:cs="Arial" w:eastAsia="Arial" w:hAnsi="Arial"/>
                <w:sz w:val="11"/>
                <w:szCs w:val="11"/>
                <w:color w:val="auto"/>
              </w:rPr>
              <w:t>2.70</w:t>
            </w:r>
          </w:p>
        </w:tc>
        <w:tc>
          <w:tcPr>
            <w:tcW w:w="680" w:type="dxa"/>
            <w:vAlign w:val="bottom"/>
            <w:tcBorders>
              <w:bottom w:val="single" w:sz="8" w:color="BCBEC0"/>
            </w:tcBorders>
          </w:tcPr>
          <w:p>
            <w:pPr>
              <w:spacing w:after="0"/>
              <w:rPr>
                <w:sz w:val="13"/>
                <w:szCs w:val="13"/>
                <w:color w:val="auto"/>
              </w:rPr>
            </w:pPr>
          </w:p>
        </w:tc>
        <w:tc>
          <w:tcPr>
            <w:tcW w:w="16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1.35</w:t>
            </w:r>
          </w:p>
        </w:tc>
      </w:tr>
      <w:tr>
        <w:trPr>
          <w:trHeight w:val="151"/>
        </w:trPr>
        <w:tc>
          <w:tcPr>
            <w:tcW w:w="2340" w:type="dxa"/>
            <w:vAlign w:val="bottom"/>
            <w:tcBorders>
              <w:bottom w:val="single" w:sz="8" w:color="BCBEC0"/>
            </w:tcBorders>
          </w:tcPr>
          <w:p>
            <w:pPr>
              <w:ind w:left="60"/>
              <w:spacing w:after="0"/>
              <w:rPr>
                <w:sz w:val="20"/>
                <w:szCs w:val="20"/>
                <w:color w:val="auto"/>
              </w:rPr>
            </w:pPr>
            <w:r>
              <w:rPr>
                <w:rFonts w:ascii="Arial" w:cs="Arial" w:eastAsia="Arial" w:hAnsi="Arial"/>
                <w:sz w:val="11"/>
                <w:szCs w:val="11"/>
                <w:b w:val="1"/>
                <w:bCs w:val="1"/>
                <w:color w:val="D60011"/>
              </w:rPr>
              <w:t>21–25</w:t>
            </w:r>
          </w:p>
        </w:tc>
        <w:tc>
          <w:tcPr>
            <w:tcW w:w="2700" w:type="dxa"/>
            <w:vAlign w:val="bottom"/>
            <w:tcBorders>
              <w:bottom w:val="single" w:sz="8" w:color="BCBEC0"/>
            </w:tcBorders>
          </w:tcPr>
          <w:p>
            <w:pPr>
              <w:jc w:val="right"/>
              <w:ind w:right="266"/>
              <w:spacing w:after="0"/>
              <w:rPr>
                <w:sz w:val="20"/>
                <w:szCs w:val="20"/>
                <w:color w:val="auto"/>
              </w:rPr>
            </w:pPr>
            <w:r>
              <w:rPr>
                <w:rFonts w:ascii="Arial" w:cs="Arial" w:eastAsia="Arial" w:hAnsi="Arial"/>
                <w:sz w:val="11"/>
                <w:szCs w:val="11"/>
                <w:color w:val="auto"/>
              </w:rPr>
              <w:t>3.70</w:t>
            </w:r>
          </w:p>
        </w:tc>
        <w:tc>
          <w:tcPr>
            <w:tcW w:w="680" w:type="dxa"/>
            <w:vAlign w:val="bottom"/>
            <w:tcBorders>
              <w:bottom w:val="single" w:sz="8" w:color="BCBEC0"/>
            </w:tcBorders>
          </w:tcPr>
          <w:p>
            <w:pPr>
              <w:spacing w:after="0"/>
              <w:rPr>
                <w:sz w:val="13"/>
                <w:szCs w:val="13"/>
                <w:color w:val="auto"/>
              </w:rPr>
            </w:pPr>
          </w:p>
        </w:tc>
        <w:tc>
          <w:tcPr>
            <w:tcW w:w="16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1.85</w:t>
            </w:r>
          </w:p>
        </w:tc>
      </w:tr>
      <w:tr>
        <w:trPr>
          <w:trHeight w:val="151"/>
        </w:trPr>
        <w:tc>
          <w:tcPr>
            <w:tcW w:w="2340" w:type="dxa"/>
            <w:vAlign w:val="bottom"/>
            <w:tcBorders>
              <w:bottom w:val="single" w:sz="8" w:color="BCBEC0"/>
            </w:tcBorders>
          </w:tcPr>
          <w:p>
            <w:pPr>
              <w:ind w:left="60"/>
              <w:spacing w:after="0"/>
              <w:rPr>
                <w:sz w:val="20"/>
                <w:szCs w:val="20"/>
                <w:color w:val="auto"/>
              </w:rPr>
            </w:pPr>
            <w:r>
              <w:rPr>
                <w:rFonts w:ascii="Arial" w:cs="Arial" w:eastAsia="Arial" w:hAnsi="Arial"/>
                <w:sz w:val="11"/>
                <w:szCs w:val="11"/>
                <w:b w:val="1"/>
                <w:bCs w:val="1"/>
                <w:color w:val="D60011"/>
              </w:rPr>
              <w:t>26–30</w:t>
            </w:r>
          </w:p>
        </w:tc>
        <w:tc>
          <w:tcPr>
            <w:tcW w:w="2700" w:type="dxa"/>
            <w:vAlign w:val="bottom"/>
            <w:tcBorders>
              <w:bottom w:val="single" w:sz="8" w:color="BCBEC0"/>
            </w:tcBorders>
          </w:tcPr>
          <w:p>
            <w:pPr>
              <w:jc w:val="right"/>
              <w:ind w:right="266"/>
              <w:spacing w:after="0"/>
              <w:rPr>
                <w:sz w:val="20"/>
                <w:szCs w:val="20"/>
                <w:color w:val="auto"/>
              </w:rPr>
            </w:pPr>
            <w:r>
              <w:rPr>
                <w:rFonts w:ascii="Arial" w:cs="Arial" w:eastAsia="Arial" w:hAnsi="Arial"/>
                <w:sz w:val="11"/>
                <w:szCs w:val="11"/>
                <w:color w:val="auto"/>
              </w:rPr>
              <w:t>4.90</w:t>
            </w:r>
          </w:p>
        </w:tc>
        <w:tc>
          <w:tcPr>
            <w:tcW w:w="680" w:type="dxa"/>
            <w:vAlign w:val="bottom"/>
            <w:tcBorders>
              <w:bottom w:val="single" w:sz="8" w:color="BCBEC0"/>
            </w:tcBorders>
          </w:tcPr>
          <w:p>
            <w:pPr>
              <w:spacing w:after="0"/>
              <w:rPr>
                <w:sz w:val="13"/>
                <w:szCs w:val="13"/>
                <w:color w:val="auto"/>
              </w:rPr>
            </w:pPr>
          </w:p>
        </w:tc>
        <w:tc>
          <w:tcPr>
            <w:tcW w:w="16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2.45</w:t>
            </w:r>
          </w:p>
        </w:tc>
      </w:tr>
      <w:tr>
        <w:trPr>
          <w:trHeight w:val="151"/>
        </w:trPr>
        <w:tc>
          <w:tcPr>
            <w:tcW w:w="2340" w:type="dxa"/>
            <w:vAlign w:val="bottom"/>
            <w:tcBorders>
              <w:bottom w:val="single" w:sz="8" w:color="BCBEC0"/>
            </w:tcBorders>
          </w:tcPr>
          <w:p>
            <w:pPr>
              <w:ind w:left="60"/>
              <w:spacing w:after="0"/>
              <w:rPr>
                <w:sz w:val="20"/>
                <w:szCs w:val="20"/>
                <w:color w:val="auto"/>
              </w:rPr>
            </w:pPr>
            <w:r>
              <w:rPr>
                <w:rFonts w:ascii="Arial" w:cs="Arial" w:eastAsia="Arial" w:hAnsi="Arial"/>
                <w:sz w:val="11"/>
                <w:szCs w:val="11"/>
                <w:b w:val="1"/>
                <w:bCs w:val="1"/>
                <w:color w:val="D60011"/>
              </w:rPr>
              <w:t>31–35</w:t>
            </w:r>
          </w:p>
        </w:tc>
        <w:tc>
          <w:tcPr>
            <w:tcW w:w="2700" w:type="dxa"/>
            <w:vAlign w:val="bottom"/>
            <w:tcBorders>
              <w:bottom w:val="single" w:sz="8" w:color="BCBEC0"/>
            </w:tcBorders>
          </w:tcPr>
          <w:p>
            <w:pPr>
              <w:jc w:val="right"/>
              <w:ind w:right="266"/>
              <w:spacing w:after="0"/>
              <w:rPr>
                <w:sz w:val="20"/>
                <w:szCs w:val="20"/>
                <w:color w:val="auto"/>
              </w:rPr>
            </w:pPr>
            <w:r>
              <w:rPr>
                <w:rFonts w:ascii="Arial" w:cs="Arial" w:eastAsia="Arial" w:hAnsi="Arial"/>
                <w:sz w:val="11"/>
                <w:szCs w:val="11"/>
                <w:color w:val="auto"/>
              </w:rPr>
              <w:t>6.60</w:t>
            </w:r>
          </w:p>
        </w:tc>
        <w:tc>
          <w:tcPr>
            <w:tcW w:w="680" w:type="dxa"/>
            <w:vAlign w:val="bottom"/>
            <w:tcBorders>
              <w:bottom w:val="single" w:sz="8" w:color="BCBEC0"/>
            </w:tcBorders>
          </w:tcPr>
          <w:p>
            <w:pPr>
              <w:spacing w:after="0"/>
              <w:rPr>
                <w:sz w:val="13"/>
                <w:szCs w:val="13"/>
                <w:color w:val="auto"/>
              </w:rPr>
            </w:pPr>
          </w:p>
        </w:tc>
        <w:tc>
          <w:tcPr>
            <w:tcW w:w="1620" w:type="dxa"/>
            <w:vAlign w:val="bottom"/>
            <w:tcBorders>
              <w:bottom w:val="single" w:sz="8" w:color="BCBEC0"/>
            </w:tcBorders>
          </w:tcPr>
          <w:p>
            <w:pPr>
              <w:jc w:val="right"/>
              <w:ind w:right="6"/>
              <w:spacing w:after="0"/>
              <w:rPr>
                <w:sz w:val="20"/>
                <w:szCs w:val="20"/>
                <w:color w:val="auto"/>
              </w:rPr>
            </w:pPr>
            <w:r>
              <w:rPr>
                <w:rFonts w:ascii="Arial" w:cs="Arial" w:eastAsia="Arial" w:hAnsi="Arial"/>
                <w:sz w:val="11"/>
                <w:szCs w:val="11"/>
                <w:color w:val="auto"/>
              </w:rPr>
              <w:t>3.30</w:t>
            </w:r>
          </w:p>
        </w:tc>
      </w:tr>
      <w:tr>
        <w:trPr>
          <w:trHeight w:val="151"/>
        </w:trPr>
        <w:tc>
          <w:tcPr>
            <w:tcW w:w="2340" w:type="dxa"/>
            <w:vAlign w:val="bottom"/>
            <w:tcBorders>
              <w:bottom w:val="single" w:sz="8" w:color="E31F25"/>
            </w:tcBorders>
          </w:tcPr>
          <w:p>
            <w:pPr>
              <w:ind w:left="60"/>
              <w:spacing w:after="0"/>
              <w:rPr>
                <w:sz w:val="20"/>
                <w:szCs w:val="20"/>
                <w:color w:val="auto"/>
              </w:rPr>
            </w:pPr>
            <w:r>
              <w:rPr>
                <w:rFonts w:ascii="Arial" w:cs="Arial" w:eastAsia="Arial" w:hAnsi="Arial"/>
                <w:sz w:val="11"/>
                <w:szCs w:val="11"/>
                <w:b w:val="1"/>
                <w:bCs w:val="1"/>
                <w:color w:val="D60011"/>
              </w:rPr>
              <w:t>&gt; 35</w:t>
            </w:r>
          </w:p>
        </w:tc>
        <w:tc>
          <w:tcPr>
            <w:tcW w:w="2700" w:type="dxa"/>
            <w:vAlign w:val="bottom"/>
            <w:tcBorders>
              <w:bottom w:val="single" w:sz="8" w:color="E31F25"/>
            </w:tcBorders>
          </w:tcPr>
          <w:p>
            <w:pPr>
              <w:jc w:val="right"/>
              <w:ind w:right="266"/>
              <w:spacing w:after="0"/>
              <w:rPr>
                <w:sz w:val="20"/>
                <w:szCs w:val="20"/>
                <w:color w:val="auto"/>
              </w:rPr>
            </w:pPr>
            <w:r>
              <w:rPr>
                <w:rFonts w:ascii="Arial" w:cs="Arial" w:eastAsia="Arial" w:hAnsi="Arial"/>
                <w:sz w:val="11"/>
                <w:szCs w:val="11"/>
                <w:color w:val="auto"/>
              </w:rPr>
              <w:t>8.90</w:t>
            </w:r>
          </w:p>
        </w:tc>
        <w:tc>
          <w:tcPr>
            <w:tcW w:w="680" w:type="dxa"/>
            <w:vAlign w:val="bottom"/>
            <w:tcBorders>
              <w:bottom w:val="single" w:sz="8" w:color="E31F25"/>
            </w:tcBorders>
          </w:tcPr>
          <w:p>
            <w:pPr>
              <w:spacing w:after="0"/>
              <w:rPr>
                <w:sz w:val="13"/>
                <w:szCs w:val="13"/>
                <w:color w:val="auto"/>
              </w:rPr>
            </w:pPr>
          </w:p>
        </w:tc>
        <w:tc>
          <w:tcPr>
            <w:tcW w:w="1620" w:type="dxa"/>
            <w:vAlign w:val="bottom"/>
            <w:tcBorders>
              <w:bottom w:val="single" w:sz="8" w:color="E31F25"/>
            </w:tcBorders>
          </w:tcPr>
          <w:p>
            <w:pPr>
              <w:jc w:val="right"/>
              <w:ind w:right="6"/>
              <w:spacing w:after="0"/>
              <w:rPr>
                <w:sz w:val="20"/>
                <w:szCs w:val="20"/>
                <w:color w:val="auto"/>
              </w:rPr>
            </w:pPr>
            <w:r>
              <w:rPr>
                <w:rFonts w:ascii="Arial" w:cs="Arial" w:eastAsia="Arial" w:hAnsi="Arial"/>
                <w:sz w:val="11"/>
                <w:szCs w:val="11"/>
                <w:color w:val="auto"/>
              </w:rPr>
              <w:t>4.45</w:t>
            </w:r>
          </w:p>
        </w:tc>
      </w:tr>
    </w:tbl>
    <w:p>
      <w:pPr>
        <w:spacing w:after="0" w:line="117"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All existing balances in participants’ accounts as of December 31, 2019 earn interest at the fixed rate of 6%, which is credited annually.</w:t>
      </w:r>
    </w:p>
    <w:p>
      <w:pPr>
        <w:spacing w:after="0" w:line="126" w:lineRule="exact"/>
        <w:rPr>
          <w:sz w:val="20"/>
          <w:szCs w:val="20"/>
          <w:color w:val="auto"/>
        </w:rPr>
      </w:pPr>
    </w:p>
    <w:p>
      <w:pPr>
        <w:ind w:left="1980" w:right="2000"/>
        <w:spacing w:after="0" w:line="246" w:lineRule="auto"/>
        <w:rPr>
          <w:sz w:val="20"/>
          <w:szCs w:val="20"/>
          <w:color w:val="auto"/>
        </w:rPr>
      </w:pPr>
      <w:r>
        <w:rPr>
          <w:rFonts w:ascii="Arial" w:cs="Arial" w:eastAsia="Arial" w:hAnsi="Arial"/>
          <w:sz w:val="11"/>
          <w:szCs w:val="11"/>
          <w:color w:val="auto"/>
        </w:rPr>
        <w:t>At retirement or other termination of employment, an amount equal to the vested balance then credited to the account under the Retirement Plan is payable to the participant in the form of a qualified joint and survivor annuity (available to married participants) or a life annuity. The participant may elect, upon retirement, to waive the annuity form of benefit and receive benefits under the plan in an optional annuity form or an immediate or deferred lump sum, or, upon other termination of employment, in a lump sum. Additional optional forms of payment are available to participants who were participating in the Retirement Plan as of December 31, 1995.</w:t>
      </w:r>
    </w:p>
    <w:p>
      <w:pPr>
        <w:spacing w:after="0" w:line="108" w:lineRule="exact"/>
        <w:rPr>
          <w:sz w:val="20"/>
          <w:szCs w:val="20"/>
          <w:color w:val="auto"/>
        </w:rPr>
      </w:pPr>
    </w:p>
    <w:p>
      <w:pPr>
        <w:ind w:left="1980" w:right="2080"/>
        <w:spacing w:after="0" w:line="253" w:lineRule="auto"/>
        <w:rPr>
          <w:sz w:val="20"/>
          <w:szCs w:val="20"/>
          <w:color w:val="auto"/>
        </w:rPr>
      </w:pPr>
      <w:r>
        <w:rPr>
          <w:rFonts w:ascii="Arial" w:cs="Arial" w:eastAsia="Arial" w:hAnsi="Arial"/>
          <w:sz w:val="11"/>
          <w:szCs w:val="11"/>
          <w:color w:val="auto"/>
        </w:rPr>
        <w:t>All U.S.-based team members and expatriate U.S. team members who met the eligibility requirements prior to the plan being frozen on December 31, 2019, including Messrs. Johnson, Bracken, Martin, and Gray, are participants in the Retirement Plan. Ms. Peters and Mr. Talwar were active participants prior to their termination of employment.</w:t>
      </w:r>
    </w:p>
    <w:p>
      <w:pPr>
        <w:spacing w:after="0" w:line="9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EXCESS CASH PLAN</w:t>
      </w:r>
    </w:p>
    <w:p>
      <w:pPr>
        <w:spacing w:after="0" w:line="136" w:lineRule="exact"/>
        <w:rPr>
          <w:sz w:val="20"/>
          <w:szCs w:val="20"/>
          <w:color w:val="auto"/>
        </w:rPr>
      </w:pPr>
    </w:p>
    <w:p>
      <w:pPr>
        <w:ind w:left="1980" w:right="2000"/>
        <w:spacing w:after="0" w:line="243" w:lineRule="auto"/>
        <w:rPr>
          <w:sz w:val="20"/>
          <w:szCs w:val="20"/>
          <w:color w:val="auto"/>
        </w:rPr>
      </w:pPr>
      <w:r>
        <w:rPr>
          <w:rFonts w:ascii="Arial" w:cs="Arial" w:eastAsia="Arial" w:hAnsi="Arial"/>
          <w:sz w:val="11"/>
          <w:szCs w:val="11"/>
          <w:color w:val="auto"/>
        </w:rPr>
        <w:t>The IRC limits annual retirement benefits that may be paid to, and the compensation that may be taken into account in calculating benefits for, any person covered under a qualified retirement plan, such as the Retirement Plan. Accordingly, the Company has adopted the Excess Cash Plan for any person covered by the Retirement Plan whose annual retirement benefit, calculated in accordance with the terms of the Retirement Plan, exceeds the limitations of the IRC. The Excess Cash Plan is an unfunded, non-qualified benefit plan, under which the individual is paid the difference between the IRC limitations and the retirement benefit to which they would otherwise be entitled under the Retirement Plan. The Excess Cash Plan takes into account only base salary and Annual Incentive Plan awards in determining pension benefits. Therefore, LTI Awards have no effect on the calculation of benefits or payments under this plan.</w:t>
      </w:r>
    </w:p>
    <w:p>
      <w:pPr>
        <w:spacing w:after="0" w:line="112" w:lineRule="exact"/>
        <w:rPr>
          <w:sz w:val="20"/>
          <w:szCs w:val="20"/>
          <w:color w:val="auto"/>
        </w:rPr>
      </w:pPr>
    </w:p>
    <w:p>
      <w:pPr>
        <w:ind w:left="1980" w:right="2140"/>
        <w:spacing w:after="0" w:line="268" w:lineRule="auto"/>
        <w:rPr>
          <w:sz w:val="20"/>
          <w:szCs w:val="20"/>
          <w:color w:val="auto"/>
        </w:rPr>
      </w:pPr>
      <w:r>
        <w:rPr>
          <w:rFonts w:ascii="Arial" w:cs="Arial" w:eastAsia="Arial" w:hAnsi="Arial"/>
          <w:sz w:val="11"/>
          <w:szCs w:val="11"/>
          <w:color w:val="auto"/>
        </w:rPr>
        <w:t>The Excess Cash Plan was frozen as of December 31, 2019 for new participants (including rehires), and for benefit accruals for participants with fewer than 11 years of benefit service.</w:t>
      </w:r>
    </w:p>
    <w:p>
      <w:pPr>
        <w:spacing w:after="0" w:line="96" w:lineRule="exact"/>
        <w:rPr>
          <w:sz w:val="20"/>
          <w:szCs w:val="20"/>
          <w:color w:val="auto"/>
        </w:rPr>
      </w:pPr>
    </w:p>
    <w:p>
      <w:pPr>
        <w:ind w:left="1980" w:right="2200"/>
        <w:spacing w:after="0" w:line="246" w:lineRule="auto"/>
        <w:rPr>
          <w:sz w:val="20"/>
          <w:szCs w:val="20"/>
          <w:color w:val="auto"/>
        </w:rPr>
      </w:pPr>
      <w:r>
        <w:rPr>
          <w:rFonts w:ascii="Arial" w:cs="Arial" w:eastAsia="Arial" w:hAnsi="Arial"/>
          <w:sz w:val="11"/>
          <w:szCs w:val="11"/>
          <w:color w:val="auto"/>
        </w:rPr>
        <w:t>Participants with 11 or more years of benefit service as of December 31, 2019 will continue to earn credits annually for a three-year transition period ending December 31, 2022 under the cash balance formula based upon a percentage of the participant’s W-2 Compensation, as defined in the Retirement Plan. After this three-year transition period, compensation credits will no longer accrue. This percentage is determined based on the participant’s years of service with the Company as of the beginning of each calendar year. The table above shows the percentages used to determine credits for each of the years of service in the Excess Cash Plan.</w:t>
      </w:r>
    </w:p>
    <w:p>
      <w:pPr>
        <w:spacing w:after="0" w:line="9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EARLY RETIREMENT ELIGIBILITY</w:t>
      </w:r>
    </w:p>
    <w:p>
      <w:pPr>
        <w:spacing w:after="0" w:line="136" w:lineRule="exact"/>
        <w:rPr>
          <w:sz w:val="20"/>
          <w:szCs w:val="20"/>
          <w:color w:val="auto"/>
        </w:rPr>
      </w:pPr>
    </w:p>
    <w:p>
      <w:pPr>
        <w:ind w:left="1980" w:right="2040"/>
        <w:spacing w:after="0" w:line="248" w:lineRule="auto"/>
        <w:rPr>
          <w:sz w:val="20"/>
          <w:szCs w:val="20"/>
          <w:color w:val="auto"/>
        </w:rPr>
      </w:pPr>
      <w:r>
        <w:rPr>
          <w:rFonts w:ascii="Arial" w:cs="Arial" w:eastAsia="Arial" w:hAnsi="Arial"/>
          <w:sz w:val="11"/>
          <w:szCs w:val="11"/>
          <w:color w:val="auto"/>
        </w:rPr>
        <w:t>The Retirement Plan provides for a reduced benefit payment to a participant who retires after reaching early retirement age but prior to normal retirement age. Early retirement age is defined under the Retirement Plan and the Excess Cash Plan as age 55 with at least 5 years of vesting service. Mr. Johnson is the only NEO currently eligible for early retirement under these plans. Ms. Peters was eligible for early retirement under these plans and elected early retirement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73660</wp:posOffset>
            </wp:positionV>
            <wp:extent cx="365760" cy="2228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89</w:t>
            </w:r>
          </w:p>
        </w:tc>
      </w:tr>
      <w:tr>
        <w:trPr>
          <w:trHeight w:val="354"/>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9" w:right="299" w:bottom="1440" w:gutter="0" w:footer="0" w:header="0"/>
        </w:sectPr>
      </w:pPr>
    </w:p>
    <w:bookmarkStart w:id="90" w:name="page91"/>
    <w:bookmarkEnd w:id="90"/>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D60011"/>
        </w:rPr>
        <w:t>SUPPLEMENTAL EXECUTIVE RETIREMENT PLAN</w:t>
      </w:r>
    </w:p>
    <w:p>
      <w:pPr>
        <w:spacing w:after="0" w:line="136" w:lineRule="exact"/>
        <w:rPr>
          <w:sz w:val="20"/>
          <w:szCs w:val="20"/>
          <w:color w:val="auto"/>
        </w:rPr>
      </w:pPr>
    </w:p>
    <w:p>
      <w:pPr>
        <w:ind w:left="840" w:right="859"/>
        <w:spacing w:after="0" w:line="248" w:lineRule="auto"/>
        <w:rPr>
          <w:sz w:val="20"/>
          <w:szCs w:val="20"/>
          <w:color w:val="auto"/>
        </w:rPr>
      </w:pPr>
      <w:r>
        <w:rPr>
          <w:rFonts w:ascii="Arial" w:cs="Arial" w:eastAsia="Arial" w:hAnsi="Arial"/>
          <w:sz w:val="11"/>
          <w:szCs w:val="11"/>
          <w:color w:val="auto"/>
        </w:rPr>
        <w:t>The Company maintains a SERP for certain senior officers of the Company and other key employees who met the eligibility requirements prior to the plan being frozen for new participants (including rehires) after December 31, 2018. The SERP is an unfunded and non-qualified benefit plan that provides for payment by the Company of supplemental retirement, death, and disability benefits. Messrs. Johnson and Martin, as well as five other current executives, participate in the SERP.</w:t>
      </w:r>
    </w:p>
    <w:p>
      <w:pPr>
        <w:spacing w:after="0" w:line="107" w:lineRule="exact"/>
        <w:rPr>
          <w:sz w:val="20"/>
          <w:szCs w:val="20"/>
          <w:color w:val="auto"/>
        </w:rPr>
      </w:pPr>
    </w:p>
    <w:p>
      <w:pPr>
        <w:ind w:left="840" w:right="919"/>
        <w:spacing w:after="0" w:line="243" w:lineRule="auto"/>
        <w:rPr>
          <w:sz w:val="20"/>
          <w:szCs w:val="20"/>
          <w:color w:val="auto"/>
        </w:rPr>
      </w:pPr>
      <w:r>
        <w:rPr>
          <w:rFonts w:ascii="Arial" w:cs="Arial" w:eastAsia="Arial" w:hAnsi="Arial"/>
          <w:sz w:val="11"/>
          <w:szCs w:val="11"/>
          <w:color w:val="auto"/>
        </w:rPr>
        <w:t>If a participant’s employment terminates due to death or disability, the participant (or the participant’s estate) would be entitled to payment of the participant’s SERP balance. A participant’s SERP benefit is paid in 12 quarterly installments following retirement, with the first two quarters payable no earlier than six months following retirement. Upon death or disability, a participant’s SERP benefit is paid in a lump sum. For participants in the plan prior to February 2, 2014, the SERP provides for the continuation of medical and dental insurance benefits if an executive meets the applicable age and service requirements when the participant’s employment terminates. The benefits would be substantially the same as those benefits to which senior executives are entitled under the Company’s medical and dental plans for active team members. The terminated executive would be required to pay the insurance premium applicable to actively-employed senior executives, including any increases in the premiums, and the Company would pay the difference between the actual premium rate and the active team member rate.</w:t>
      </w:r>
    </w:p>
    <w:p>
      <w:pPr>
        <w:spacing w:after="0" w:line="109" w:lineRule="exact"/>
        <w:rPr>
          <w:sz w:val="20"/>
          <w:szCs w:val="20"/>
          <w:color w:val="auto"/>
        </w:rPr>
      </w:pPr>
    </w:p>
    <w:p>
      <w:pPr>
        <w:ind w:left="840" w:right="919"/>
        <w:spacing w:after="0" w:line="244" w:lineRule="auto"/>
        <w:rPr>
          <w:sz w:val="20"/>
          <w:szCs w:val="20"/>
          <w:color w:val="auto"/>
        </w:rPr>
      </w:pPr>
      <w:r>
        <w:rPr>
          <w:rFonts w:ascii="Arial" w:cs="Arial" w:eastAsia="Arial" w:hAnsi="Arial"/>
          <w:sz w:val="11"/>
          <w:szCs w:val="11"/>
          <w:color w:val="auto"/>
        </w:rPr>
        <w:t>Participants in the SERP prior to May 26, 2011, including Mr. Johnson, are eligible to receive a benefit only if their age plus years of service at retirement equals at least 65. For persons who became participants in the SERP on or after this date, including Mr. Martin, they are eligible to receive a benefit only if they are at least age 55 at retirement with 10 years of service. The SERP was frozen for new participants (including rehires) after December 31, 2018, and for new benefit awards for plan years after December 31, 2022 (however, interest credit for participants continues to accrue). Under the terms of the SERP, executives are vested in their account balances based upon a combination of age and service. As of the end of 2021, of the NEOs, only Mr. Johnson was vested under the SERP. Ms. Peters was vested at the time of the termination of her employment.</w:t>
      </w:r>
    </w:p>
    <w:p>
      <w:pPr>
        <w:spacing w:after="0" w:line="110" w:lineRule="exact"/>
        <w:rPr>
          <w:sz w:val="20"/>
          <w:szCs w:val="20"/>
          <w:color w:val="auto"/>
        </w:rPr>
      </w:pPr>
    </w:p>
    <w:p>
      <w:pPr>
        <w:ind w:left="840" w:right="859"/>
        <w:spacing w:after="0" w:line="243" w:lineRule="auto"/>
        <w:rPr>
          <w:sz w:val="20"/>
          <w:szCs w:val="20"/>
          <w:color w:val="auto"/>
        </w:rPr>
      </w:pPr>
      <w:r>
        <w:rPr>
          <w:rFonts w:ascii="Arial" w:cs="Arial" w:eastAsia="Arial" w:hAnsi="Arial"/>
          <w:sz w:val="11"/>
          <w:szCs w:val="11"/>
          <w:color w:val="auto"/>
        </w:rPr>
        <w:t>The Human Capital Committee sets an annual targeted incentive award under the SERP for each participant consisting of a percentage of salary and Annual Incentive Plan awards (if paid) based on the Company’s performance against the target; therefore, LTI Awards have no effect on the calculation of benefits or payments under this plan. Achievement of the target causes a credit equal to 8% of covered compensation to a participant’s account for that year. The applicable percentage for the year increases or decreases proportionately to the percentage of the Company’s performance in relation to the target, but may not be less than 4% or more than 12% in any year. Participants’ accounts accrue simple interest at the rate of 6% annually. Based upon the Company’s performance in 2021, a credit of 11.3% of each participant’s respective 2021 base salary was made to the SERP. As of the end of 2021, Mr. Johnson and Mr. Martin’s account balances were $4,214,478 and $436,414, respectively.</w:t>
      </w:r>
    </w:p>
    <w:p>
      <w:pPr>
        <w:spacing w:after="0" w:line="95"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401(k) PLAN</w:t>
      </w:r>
    </w:p>
    <w:p>
      <w:pPr>
        <w:spacing w:after="0" w:line="145" w:lineRule="exact"/>
        <w:rPr>
          <w:sz w:val="20"/>
          <w:szCs w:val="20"/>
          <w:color w:val="auto"/>
        </w:rPr>
      </w:pPr>
    </w:p>
    <w:p>
      <w:pPr>
        <w:ind w:left="840" w:right="879"/>
        <w:spacing w:after="0" w:line="242" w:lineRule="auto"/>
        <w:rPr>
          <w:sz w:val="20"/>
          <w:szCs w:val="20"/>
          <w:color w:val="auto"/>
        </w:rPr>
      </w:pPr>
      <w:r>
        <w:rPr>
          <w:rFonts w:ascii="Arial" w:cs="Arial" w:eastAsia="Arial" w:hAnsi="Arial"/>
          <w:sz w:val="11"/>
          <w:szCs w:val="11"/>
          <w:color w:val="auto"/>
        </w:rPr>
        <w:t xml:space="preserve">The Company has a 401(k) Plan that is available to team members whose primary place of employment is in the United States, as well as expatriate U.S. team members. Eligible team members may contribute to the 401(k) Plan following 28 days of employment and are eligible for Company matching contributions upon completion of one year of service consisting of at least 1,000 hours. Messrs. Johnson, Bracken, Martin, and Gray participate in the 401(k) Plan and the Excess Savings Plan. As of January 1, 2021, the 401(k) Plan allows eligible team members to contribute up to 40% of their compensation on a pre-tax basis, subject to a maximum of $19,500 (which was increased to $20,500 effective January 1, 2022). The Company matches 100% of employees’ pre-tax contributions on up to the first 1% of the employees’ compensation (subject to certain IRC limitations), and 50% of the next 5%, subject to a maximum match of 3.5% if the participant contributes at least 6% to the plan. The matching contribution is made in cash and vests over two years. See Note 7 to the </w:t>
      </w:r>
      <w:r>
        <w:rPr>
          <w:rFonts w:ascii="Arial" w:cs="Arial" w:eastAsia="Arial" w:hAnsi="Arial"/>
          <w:sz w:val="11"/>
          <w:szCs w:val="11"/>
          <w:b w:val="1"/>
          <w:bCs w:val="1"/>
          <w:color w:val="D60011"/>
        </w:rPr>
        <w:t>Summary Compensation Table</w:t>
      </w:r>
      <w:r>
        <w:rPr>
          <w:rFonts w:ascii="Arial" w:cs="Arial" w:eastAsia="Arial" w:hAnsi="Arial"/>
          <w:sz w:val="11"/>
          <w:szCs w:val="11"/>
          <w:color w:val="auto"/>
        </w:rPr>
        <w:t xml:space="preserve"> beginning on page 70 for the amount of the Company’s match under the 401(k) and Excess Savings Plans to the NEOs’ accounts.</w:t>
      </w:r>
    </w:p>
    <w:p>
      <w:pPr>
        <w:spacing w:after="0" w:line="107" w:lineRule="exact"/>
        <w:rPr>
          <w:sz w:val="20"/>
          <w:szCs w:val="20"/>
          <w:color w:val="auto"/>
        </w:rPr>
      </w:pPr>
    </w:p>
    <w:p>
      <w:pPr>
        <w:ind w:left="1540" w:hanging="408"/>
        <w:spacing w:after="0"/>
        <w:tabs>
          <w:tab w:leader="none" w:pos="1540" w:val="left"/>
        </w:tabs>
        <w:numPr>
          <w:ilvl w:val="0"/>
          <w:numId w:val="136"/>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254000</wp:posOffset>
            </wp:positionV>
            <wp:extent cx="717804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91" w:name="page92"/>
    <w:bookmarkEnd w:id="91"/>
    <w:p>
      <w:pPr>
        <w:ind w:left="7960"/>
        <w:spacing w:after="0"/>
        <w:rPr>
          <w:sz w:val="20"/>
          <w:szCs w:val="20"/>
          <w:color w:val="auto"/>
        </w:rPr>
      </w:pPr>
      <w:r>
        <w:rPr>
          <w:rFonts w:ascii="Arial" w:cs="Arial" w:eastAsia="Arial" w:hAnsi="Arial"/>
          <w:sz w:val="10"/>
          <w:szCs w:val="10"/>
          <w:b w:val="1"/>
          <w:bCs w:val="1"/>
          <w:color w:val="D60011"/>
        </w:rPr>
        <w:t>EXECUTIVE COMPENSATION</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NONQUALIFIED DEFERRED COMPENSATION IN FISCAL 2021</w:t>
      </w:r>
    </w:p>
    <w:p>
      <w:pPr>
        <w:spacing w:after="0" w:line="145" w:lineRule="exact"/>
        <w:rPr>
          <w:sz w:val="20"/>
          <w:szCs w:val="20"/>
          <w:color w:val="auto"/>
        </w:rPr>
      </w:pPr>
    </w:p>
    <w:p>
      <w:pPr>
        <w:ind w:left="1980" w:right="2000"/>
        <w:spacing w:after="0" w:line="268" w:lineRule="auto"/>
        <w:rPr>
          <w:sz w:val="20"/>
          <w:szCs w:val="20"/>
          <w:color w:val="auto"/>
        </w:rPr>
      </w:pPr>
      <w:r>
        <w:rPr>
          <w:rFonts w:ascii="Arial" w:cs="Arial" w:eastAsia="Arial" w:hAnsi="Arial"/>
          <w:sz w:val="11"/>
          <w:szCs w:val="11"/>
          <w:color w:val="auto"/>
        </w:rPr>
        <w:t>The table below provides the amount of contributions and earnings during the last fiscal year to each of the NEOs under the Excess Savings Plan, as well as aggregate withdrawals and distributions and aggregate year-end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66040</wp:posOffset>
            </wp:positionV>
            <wp:extent cx="466344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04" w:lineRule="exact"/>
        <w:rPr>
          <w:sz w:val="20"/>
          <w:szCs w:val="20"/>
          <w:color w:val="auto"/>
        </w:rPr>
      </w:pPr>
    </w:p>
    <w:tbl>
      <w:tblPr>
        <w:tblLayout w:type="fixed"/>
        <w:tblInd w:w="1980" w:type="dxa"/>
        <w:tblCellMar>
          <w:top w:w="0" w:type="dxa"/>
          <w:left w:w="0" w:type="dxa"/>
          <w:bottom w:w="0" w:type="dxa"/>
          <w:right w:w="0" w:type="dxa"/>
        </w:tblCellMar>
      </w:tblPr>
      <w:tr>
        <w:trPr>
          <w:trHeight w:val="132"/>
        </w:trPr>
        <w:tc>
          <w:tcPr>
            <w:tcW w:w="134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(a)</w:t>
            </w:r>
          </w:p>
        </w:tc>
        <w:tc>
          <w:tcPr>
            <w:tcW w:w="180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b w:val="1"/>
                <w:bCs w:val="1"/>
                <w:color w:val="auto"/>
              </w:rPr>
              <w:t>(b)</w:t>
            </w:r>
          </w:p>
        </w:tc>
        <w:tc>
          <w:tcPr>
            <w:tcW w:w="1140" w:type="dxa"/>
            <w:vAlign w:val="bottom"/>
            <w:tcBorders>
              <w:bottom w:val="single" w:sz="8" w:color="E31F25"/>
            </w:tcBorders>
          </w:tcPr>
          <w:p>
            <w:pPr>
              <w:jc w:val="right"/>
              <w:ind w:right="232"/>
              <w:spacing w:after="0"/>
              <w:rPr>
                <w:sz w:val="20"/>
                <w:szCs w:val="20"/>
                <w:color w:val="auto"/>
              </w:rPr>
            </w:pPr>
            <w:r>
              <w:rPr>
                <w:rFonts w:ascii="Arial" w:cs="Arial" w:eastAsia="Arial" w:hAnsi="Arial"/>
                <w:sz w:val="10"/>
                <w:szCs w:val="10"/>
                <w:b w:val="1"/>
                <w:bCs w:val="1"/>
                <w:color w:val="auto"/>
              </w:rPr>
              <w:t>(c)</w:t>
            </w:r>
          </w:p>
        </w:tc>
        <w:tc>
          <w:tcPr>
            <w:tcW w:w="1080" w:type="dxa"/>
            <w:vAlign w:val="bottom"/>
            <w:tcBorders>
              <w:bottom w:val="single" w:sz="8" w:color="E31F25"/>
            </w:tcBorders>
          </w:tcPr>
          <w:p>
            <w:pPr>
              <w:jc w:val="right"/>
              <w:ind w:right="212"/>
              <w:spacing w:after="0"/>
              <w:rPr>
                <w:sz w:val="20"/>
                <w:szCs w:val="20"/>
                <w:color w:val="auto"/>
              </w:rPr>
            </w:pPr>
            <w:r>
              <w:rPr>
                <w:rFonts w:ascii="Arial" w:cs="Arial" w:eastAsia="Arial" w:hAnsi="Arial"/>
                <w:sz w:val="10"/>
                <w:szCs w:val="10"/>
                <w:b w:val="1"/>
                <w:bCs w:val="1"/>
                <w:color w:val="auto"/>
              </w:rPr>
              <w:t>(d)</w:t>
            </w:r>
          </w:p>
        </w:tc>
        <w:tc>
          <w:tcPr>
            <w:tcW w:w="1140" w:type="dxa"/>
            <w:vAlign w:val="bottom"/>
            <w:tcBorders>
              <w:bottom w:val="single" w:sz="8" w:color="E31F25"/>
            </w:tcBorders>
          </w:tcPr>
          <w:p>
            <w:pPr>
              <w:jc w:val="right"/>
              <w:ind w:right="252"/>
              <w:spacing w:after="0"/>
              <w:rPr>
                <w:sz w:val="20"/>
                <w:szCs w:val="20"/>
                <w:color w:val="auto"/>
              </w:rPr>
            </w:pPr>
            <w:r>
              <w:rPr>
                <w:rFonts w:ascii="Arial" w:cs="Arial" w:eastAsia="Arial" w:hAnsi="Arial"/>
                <w:sz w:val="10"/>
                <w:szCs w:val="10"/>
                <w:b w:val="1"/>
                <w:bCs w:val="1"/>
                <w:color w:val="auto"/>
              </w:rPr>
              <w:t>(e)</w:t>
            </w:r>
          </w:p>
        </w:tc>
        <w:tc>
          <w:tcPr>
            <w:tcW w:w="84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(f)</w:t>
            </w:r>
          </w:p>
        </w:tc>
      </w:tr>
      <w:tr>
        <w:trPr>
          <w:trHeight w:val="116"/>
        </w:trPr>
        <w:tc>
          <w:tcPr>
            <w:tcW w:w="1340" w:type="dxa"/>
            <w:vAlign w:val="bottom"/>
          </w:tcPr>
          <w:p>
            <w:pPr>
              <w:spacing w:after="0"/>
              <w:rPr>
                <w:sz w:val="10"/>
                <w:szCs w:val="10"/>
                <w:color w:val="auto"/>
              </w:rPr>
            </w:pPr>
          </w:p>
        </w:tc>
        <w:tc>
          <w:tcPr>
            <w:tcW w:w="1800" w:type="dxa"/>
            <w:vAlign w:val="bottom"/>
          </w:tcPr>
          <w:p>
            <w:pPr>
              <w:jc w:val="right"/>
              <w:ind w:right="192"/>
              <w:spacing w:after="0"/>
              <w:rPr>
                <w:sz w:val="20"/>
                <w:szCs w:val="20"/>
                <w:color w:val="auto"/>
              </w:rPr>
            </w:pPr>
            <w:r>
              <w:rPr>
                <w:rFonts w:ascii="Arial" w:cs="Arial" w:eastAsia="Arial" w:hAnsi="Arial"/>
                <w:sz w:val="10"/>
                <w:szCs w:val="10"/>
                <w:b w:val="1"/>
                <w:bCs w:val="1"/>
                <w:color w:val="auto"/>
              </w:rPr>
              <w:t>Executive</w:t>
            </w:r>
          </w:p>
        </w:tc>
        <w:tc>
          <w:tcPr>
            <w:tcW w:w="1140" w:type="dxa"/>
            <w:vAlign w:val="bottom"/>
          </w:tcPr>
          <w:p>
            <w:pPr>
              <w:jc w:val="right"/>
              <w:ind w:right="232"/>
              <w:spacing w:after="0"/>
              <w:rPr>
                <w:sz w:val="20"/>
                <w:szCs w:val="20"/>
                <w:color w:val="auto"/>
              </w:rPr>
            </w:pPr>
            <w:r>
              <w:rPr>
                <w:rFonts w:ascii="Arial" w:cs="Arial" w:eastAsia="Arial" w:hAnsi="Arial"/>
                <w:sz w:val="10"/>
                <w:szCs w:val="10"/>
                <w:b w:val="1"/>
                <w:bCs w:val="1"/>
                <w:color w:val="auto"/>
              </w:rPr>
              <w:t>Registrant</w:t>
            </w:r>
          </w:p>
        </w:tc>
        <w:tc>
          <w:tcPr>
            <w:tcW w:w="1080" w:type="dxa"/>
            <w:vAlign w:val="bottom"/>
          </w:tcPr>
          <w:p>
            <w:pPr>
              <w:jc w:val="right"/>
              <w:ind w:right="212"/>
              <w:spacing w:after="0"/>
              <w:rPr>
                <w:sz w:val="20"/>
                <w:szCs w:val="20"/>
                <w:color w:val="auto"/>
              </w:rPr>
            </w:pPr>
            <w:r>
              <w:rPr>
                <w:rFonts w:ascii="Arial" w:cs="Arial" w:eastAsia="Arial" w:hAnsi="Arial"/>
                <w:sz w:val="10"/>
                <w:szCs w:val="10"/>
                <w:b w:val="1"/>
                <w:bCs w:val="1"/>
                <w:color w:val="auto"/>
              </w:rPr>
              <w:t>Aggregate</w:t>
            </w:r>
          </w:p>
        </w:tc>
        <w:tc>
          <w:tcPr>
            <w:tcW w:w="11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Aggregate</w:t>
            </w:r>
          </w:p>
        </w:tc>
      </w:tr>
      <w:tr>
        <w:trPr>
          <w:trHeight w:val="108"/>
        </w:trPr>
        <w:tc>
          <w:tcPr>
            <w:tcW w:w="1340" w:type="dxa"/>
            <w:vAlign w:val="bottom"/>
          </w:tcPr>
          <w:p>
            <w:pPr>
              <w:spacing w:after="0"/>
              <w:rPr>
                <w:sz w:val="9"/>
                <w:szCs w:val="9"/>
                <w:color w:val="auto"/>
              </w:rPr>
            </w:pPr>
          </w:p>
        </w:tc>
        <w:tc>
          <w:tcPr>
            <w:tcW w:w="180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Contributions</w:t>
            </w:r>
          </w:p>
        </w:tc>
        <w:tc>
          <w:tcPr>
            <w:tcW w:w="1140" w:type="dxa"/>
            <w:vAlign w:val="bottom"/>
          </w:tcPr>
          <w:p>
            <w:pPr>
              <w:jc w:val="right"/>
              <w:ind w:right="232"/>
              <w:spacing w:after="0" w:line="108" w:lineRule="exact"/>
              <w:rPr>
                <w:sz w:val="20"/>
                <w:szCs w:val="20"/>
                <w:color w:val="auto"/>
              </w:rPr>
            </w:pPr>
            <w:r>
              <w:rPr>
                <w:rFonts w:ascii="Arial" w:cs="Arial" w:eastAsia="Arial" w:hAnsi="Arial"/>
                <w:sz w:val="10"/>
                <w:szCs w:val="10"/>
                <w:b w:val="1"/>
                <w:bCs w:val="1"/>
                <w:color w:val="auto"/>
              </w:rPr>
              <w:t>Contributions</w:t>
            </w:r>
          </w:p>
        </w:tc>
        <w:tc>
          <w:tcPr>
            <w:tcW w:w="1080" w:type="dxa"/>
            <w:vAlign w:val="bottom"/>
          </w:tcPr>
          <w:p>
            <w:pPr>
              <w:jc w:val="right"/>
              <w:ind w:right="212"/>
              <w:spacing w:after="0" w:line="108" w:lineRule="exact"/>
              <w:rPr>
                <w:sz w:val="20"/>
                <w:szCs w:val="20"/>
                <w:color w:val="auto"/>
              </w:rPr>
            </w:pPr>
            <w:r>
              <w:rPr>
                <w:rFonts w:ascii="Arial" w:cs="Arial" w:eastAsia="Arial" w:hAnsi="Arial"/>
                <w:sz w:val="10"/>
                <w:szCs w:val="10"/>
                <w:b w:val="1"/>
                <w:bCs w:val="1"/>
                <w:color w:val="auto"/>
              </w:rPr>
              <w:t>Earnings</w:t>
            </w:r>
          </w:p>
        </w:tc>
        <w:tc>
          <w:tcPr>
            <w:tcW w:w="114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Aggregate</w:t>
            </w:r>
          </w:p>
        </w:tc>
        <w:tc>
          <w:tcPr>
            <w:tcW w:w="8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Balance at</w:t>
            </w:r>
          </w:p>
        </w:tc>
      </w:tr>
      <w:tr>
        <w:trPr>
          <w:trHeight w:val="108"/>
        </w:trPr>
        <w:tc>
          <w:tcPr>
            <w:tcW w:w="1340" w:type="dxa"/>
            <w:vAlign w:val="bottom"/>
          </w:tcPr>
          <w:p>
            <w:pPr>
              <w:spacing w:after="0"/>
              <w:rPr>
                <w:sz w:val="9"/>
                <w:szCs w:val="9"/>
                <w:color w:val="auto"/>
              </w:rPr>
            </w:pPr>
          </w:p>
        </w:tc>
        <w:tc>
          <w:tcPr>
            <w:tcW w:w="180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During Last</w:t>
            </w:r>
          </w:p>
        </w:tc>
        <w:tc>
          <w:tcPr>
            <w:tcW w:w="1140" w:type="dxa"/>
            <w:vAlign w:val="bottom"/>
          </w:tcPr>
          <w:p>
            <w:pPr>
              <w:jc w:val="right"/>
              <w:ind w:right="232"/>
              <w:spacing w:after="0" w:line="108" w:lineRule="exact"/>
              <w:rPr>
                <w:sz w:val="20"/>
                <w:szCs w:val="20"/>
                <w:color w:val="auto"/>
              </w:rPr>
            </w:pPr>
            <w:r>
              <w:rPr>
                <w:rFonts w:ascii="Arial" w:cs="Arial" w:eastAsia="Arial" w:hAnsi="Arial"/>
                <w:sz w:val="10"/>
                <w:szCs w:val="10"/>
                <w:b w:val="1"/>
                <w:bCs w:val="1"/>
                <w:color w:val="auto"/>
              </w:rPr>
              <w:t>During Last</w:t>
            </w:r>
          </w:p>
        </w:tc>
        <w:tc>
          <w:tcPr>
            <w:tcW w:w="1080" w:type="dxa"/>
            <w:vAlign w:val="bottom"/>
          </w:tcPr>
          <w:p>
            <w:pPr>
              <w:jc w:val="right"/>
              <w:ind w:right="212"/>
              <w:spacing w:after="0" w:line="108" w:lineRule="exact"/>
              <w:rPr>
                <w:sz w:val="20"/>
                <w:szCs w:val="20"/>
                <w:color w:val="auto"/>
              </w:rPr>
            </w:pPr>
            <w:r>
              <w:rPr>
                <w:rFonts w:ascii="Arial" w:cs="Arial" w:eastAsia="Arial" w:hAnsi="Arial"/>
                <w:sz w:val="10"/>
                <w:szCs w:val="10"/>
                <w:b w:val="1"/>
                <w:bCs w:val="1"/>
                <w:color w:val="auto"/>
              </w:rPr>
              <w:t>During Last</w:t>
            </w:r>
          </w:p>
        </w:tc>
        <w:tc>
          <w:tcPr>
            <w:tcW w:w="114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Withdrawals/</w:t>
            </w:r>
          </w:p>
        </w:tc>
        <w:tc>
          <w:tcPr>
            <w:tcW w:w="8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Last Fiscal</w:t>
            </w:r>
          </w:p>
        </w:tc>
      </w:tr>
      <w:tr>
        <w:trPr>
          <w:trHeight w:val="108"/>
        </w:trPr>
        <w:tc>
          <w:tcPr>
            <w:tcW w:w="1340" w:type="dxa"/>
            <w:vAlign w:val="bottom"/>
          </w:tcPr>
          <w:p>
            <w:pPr>
              <w:spacing w:after="0"/>
              <w:rPr>
                <w:sz w:val="9"/>
                <w:szCs w:val="9"/>
                <w:color w:val="auto"/>
              </w:rPr>
            </w:pPr>
          </w:p>
        </w:tc>
        <w:tc>
          <w:tcPr>
            <w:tcW w:w="180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Fiscal Year</w:t>
            </w:r>
          </w:p>
        </w:tc>
        <w:tc>
          <w:tcPr>
            <w:tcW w:w="1140" w:type="dxa"/>
            <w:vAlign w:val="bottom"/>
          </w:tcPr>
          <w:p>
            <w:pPr>
              <w:jc w:val="right"/>
              <w:ind w:right="232"/>
              <w:spacing w:after="0" w:line="108" w:lineRule="exact"/>
              <w:rPr>
                <w:sz w:val="20"/>
                <w:szCs w:val="20"/>
                <w:color w:val="auto"/>
              </w:rPr>
            </w:pPr>
            <w:r>
              <w:rPr>
                <w:rFonts w:ascii="Arial" w:cs="Arial" w:eastAsia="Arial" w:hAnsi="Arial"/>
                <w:sz w:val="10"/>
                <w:szCs w:val="10"/>
                <w:b w:val="1"/>
                <w:bCs w:val="1"/>
                <w:color w:val="auto"/>
              </w:rPr>
              <w:t>Fiscal Year</w:t>
            </w:r>
          </w:p>
        </w:tc>
        <w:tc>
          <w:tcPr>
            <w:tcW w:w="1080" w:type="dxa"/>
            <w:vAlign w:val="bottom"/>
          </w:tcPr>
          <w:p>
            <w:pPr>
              <w:jc w:val="right"/>
              <w:ind w:right="212"/>
              <w:spacing w:after="0" w:line="108" w:lineRule="exact"/>
              <w:rPr>
                <w:sz w:val="20"/>
                <w:szCs w:val="20"/>
                <w:color w:val="auto"/>
              </w:rPr>
            </w:pPr>
            <w:r>
              <w:rPr>
                <w:rFonts w:ascii="Arial" w:cs="Arial" w:eastAsia="Arial" w:hAnsi="Arial"/>
                <w:sz w:val="10"/>
                <w:szCs w:val="10"/>
                <w:b w:val="1"/>
                <w:bCs w:val="1"/>
                <w:color w:val="auto"/>
              </w:rPr>
              <w:t>Fiscal Year</w:t>
            </w:r>
          </w:p>
        </w:tc>
        <w:tc>
          <w:tcPr>
            <w:tcW w:w="114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Distributions</w:t>
            </w:r>
          </w:p>
        </w:tc>
        <w:tc>
          <w:tcPr>
            <w:tcW w:w="84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Year End</w:t>
            </w:r>
          </w:p>
        </w:tc>
      </w:tr>
      <w:tr>
        <w:trPr>
          <w:trHeight w:val="144"/>
        </w:trPr>
        <w:tc>
          <w:tcPr>
            <w:tcW w:w="134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Name</w:t>
            </w:r>
          </w:p>
        </w:tc>
        <w:tc>
          <w:tcPr>
            <w:tcW w:w="180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E31F25"/>
            </w:tcBorders>
          </w:tcPr>
          <w:p>
            <w:pPr>
              <w:jc w:val="right"/>
              <w:ind w:right="23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(1)</w:t>
            </w:r>
          </w:p>
        </w:tc>
        <w:tc>
          <w:tcPr>
            <w:tcW w:w="1080" w:type="dxa"/>
            <w:vAlign w:val="bottom"/>
            <w:tcBorders>
              <w:bottom w:val="single" w:sz="8" w:color="E31F25"/>
            </w:tcBorders>
          </w:tcPr>
          <w:p>
            <w:pPr>
              <w:jc w:val="right"/>
              <w:ind w:right="21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(2)</w:t>
            </w:r>
          </w:p>
        </w:tc>
        <w:tc>
          <w:tcPr>
            <w:tcW w:w="1140" w:type="dxa"/>
            <w:vAlign w:val="bottom"/>
            <w:tcBorders>
              <w:bottom w:val="single" w:sz="8" w:color="E31F25"/>
            </w:tcBorders>
          </w:tcPr>
          <w:p>
            <w:pPr>
              <w:jc w:val="right"/>
              <w:ind w:right="25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E31F25"/>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32"/>
        </w:trPr>
        <w:tc>
          <w:tcPr>
            <w:tcW w:w="134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Bracken</w:t>
            </w:r>
          </w:p>
        </w:tc>
        <w:tc>
          <w:tcPr>
            <w:tcW w:w="1800" w:type="dxa"/>
            <w:vAlign w:val="bottom"/>
            <w:tcBorders>
              <w:bottom w:val="single" w:sz="8" w:color="BCBEC0"/>
            </w:tcBorders>
          </w:tcPr>
          <w:p>
            <w:pPr>
              <w:jc w:val="right"/>
              <w:ind w:right="1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BCBEC0"/>
            </w:tcBorders>
          </w:tcPr>
          <w:p>
            <w:pPr>
              <w:jc w:val="right"/>
              <w:ind w:right="232"/>
              <w:spacing w:after="0"/>
              <w:rPr>
                <w:sz w:val="20"/>
                <w:szCs w:val="20"/>
                <w:color w:val="auto"/>
              </w:rPr>
            </w:pPr>
            <w:r>
              <w:rPr>
                <w:rFonts w:ascii="Arial" w:cs="Arial" w:eastAsia="Arial" w:hAnsi="Arial"/>
                <w:sz w:val="10"/>
                <w:szCs w:val="10"/>
                <w:color w:val="auto"/>
              </w:rPr>
              <w:t>32,325</w:t>
            </w:r>
          </w:p>
        </w:tc>
        <w:tc>
          <w:tcPr>
            <w:tcW w:w="1080" w:type="dxa"/>
            <w:vAlign w:val="bottom"/>
            <w:tcBorders>
              <w:bottom w:val="single" w:sz="8" w:color="BCBEC0"/>
            </w:tcBorders>
          </w:tcPr>
          <w:p>
            <w:pPr>
              <w:jc w:val="right"/>
              <w:ind w:right="212"/>
              <w:spacing w:after="0"/>
              <w:rPr>
                <w:sz w:val="20"/>
                <w:szCs w:val="20"/>
                <w:color w:val="auto"/>
              </w:rPr>
            </w:pPr>
            <w:r>
              <w:rPr>
                <w:rFonts w:ascii="Arial" w:cs="Arial" w:eastAsia="Arial" w:hAnsi="Arial"/>
                <w:sz w:val="10"/>
                <w:szCs w:val="10"/>
                <w:color w:val="auto"/>
              </w:rPr>
              <w:t>257</w:t>
            </w:r>
          </w:p>
        </w:tc>
        <w:tc>
          <w:tcPr>
            <w:tcW w:w="1140" w:type="dxa"/>
            <w:vAlign w:val="bottom"/>
            <w:tcBorders>
              <w:bottom w:val="single" w:sz="8" w:color="BCBEC0"/>
            </w:tcBorders>
          </w:tcPr>
          <w:p>
            <w:pPr>
              <w:jc w:val="right"/>
              <w:ind w:right="2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44,466</w:t>
            </w:r>
          </w:p>
        </w:tc>
      </w:tr>
      <w:tr>
        <w:trPr>
          <w:trHeight w:val="133"/>
        </w:trPr>
        <w:tc>
          <w:tcPr>
            <w:tcW w:w="1340" w:type="dxa"/>
            <w:vAlign w:val="bottom"/>
            <w:tcBorders>
              <w:bottom w:val="single" w:sz="8" w:color="BCBEC0"/>
            </w:tcBorders>
          </w:tcPr>
          <w:p>
            <w:pPr>
              <w:ind w:left="20"/>
              <w:spacing w:after="0"/>
              <w:rPr>
                <w:sz w:val="20"/>
                <w:szCs w:val="20"/>
                <w:color w:val="auto"/>
              </w:rPr>
            </w:pPr>
            <w:r>
              <w:rPr>
                <w:rFonts w:ascii="Arial" w:cs="Arial" w:eastAsia="Arial" w:hAnsi="Arial"/>
                <w:sz w:val="10"/>
                <w:szCs w:val="10"/>
                <w:b w:val="1"/>
                <w:bCs w:val="1"/>
                <w:color w:val="D60011"/>
              </w:rPr>
              <w:t>Martin</w:t>
            </w:r>
          </w:p>
        </w:tc>
        <w:tc>
          <w:tcPr>
            <w:tcW w:w="1800" w:type="dxa"/>
            <w:vAlign w:val="bottom"/>
            <w:tcBorders>
              <w:bottom w:val="single" w:sz="8" w:color="BCBEC0"/>
            </w:tcBorders>
          </w:tcPr>
          <w:p>
            <w:pPr>
              <w:jc w:val="right"/>
              <w:ind w:right="1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BCBEC0"/>
            </w:tcBorders>
          </w:tcPr>
          <w:p>
            <w:pPr>
              <w:jc w:val="right"/>
              <w:ind w:right="232"/>
              <w:spacing w:after="0"/>
              <w:rPr>
                <w:sz w:val="20"/>
                <w:szCs w:val="20"/>
                <w:color w:val="auto"/>
              </w:rPr>
            </w:pPr>
            <w:r>
              <w:rPr>
                <w:rFonts w:ascii="Arial" w:cs="Arial" w:eastAsia="Arial" w:hAnsi="Arial"/>
                <w:sz w:val="10"/>
                <w:szCs w:val="10"/>
                <w:color w:val="auto"/>
              </w:rPr>
              <w:t>30,428</w:t>
            </w:r>
          </w:p>
        </w:tc>
        <w:tc>
          <w:tcPr>
            <w:tcW w:w="1080" w:type="dxa"/>
            <w:vAlign w:val="bottom"/>
            <w:tcBorders>
              <w:bottom w:val="single" w:sz="8" w:color="BCBEC0"/>
            </w:tcBorders>
          </w:tcPr>
          <w:p>
            <w:pPr>
              <w:jc w:val="right"/>
              <w:ind w:right="212"/>
              <w:spacing w:after="0"/>
              <w:rPr>
                <w:sz w:val="20"/>
                <w:szCs w:val="20"/>
                <w:color w:val="auto"/>
              </w:rPr>
            </w:pPr>
            <w:r>
              <w:rPr>
                <w:rFonts w:ascii="Arial" w:cs="Arial" w:eastAsia="Arial" w:hAnsi="Arial"/>
                <w:sz w:val="10"/>
                <w:szCs w:val="10"/>
                <w:color w:val="auto"/>
              </w:rPr>
              <w:t>319</w:t>
            </w:r>
          </w:p>
        </w:tc>
        <w:tc>
          <w:tcPr>
            <w:tcW w:w="1140" w:type="dxa"/>
            <w:vAlign w:val="bottom"/>
            <w:tcBorders>
              <w:bottom w:val="single" w:sz="8" w:color="BCBEC0"/>
            </w:tcBorders>
          </w:tcPr>
          <w:p>
            <w:pPr>
              <w:jc w:val="right"/>
              <w:ind w:right="2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0"/>
                <w:szCs w:val="10"/>
                <w:color w:val="auto"/>
              </w:rPr>
              <w:t>46,653</w:t>
            </w:r>
          </w:p>
        </w:tc>
      </w:tr>
      <w:tr>
        <w:trPr>
          <w:trHeight w:val="133"/>
        </w:trPr>
        <w:tc>
          <w:tcPr>
            <w:tcW w:w="134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D60011"/>
              </w:rPr>
              <w:t>Talwar</w:t>
            </w:r>
          </w:p>
        </w:tc>
        <w:tc>
          <w:tcPr>
            <w:tcW w:w="1800" w:type="dxa"/>
            <w:vAlign w:val="bottom"/>
            <w:tcBorders>
              <w:bottom w:val="single" w:sz="8" w:color="E31F25"/>
            </w:tcBorders>
          </w:tcPr>
          <w:p>
            <w:pPr>
              <w:jc w:val="right"/>
              <w:ind w:right="1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E31F25"/>
            </w:tcBorders>
          </w:tcPr>
          <w:p>
            <w:pPr>
              <w:jc w:val="right"/>
              <w:ind w:right="23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E31F25"/>
            </w:tcBorders>
          </w:tcPr>
          <w:p>
            <w:pPr>
              <w:jc w:val="right"/>
              <w:ind w:right="212"/>
              <w:spacing w:after="0"/>
              <w:rPr>
                <w:sz w:val="20"/>
                <w:szCs w:val="20"/>
                <w:color w:val="auto"/>
              </w:rPr>
            </w:pPr>
            <w:r>
              <w:rPr>
                <w:rFonts w:ascii="Arial" w:cs="Arial" w:eastAsia="Arial" w:hAnsi="Arial"/>
                <w:sz w:val="10"/>
                <w:szCs w:val="10"/>
                <w:color w:val="auto"/>
              </w:rPr>
              <w:t>185</w:t>
            </w:r>
          </w:p>
        </w:tc>
        <w:tc>
          <w:tcPr>
            <w:tcW w:w="1140" w:type="dxa"/>
            <w:vAlign w:val="bottom"/>
            <w:tcBorders>
              <w:bottom w:val="single" w:sz="8" w:color="E31F25"/>
            </w:tcBorders>
          </w:tcPr>
          <w:p>
            <w:pPr>
              <w:jc w:val="right"/>
              <w:ind w:right="2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E31F25"/>
            </w:tcBorders>
          </w:tcPr>
          <w:p>
            <w:pPr>
              <w:jc w:val="right"/>
              <w:spacing w:after="0"/>
              <w:rPr>
                <w:sz w:val="20"/>
                <w:szCs w:val="20"/>
                <w:color w:val="auto"/>
              </w:rPr>
            </w:pPr>
            <w:r>
              <w:rPr>
                <w:rFonts w:ascii="Arial" w:cs="Arial" w:eastAsia="Arial" w:hAnsi="Arial"/>
                <w:sz w:val="10"/>
                <w:szCs w:val="10"/>
                <w:color w:val="auto"/>
              </w:rPr>
              <w:t>11,458</w:t>
            </w:r>
          </w:p>
        </w:tc>
      </w:tr>
    </w:tbl>
    <w:p>
      <w:pPr>
        <w:spacing w:after="0" w:line="103" w:lineRule="exact"/>
        <w:rPr>
          <w:sz w:val="20"/>
          <w:szCs w:val="20"/>
          <w:color w:val="auto"/>
        </w:rPr>
      </w:pPr>
    </w:p>
    <w:p>
      <w:pPr>
        <w:ind w:left="2180" w:right="2000" w:hanging="208"/>
        <w:spacing w:after="0" w:line="186" w:lineRule="auto"/>
        <w:tabs>
          <w:tab w:leader="none" w:pos="2180" w:val="left"/>
        </w:tabs>
        <w:numPr>
          <w:ilvl w:val="0"/>
          <w:numId w:val="137"/>
        </w:numPr>
        <w:rPr>
          <w:rFonts w:ascii="Arial" w:cs="Arial" w:eastAsia="Arial" w:hAnsi="Arial"/>
          <w:sz w:val="16"/>
          <w:szCs w:val="16"/>
          <w:color w:val="auto"/>
          <w:vertAlign w:val="superscript"/>
        </w:rPr>
      </w:pPr>
      <w:r>
        <w:rPr>
          <w:rFonts w:ascii="Arial" w:cs="Arial" w:eastAsia="Arial" w:hAnsi="Arial"/>
          <w:sz w:val="10"/>
          <w:szCs w:val="10"/>
          <w:color w:val="auto"/>
        </w:rPr>
        <w:t>The amounts shown in column (c) are reported as compensation for the officers in fiscal year 2021 in the “All Other Compensation” column of the Summary Compensation Table.</w:t>
      </w:r>
    </w:p>
    <w:p>
      <w:pPr>
        <w:spacing w:after="0" w:line="1" w:lineRule="exact"/>
        <w:rPr>
          <w:rFonts w:ascii="Arial" w:cs="Arial" w:eastAsia="Arial" w:hAnsi="Arial"/>
          <w:sz w:val="16"/>
          <w:szCs w:val="16"/>
          <w:color w:val="auto"/>
          <w:vertAlign w:val="superscript"/>
        </w:rPr>
      </w:pPr>
    </w:p>
    <w:p>
      <w:pPr>
        <w:ind w:left="2180" w:hanging="208"/>
        <w:spacing w:after="0" w:line="211" w:lineRule="auto"/>
        <w:tabs>
          <w:tab w:leader="none" w:pos="2180" w:val="left"/>
        </w:tabs>
        <w:numPr>
          <w:ilvl w:val="0"/>
          <w:numId w:val="137"/>
        </w:numPr>
        <w:rPr>
          <w:rFonts w:ascii="Arial" w:cs="Arial" w:eastAsia="Arial" w:hAnsi="Arial"/>
          <w:sz w:val="16"/>
          <w:szCs w:val="16"/>
          <w:color w:val="auto"/>
          <w:vertAlign w:val="superscript"/>
        </w:rPr>
      </w:pPr>
      <w:r>
        <w:rPr>
          <w:rFonts w:ascii="Arial" w:cs="Arial" w:eastAsia="Arial" w:hAnsi="Arial"/>
          <w:sz w:val="10"/>
          <w:szCs w:val="10"/>
          <w:color w:val="auto"/>
        </w:rPr>
        <w:t>The amounts shown in column (d) are not reported in the Summary Compensation Table because the earnings are not preferential.</w:t>
      </w:r>
    </w:p>
    <w:p>
      <w:pPr>
        <w:spacing w:after="0" w:line="9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D60011"/>
        </w:rPr>
        <w:t>EXCESS SAVINGS PLAN</w:t>
      </w:r>
    </w:p>
    <w:p>
      <w:pPr>
        <w:spacing w:after="0" w:line="136" w:lineRule="exact"/>
        <w:rPr>
          <w:sz w:val="20"/>
          <w:szCs w:val="20"/>
          <w:color w:val="auto"/>
        </w:rPr>
      </w:pPr>
    </w:p>
    <w:p>
      <w:pPr>
        <w:ind w:left="1980" w:right="2120"/>
        <w:spacing w:after="0" w:line="242" w:lineRule="auto"/>
        <w:rPr>
          <w:sz w:val="20"/>
          <w:szCs w:val="20"/>
          <w:color w:val="auto"/>
        </w:rPr>
      </w:pPr>
      <w:r>
        <w:rPr>
          <w:rFonts w:ascii="Arial" w:cs="Arial" w:eastAsia="Arial" w:hAnsi="Arial"/>
          <w:sz w:val="11"/>
          <w:szCs w:val="11"/>
          <w:color w:val="auto"/>
        </w:rPr>
        <w:t xml:space="preserve">Participants in our 401(k) Plan for whom contributions are limited by Section 401(a)(17) of the IRC participate in the Excess Savings Plan, which is an unfunded, non-qualified benefit plan. See Note 7 to the </w:t>
      </w:r>
      <w:r>
        <w:rPr>
          <w:rFonts w:ascii="Arial" w:cs="Arial" w:eastAsia="Arial" w:hAnsi="Arial"/>
          <w:sz w:val="11"/>
          <w:szCs w:val="11"/>
          <w:b w:val="1"/>
          <w:bCs w:val="1"/>
          <w:color w:val="D60011"/>
        </w:rPr>
        <w:t>Summary Compensation Table</w:t>
      </w:r>
      <w:r>
        <w:rPr>
          <w:rFonts w:ascii="Arial" w:cs="Arial" w:eastAsia="Arial" w:hAnsi="Arial"/>
          <w:sz w:val="11"/>
          <w:szCs w:val="11"/>
          <w:color w:val="auto"/>
        </w:rPr>
        <w:t xml:space="preserve"> beginning on page 70 for the amount of the Company’s match under the 401(k) and Excess Savings Plans to the NEOs’ accounts. The Excess Savings Plan does not permit employees to elect to defer any compensation, but instead solely provides for the crediting of Company matching contributions. In fiscal year 2021, we made a matching contribution to each participant’s bookkeeping account under the Excess Savings Plan at the same rate of contribution as our 401(k) Plan. Company matching contributions vest to the same extent that the participant’s employer matching contributions vest under the 401(k) Plan. Each participant’s account is credited with simple interest per annum at a rate of 120% of the annually compounded long-term applicable federal rate as reported as of December of the prior year. Following a termination of employment, distributions of a participant’s vested account balance will be made in a lump sum on the first payroll date of the month that occurs thirty days after the termination date (or such later date as may be required by Section 409A of the IRC, or in the event of death, no later than December 31 of the year following the year in which the participant’s death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75565</wp:posOffset>
            </wp:positionV>
            <wp:extent cx="365760" cy="2228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40" w:type="dxa"/>
            <w:vAlign w:val="bottom"/>
          </w:tcPr>
          <w:p>
            <w:pPr>
              <w:jc w:val="right"/>
              <w:ind w:right="2246"/>
              <w:spacing w:after="0"/>
              <w:rPr>
                <w:sz w:val="20"/>
                <w:szCs w:val="20"/>
                <w:color w:val="auto"/>
              </w:rPr>
            </w:pPr>
            <w:r>
              <w:rPr>
                <w:rFonts w:ascii="Arial" w:cs="Arial" w:eastAsia="Arial" w:hAnsi="Arial"/>
                <w:sz w:val="11"/>
                <w:szCs w:val="11"/>
                <w:b w:val="1"/>
                <w:bCs w:val="1"/>
                <w:color w:val="FFFFFF"/>
              </w:rPr>
              <w:t>91</w:t>
            </w:r>
          </w:p>
        </w:tc>
      </w:tr>
      <w:tr>
        <w:trPr>
          <w:trHeight w:val="354"/>
        </w:trPr>
        <w:tc>
          <w:tcPr>
            <w:tcW w:w="8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65" w:right="299" w:bottom="1440" w:gutter="0" w:footer="0" w:header="0"/>
        </w:sectPr>
      </w:pPr>
    </w:p>
    <w:bookmarkStart w:id="92" w:name="page93"/>
    <w:bookmarkEnd w:id="92"/>
    <w:p>
      <w:pPr>
        <w:ind w:left="840"/>
        <w:spacing w:after="0"/>
        <w:rPr>
          <w:sz w:val="20"/>
          <w:szCs w:val="20"/>
          <w:color w:val="auto"/>
        </w:rPr>
      </w:pPr>
      <w:r>
        <w:rPr>
          <w:rFonts w:ascii="Arial" w:cs="Arial" w:eastAsia="Arial" w:hAnsi="Arial"/>
          <w:sz w:val="10"/>
          <w:szCs w:val="10"/>
          <w:b w:val="1"/>
          <w:bCs w:val="1"/>
          <w:color w:val="D60011"/>
        </w:rPr>
        <w:t>EXECUTIVE COMPENSATION</w:t>
      </w:r>
    </w:p>
    <w:p>
      <w:pPr>
        <w:spacing w:after="0" w:line="101" w:lineRule="exact"/>
        <w:rPr>
          <w:sz w:val="20"/>
          <w:szCs w:val="20"/>
          <w:color w:val="auto"/>
        </w:rPr>
      </w:pPr>
    </w:p>
    <w:p>
      <w:pPr>
        <w:ind w:left="840" w:right="1159"/>
        <w:spacing w:after="0" w:line="288" w:lineRule="auto"/>
        <w:rPr>
          <w:sz w:val="20"/>
          <w:szCs w:val="20"/>
          <w:color w:val="auto"/>
        </w:rPr>
      </w:pPr>
      <w:r>
        <w:rPr>
          <w:rFonts w:ascii="Arial" w:cs="Arial" w:eastAsia="Arial" w:hAnsi="Arial"/>
          <w:sz w:val="24"/>
          <w:szCs w:val="24"/>
          <w:b w:val="1"/>
          <w:bCs w:val="1"/>
          <w:color w:val="auto"/>
        </w:rPr>
        <w:t>POTENTIAL PAYMENTS UPON TERMINATION OR CHANGE IN CONTROL</w:t>
      </w:r>
    </w:p>
    <w:p>
      <w:pPr>
        <w:spacing w:after="0" w:line="38" w:lineRule="exact"/>
        <w:rPr>
          <w:sz w:val="20"/>
          <w:szCs w:val="20"/>
          <w:color w:val="auto"/>
        </w:rPr>
      </w:pPr>
    </w:p>
    <w:p>
      <w:pPr>
        <w:ind w:left="840" w:right="859"/>
        <w:spacing w:after="0" w:line="244" w:lineRule="auto"/>
        <w:rPr>
          <w:sz w:val="20"/>
          <w:szCs w:val="20"/>
          <w:color w:val="auto"/>
        </w:rPr>
      </w:pPr>
      <w:r>
        <w:rPr>
          <w:rFonts w:ascii="Arial" w:cs="Arial" w:eastAsia="Arial" w:hAnsi="Arial"/>
          <w:sz w:val="11"/>
          <w:szCs w:val="11"/>
          <w:color w:val="auto"/>
        </w:rPr>
        <w:t>The NEOs’ employment agreements and certain of the plans and programs that the NEOs participate in require the Company to pay compensation to the NEOs if their employment terminates under certain circumstances. Estimates of the compensation, benefits, and vesting of equity grants that may be payable to the NEOs upon termination of employment or change in control, including amounts already vested, are included in the tables below. Except for Mr. Talwar and Ms. Peters, the information in the tables assumes a termination date of January 29, 2022, using the closing stock price on January 28, 2022 of $44.43 per share. For Mr. Talwar, and Ms. Peters the information in the tables reflect his termination date of December 16, 2021, and her retirement date of May 1, 2021, respectively, and reports actual amounts.</w:t>
      </w:r>
    </w:p>
    <w:p>
      <w:pPr>
        <w:spacing w:after="0" w:line="123"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00" w:type="dxa"/>
            <w:vAlign w:val="bottom"/>
          </w:tcPr>
          <w:p>
            <w:pPr>
              <w:jc w:val="right"/>
              <w:ind w:right="152"/>
              <w:spacing w:after="0"/>
              <w:rPr>
                <w:sz w:val="20"/>
                <w:szCs w:val="20"/>
                <w:color w:val="auto"/>
              </w:rPr>
            </w:pPr>
            <w:r>
              <w:rPr>
                <w:rFonts w:ascii="Arial" w:cs="Arial" w:eastAsia="Arial" w:hAnsi="Arial"/>
                <w:sz w:val="10"/>
                <w:szCs w:val="10"/>
                <w:b w:val="1"/>
                <w:bCs w:val="1"/>
                <w:color w:val="auto"/>
              </w:rPr>
              <w:t>RSUs, PSUs,</w:t>
            </w:r>
          </w:p>
        </w:tc>
        <w:tc>
          <w:tcPr>
            <w:tcW w:w="560" w:type="dxa"/>
            <w:vAlign w:val="bottom"/>
          </w:tcPr>
          <w:p>
            <w:pPr>
              <w:spacing w:after="0"/>
              <w:rPr>
                <w:sz w:val="10"/>
                <w:szCs w:val="10"/>
                <w:color w:val="auto"/>
              </w:rPr>
            </w:pPr>
          </w:p>
        </w:tc>
        <w:tc>
          <w:tcPr>
            <w:tcW w:w="82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Excess Cash</w:t>
            </w: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Excess</w:t>
            </w: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Health</w:t>
            </w:r>
          </w:p>
        </w:tc>
        <w:tc>
          <w:tcPr>
            <w:tcW w:w="62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Life</w:t>
            </w: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00" w:type="dxa"/>
            <w:vAlign w:val="bottom"/>
          </w:tcPr>
          <w:p>
            <w:pPr>
              <w:jc w:val="right"/>
              <w:ind w:right="192"/>
              <w:spacing w:after="0" w:line="97" w:lineRule="exact"/>
              <w:rPr>
                <w:sz w:val="20"/>
                <w:szCs w:val="20"/>
                <w:color w:val="auto"/>
              </w:rPr>
            </w:pPr>
            <w:r>
              <w:rPr>
                <w:rFonts w:ascii="Arial" w:cs="Arial" w:eastAsia="Arial" w:hAnsi="Arial"/>
                <w:sz w:val="10"/>
                <w:szCs w:val="10"/>
                <w:b w:val="1"/>
                <w:bCs w:val="1"/>
                <w:color w:val="auto"/>
              </w:rPr>
              <w:t>and Stock</w:t>
            </w:r>
          </w:p>
        </w:tc>
        <w:tc>
          <w:tcPr>
            <w:tcW w:w="5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220" w:type="dxa"/>
            <w:vAlign w:val="bottom"/>
          </w:tcPr>
          <w:p>
            <w:pPr>
              <w:jc w:val="right"/>
              <w:ind w:right="252"/>
              <w:spacing w:after="0" w:line="108" w:lineRule="exact"/>
              <w:rPr>
                <w:sz w:val="20"/>
                <w:szCs w:val="20"/>
                <w:color w:val="auto"/>
              </w:rPr>
            </w:pPr>
            <w:r>
              <w:rPr>
                <w:rFonts w:ascii="Arial" w:cs="Arial" w:eastAsia="Arial" w:hAnsi="Arial"/>
                <w:sz w:val="10"/>
                <w:szCs w:val="10"/>
                <w:b w:val="1"/>
                <w:bCs w:val="1"/>
                <w:color w:val="auto"/>
              </w:rPr>
              <w:t>Severance</w:t>
            </w:r>
          </w:p>
        </w:tc>
        <w:tc>
          <w:tcPr>
            <w:tcW w:w="90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Options</w:t>
            </w:r>
          </w:p>
        </w:tc>
        <w:tc>
          <w:tcPr>
            <w:tcW w:w="560" w:type="dxa"/>
            <w:vAlign w:val="bottom"/>
          </w:tcPr>
          <w:p>
            <w:pPr>
              <w:jc w:val="right"/>
              <w:ind w:right="72"/>
              <w:spacing w:after="0" w:line="108" w:lineRule="exact"/>
              <w:rPr>
                <w:sz w:val="20"/>
                <w:szCs w:val="20"/>
                <w:color w:val="auto"/>
              </w:rPr>
            </w:pPr>
            <w:r>
              <w:rPr>
                <w:rFonts w:ascii="Arial" w:cs="Arial" w:eastAsia="Arial" w:hAnsi="Arial"/>
                <w:sz w:val="10"/>
                <w:szCs w:val="10"/>
                <w:b w:val="1"/>
                <w:bCs w:val="1"/>
                <w:color w:val="auto"/>
              </w:rPr>
              <w:t>SERP</w:t>
            </w:r>
          </w:p>
        </w:tc>
        <w:tc>
          <w:tcPr>
            <w:tcW w:w="82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Balance Plan</w:t>
            </w:r>
          </w:p>
        </w:tc>
        <w:tc>
          <w:tcPr>
            <w:tcW w:w="780" w:type="dxa"/>
            <w:vAlign w:val="bottom"/>
          </w:tcPr>
          <w:p>
            <w:pPr>
              <w:jc w:val="right"/>
              <w:ind w:right="72"/>
              <w:spacing w:after="0" w:line="108" w:lineRule="exact"/>
              <w:rPr>
                <w:sz w:val="20"/>
                <w:szCs w:val="20"/>
                <w:color w:val="auto"/>
              </w:rPr>
            </w:pPr>
            <w:r>
              <w:rPr>
                <w:rFonts w:ascii="Arial" w:cs="Arial" w:eastAsia="Arial" w:hAnsi="Arial"/>
                <w:sz w:val="10"/>
                <w:szCs w:val="10"/>
                <w:b w:val="1"/>
                <w:bCs w:val="1"/>
                <w:color w:val="auto"/>
              </w:rPr>
              <w:t>Saving Plan</w:t>
            </w:r>
          </w:p>
        </w:tc>
        <w:tc>
          <w:tcPr>
            <w:tcW w:w="600" w:type="dxa"/>
            <w:vAlign w:val="bottom"/>
          </w:tcPr>
          <w:p>
            <w:pPr>
              <w:jc w:val="right"/>
              <w:ind w:right="72"/>
              <w:spacing w:after="0" w:line="108" w:lineRule="exact"/>
              <w:rPr>
                <w:sz w:val="20"/>
                <w:szCs w:val="20"/>
                <w:color w:val="auto"/>
              </w:rPr>
            </w:pPr>
            <w:r>
              <w:rPr>
                <w:rFonts w:ascii="Arial" w:cs="Arial" w:eastAsia="Arial" w:hAnsi="Arial"/>
                <w:sz w:val="10"/>
                <w:szCs w:val="10"/>
                <w:b w:val="1"/>
                <w:bCs w:val="1"/>
                <w:color w:val="auto"/>
              </w:rPr>
              <w:t>Benefits</w:t>
            </w:r>
          </w:p>
        </w:tc>
        <w:tc>
          <w:tcPr>
            <w:tcW w:w="620" w:type="dxa"/>
            <w:vAlign w:val="bottom"/>
          </w:tcPr>
          <w:p>
            <w:pPr>
              <w:jc w:val="right"/>
              <w:ind w:right="12"/>
              <w:spacing w:after="0" w:line="108" w:lineRule="exact"/>
              <w:rPr>
                <w:sz w:val="20"/>
                <w:szCs w:val="20"/>
                <w:color w:val="auto"/>
              </w:rPr>
            </w:pPr>
            <w:r>
              <w:rPr>
                <w:rFonts w:ascii="Arial" w:cs="Arial" w:eastAsia="Arial" w:hAnsi="Arial"/>
                <w:sz w:val="10"/>
                <w:szCs w:val="10"/>
                <w:b w:val="1"/>
                <w:bCs w:val="1"/>
                <w:color w:val="auto"/>
              </w:rPr>
              <w:t>Insurance</w:t>
            </w:r>
          </w:p>
        </w:tc>
        <w:tc>
          <w:tcPr>
            <w:tcW w:w="0" w:type="dxa"/>
            <w:vAlign w:val="bottom"/>
          </w:tcPr>
          <w:p>
            <w:pPr>
              <w:spacing w:after="0"/>
              <w:rPr>
                <w:sz w:val="1"/>
                <w:szCs w:val="1"/>
                <w:color w:val="auto"/>
              </w:rPr>
            </w:pPr>
          </w:p>
        </w:tc>
      </w:tr>
      <w:tr>
        <w:trPr>
          <w:trHeight w:val="144"/>
        </w:trPr>
        <w:tc>
          <w:tcPr>
            <w:tcW w:w="1840" w:type="dxa"/>
            <w:vAlign w:val="bottom"/>
            <w:tcBorders>
              <w:bottom w:val="single" w:sz="8" w:color="D60011"/>
            </w:tcBorders>
          </w:tcPr>
          <w:p>
            <w:pPr>
              <w:ind w:left="60"/>
              <w:spacing w:after="0"/>
              <w:rPr>
                <w:sz w:val="20"/>
                <w:szCs w:val="20"/>
                <w:color w:val="auto"/>
              </w:rPr>
            </w:pPr>
            <w:r>
              <w:rPr>
                <w:rFonts w:ascii="Arial" w:cs="Arial" w:eastAsia="Arial" w:hAnsi="Arial"/>
                <w:sz w:val="10"/>
                <w:szCs w:val="10"/>
                <w:b w:val="1"/>
                <w:bCs w:val="1"/>
                <w:color w:val="auto"/>
              </w:rPr>
              <w:t>Termination Event</w:t>
            </w:r>
          </w:p>
        </w:tc>
        <w:tc>
          <w:tcPr>
            <w:tcW w:w="1220" w:type="dxa"/>
            <w:vAlign w:val="bottom"/>
            <w:tcBorders>
              <w:bottom w:val="single" w:sz="8" w:color="D60011"/>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D60011"/>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60011"/>
            </w:tcBorders>
          </w:tcPr>
          <w:p>
            <w:pPr>
              <w:jc w:val="right"/>
              <w:ind w:right="3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(1)</w:t>
            </w:r>
          </w:p>
        </w:tc>
        <w:tc>
          <w:tcPr>
            <w:tcW w:w="820" w:type="dxa"/>
            <w:vAlign w:val="bottom"/>
            <w:tcBorders>
              <w:bottom w:val="single" w:sz="8" w:color="D60011"/>
            </w:tcBorders>
          </w:tcPr>
          <w:p>
            <w:pPr>
              <w:jc w:val="right"/>
              <w:ind w:right="5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(2)</w:t>
            </w:r>
          </w:p>
        </w:tc>
        <w:tc>
          <w:tcPr>
            <w:tcW w:w="780" w:type="dxa"/>
            <w:vAlign w:val="bottom"/>
            <w:tcBorders>
              <w:bottom w:val="single" w:sz="8" w:color="D60011"/>
            </w:tcBorders>
          </w:tcPr>
          <w:p>
            <w:pPr>
              <w:jc w:val="right"/>
              <w:ind w:right="3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(3)</w:t>
            </w:r>
          </w:p>
        </w:tc>
        <w:tc>
          <w:tcPr>
            <w:tcW w:w="600" w:type="dxa"/>
            <w:vAlign w:val="bottom"/>
            <w:tcBorders>
              <w:bottom w:val="single" w:sz="8" w:color="D60011"/>
            </w:tcBorders>
          </w:tcPr>
          <w:p>
            <w:pPr>
              <w:jc w:val="right"/>
              <w:ind w:right="5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(4)</w:t>
            </w:r>
          </w:p>
        </w:tc>
        <w:tc>
          <w:tcPr>
            <w:tcW w:w="620" w:type="dxa"/>
            <w:vAlign w:val="bottom"/>
            <w:tcBorders>
              <w:bottom w:val="single" w:sz="8" w:color="D60011"/>
            </w:tcBorders>
          </w:tcPr>
          <w:p>
            <w:pPr>
              <w:jc w:val="right"/>
              <w:ind w:right="1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32"/>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1220" w:type="dxa"/>
            <w:vAlign w:val="bottom"/>
            <w:tcBorders>
              <w:bottom w:val="single" w:sz="8" w:color="CCCCCC"/>
            </w:tcBorders>
          </w:tcPr>
          <w:p>
            <w:pPr>
              <w:spacing w:after="0"/>
              <w:rPr>
                <w:sz w:val="11"/>
                <w:szCs w:val="11"/>
                <w:color w:val="auto"/>
              </w:rPr>
            </w:pPr>
          </w:p>
        </w:tc>
        <w:tc>
          <w:tcPr>
            <w:tcW w:w="900" w:type="dxa"/>
            <w:vAlign w:val="bottom"/>
            <w:tcBorders>
              <w:bottom w:val="single" w:sz="8" w:color="CCCCCC"/>
            </w:tcBorders>
          </w:tcPr>
          <w:p>
            <w:pPr>
              <w:spacing w:after="0"/>
              <w:rPr>
                <w:sz w:val="11"/>
                <w:szCs w:val="11"/>
                <w:color w:val="auto"/>
              </w:rPr>
            </w:pPr>
          </w:p>
        </w:tc>
        <w:tc>
          <w:tcPr>
            <w:tcW w:w="56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spacing w:after="0"/>
              <w:rPr>
                <w:sz w:val="11"/>
                <w:szCs w:val="11"/>
                <w:color w:val="auto"/>
              </w:rPr>
            </w:pPr>
          </w:p>
        </w:tc>
        <w:tc>
          <w:tcPr>
            <w:tcW w:w="78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6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Company w/o Cause</w:t>
            </w:r>
          </w:p>
        </w:tc>
        <w:tc>
          <w:tcPr>
            <w:tcW w:w="1220" w:type="dxa"/>
            <w:vAlign w:val="bottom"/>
            <w:tcBorders>
              <w:bottom w:val="single" w:sz="8" w:color="CCCCCC"/>
            </w:tcBorders>
          </w:tcPr>
          <w:p>
            <w:pPr>
              <w:jc w:val="right"/>
              <w:ind w:right="132"/>
              <w:spacing w:after="0" w:line="134" w:lineRule="exact"/>
              <w:rPr>
                <w:sz w:val="20"/>
                <w:szCs w:val="20"/>
                <w:color w:val="auto"/>
              </w:rPr>
            </w:pPr>
            <w:r>
              <w:rPr>
                <w:rFonts w:ascii="Arial" w:cs="Arial" w:eastAsia="Arial" w:hAnsi="Arial"/>
                <w:sz w:val="10"/>
                <w:szCs w:val="10"/>
                <w:color w:val="auto"/>
              </w:rPr>
              <w:t>6,476,900</w:t>
            </w:r>
            <w:r>
              <w:rPr>
                <w:rFonts w:ascii="Arial" w:cs="Arial" w:eastAsia="Arial" w:hAnsi="Arial"/>
                <w:sz w:val="15"/>
                <w:szCs w:val="15"/>
                <w:color w:val="auto"/>
                <w:vertAlign w:val="superscript"/>
              </w:rPr>
              <w:t>(6)</w:t>
            </w:r>
          </w:p>
        </w:tc>
        <w:tc>
          <w:tcPr>
            <w:tcW w:w="900" w:type="dxa"/>
            <w:vAlign w:val="bottom"/>
            <w:tcBorders>
              <w:bottom w:val="single" w:sz="8" w:color="CCCCCC"/>
            </w:tcBorders>
          </w:tcPr>
          <w:p>
            <w:pPr>
              <w:jc w:val="right"/>
              <w:ind w:right="52"/>
              <w:spacing w:after="0" w:line="134" w:lineRule="exact"/>
              <w:rPr>
                <w:sz w:val="20"/>
                <w:szCs w:val="20"/>
                <w:color w:val="auto"/>
              </w:rPr>
            </w:pPr>
            <w:r>
              <w:rPr>
                <w:rFonts w:ascii="Arial" w:cs="Arial" w:eastAsia="Arial" w:hAnsi="Arial"/>
                <w:sz w:val="10"/>
                <w:szCs w:val="10"/>
                <w:color w:val="auto"/>
              </w:rPr>
              <w:t>13,933,921</w:t>
            </w:r>
            <w:r>
              <w:rPr>
                <w:rFonts w:ascii="Arial" w:cs="Arial" w:eastAsia="Arial" w:hAnsi="Arial"/>
                <w:sz w:val="15"/>
                <w:szCs w:val="15"/>
                <w:color w:val="auto"/>
                <w:vertAlign w:val="superscript"/>
              </w:rPr>
              <w:t>(7)</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351,207</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649,715</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Executive For Good Reason</w:t>
            </w:r>
          </w:p>
        </w:tc>
        <w:tc>
          <w:tcPr>
            <w:tcW w:w="1220" w:type="dxa"/>
            <w:vAlign w:val="bottom"/>
            <w:tcBorders>
              <w:bottom w:val="single" w:sz="8" w:color="CCCCCC"/>
            </w:tcBorders>
          </w:tcPr>
          <w:p>
            <w:pPr>
              <w:jc w:val="right"/>
              <w:ind w:right="132"/>
              <w:spacing w:after="0" w:line="133" w:lineRule="exact"/>
              <w:rPr>
                <w:sz w:val="20"/>
                <w:szCs w:val="20"/>
                <w:color w:val="auto"/>
              </w:rPr>
            </w:pPr>
            <w:r>
              <w:rPr>
                <w:rFonts w:ascii="Arial" w:cs="Arial" w:eastAsia="Arial" w:hAnsi="Arial"/>
                <w:sz w:val="10"/>
                <w:szCs w:val="10"/>
                <w:color w:val="auto"/>
              </w:rPr>
              <w:t>6,476,900</w:t>
            </w:r>
            <w:r>
              <w:rPr>
                <w:rFonts w:ascii="Arial" w:cs="Arial" w:eastAsia="Arial" w:hAnsi="Arial"/>
                <w:sz w:val="15"/>
                <w:szCs w:val="15"/>
                <w:color w:val="auto"/>
                <w:vertAlign w:val="superscript"/>
              </w:rPr>
              <w:t>(6)</w:t>
            </w:r>
          </w:p>
        </w:tc>
        <w:tc>
          <w:tcPr>
            <w:tcW w:w="900" w:type="dxa"/>
            <w:vAlign w:val="bottom"/>
            <w:tcBorders>
              <w:bottom w:val="single" w:sz="8" w:color="CCCCCC"/>
            </w:tcBorders>
          </w:tcPr>
          <w:p>
            <w:pPr>
              <w:jc w:val="right"/>
              <w:ind w:right="52"/>
              <w:spacing w:after="0" w:line="133" w:lineRule="exact"/>
              <w:rPr>
                <w:sz w:val="20"/>
                <w:szCs w:val="20"/>
                <w:color w:val="auto"/>
              </w:rPr>
            </w:pPr>
            <w:r>
              <w:rPr>
                <w:rFonts w:ascii="Arial" w:cs="Arial" w:eastAsia="Arial" w:hAnsi="Arial"/>
                <w:sz w:val="10"/>
                <w:szCs w:val="10"/>
                <w:color w:val="auto"/>
              </w:rPr>
              <w:t>13,933,921</w:t>
            </w:r>
            <w:r>
              <w:rPr>
                <w:rFonts w:ascii="Arial" w:cs="Arial" w:eastAsia="Arial" w:hAnsi="Arial"/>
                <w:sz w:val="15"/>
                <w:szCs w:val="15"/>
                <w:color w:val="auto"/>
                <w:vertAlign w:val="superscript"/>
              </w:rPr>
              <w:t>(7)</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351,207</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649,715</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Resignation</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351,207</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649,715</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840" w:type="dxa"/>
            <w:vAlign w:val="bottom"/>
            <w:tcBorders>
              <w:bottom w:val="single" w:sz="8" w:color="CCCCCC"/>
            </w:tcBorders>
          </w:tcPr>
          <w:p>
            <w:pPr>
              <w:ind w:left="60"/>
              <w:spacing w:after="0" w:line="154" w:lineRule="exact"/>
              <w:rPr>
                <w:sz w:val="20"/>
                <w:szCs w:val="20"/>
                <w:color w:val="auto"/>
              </w:rPr>
            </w:pPr>
            <w:r>
              <w:rPr>
                <w:rFonts w:ascii="Arial" w:cs="Arial" w:eastAsia="Arial" w:hAnsi="Arial"/>
                <w:sz w:val="10"/>
                <w:szCs w:val="10"/>
                <w:color w:val="auto"/>
              </w:rPr>
              <w:t>Change in Control</w:t>
            </w:r>
            <w:r>
              <w:rPr>
                <w:rFonts w:ascii="Arial" w:cs="Arial" w:eastAsia="Arial" w:hAnsi="Arial"/>
                <w:sz w:val="15"/>
                <w:szCs w:val="15"/>
                <w:color w:val="auto"/>
                <w:vertAlign w:val="superscript"/>
              </w:rPr>
              <w:t>(8)</w:t>
            </w:r>
          </w:p>
        </w:tc>
        <w:tc>
          <w:tcPr>
            <w:tcW w:w="1220" w:type="dxa"/>
            <w:vAlign w:val="bottom"/>
            <w:tcBorders>
              <w:bottom w:val="single" w:sz="8" w:color="CCCCCC"/>
            </w:tcBorders>
          </w:tcPr>
          <w:p>
            <w:pPr>
              <w:jc w:val="right"/>
              <w:ind w:right="132"/>
              <w:spacing w:after="0" w:line="154" w:lineRule="exact"/>
              <w:rPr>
                <w:sz w:val="20"/>
                <w:szCs w:val="20"/>
                <w:color w:val="auto"/>
              </w:rPr>
            </w:pPr>
            <w:r>
              <w:rPr>
                <w:rFonts w:ascii="Arial" w:cs="Arial" w:eastAsia="Arial" w:hAnsi="Arial"/>
                <w:sz w:val="10"/>
                <w:szCs w:val="10"/>
                <w:color w:val="auto"/>
              </w:rPr>
              <w:t>6,907,000</w:t>
            </w:r>
            <w:r>
              <w:rPr>
                <w:rFonts w:ascii="Arial" w:cs="Arial" w:eastAsia="Arial" w:hAnsi="Arial"/>
                <w:sz w:val="15"/>
                <w:szCs w:val="15"/>
                <w:color w:val="auto"/>
                <w:vertAlign w:val="superscript"/>
              </w:rPr>
              <w:t>(9)</w:t>
            </w:r>
          </w:p>
        </w:tc>
        <w:tc>
          <w:tcPr>
            <w:tcW w:w="900" w:type="dxa"/>
            <w:vAlign w:val="bottom"/>
            <w:tcBorders>
              <w:bottom w:val="single" w:sz="8" w:color="CCCCCC"/>
            </w:tcBorders>
          </w:tcPr>
          <w:p>
            <w:pPr>
              <w:jc w:val="right"/>
              <w:ind w:right="12"/>
              <w:spacing w:after="0" w:line="154" w:lineRule="exact"/>
              <w:rPr>
                <w:sz w:val="20"/>
                <w:szCs w:val="20"/>
                <w:color w:val="auto"/>
              </w:rPr>
            </w:pPr>
            <w:r>
              <w:rPr>
                <w:rFonts w:ascii="Arial" w:cs="Arial" w:eastAsia="Arial" w:hAnsi="Arial"/>
                <w:sz w:val="10"/>
                <w:szCs w:val="10"/>
                <w:color w:val="auto"/>
              </w:rPr>
              <w:t>18,641,191</w:t>
            </w:r>
            <w:r>
              <w:rPr>
                <w:rFonts w:ascii="Arial" w:cs="Arial" w:eastAsia="Arial" w:hAnsi="Arial"/>
                <w:sz w:val="15"/>
                <w:szCs w:val="15"/>
                <w:color w:val="auto"/>
                <w:vertAlign w:val="superscript"/>
              </w:rPr>
              <w:t>(10)</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351,207</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649,715</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Disability</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16,824,334</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4,214,478</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649,715</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Death</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16,824,334</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4,214,478</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1,150,000</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Retirement</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14,879,144</w:t>
            </w:r>
            <w:r>
              <w:rPr>
                <w:rFonts w:ascii="Arial" w:cs="Arial" w:eastAsia="Arial" w:hAnsi="Arial"/>
                <w:sz w:val="15"/>
                <w:szCs w:val="15"/>
                <w:color w:val="auto"/>
                <w:vertAlign w:val="superscript"/>
              </w:rPr>
              <w:t>(12)</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351,207</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649,715</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840" w:type="dxa"/>
            <w:vAlign w:val="bottom"/>
            <w:tcBorders>
              <w:bottom w:val="single" w:sz="8" w:color="D60011"/>
            </w:tcBorders>
          </w:tcPr>
          <w:p>
            <w:pPr>
              <w:ind w:left="60"/>
              <w:spacing w:after="0"/>
              <w:rPr>
                <w:sz w:val="20"/>
                <w:szCs w:val="20"/>
                <w:color w:val="auto"/>
              </w:rPr>
            </w:pPr>
            <w:r>
              <w:rPr>
                <w:rFonts w:ascii="Arial" w:cs="Arial" w:eastAsia="Arial" w:hAnsi="Arial"/>
                <w:sz w:val="10"/>
                <w:szCs w:val="10"/>
                <w:color w:val="auto"/>
              </w:rPr>
              <w:t>Cause</w:t>
            </w:r>
          </w:p>
        </w:tc>
        <w:tc>
          <w:tcPr>
            <w:tcW w:w="1220" w:type="dxa"/>
            <w:vAlign w:val="bottom"/>
            <w:tcBorders>
              <w:bottom w:val="single" w:sz="8" w:color="D60011"/>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60011"/>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1,375,698</w:t>
            </w:r>
          </w:p>
        </w:tc>
        <w:tc>
          <w:tcPr>
            <w:tcW w:w="78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1220" w:type="dxa"/>
            <w:vAlign w:val="bottom"/>
            <w:tcBorders>
              <w:bottom w:val="single" w:sz="8" w:color="CCCCCC"/>
            </w:tcBorders>
          </w:tcPr>
          <w:p>
            <w:pPr>
              <w:spacing w:after="0"/>
              <w:rPr>
                <w:sz w:val="11"/>
                <w:szCs w:val="11"/>
                <w:color w:val="auto"/>
              </w:rPr>
            </w:pPr>
          </w:p>
        </w:tc>
        <w:tc>
          <w:tcPr>
            <w:tcW w:w="900" w:type="dxa"/>
            <w:vAlign w:val="bottom"/>
            <w:tcBorders>
              <w:bottom w:val="single" w:sz="8" w:color="CCCCCC"/>
            </w:tcBorders>
          </w:tcPr>
          <w:p>
            <w:pPr>
              <w:spacing w:after="0"/>
              <w:rPr>
                <w:sz w:val="11"/>
                <w:szCs w:val="11"/>
                <w:color w:val="auto"/>
              </w:rPr>
            </w:pPr>
          </w:p>
        </w:tc>
        <w:tc>
          <w:tcPr>
            <w:tcW w:w="56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spacing w:after="0"/>
              <w:rPr>
                <w:sz w:val="11"/>
                <w:szCs w:val="11"/>
                <w:color w:val="auto"/>
              </w:rPr>
            </w:pPr>
          </w:p>
        </w:tc>
        <w:tc>
          <w:tcPr>
            <w:tcW w:w="78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6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Company w/o Cause</w:t>
            </w:r>
          </w:p>
        </w:tc>
        <w:tc>
          <w:tcPr>
            <w:tcW w:w="1220" w:type="dxa"/>
            <w:vAlign w:val="bottom"/>
            <w:tcBorders>
              <w:bottom w:val="single" w:sz="8" w:color="CCCCCC"/>
            </w:tcBorders>
          </w:tcPr>
          <w:p>
            <w:pPr>
              <w:jc w:val="right"/>
              <w:ind w:right="72"/>
              <w:spacing w:after="0" w:line="152" w:lineRule="exact"/>
              <w:rPr>
                <w:sz w:val="20"/>
                <w:szCs w:val="20"/>
                <w:color w:val="auto"/>
              </w:rPr>
            </w:pPr>
            <w:r>
              <w:rPr>
                <w:rFonts w:ascii="Arial" w:cs="Arial" w:eastAsia="Arial" w:hAnsi="Arial"/>
                <w:sz w:val="10"/>
                <w:szCs w:val="10"/>
                <w:color w:val="auto"/>
              </w:rPr>
              <w:t>922,500</w:t>
            </w:r>
            <w:r>
              <w:rPr>
                <w:rFonts w:ascii="Arial" w:cs="Arial" w:eastAsia="Arial" w:hAnsi="Arial"/>
                <w:sz w:val="15"/>
                <w:szCs w:val="15"/>
                <w:color w:val="auto"/>
                <w:vertAlign w:val="superscript"/>
              </w:rPr>
              <w:t>(13)</w:t>
            </w:r>
          </w:p>
        </w:tc>
        <w:tc>
          <w:tcPr>
            <w:tcW w:w="90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Executive for Good Reason</w:t>
            </w:r>
          </w:p>
        </w:tc>
        <w:tc>
          <w:tcPr>
            <w:tcW w:w="1220" w:type="dxa"/>
            <w:vAlign w:val="bottom"/>
            <w:tcBorders>
              <w:bottom w:val="single" w:sz="8" w:color="CCCCCC"/>
            </w:tcBorders>
          </w:tcPr>
          <w:p>
            <w:pPr>
              <w:jc w:val="right"/>
              <w:ind w:right="72"/>
              <w:spacing w:after="0" w:line="151" w:lineRule="exact"/>
              <w:rPr>
                <w:sz w:val="20"/>
                <w:szCs w:val="20"/>
                <w:color w:val="auto"/>
              </w:rPr>
            </w:pPr>
            <w:r>
              <w:rPr>
                <w:rFonts w:ascii="Arial" w:cs="Arial" w:eastAsia="Arial" w:hAnsi="Arial"/>
                <w:sz w:val="10"/>
                <w:szCs w:val="10"/>
                <w:color w:val="auto"/>
              </w:rPr>
              <w:t>922,500</w:t>
            </w:r>
            <w:r>
              <w:rPr>
                <w:rFonts w:ascii="Arial" w:cs="Arial" w:eastAsia="Arial" w:hAnsi="Arial"/>
                <w:sz w:val="15"/>
                <w:szCs w:val="15"/>
                <w:color w:val="auto"/>
                <w:vertAlign w:val="superscript"/>
              </w:rPr>
              <w:t>(13)</w:t>
            </w:r>
          </w:p>
        </w:tc>
        <w:tc>
          <w:tcPr>
            <w:tcW w:w="90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line="151" w:lineRule="exact"/>
              <w:rPr>
                <w:sz w:val="20"/>
                <w:szCs w:val="20"/>
                <w:color w:val="auto"/>
              </w:rPr>
            </w:pPr>
            <w:r>
              <w:rPr>
                <w:rFonts w:ascii="Arial" w:cs="Arial" w:eastAsia="Arial" w:hAnsi="Arial"/>
                <w:sz w:val="10"/>
                <w:szCs w:val="10"/>
                <w:color w:val="auto"/>
              </w:rPr>
              <w:t>Change in Control</w:t>
            </w:r>
            <w:r>
              <w:rPr>
                <w:rFonts w:ascii="Arial" w:cs="Arial" w:eastAsia="Arial" w:hAnsi="Arial"/>
                <w:sz w:val="15"/>
                <w:szCs w:val="15"/>
                <w:color w:val="auto"/>
                <w:vertAlign w:val="superscript"/>
              </w:rPr>
              <w:t>(8)</w:t>
            </w:r>
          </w:p>
        </w:tc>
        <w:tc>
          <w:tcPr>
            <w:tcW w:w="1220" w:type="dxa"/>
            <w:vAlign w:val="bottom"/>
            <w:tcBorders>
              <w:bottom w:val="single" w:sz="8" w:color="CCCCCC"/>
            </w:tcBorders>
          </w:tcPr>
          <w:p>
            <w:pPr>
              <w:jc w:val="right"/>
              <w:ind w:right="132"/>
              <w:spacing w:after="0" w:line="151" w:lineRule="exact"/>
              <w:rPr>
                <w:sz w:val="20"/>
                <w:szCs w:val="20"/>
                <w:color w:val="auto"/>
              </w:rPr>
            </w:pPr>
            <w:r>
              <w:rPr>
                <w:rFonts w:ascii="Arial" w:cs="Arial" w:eastAsia="Arial" w:hAnsi="Arial"/>
                <w:sz w:val="10"/>
                <w:szCs w:val="10"/>
                <w:color w:val="auto"/>
              </w:rPr>
              <w:t>2,152,500</w:t>
            </w:r>
            <w:r>
              <w:rPr>
                <w:rFonts w:ascii="Arial" w:cs="Arial" w:eastAsia="Arial" w:hAnsi="Arial"/>
                <w:sz w:val="15"/>
                <w:szCs w:val="15"/>
                <w:color w:val="auto"/>
                <w:vertAlign w:val="superscript"/>
              </w:rPr>
              <w:t>(9)</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1,215,894</w:t>
            </w:r>
            <w:r>
              <w:rPr>
                <w:rFonts w:ascii="Arial" w:cs="Arial" w:eastAsia="Arial" w:hAnsi="Arial"/>
                <w:sz w:val="15"/>
                <w:szCs w:val="15"/>
                <w:color w:val="auto"/>
                <w:vertAlign w:val="superscript"/>
              </w:rPr>
              <w:t>(10)</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Disability</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1,215,894</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Death</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1,215,894</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615,000</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D60011"/>
            </w:tcBorders>
          </w:tcPr>
          <w:p>
            <w:pPr>
              <w:ind w:left="60"/>
              <w:spacing w:after="0"/>
              <w:rPr>
                <w:sz w:val="20"/>
                <w:szCs w:val="20"/>
                <w:color w:val="auto"/>
              </w:rPr>
            </w:pPr>
            <w:r>
              <w:rPr>
                <w:rFonts w:ascii="Arial" w:cs="Arial" w:eastAsia="Arial" w:hAnsi="Arial"/>
                <w:sz w:val="10"/>
                <w:szCs w:val="10"/>
                <w:color w:val="auto"/>
              </w:rPr>
              <w:t>Retirement</w:t>
            </w:r>
          </w:p>
        </w:tc>
        <w:tc>
          <w:tcPr>
            <w:tcW w:w="1220" w:type="dxa"/>
            <w:vAlign w:val="bottom"/>
            <w:tcBorders>
              <w:bottom w:val="single" w:sz="8" w:color="D60011"/>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60011"/>
            </w:tcBorders>
          </w:tcPr>
          <w:p>
            <w:pPr>
              <w:jc w:val="right"/>
              <w:ind w:right="12"/>
              <w:spacing w:after="0" w:line="151" w:lineRule="exact"/>
              <w:rPr>
                <w:sz w:val="20"/>
                <w:szCs w:val="20"/>
                <w:color w:val="auto"/>
              </w:rPr>
            </w:pPr>
            <w:r>
              <w:rPr>
                <w:rFonts w:ascii="Arial" w:cs="Arial" w:eastAsia="Arial" w:hAnsi="Arial"/>
                <w:sz w:val="10"/>
                <w:szCs w:val="10"/>
                <w:color w:val="auto"/>
              </w:rPr>
              <w:t>703,882</w:t>
            </w:r>
            <w:r>
              <w:rPr>
                <w:rFonts w:ascii="Arial" w:cs="Arial" w:eastAsia="Arial" w:hAnsi="Arial"/>
                <w:sz w:val="15"/>
                <w:szCs w:val="15"/>
                <w:color w:val="auto"/>
                <w:vertAlign w:val="superscript"/>
              </w:rPr>
              <w:t>(12)</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1220" w:type="dxa"/>
            <w:vAlign w:val="bottom"/>
            <w:tcBorders>
              <w:bottom w:val="single" w:sz="8" w:color="CCCCCC"/>
            </w:tcBorders>
          </w:tcPr>
          <w:p>
            <w:pPr>
              <w:spacing w:after="0"/>
              <w:rPr>
                <w:sz w:val="11"/>
                <w:szCs w:val="11"/>
                <w:color w:val="auto"/>
              </w:rPr>
            </w:pPr>
          </w:p>
        </w:tc>
        <w:tc>
          <w:tcPr>
            <w:tcW w:w="900" w:type="dxa"/>
            <w:vAlign w:val="bottom"/>
            <w:tcBorders>
              <w:bottom w:val="single" w:sz="8" w:color="CCCCCC"/>
            </w:tcBorders>
          </w:tcPr>
          <w:p>
            <w:pPr>
              <w:spacing w:after="0"/>
              <w:rPr>
                <w:sz w:val="11"/>
                <w:szCs w:val="11"/>
                <w:color w:val="auto"/>
              </w:rPr>
            </w:pPr>
          </w:p>
        </w:tc>
        <w:tc>
          <w:tcPr>
            <w:tcW w:w="56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spacing w:after="0"/>
              <w:rPr>
                <w:sz w:val="11"/>
                <w:szCs w:val="11"/>
                <w:color w:val="auto"/>
              </w:rPr>
            </w:pPr>
          </w:p>
        </w:tc>
        <w:tc>
          <w:tcPr>
            <w:tcW w:w="78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6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Company w/o Cause</w:t>
            </w:r>
          </w:p>
        </w:tc>
        <w:tc>
          <w:tcPr>
            <w:tcW w:w="1220" w:type="dxa"/>
            <w:vAlign w:val="bottom"/>
            <w:tcBorders>
              <w:bottom w:val="single" w:sz="8" w:color="CCCCCC"/>
            </w:tcBorders>
          </w:tcPr>
          <w:p>
            <w:pPr>
              <w:jc w:val="right"/>
              <w:ind w:right="72"/>
              <w:spacing w:after="0" w:line="152" w:lineRule="exact"/>
              <w:rPr>
                <w:sz w:val="20"/>
                <w:szCs w:val="20"/>
                <w:color w:val="auto"/>
              </w:rPr>
            </w:pPr>
            <w:r>
              <w:rPr>
                <w:rFonts w:ascii="Arial" w:cs="Arial" w:eastAsia="Arial" w:hAnsi="Arial"/>
                <w:sz w:val="10"/>
                <w:szCs w:val="10"/>
                <w:color w:val="auto"/>
              </w:rPr>
              <w:t>1,200,000</w:t>
            </w:r>
            <w:r>
              <w:rPr>
                <w:rFonts w:ascii="Arial" w:cs="Arial" w:eastAsia="Arial" w:hAnsi="Arial"/>
                <w:sz w:val="15"/>
                <w:szCs w:val="15"/>
                <w:color w:val="auto"/>
                <w:vertAlign w:val="superscript"/>
              </w:rPr>
              <w:t>(13)</w:t>
            </w:r>
          </w:p>
        </w:tc>
        <w:tc>
          <w:tcPr>
            <w:tcW w:w="90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34,515</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44,466</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Executive for Good Reason</w:t>
            </w:r>
          </w:p>
        </w:tc>
        <w:tc>
          <w:tcPr>
            <w:tcW w:w="1220" w:type="dxa"/>
            <w:vAlign w:val="bottom"/>
            <w:tcBorders>
              <w:bottom w:val="single" w:sz="8" w:color="CCCCCC"/>
            </w:tcBorders>
          </w:tcPr>
          <w:p>
            <w:pPr>
              <w:jc w:val="right"/>
              <w:ind w:right="72"/>
              <w:spacing w:after="0" w:line="133" w:lineRule="exact"/>
              <w:rPr>
                <w:sz w:val="20"/>
                <w:szCs w:val="20"/>
                <w:color w:val="auto"/>
              </w:rPr>
            </w:pPr>
            <w:r>
              <w:rPr>
                <w:rFonts w:ascii="Arial" w:cs="Arial" w:eastAsia="Arial" w:hAnsi="Arial"/>
                <w:sz w:val="10"/>
                <w:szCs w:val="10"/>
                <w:color w:val="auto"/>
              </w:rPr>
              <w:t>1,200,000</w:t>
            </w:r>
            <w:r>
              <w:rPr>
                <w:rFonts w:ascii="Arial" w:cs="Arial" w:eastAsia="Arial" w:hAnsi="Arial"/>
                <w:sz w:val="15"/>
                <w:szCs w:val="15"/>
                <w:color w:val="auto"/>
                <w:vertAlign w:val="superscript"/>
              </w:rPr>
              <w:t>(13)</w:t>
            </w:r>
          </w:p>
        </w:tc>
        <w:tc>
          <w:tcPr>
            <w:tcW w:w="900" w:type="dxa"/>
            <w:vAlign w:val="bottom"/>
            <w:tcBorders>
              <w:bottom w:val="single" w:sz="8" w:color="CCCCCC"/>
            </w:tcBorders>
          </w:tcPr>
          <w:p>
            <w:pPr>
              <w:jc w:val="right"/>
              <w:ind w:right="12"/>
              <w:spacing w:after="0" w:line="133" w:lineRule="exact"/>
              <w:rPr>
                <w:sz w:val="20"/>
                <w:szCs w:val="20"/>
                <w:color w:val="auto"/>
              </w:rPr>
            </w:pPr>
            <w:r>
              <w:rPr>
                <w:rFonts w:ascii="Arial" w:cs="Arial" w:eastAsia="Arial" w:hAnsi="Arial"/>
                <w:sz w:val="10"/>
                <w:szCs w:val="10"/>
                <w:color w:val="auto"/>
              </w:rPr>
              <w:t>113,556</w:t>
            </w:r>
            <w:r>
              <w:rPr>
                <w:rFonts w:ascii="Arial" w:cs="Arial" w:eastAsia="Arial" w:hAnsi="Arial"/>
                <w:sz w:val="15"/>
                <w:szCs w:val="15"/>
                <w:color w:val="auto"/>
                <w:vertAlign w:val="superscript"/>
              </w:rPr>
              <w:t>(14)</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34,515</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44,466</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Resignation</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34,515</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44,466</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840" w:type="dxa"/>
            <w:vAlign w:val="bottom"/>
            <w:tcBorders>
              <w:bottom w:val="single" w:sz="8" w:color="CCCCCC"/>
            </w:tcBorders>
          </w:tcPr>
          <w:p>
            <w:pPr>
              <w:ind w:left="60"/>
              <w:spacing w:after="0" w:line="154" w:lineRule="exact"/>
              <w:rPr>
                <w:sz w:val="20"/>
                <w:szCs w:val="20"/>
                <w:color w:val="auto"/>
              </w:rPr>
            </w:pPr>
            <w:r>
              <w:rPr>
                <w:rFonts w:ascii="Arial" w:cs="Arial" w:eastAsia="Arial" w:hAnsi="Arial"/>
                <w:sz w:val="10"/>
                <w:szCs w:val="10"/>
                <w:color w:val="auto"/>
              </w:rPr>
              <w:t>Change in Control</w:t>
            </w:r>
            <w:r>
              <w:rPr>
                <w:rFonts w:ascii="Arial" w:cs="Arial" w:eastAsia="Arial" w:hAnsi="Arial"/>
                <w:sz w:val="15"/>
                <w:szCs w:val="15"/>
                <w:color w:val="auto"/>
                <w:vertAlign w:val="superscript"/>
              </w:rPr>
              <w:t>(8)</w:t>
            </w:r>
          </w:p>
        </w:tc>
        <w:tc>
          <w:tcPr>
            <w:tcW w:w="1220" w:type="dxa"/>
            <w:vAlign w:val="bottom"/>
            <w:tcBorders>
              <w:bottom w:val="single" w:sz="8" w:color="CCCCCC"/>
            </w:tcBorders>
          </w:tcPr>
          <w:p>
            <w:pPr>
              <w:jc w:val="right"/>
              <w:ind w:right="132"/>
              <w:spacing w:after="0" w:line="154" w:lineRule="exact"/>
              <w:rPr>
                <w:sz w:val="20"/>
                <w:szCs w:val="20"/>
                <w:color w:val="auto"/>
              </w:rPr>
            </w:pPr>
            <w:r>
              <w:rPr>
                <w:rFonts w:ascii="Arial" w:cs="Arial" w:eastAsia="Arial" w:hAnsi="Arial"/>
                <w:sz w:val="10"/>
                <w:szCs w:val="10"/>
                <w:color w:val="auto"/>
              </w:rPr>
              <w:t>3,200,000</w:t>
            </w:r>
            <w:r>
              <w:rPr>
                <w:rFonts w:ascii="Arial" w:cs="Arial" w:eastAsia="Arial" w:hAnsi="Arial"/>
                <w:sz w:val="15"/>
                <w:szCs w:val="15"/>
                <w:color w:val="auto"/>
                <w:vertAlign w:val="superscript"/>
              </w:rPr>
              <w:t>(9)</w:t>
            </w:r>
          </w:p>
        </w:tc>
        <w:tc>
          <w:tcPr>
            <w:tcW w:w="900" w:type="dxa"/>
            <w:vAlign w:val="bottom"/>
            <w:tcBorders>
              <w:bottom w:val="single" w:sz="8" w:color="CCCCCC"/>
            </w:tcBorders>
          </w:tcPr>
          <w:p>
            <w:pPr>
              <w:jc w:val="right"/>
              <w:ind w:right="12"/>
              <w:spacing w:after="0" w:line="154" w:lineRule="exact"/>
              <w:rPr>
                <w:sz w:val="20"/>
                <w:szCs w:val="20"/>
                <w:color w:val="auto"/>
              </w:rPr>
            </w:pPr>
            <w:r>
              <w:rPr>
                <w:rFonts w:ascii="Arial" w:cs="Arial" w:eastAsia="Arial" w:hAnsi="Arial"/>
                <w:sz w:val="10"/>
                <w:szCs w:val="10"/>
                <w:color w:val="auto"/>
              </w:rPr>
              <w:t>2,123,563</w:t>
            </w:r>
            <w:r>
              <w:rPr>
                <w:rFonts w:ascii="Arial" w:cs="Arial" w:eastAsia="Arial" w:hAnsi="Arial"/>
                <w:sz w:val="15"/>
                <w:szCs w:val="15"/>
                <w:color w:val="auto"/>
                <w:vertAlign w:val="superscript"/>
              </w:rPr>
              <w:t>(10)</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34,515</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44,466</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Disability</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2,010,007</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34,515</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44,466</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Death</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2,010,007</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34,515</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44,466</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800,000</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D60011"/>
            </w:tcBorders>
          </w:tcPr>
          <w:p>
            <w:pPr>
              <w:ind w:left="60"/>
              <w:spacing w:after="0"/>
              <w:rPr>
                <w:sz w:val="20"/>
                <w:szCs w:val="20"/>
                <w:color w:val="auto"/>
              </w:rPr>
            </w:pPr>
            <w:r>
              <w:rPr>
                <w:rFonts w:ascii="Arial" w:cs="Arial" w:eastAsia="Arial" w:hAnsi="Arial"/>
                <w:sz w:val="10"/>
                <w:szCs w:val="10"/>
                <w:color w:val="auto"/>
              </w:rPr>
              <w:t>Retirement</w:t>
            </w:r>
          </w:p>
        </w:tc>
        <w:tc>
          <w:tcPr>
            <w:tcW w:w="1220" w:type="dxa"/>
            <w:vAlign w:val="bottom"/>
            <w:tcBorders>
              <w:bottom w:val="single" w:sz="8" w:color="D60011"/>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60011"/>
            </w:tcBorders>
          </w:tcPr>
          <w:p>
            <w:pPr>
              <w:jc w:val="right"/>
              <w:ind w:right="12"/>
              <w:spacing w:after="0" w:line="151" w:lineRule="exact"/>
              <w:rPr>
                <w:sz w:val="20"/>
                <w:szCs w:val="20"/>
                <w:color w:val="auto"/>
              </w:rPr>
            </w:pPr>
            <w:r>
              <w:rPr>
                <w:rFonts w:ascii="Arial" w:cs="Arial" w:eastAsia="Arial" w:hAnsi="Arial"/>
                <w:sz w:val="10"/>
                <w:szCs w:val="10"/>
                <w:color w:val="auto"/>
              </w:rPr>
              <w:t>1,388,742</w:t>
            </w:r>
            <w:r>
              <w:rPr>
                <w:rFonts w:ascii="Arial" w:cs="Arial" w:eastAsia="Arial" w:hAnsi="Arial"/>
                <w:sz w:val="15"/>
                <w:szCs w:val="15"/>
                <w:color w:val="auto"/>
                <w:vertAlign w:val="superscript"/>
              </w:rPr>
              <w:t>(12)</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34,515</w:t>
            </w:r>
          </w:p>
        </w:tc>
        <w:tc>
          <w:tcPr>
            <w:tcW w:w="78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44,466</w:t>
            </w:r>
          </w:p>
        </w:tc>
        <w:tc>
          <w:tcPr>
            <w:tcW w:w="60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w:t>
            </w:r>
          </w:p>
        </w:tc>
        <w:tc>
          <w:tcPr>
            <w:tcW w:w="1220" w:type="dxa"/>
            <w:vAlign w:val="bottom"/>
            <w:tcBorders>
              <w:bottom w:val="single" w:sz="8" w:color="CCCCCC"/>
            </w:tcBorders>
          </w:tcPr>
          <w:p>
            <w:pPr>
              <w:spacing w:after="0"/>
              <w:rPr>
                <w:sz w:val="11"/>
                <w:szCs w:val="11"/>
                <w:color w:val="auto"/>
              </w:rPr>
            </w:pPr>
          </w:p>
        </w:tc>
        <w:tc>
          <w:tcPr>
            <w:tcW w:w="900" w:type="dxa"/>
            <w:vAlign w:val="bottom"/>
            <w:tcBorders>
              <w:bottom w:val="single" w:sz="8" w:color="CCCCCC"/>
            </w:tcBorders>
          </w:tcPr>
          <w:p>
            <w:pPr>
              <w:spacing w:after="0"/>
              <w:rPr>
                <w:sz w:val="11"/>
                <w:szCs w:val="11"/>
                <w:color w:val="auto"/>
              </w:rPr>
            </w:pPr>
          </w:p>
        </w:tc>
        <w:tc>
          <w:tcPr>
            <w:tcW w:w="560" w:type="dxa"/>
            <w:vAlign w:val="bottom"/>
            <w:tcBorders>
              <w:bottom w:val="single" w:sz="8" w:color="CCCCCC"/>
            </w:tcBorders>
          </w:tcPr>
          <w:p>
            <w:pPr>
              <w:spacing w:after="0"/>
              <w:rPr>
                <w:sz w:val="11"/>
                <w:szCs w:val="11"/>
                <w:color w:val="auto"/>
              </w:rPr>
            </w:pPr>
          </w:p>
        </w:tc>
        <w:tc>
          <w:tcPr>
            <w:tcW w:w="820" w:type="dxa"/>
            <w:vAlign w:val="bottom"/>
            <w:tcBorders>
              <w:bottom w:val="single" w:sz="8" w:color="CCCCCC"/>
            </w:tcBorders>
          </w:tcPr>
          <w:p>
            <w:pPr>
              <w:spacing w:after="0"/>
              <w:rPr>
                <w:sz w:val="11"/>
                <w:szCs w:val="11"/>
                <w:color w:val="auto"/>
              </w:rPr>
            </w:pPr>
          </w:p>
        </w:tc>
        <w:tc>
          <w:tcPr>
            <w:tcW w:w="78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62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Company w/o Cause</w:t>
            </w:r>
          </w:p>
        </w:tc>
        <w:tc>
          <w:tcPr>
            <w:tcW w:w="1220" w:type="dxa"/>
            <w:vAlign w:val="bottom"/>
            <w:tcBorders>
              <w:bottom w:val="single" w:sz="8" w:color="CCCCCC"/>
            </w:tcBorders>
          </w:tcPr>
          <w:p>
            <w:pPr>
              <w:jc w:val="right"/>
              <w:ind w:right="72"/>
              <w:spacing w:after="0" w:line="152" w:lineRule="exact"/>
              <w:rPr>
                <w:sz w:val="20"/>
                <w:szCs w:val="20"/>
                <w:color w:val="auto"/>
              </w:rPr>
            </w:pPr>
            <w:r>
              <w:rPr>
                <w:rFonts w:ascii="Arial" w:cs="Arial" w:eastAsia="Arial" w:hAnsi="Arial"/>
                <w:sz w:val="10"/>
                <w:szCs w:val="10"/>
                <w:color w:val="auto"/>
              </w:rPr>
              <w:t>922,500</w:t>
            </w:r>
            <w:r>
              <w:rPr>
                <w:rFonts w:ascii="Arial" w:cs="Arial" w:eastAsia="Arial" w:hAnsi="Arial"/>
                <w:sz w:val="15"/>
                <w:szCs w:val="15"/>
                <w:color w:val="auto"/>
                <w:vertAlign w:val="superscript"/>
              </w:rPr>
              <w:t>(13)</w:t>
            </w:r>
          </w:p>
        </w:tc>
        <w:tc>
          <w:tcPr>
            <w:tcW w:w="90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Executive for Good Reason</w:t>
            </w:r>
          </w:p>
        </w:tc>
        <w:tc>
          <w:tcPr>
            <w:tcW w:w="1220" w:type="dxa"/>
            <w:vAlign w:val="bottom"/>
            <w:tcBorders>
              <w:bottom w:val="single" w:sz="8" w:color="CCCCCC"/>
            </w:tcBorders>
          </w:tcPr>
          <w:p>
            <w:pPr>
              <w:jc w:val="right"/>
              <w:ind w:right="72"/>
              <w:spacing w:after="0" w:line="133" w:lineRule="exact"/>
              <w:rPr>
                <w:sz w:val="20"/>
                <w:szCs w:val="20"/>
                <w:color w:val="auto"/>
              </w:rPr>
            </w:pPr>
            <w:r>
              <w:rPr>
                <w:rFonts w:ascii="Arial" w:cs="Arial" w:eastAsia="Arial" w:hAnsi="Arial"/>
                <w:sz w:val="10"/>
                <w:szCs w:val="10"/>
                <w:color w:val="auto"/>
              </w:rPr>
              <w:t>922,500</w:t>
            </w:r>
            <w:r>
              <w:rPr>
                <w:rFonts w:ascii="Arial" w:cs="Arial" w:eastAsia="Arial" w:hAnsi="Arial"/>
                <w:sz w:val="15"/>
                <w:szCs w:val="15"/>
                <w:color w:val="auto"/>
                <w:vertAlign w:val="superscript"/>
              </w:rPr>
              <w:t>(13)</w:t>
            </w:r>
          </w:p>
        </w:tc>
        <w:tc>
          <w:tcPr>
            <w:tcW w:w="900" w:type="dxa"/>
            <w:vAlign w:val="bottom"/>
            <w:tcBorders>
              <w:bottom w:val="single" w:sz="8" w:color="CCCCCC"/>
            </w:tcBorders>
          </w:tcPr>
          <w:p>
            <w:pPr>
              <w:jc w:val="right"/>
              <w:ind w:right="12"/>
              <w:spacing w:after="0" w:line="133" w:lineRule="exact"/>
              <w:rPr>
                <w:sz w:val="20"/>
                <w:szCs w:val="20"/>
                <w:color w:val="auto"/>
              </w:rPr>
            </w:pPr>
            <w:r>
              <w:rPr>
                <w:rFonts w:ascii="Arial" w:cs="Arial" w:eastAsia="Arial" w:hAnsi="Arial"/>
                <w:sz w:val="10"/>
                <w:szCs w:val="10"/>
                <w:color w:val="auto"/>
              </w:rPr>
              <w:t>302,817</w:t>
            </w:r>
            <w:r>
              <w:rPr>
                <w:rFonts w:ascii="Arial" w:cs="Arial" w:eastAsia="Arial" w:hAnsi="Arial"/>
                <w:sz w:val="15"/>
                <w:szCs w:val="15"/>
                <w:color w:val="auto"/>
                <w:vertAlign w:val="superscript"/>
              </w:rPr>
              <w:t>(14)</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Resignation</w:t>
            </w:r>
          </w:p>
        </w:tc>
        <w:tc>
          <w:tcPr>
            <w:tcW w:w="1220" w:type="dxa"/>
            <w:vAlign w:val="bottom"/>
            <w:tcBorders>
              <w:bottom w:val="single" w:sz="8" w:color="CCCCCC"/>
            </w:tcBorders>
          </w:tcPr>
          <w:p>
            <w:pPr>
              <w:spacing w:after="0"/>
              <w:rPr>
                <w:sz w:val="12"/>
                <w:szCs w:val="12"/>
                <w:color w:val="auto"/>
              </w:rPr>
            </w:pPr>
          </w:p>
        </w:tc>
        <w:tc>
          <w:tcPr>
            <w:tcW w:w="90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840" w:type="dxa"/>
            <w:vAlign w:val="bottom"/>
            <w:tcBorders>
              <w:bottom w:val="single" w:sz="8" w:color="CCCCCC"/>
            </w:tcBorders>
          </w:tcPr>
          <w:p>
            <w:pPr>
              <w:ind w:left="60"/>
              <w:spacing w:after="0" w:line="154" w:lineRule="exact"/>
              <w:rPr>
                <w:sz w:val="20"/>
                <w:szCs w:val="20"/>
                <w:color w:val="auto"/>
              </w:rPr>
            </w:pPr>
            <w:r>
              <w:rPr>
                <w:rFonts w:ascii="Arial" w:cs="Arial" w:eastAsia="Arial" w:hAnsi="Arial"/>
                <w:sz w:val="10"/>
                <w:szCs w:val="10"/>
                <w:color w:val="auto"/>
              </w:rPr>
              <w:t>Change in Control</w:t>
            </w:r>
            <w:r>
              <w:rPr>
                <w:rFonts w:ascii="Arial" w:cs="Arial" w:eastAsia="Arial" w:hAnsi="Arial"/>
                <w:sz w:val="15"/>
                <w:szCs w:val="15"/>
                <w:color w:val="auto"/>
                <w:vertAlign w:val="superscript"/>
              </w:rPr>
              <w:t>(8)</w:t>
            </w:r>
          </w:p>
        </w:tc>
        <w:tc>
          <w:tcPr>
            <w:tcW w:w="1220" w:type="dxa"/>
            <w:vAlign w:val="bottom"/>
            <w:tcBorders>
              <w:bottom w:val="single" w:sz="8" w:color="CCCCCC"/>
            </w:tcBorders>
          </w:tcPr>
          <w:p>
            <w:pPr>
              <w:jc w:val="right"/>
              <w:ind w:right="132"/>
              <w:spacing w:after="0" w:line="154" w:lineRule="exact"/>
              <w:rPr>
                <w:sz w:val="20"/>
                <w:szCs w:val="20"/>
                <w:color w:val="auto"/>
              </w:rPr>
            </w:pPr>
            <w:r>
              <w:rPr>
                <w:rFonts w:ascii="Arial" w:cs="Arial" w:eastAsia="Arial" w:hAnsi="Arial"/>
                <w:sz w:val="10"/>
                <w:szCs w:val="10"/>
                <w:color w:val="auto"/>
              </w:rPr>
              <w:t>2,152,500</w:t>
            </w:r>
            <w:r>
              <w:rPr>
                <w:rFonts w:ascii="Arial" w:cs="Arial" w:eastAsia="Arial" w:hAnsi="Arial"/>
                <w:sz w:val="15"/>
                <w:szCs w:val="15"/>
                <w:color w:val="auto"/>
                <w:vertAlign w:val="superscript"/>
              </w:rPr>
              <w:t>(9)</w:t>
            </w:r>
          </w:p>
        </w:tc>
        <w:tc>
          <w:tcPr>
            <w:tcW w:w="900" w:type="dxa"/>
            <w:vAlign w:val="bottom"/>
            <w:tcBorders>
              <w:bottom w:val="single" w:sz="8" w:color="CCCCCC"/>
            </w:tcBorders>
          </w:tcPr>
          <w:p>
            <w:pPr>
              <w:jc w:val="right"/>
              <w:ind w:right="12"/>
              <w:spacing w:after="0" w:line="154" w:lineRule="exact"/>
              <w:rPr>
                <w:sz w:val="20"/>
                <w:szCs w:val="20"/>
                <w:color w:val="auto"/>
              </w:rPr>
            </w:pPr>
            <w:r>
              <w:rPr>
                <w:rFonts w:ascii="Arial" w:cs="Arial" w:eastAsia="Arial" w:hAnsi="Arial"/>
                <w:sz w:val="10"/>
                <w:szCs w:val="10"/>
                <w:color w:val="auto"/>
              </w:rPr>
              <w:t>2,708,973</w:t>
            </w:r>
            <w:r>
              <w:rPr>
                <w:rFonts w:ascii="Arial" w:cs="Arial" w:eastAsia="Arial" w:hAnsi="Arial"/>
                <w:sz w:val="15"/>
                <w:szCs w:val="15"/>
                <w:color w:val="auto"/>
                <w:vertAlign w:val="superscript"/>
              </w:rPr>
              <w:t>(10)</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Disability</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2,406,156</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436,414</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Death</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2,406,156</w:t>
            </w:r>
            <w:r>
              <w:rPr>
                <w:rFonts w:ascii="Arial" w:cs="Arial" w:eastAsia="Arial" w:hAnsi="Arial"/>
                <w:sz w:val="15"/>
                <w:szCs w:val="15"/>
                <w:color w:val="auto"/>
                <w:vertAlign w:val="superscript"/>
              </w:rPr>
              <w:t>(11)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436,414</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615,000</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Retirement</w:t>
            </w:r>
          </w:p>
        </w:tc>
        <w:tc>
          <w:tcPr>
            <w:tcW w:w="1220" w:type="dxa"/>
            <w:vAlign w:val="bottom"/>
            <w:tcBorders>
              <w:bottom w:val="single" w:sz="8" w:color="CCCCCC"/>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1,978,472</w:t>
            </w:r>
            <w:r>
              <w:rPr>
                <w:rFonts w:ascii="Arial" w:cs="Arial" w:eastAsia="Arial" w:hAnsi="Arial"/>
                <w:sz w:val="15"/>
                <w:szCs w:val="15"/>
                <w:color w:val="auto"/>
                <w:vertAlign w:val="superscript"/>
              </w:rPr>
              <w:t>(12)</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CCCCCC"/>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840" w:type="dxa"/>
            <w:vAlign w:val="bottom"/>
            <w:tcBorders>
              <w:bottom w:val="single" w:sz="8" w:color="D60011"/>
            </w:tcBorders>
          </w:tcPr>
          <w:p>
            <w:pPr>
              <w:ind w:left="60"/>
              <w:spacing w:after="0"/>
              <w:rPr>
                <w:sz w:val="20"/>
                <w:szCs w:val="20"/>
                <w:color w:val="auto"/>
              </w:rPr>
            </w:pPr>
            <w:r>
              <w:rPr>
                <w:rFonts w:ascii="Arial" w:cs="Arial" w:eastAsia="Arial" w:hAnsi="Arial"/>
                <w:sz w:val="10"/>
                <w:szCs w:val="10"/>
                <w:color w:val="auto"/>
              </w:rPr>
              <w:t>Cause</w:t>
            </w:r>
          </w:p>
        </w:tc>
        <w:tc>
          <w:tcPr>
            <w:tcW w:w="1220" w:type="dxa"/>
            <w:vAlign w:val="bottom"/>
            <w:tcBorders>
              <w:bottom w:val="single" w:sz="8" w:color="D60011"/>
            </w:tcBorders>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60011"/>
            </w:tcBorders>
          </w:tcPr>
          <w:p>
            <w:pPr>
              <w:jc w:val="right"/>
              <w:ind w:right="1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13,857</w:t>
            </w:r>
          </w:p>
        </w:tc>
        <w:tc>
          <w:tcPr>
            <w:tcW w:w="78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46,653</w:t>
            </w:r>
          </w:p>
        </w:tc>
        <w:tc>
          <w:tcPr>
            <w:tcW w:w="600" w:type="dxa"/>
            <w:vAlign w:val="bottom"/>
            <w:tcBorders>
              <w:bottom w:val="single" w:sz="8" w:color="D60011"/>
            </w:tcBorders>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520" w:hanging="388"/>
        <w:spacing w:after="0"/>
        <w:tabs>
          <w:tab w:leader="none" w:pos="1520" w:val="left"/>
        </w:tabs>
        <w:numPr>
          <w:ilvl w:val="0"/>
          <w:numId w:val="138"/>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156845</wp:posOffset>
            </wp:positionV>
            <wp:extent cx="717804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93" w:name="page94"/>
    <w:bookmarkEnd w:id="93"/>
    <w:tbl>
      <w:tblPr>
        <w:tblLayout w:type="fixed"/>
        <w:tblInd w:w="1980" w:type="dxa"/>
        <w:tblCellMar>
          <w:top w:w="0" w:type="dxa"/>
          <w:left w:w="0" w:type="dxa"/>
          <w:bottom w:w="0" w:type="dxa"/>
          <w:right w:w="0" w:type="dxa"/>
        </w:tblCellMar>
      </w:tblPr>
      <w:tr>
        <w:trPr>
          <w:trHeight w:val="131"/>
        </w:trPr>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2"/>
          </w:tcPr>
          <w:p>
            <w:pPr>
              <w:jc w:val="right"/>
              <w:spacing w:after="0"/>
              <w:rPr>
                <w:sz w:val="20"/>
                <w:szCs w:val="20"/>
                <w:color w:val="auto"/>
              </w:rPr>
            </w:pPr>
            <w:r>
              <w:rPr>
                <w:rFonts w:ascii="Arial" w:cs="Arial" w:eastAsia="Arial" w:hAnsi="Arial"/>
                <w:sz w:val="10"/>
                <w:szCs w:val="10"/>
                <w:b w:val="1"/>
                <w:bCs w:val="1"/>
                <w:color w:val="D60011"/>
                <w:w w:val="97"/>
              </w:rPr>
              <w:t>EXECUTIVE COMPENSATION</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0"/>
                <w:szCs w:val="10"/>
                <w:b w:val="1"/>
                <w:bCs w:val="1"/>
                <w:color w:val="auto"/>
              </w:rPr>
              <w:t>RSUs, PSUs,</w:t>
            </w:r>
          </w:p>
        </w:tc>
        <w:tc>
          <w:tcPr>
            <w:tcW w:w="600" w:type="dxa"/>
            <w:vAlign w:val="bottom"/>
          </w:tcPr>
          <w:p>
            <w:pPr>
              <w:spacing w:after="0"/>
              <w:rPr>
                <w:sz w:val="19"/>
                <w:szCs w:val="19"/>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Excess Cash</w:t>
            </w: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b w:val="1"/>
                <w:bCs w:val="1"/>
                <w:color w:val="auto"/>
              </w:rPr>
              <w:t>Excess</w:t>
            </w:r>
          </w:p>
        </w:tc>
        <w:tc>
          <w:tcPr>
            <w:tcW w:w="7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Health</w:t>
            </w:r>
          </w:p>
        </w:tc>
        <w:tc>
          <w:tcPr>
            <w:tcW w:w="64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rPr>
              <w:t>Life</w:t>
            </w:r>
          </w:p>
        </w:tc>
        <w:tc>
          <w:tcPr>
            <w:tcW w:w="0" w:type="dxa"/>
            <w:vAlign w:val="bottom"/>
          </w:tcPr>
          <w:p>
            <w:pPr>
              <w:spacing w:after="0"/>
              <w:rPr>
                <w:sz w:val="1"/>
                <w:szCs w:val="1"/>
                <w:color w:val="auto"/>
              </w:rPr>
            </w:pPr>
          </w:p>
        </w:tc>
      </w:tr>
      <w:tr>
        <w:trPr>
          <w:trHeight w:val="97"/>
        </w:trPr>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jc w:val="right"/>
              <w:ind w:right="172"/>
              <w:spacing w:after="0" w:line="97" w:lineRule="exact"/>
              <w:rPr>
                <w:sz w:val="20"/>
                <w:szCs w:val="20"/>
                <w:color w:val="auto"/>
              </w:rPr>
            </w:pPr>
            <w:r>
              <w:rPr>
                <w:rFonts w:ascii="Arial" w:cs="Arial" w:eastAsia="Arial" w:hAnsi="Arial"/>
                <w:sz w:val="10"/>
                <w:szCs w:val="10"/>
                <w:b w:val="1"/>
                <w:bCs w:val="1"/>
                <w:color w:val="auto"/>
              </w:rPr>
              <w:t>and Stock</w:t>
            </w:r>
          </w:p>
        </w:tc>
        <w:tc>
          <w:tcPr>
            <w:tcW w:w="6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120" w:type="dxa"/>
            <w:vAlign w:val="bottom"/>
          </w:tcPr>
          <w:p>
            <w:pPr>
              <w:jc w:val="right"/>
              <w:ind w:right="212"/>
              <w:spacing w:after="0" w:line="108" w:lineRule="exact"/>
              <w:rPr>
                <w:sz w:val="20"/>
                <w:szCs w:val="20"/>
                <w:color w:val="auto"/>
              </w:rPr>
            </w:pPr>
            <w:r>
              <w:rPr>
                <w:rFonts w:ascii="Arial" w:cs="Arial" w:eastAsia="Arial" w:hAnsi="Arial"/>
                <w:sz w:val="10"/>
                <w:szCs w:val="10"/>
                <w:b w:val="1"/>
                <w:bCs w:val="1"/>
                <w:color w:val="auto"/>
              </w:rPr>
              <w:t>Severance</w:t>
            </w:r>
          </w:p>
        </w:tc>
        <w:tc>
          <w:tcPr>
            <w:tcW w:w="860" w:type="dxa"/>
            <w:vAlign w:val="bottom"/>
          </w:tcPr>
          <w:p>
            <w:pPr>
              <w:jc w:val="right"/>
              <w:ind w:right="172"/>
              <w:spacing w:after="0" w:line="108" w:lineRule="exact"/>
              <w:rPr>
                <w:sz w:val="20"/>
                <w:szCs w:val="20"/>
                <w:color w:val="auto"/>
              </w:rPr>
            </w:pPr>
            <w:r>
              <w:rPr>
                <w:rFonts w:ascii="Arial" w:cs="Arial" w:eastAsia="Arial" w:hAnsi="Arial"/>
                <w:sz w:val="10"/>
                <w:szCs w:val="10"/>
                <w:b w:val="1"/>
                <w:bCs w:val="1"/>
                <w:color w:val="auto"/>
              </w:rPr>
              <w:t>Options</w:t>
            </w:r>
          </w:p>
        </w:tc>
        <w:tc>
          <w:tcPr>
            <w:tcW w:w="60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SERP</w:t>
            </w:r>
          </w:p>
        </w:tc>
        <w:tc>
          <w:tcPr>
            <w:tcW w:w="860" w:type="dxa"/>
            <w:vAlign w:val="bottom"/>
          </w:tcPr>
          <w:p>
            <w:pPr>
              <w:jc w:val="right"/>
              <w:ind w:right="92"/>
              <w:spacing w:after="0" w:line="108" w:lineRule="exact"/>
              <w:rPr>
                <w:sz w:val="20"/>
                <w:szCs w:val="20"/>
                <w:color w:val="auto"/>
              </w:rPr>
            </w:pPr>
            <w:r>
              <w:rPr>
                <w:rFonts w:ascii="Arial" w:cs="Arial" w:eastAsia="Arial" w:hAnsi="Arial"/>
                <w:sz w:val="10"/>
                <w:szCs w:val="10"/>
                <w:b w:val="1"/>
                <w:bCs w:val="1"/>
                <w:color w:val="auto"/>
              </w:rPr>
              <w:t>Balance Plan</w:t>
            </w:r>
          </w:p>
        </w:tc>
        <w:tc>
          <w:tcPr>
            <w:tcW w:w="740" w:type="dxa"/>
            <w:vAlign w:val="bottom"/>
          </w:tcPr>
          <w:p>
            <w:pPr>
              <w:jc w:val="right"/>
              <w:ind w:right="32"/>
              <w:spacing w:after="0" w:line="108" w:lineRule="exact"/>
              <w:rPr>
                <w:sz w:val="20"/>
                <w:szCs w:val="20"/>
                <w:color w:val="auto"/>
              </w:rPr>
            </w:pPr>
            <w:r>
              <w:rPr>
                <w:rFonts w:ascii="Arial" w:cs="Arial" w:eastAsia="Arial" w:hAnsi="Arial"/>
                <w:sz w:val="10"/>
                <w:szCs w:val="10"/>
                <w:b w:val="1"/>
                <w:bCs w:val="1"/>
                <w:color w:val="auto"/>
              </w:rPr>
              <w:t>Saving Plan</w:t>
            </w:r>
          </w:p>
        </w:tc>
        <w:tc>
          <w:tcPr>
            <w:tcW w:w="760" w:type="dxa"/>
            <w:vAlign w:val="bottom"/>
          </w:tcPr>
          <w:p>
            <w:pPr>
              <w:jc w:val="right"/>
              <w:ind w:right="52"/>
              <w:spacing w:after="0" w:line="108" w:lineRule="exact"/>
              <w:rPr>
                <w:sz w:val="20"/>
                <w:szCs w:val="20"/>
                <w:color w:val="auto"/>
              </w:rPr>
            </w:pPr>
            <w:r>
              <w:rPr>
                <w:rFonts w:ascii="Arial" w:cs="Arial" w:eastAsia="Arial" w:hAnsi="Arial"/>
                <w:sz w:val="10"/>
                <w:szCs w:val="10"/>
                <w:b w:val="1"/>
                <w:bCs w:val="1"/>
                <w:color w:val="auto"/>
              </w:rPr>
              <w:t>Benefits</w:t>
            </w:r>
          </w:p>
        </w:tc>
        <w:tc>
          <w:tcPr>
            <w:tcW w:w="640" w:type="dxa"/>
            <w:vAlign w:val="bottom"/>
          </w:tcPr>
          <w:p>
            <w:pPr>
              <w:jc w:val="right"/>
              <w:ind w:right="52"/>
              <w:spacing w:after="0" w:line="108" w:lineRule="exact"/>
              <w:rPr>
                <w:sz w:val="20"/>
                <w:szCs w:val="20"/>
                <w:color w:val="auto"/>
              </w:rPr>
            </w:pPr>
            <w:r>
              <w:rPr>
                <w:rFonts w:ascii="Arial" w:cs="Arial" w:eastAsia="Arial" w:hAnsi="Arial"/>
                <w:sz w:val="10"/>
                <w:szCs w:val="10"/>
                <w:b w:val="1"/>
                <w:bCs w:val="1"/>
                <w:color w:val="auto"/>
              </w:rPr>
              <w:t>Insurance</w:t>
            </w:r>
          </w:p>
        </w:tc>
        <w:tc>
          <w:tcPr>
            <w:tcW w:w="0" w:type="dxa"/>
            <w:vAlign w:val="bottom"/>
          </w:tcPr>
          <w:p>
            <w:pPr>
              <w:spacing w:after="0"/>
              <w:rPr>
                <w:sz w:val="1"/>
                <w:szCs w:val="1"/>
                <w:color w:val="auto"/>
              </w:rPr>
            </w:pPr>
          </w:p>
        </w:tc>
      </w:tr>
      <w:tr>
        <w:trPr>
          <w:trHeight w:val="144"/>
        </w:trPr>
        <w:tc>
          <w:tcPr>
            <w:tcW w:w="1760" w:type="dxa"/>
            <w:vAlign w:val="bottom"/>
            <w:tcBorders>
              <w:bottom w:val="single" w:sz="8" w:color="D60011"/>
            </w:tcBorders>
          </w:tcPr>
          <w:p>
            <w:pPr>
              <w:ind w:left="60"/>
              <w:spacing w:after="0"/>
              <w:rPr>
                <w:sz w:val="20"/>
                <w:szCs w:val="20"/>
                <w:color w:val="auto"/>
              </w:rPr>
            </w:pPr>
            <w:r>
              <w:rPr>
                <w:rFonts w:ascii="Arial" w:cs="Arial" w:eastAsia="Arial" w:hAnsi="Arial"/>
                <w:sz w:val="10"/>
                <w:szCs w:val="10"/>
                <w:b w:val="1"/>
                <w:bCs w:val="1"/>
                <w:color w:val="auto"/>
              </w:rPr>
              <w:t>Termination Event</w:t>
            </w:r>
          </w:p>
        </w:tc>
        <w:tc>
          <w:tcPr>
            <w:tcW w:w="1120" w:type="dxa"/>
            <w:vAlign w:val="bottom"/>
            <w:tcBorders>
              <w:bottom w:val="single" w:sz="8" w:color="D60011"/>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60011"/>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60011"/>
            </w:tcBorders>
          </w:tcPr>
          <w:p>
            <w:pPr>
              <w:jc w:val="right"/>
              <w:ind w:right="7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(1)</w:t>
            </w:r>
          </w:p>
        </w:tc>
        <w:tc>
          <w:tcPr>
            <w:tcW w:w="860" w:type="dxa"/>
            <w:vAlign w:val="bottom"/>
            <w:tcBorders>
              <w:bottom w:val="single" w:sz="8" w:color="D60011"/>
            </w:tcBorders>
          </w:tcPr>
          <w:p>
            <w:pPr>
              <w:jc w:val="right"/>
              <w:ind w:right="7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(2)</w:t>
            </w:r>
          </w:p>
        </w:tc>
        <w:tc>
          <w:tcPr>
            <w:tcW w:w="740" w:type="dxa"/>
            <w:vAlign w:val="bottom"/>
            <w:tcBorders>
              <w:bottom w:val="single" w:sz="8" w:color="D60011"/>
            </w:tcBorders>
          </w:tcPr>
          <w:p>
            <w:pPr>
              <w:jc w:val="right"/>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(3)</w:t>
            </w:r>
          </w:p>
        </w:tc>
        <w:tc>
          <w:tcPr>
            <w:tcW w:w="760" w:type="dxa"/>
            <w:vAlign w:val="bottom"/>
            <w:tcBorders>
              <w:bottom w:val="single" w:sz="8" w:color="D60011"/>
            </w:tcBorders>
          </w:tcPr>
          <w:p>
            <w:pPr>
              <w:jc w:val="right"/>
              <w:ind w:right="3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(4)</w:t>
            </w:r>
          </w:p>
        </w:tc>
        <w:tc>
          <w:tcPr>
            <w:tcW w:w="640" w:type="dxa"/>
            <w:vAlign w:val="bottom"/>
            <w:tcBorders>
              <w:bottom w:val="single" w:sz="8" w:color="D60011"/>
            </w:tcBorders>
          </w:tcPr>
          <w:p>
            <w:pPr>
              <w:jc w:val="right"/>
              <w:ind w:right="1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(5)</w:t>
            </w:r>
          </w:p>
        </w:tc>
        <w:tc>
          <w:tcPr>
            <w:tcW w:w="0" w:type="dxa"/>
            <w:vAlign w:val="bottom"/>
          </w:tcPr>
          <w:p>
            <w:pPr>
              <w:spacing w:after="0"/>
              <w:rPr>
                <w:sz w:val="1"/>
                <w:szCs w:val="1"/>
                <w:color w:val="auto"/>
              </w:rPr>
            </w:pPr>
          </w:p>
        </w:tc>
      </w:tr>
      <w:tr>
        <w:trPr>
          <w:trHeight w:val="132"/>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Gray</w:t>
            </w:r>
          </w:p>
        </w:tc>
        <w:tc>
          <w:tcPr>
            <w:tcW w:w="112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760" w:type="dxa"/>
            <w:vAlign w:val="bottom"/>
            <w:tcBorders>
              <w:bottom w:val="single" w:sz="8" w:color="CCCCCC"/>
            </w:tcBorders>
          </w:tcPr>
          <w:p>
            <w:pPr>
              <w:spacing w:after="0"/>
              <w:rPr>
                <w:sz w:val="11"/>
                <w:szCs w:val="11"/>
                <w:color w:val="auto"/>
              </w:rPr>
            </w:pPr>
          </w:p>
        </w:tc>
        <w:tc>
          <w:tcPr>
            <w:tcW w:w="64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Company w/o Cause</w:t>
            </w:r>
          </w:p>
        </w:tc>
        <w:tc>
          <w:tcPr>
            <w:tcW w:w="1120" w:type="dxa"/>
            <w:vAlign w:val="bottom"/>
            <w:tcBorders>
              <w:bottom w:val="single" w:sz="8" w:color="CCCCCC"/>
            </w:tcBorders>
          </w:tcPr>
          <w:p>
            <w:pPr>
              <w:jc w:val="right"/>
              <w:ind w:right="52"/>
              <w:spacing w:after="0" w:line="152" w:lineRule="exact"/>
              <w:rPr>
                <w:sz w:val="20"/>
                <w:szCs w:val="20"/>
                <w:color w:val="auto"/>
              </w:rPr>
            </w:pPr>
            <w:r>
              <w:rPr>
                <w:rFonts w:ascii="Arial" w:cs="Arial" w:eastAsia="Arial" w:hAnsi="Arial"/>
                <w:sz w:val="10"/>
                <w:szCs w:val="10"/>
                <w:color w:val="auto"/>
              </w:rPr>
              <w:t>922,500</w:t>
            </w:r>
            <w:r>
              <w:rPr>
                <w:rFonts w:ascii="Arial" w:cs="Arial" w:eastAsia="Arial" w:hAnsi="Arial"/>
                <w:sz w:val="15"/>
                <w:szCs w:val="15"/>
                <w:color w:val="auto"/>
                <w:vertAlign w:val="superscript"/>
              </w:rPr>
              <w:t>(13)</w:t>
            </w:r>
          </w:p>
        </w:tc>
        <w:tc>
          <w:tcPr>
            <w:tcW w:w="8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By Executive for Good Reason</w:t>
            </w:r>
          </w:p>
        </w:tc>
        <w:tc>
          <w:tcPr>
            <w:tcW w:w="1120" w:type="dxa"/>
            <w:vAlign w:val="bottom"/>
            <w:tcBorders>
              <w:bottom w:val="single" w:sz="8" w:color="CCCCCC"/>
            </w:tcBorders>
          </w:tcPr>
          <w:p>
            <w:pPr>
              <w:jc w:val="right"/>
              <w:ind w:right="52"/>
              <w:spacing w:after="0" w:line="133" w:lineRule="exact"/>
              <w:rPr>
                <w:sz w:val="20"/>
                <w:szCs w:val="20"/>
                <w:color w:val="auto"/>
              </w:rPr>
            </w:pPr>
            <w:r>
              <w:rPr>
                <w:rFonts w:ascii="Arial" w:cs="Arial" w:eastAsia="Arial" w:hAnsi="Arial"/>
                <w:sz w:val="10"/>
                <w:szCs w:val="10"/>
                <w:color w:val="auto"/>
              </w:rPr>
              <w:t>922,500</w:t>
            </w:r>
            <w:r>
              <w:rPr>
                <w:rFonts w:ascii="Arial" w:cs="Arial" w:eastAsia="Arial" w:hAnsi="Arial"/>
                <w:sz w:val="15"/>
                <w:szCs w:val="15"/>
                <w:color w:val="auto"/>
                <w:vertAlign w:val="superscript"/>
              </w:rPr>
              <w:t>(13)</w:t>
            </w:r>
          </w:p>
        </w:tc>
        <w:tc>
          <w:tcPr>
            <w:tcW w:w="860" w:type="dxa"/>
            <w:vAlign w:val="bottom"/>
            <w:tcBorders>
              <w:bottom w:val="single" w:sz="8" w:color="CCCCCC"/>
            </w:tcBorders>
          </w:tcPr>
          <w:p>
            <w:pPr>
              <w:jc w:val="right"/>
              <w:ind w:right="12"/>
              <w:spacing w:after="0" w:line="133" w:lineRule="exact"/>
              <w:rPr>
                <w:sz w:val="20"/>
                <w:szCs w:val="20"/>
                <w:color w:val="auto"/>
              </w:rPr>
            </w:pPr>
            <w:r>
              <w:rPr>
                <w:rFonts w:ascii="Arial" w:cs="Arial" w:eastAsia="Arial" w:hAnsi="Arial"/>
                <w:sz w:val="10"/>
                <w:szCs w:val="10"/>
                <w:color w:val="auto"/>
              </w:rPr>
              <w:t>113,556</w:t>
            </w:r>
            <w:r>
              <w:rPr>
                <w:rFonts w:ascii="Arial" w:cs="Arial" w:eastAsia="Arial" w:hAnsi="Arial"/>
                <w:sz w:val="15"/>
                <w:szCs w:val="15"/>
                <w:color w:val="auto"/>
                <w:vertAlign w:val="superscript"/>
              </w:rPr>
              <w:t>(14)</w:t>
            </w:r>
          </w:p>
        </w:tc>
        <w:tc>
          <w:tcPr>
            <w:tcW w:w="60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Resignation</w:t>
            </w:r>
          </w:p>
        </w:tc>
        <w:tc>
          <w:tcPr>
            <w:tcW w:w="11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760" w:type="dxa"/>
            <w:vAlign w:val="bottom"/>
            <w:tcBorders>
              <w:bottom w:val="single" w:sz="8" w:color="CCCCCC"/>
            </w:tcBorders>
          </w:tcPr>
          <w:p>
            <w:pPr>
              <w:ind w:left="60"/>
              <w:spacing w:after="0" w:line="154" w:lineRule="exact"/>
              <w:rPr>
                <w:sz w:val="20"/>
                <w:szCs w:val="20"/>
                <w:color w:val="auto"/>
              </w:rPr>
            </w:pPr>
            <w:r>
              <w:rPr>
                <w:rFonts w:ascii="Arial" w:cs="Arial" w:eastAsia="Arial" w:hAnsi="Arial"/>
                <w:sz w:val="10"/>
                <w:szCs w:val="10"/>
                <w:color w:val="auto"/>
              </w:rPr>
              <w:t>Change in Control</w:t>
            </w:r>
            <w:r>
              <w:rPr>
                <w:rFonts w:ascii="Arial" w:cs="Arial" w:eastAsia="Arial" w:hAnsi="Arial"/>
                <w:sz w:val="15"/>
                <w:szCs w:val="15"/>
                <w:color w:val="auto"/>
                <w:vertAlign w:val="superscript"/>
              </w:rPr>
              <w:t>(8)</w:t>
            </w:r>
          </w:p>
        </w:tc>
        <w:tc>
          <w:tcPr>
            <w:tcW w:w="1120" w:type="dxa"/>
            <w:vAlign w:val="bottom"/>
            <w:tcBorders>
              <w:bottom w:val="single" w:sz="8" w:color="CCCCCC"/>
            </w:tcBorders>
          </w:tcPr>
          <w:p>
            <w:pPr>
              <w:jc w:val="right"/>
              <w:ind w:right="92"/>
              <w:spacing w:after="0" w:line="154" w:lineRule="exact"/>
              <w:rPr>
                <w:sz w:val="20"/>
                <w:szCs w:val="20"/>
                <w:color w:val="auto"/>
              </w:rPr>
            </w:pPr>
            <w:r>
              <w:rPr>
                <w:rFonts w:ascii="Arial" w:cs="Arial" w:eastAsia="Arial" w:hAnsi="Arial"/>
                <w:sz w:val="10"/>
                <w:szCs w:val="10"/>
                <w:color w:val="auto"/>
              </w:rPr>
              <w:t>2,152,500</w:t>
            </w:r>
            <w:r>
              <w:rPr>
                <w:rFonts w:ascii="Arial" w:cs="Arial" w:eastAsia="Arial" w:hAnsi="Arial"/>
                <w:sz w:val="15"/>
                <w:szCs w:val="15"/>
                <w:color w:val="auto"/>
                <w:vertAlign w:val="superscript"/>
              </w:rPr>
              <w:t>(9)</w:t>
            </w:r>
          </w:p>
        </w:tc>
        <w:tc>
          <w:tcPr>
            <w:tcW w:w="860" w:type="dxa"/>
            <w:vAlign w:val="bottom"/>
            <w:tcBorders>
              <w:bottom w:val="single" w:sz="8" w:color="CCCCCC"/>
            </w:tcBorders>
          </w:tcPr>
          <w:p>
            <w:pPr>
              <w:jc w:val="right"/>
              <w:ind w:right="12"/>
              <w:spacing w:after="0" w:line="154" w:lineRule="exact"/>
              <w:rPr>
                <w:sz w:val="20"/>
                <w:szCs w:val="20"/>
                <w:color w:val="auto"/>
              </w:rPr>
            </w:pPr>
            <w:r>
              <w:rPr>
                <w:rFonts w:ascii="Arial" w:cs="Arial" w:eastAsia="Arial" w:hAnsi="Arial"/>
                <w:sz w:val="10"/>
                <w:szCs w:val="10"/>
                <w:color w:val="auto"/>
              </w:rPr>
              <w:t>1,960,260</w:t>
            </w:r>
            <w:r>
              <w:rPr>
                <w:rFonts w:ascii="Arial" w:cs="Arial" w:eastAsia="Arial" w:hAnsi="Arial"/>
                <w:sz w:val="15"/>
                <w:szCs w:val="15"/>
                <w:color w:val="auto"/>
                <w:vertAlign w:val="superscript"/>
              </w:rPr>
              <w:t>(10)</w:t>
            </w:r>
          </w:p>
        </w:tc>
        <w:tc>
          <w:tcPr>
            <w:tcW w:w="60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Disability</w:t>
            </w:r>
          </w:p>
        </w:tc>
        <w:tc>
          <w:tcPr>
            <w:tcW w:w="11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1,846,704</w:t>
            </w:r>
            <w:r>
              <w:rPr>
                <w:rFonts w:ascii="Arial" w:cs="Arial" w:eastAsia="Arial" w:hAnsi="Arial"/>
                <w:sz w:val="15"/>
                <w:szCs w:val="15"/>
                <w:color w:val="auto"/>
                <w:vertAlign w:val="superscript"/>
              </w:rPr>
              <w:t>(11)</w:t>
            </w:r>
          </w:p>
        </w:tc>
        <w:tc>
          <w:tcPr>
            <w:tcW w:w="60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1"/>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Death</w:t>
            </w:r>
          </w:p>
        </w:tc>
        <w:tc>
          <w:tcPr>
            <w:tcW w:w="11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1,846,704</w:t>
            </w:r>
            <w:r>
              <w:rPr>
                <w:rFonts w:ascii="Arial" w:cs="Arial" w:eastAsia="Arial" w:hAnsi="Arial"/>
                <w:sz w:val="15"/>
                <w:szCs w:val="15"/>
                <w:color w:val="auto"/>
                <w:vertAlign w:val="superscript"/>
              </w:rPr>
              <w:t>(11)</w:t>
            </w:r>
          </w:p>
        </w:tc>
        <w:tc>
          <w:tcPr>
            <w:tcW w:w="60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615,000</w:t>
            </w:r>
          </w:p>
        </w:tc>
        <w:tc>
          <w:tcPr>
            <w:tcW w:w="0" w:type="dxa"/>
            <w:vAlign w:val="bottom"/>
          </w:tcPr>
          <w:p>
            <w:pPr>
              <w:spacing w:after="0"/>
              <w:rPr>
                <w:sz w:val="1"/>
                <w:szCs w:val="1"/>
                <w:color w:val="auto"/>
              </w:rPr>
            </w:pPr>
          </w:p>
        </w:tc>
      </w:tr>
      <w:tr>
        <w:trPr>
          <w:trHeight w:val="151"/>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color w:val="auto"/>
              </w:rPr>
              <w:t>Retirement</w:t>
            </w:r>
          </w:p>
        </w:tc>
        <w:tc>
          <w:tcPr>
            <w:tcW w:w="112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12"/>
              <w:spacing w:after="0" w:line="151" w:lineRule="exact"/>
              <w:rPr>
                <w:sz w:val="20"/>
                <w:szCs w:val="20"/>
                <w:color w:val="auto"/>
              </w:rPr>
            </w:pPr>
            <w:r>
              <w:rPr>
                <w:rFonts w:ascii="Arial" w:cs="Arial" w:eastAsia="Arial" w:hAnsi="Arial"/>
                <w:sz w:val="10"/>
                <w:szCs w:val="10"/>
                <w:color w:val="auto"/>
              </w:rPr>
              <w:t>1,448,656</w:t>
            </w:r>
            <w:r>
              <w:rPr>
                <w:rFonts w:ascii="Arial" w:cs="Arial" w:eastAsia="Arial" w:hAnsi="Arial"/>
                <w:sz w:val="15"/>
                <w:szCs w:val="15"/>
                <w:color w:val="auto"/>
                <w:vertAlign w:val="superscript"/>
              </w:rPr>
              <w:t>(12)</w:t>
            </w:r>
          </w:p>
        </w:tc>
        <w:tc>
          <w:tcPr>
            <w:tcW w:w="60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CCCCCC"/>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D60011"/>
            </w:tcBorders>
          </w:tcPr>
          <w:p>
            <w:pPr>
              <w:ind w:left="60"/>
              <w:spacing w:after="0"/>
              <w:rPr>
                <w:sz w:val="20"/>
                <w:szCs w:val="20"/>
                <w:color w:val="auto"/>
              </w:rPr>
            </w:pPr>
            <w:r>
              <w:rPr>
                <w:rFonts w:ascii="Arial" w:cs="Arial" w:eastAsia="Arial" w:hAnsi="Arial"/>
                <w:sz w:val="10"/>
                <w:szCs w:val="10"/>
                <w:color w:val="auto"/>
              </w:rPr>
              <w:t>Cause</w:t>
            </w:r>
          </w:p>
        </w:tc>
        <w:tc>
          <w:tcPr>
            <w:tcW w:w="1120" w:type="dxa"/>
            <w:vAlign w:val="bottom"/>
            <w:tcBorders>
              <w:bottom w:val="single" w:sz="8" w:color="D60011"/>
            </w:tcBorders>
          </w:tcPr>
          <w:p>
            <w:pPr>
              <w:jc w:val="right"/>
              <w:ind w:right="1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60011"/>
            </w:tcBorders>
          </w:tcPr>
          <w:p>
            <w:pPr>
              <w:jc w:val="right"/>
              <w:ind w:right="1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color w:val="auto"/>
              </w:rPr>
              <w:t>53,994</w:t>
            </w:r>
          </w:p>
        </w:tc>
        <w:tc>
          <w:tcPr>
            <w:tcW w:w="740" w:type="dxa"/>
            <w:vAlign w:val="bottom"/>
            <w:tcBorders>
              <w:bottom w:val="single" w:sz="8" w:color="D60011"/>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760" w:type="dxa"/>
            <w:vAlign w:val="bottom"/>
            <w:tcBorders>
              <w:bottom w:val="single" w:sz="8" w:color="CCCCCC"/>
            </w:tcBorders>
          </w:tcPr>
          <w:p>
            <w:pPr>
              <w:ind w:left="60"/>
              <w:spacing w:after="0" w:line="154" w:lineRule="exact"/>
              <w:rPr>
                <w:sz w:val="20"/>
                <w:szCs w:val="20"/>
                <w:color w:val="auto"/>
              </w:rPr>
            </w:pPr>
            <w:r>
              <w:rPr>
                <w:rFonts w:ascii="Arial" w:cs="Arial" w:eastAsia="Arial" w:hAnsi="Arial"/>
                <w:sz w:val="10"/>
                <w:szCs w:val="10"/>
                <w:b w:val="1"/>
                <w:bCs w:val="1"/>
                <w:color w:val="D60011"/>
              </w:rPr>
              <w:t>Talwar</w:t>
            </w:r>
            <w:r>
              <w:rPr>
                <w:rFonts w:ascii="Arial" w:cs="Arial" w:eastAsia="Arial" w:hAnsi="Arial"/>
                <w:sz w:val="15"/>
                <w:szCs w:val="15"/>
                <w:b w:val="1"/>
                <w:bCs w:val="1"/>
                <w:color w:val="D60011"/>
                <w:vertAlign w:val="superscript"/>
              </w:rPr>
              <w:t>(15)</w:t>
            </w:r>
          </w:p>
        </w:tc>
        <w:tc>
          <w:tcPr>
            <w:tcW w:w="1120" w:type="dxa"/>
            <w:vAlign w:val="bottom"/>
            <w:tcBorders>
              <w:bottom w:val="single" w:sz="8" w:color="CCCCCC"/>
            </w:tcBorders>
          </w:tcPr>
          <w:p>
            <w:pPr>
              <w:spacing w:after="0"/>
              <w:rPr>
                <w:sz w:val="13"/>
                <w:szCs w:val="13"/>
                <w:color w:val="auto"/>
              </w:rPr>
            </w:pPr>
          </w:p>
        </w:tc>
        <w:tc>
          <w:tcPr>
            <w:tcW w:w="860" w:type="dxa"/>
            <w:vAlign w:val="bottom"/>
            <w:tcBorders>
              <w:bottom w:val="single" w:sz="8" w:color="CCCCCC"/>
            </w:tcBorders>
          </w:tcPr>
          <w:p>
            <w:pPr>
              <w:spacing w:after="0"/>
              <w:rPr>
                <w:sz w:val="13"/>
                <w:szCs w:val="13"/>
                <w:color w:val="auto"/>
              </w:rPr>
            </w:pPr>
          </w:p>
        </w:tc>
        <w:tc>
          <w:tcPr>
            <w:tcW w:w="600" w:type="dxa"/>
            <w:vAlign w:val="bottom"/>
            <w:tcBorders>
              <w:bottom w:val="single" w:sz="8" w:color="CCCCCC"/>
            </w:tcBorders>
          </w:tcPr>
          <w:p>
            <w:pPr>
              <w:spacing w:after="0"/>
              <w:rPr>
                <w:sz w:val="13"/>
                <w:szCs w:val="13"/>
                <w:color w:val="auto"/>
              </w:rPr>
            </w:pPr>
          </w:p>
        </w:tc>
        <w:tc>
          <w:tcPr>
            <w:tcW w:w="860" w:type="dxa"/>
            <w:vAlign w:val="bottom"/>
            <w:tcBorders>
              <w:bottom w:val="single" w:sz="8" w:color="CCCCCC"/>
            </w:tcBorders>
          </w:tcPr>
          <w:p>
            <w:pPr>
              <w:spacing w:after="0"/>
              <w:rPr>
                <w:sz w:val="13"/>
                <w:szCs w:val="13"/>
                <w:color w:val="auto"/>
              </w:rPr>
            </w:pPr>
          </w:p>
        </w:tc>
        <w:tc>
          <w:tcPr>
            <w:tcW w:w="740" w:type="dxa"/>
            <w:vAlign w:val="bottom"/>
            <w:tcBorders>
              <w:bottom w:val="single" w:sz="8" w:color="CCCCCC"/>
            </w:tcBorders>
          </w:tcPr>
          <w:p>
            <w:pPr>
              <w:spacing w:after="0"/>
              <w:rPr>
                <w:sz w:val="13"/>
                <w:szCs w:val="13"/>
                <w:color w:val="auto"/>
              </w:rPr>
            </w:pPr>
          </w:p>
        </w:tc>
        <w:tc>
          <w:tcPr>
            <w:tcW w:w="760" w:type="dxa"/>
            <w:vAlign w:val="bottom"/>
            <w:tcBorders>
              <w:bottom w:val="single" w:sz="8" w:color="CCCCCC"/>
            </w:tcBorders>
          </w:tcPr>
          <w:p>
            <w:pPr>
              <w:spacing w:after="0"/>
              <w:rPr>
                <w:sz w:val="13"/>
                <w:szCs w:val="13"/>
                <w:color w:val="auto"/>
              </w:rPr>
            </w:pPr>
          </w:p>
        </w:tc>
        <w:tc>
          <w:tcPr>
            <w:tcW w:w="640" w:type="dxa"/>
            <w:vAlign w:val="bottom"/>
            <w:tcBorders>
              <w:bottom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60" w:type="dxa"/>
            <w:vAlign w:val="bottom"/>
            <w:tcBorders>
              <w:bottom w:val="single" w:sz="8" w:color="D60011"/>
            </w:tcBorders>
          </w:tcPr>
          <w:p>
            <w:pPr>
              <w:ind w:left="60"/>
              <w:spacing w:after="0"/>
              <w:rPr>
                <w:sz w:val="20"/>
                <w:szCs w:val="20"/>
                <w:color w:val="auto"/>
              </w:rPr>
            </w:pPr>
            <w:r>
              <w:rPr>
                <w:rFonts w:ascii="Arial" w:cs="Arial" w:eastAsia="Arial" w:hAnsi="Arial"/>
                <w:sz w:val="10"/>
                <w:szCs w:val="10"/>
                <w:color w:val="auto"/>
              </w:rPr>
              <w:t>Actual Payments</w:t>
            </w:r>
          </w:p>
        </w:tc>
        <w:tc>
          <w:tcPr>
            <w:tcW w:w="1120" w:type="dxa"/>
            <w:vAlign w:val="bottom"/>
            <w:tcBorders>
              <w:bottom w:val="single" w:sz="8" w:color="D60011"/>
            </w:tcBorders>
          </w:tcPr>
          <w:p>
            <w:pPr>
              <w:jc w:val="right"/>
              <w:ind w:right="52"/>
              <w:spacing w:after="0" w:line="151" w:lineRule="exact"/>
              <w:rPr>
                <w:sz w:val="20"/>
                <w:szCs w:val="20"/>
                <w:color w:val="auto"/>
              </w:rPr>
            </w:pPr>
            <w:r>
              <w:rPr>
                <w:rFonts w:ascii="Arial" w:cs="Arial" w:eastAsia="Arial" w:hAnsi="Arial"/>
                <w:sz w:val="10"/>
                <w:szCs w:val="10"/>
                <w:color w:val="auto"/>
              </w:rPr>
              <w:t>1,000,058</w:t>
            </w:r>
            <w:r>
              <w:rPr>
                <w:rFonts w:ascii="Arial" w:cs="Arial" w:eastAsia="Arial" w:hAnsi="Arial"/>
                <w:sz w:val="15"/>
                <w:szCs w:val="15"/>
                <w:color w:val="auto"/>
                <w:vertAlign w:val="superscript"/>
              </w:rPr>
              <w:t>(16)</w:t>
            </w:r>
          </w:p>
        </w:tc>
        <w:tc>
          <w:tcPr>
            <w:tcW w:w="860" w:type="dxa"/>
            <w:vAlign w:val="bottom"/>
            <w:tcBorders>
              <w:bottom w:val="single" w:sz="8" w:color="D60011"/>
            </w:tcBorders>
          </w:tcPr>
          <w:p>
            <w:pPr>
              <w:jc w:val="right"/>
              <w:ind w:right="1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color w:val="auto"/>
              </w:rPr>
              <w:t>20,449</w:t>
            </w:r>
          </w:p>
        </w:tc>
        <w:tc>
          <w:tcPr>
            <w:tcW w:w="740" w:type="dxa"/>
            <w:vAlign w:val="bottom"/>
            <w:tcBorders>
              <w:bottom w:val="single" w:sz="8" w:color="D60011"/>
            </w:tcBorders>
          </w:tcPr>
          <w:p>
            <w:pPr>
              <w:jc w:val="right"/>
              <w:spacing w:after="0"/>
              <w:rPr>
                <w:sz w:val="20"/>
                <w:szCs w:val="20"/>
                <w:color w:val="auto"/>
              </w:rPr>
            </w:pPr>
            <w:r>
              <w:rPr>
                <w:rFonts w:ascii="Arial" w:cs="Arial" w:eastAsia="Arial" w:hAnsi="Arial"/>
                <w:sz w:val="10"/>
                <w:szCs w:val="10"/>
                <w:color w:val="auto"/>
              </w:rPr>
              <w:t>11,564</w:t>
            </w:r>
          </w:p>
        </w:tc>
        <w:tc>
          <w:tcPr>
            <w:tcW w:w="7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176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Peters</w:t>
            </w:r>
          </w:p>
        </w:tc>
        <w:tc>
          <w:tcPr>
            <w:tcW w:w="112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60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c>
          <w:tcPr>
            <w:tcW w:w="740" w:type="dxa"/>
            <w:vAlign w:val="bottom"/>
            <w:tcBorders>
              <w:bottom w:val="single" w:sz="8" w:color="CCCCCC"/>
            </w:tcBorders>
          </w:tcPr>
          <w:p>
            <w:pPr>
              <w:spacing w:after="0"/>
              <w:rPr>
                <w:sz w:val="11"/>
                <w:szCs w:val="11"/>
                <w:color w:val="auto"/>
              </w:rPr>
            </w:pPr>
          </w:p>
        </w:tc>
        <w:tc>
          <w:tcPr>
            <w:tcW w:w="760" w:type="dxa"/>
            <w:vAlign w:val="bottom"/>
            <w:tcBorders>
              <w:bottom w:val="single" w:sz="8" w:color="CCCCCC"/>
            </w:tcBorders>
          </w:tcPr>
          <w:p>
            <w:pPr>
              <w:spacing w:after="0"/>
              <w:rPr>
                <w:sz w:val="11"/>
                <w:szCs w:val="11"/>
                <w:color w:val="auto"/>
              </w:rPr>
            </w:pPr>
          </w:p>
        </w:tc>
        <w:tc>
          <w:tcPr>
            <w:tcW w:w="64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760" w:type="dxa"/>
            <w:vAlign w:val="bottom"/>
            <w:tcBorders>
              <w:bottom w:val="single" w:sz="8" w:color="D60011"/>
            </w:tcBorders>
          </w:tcPr>
          <w:p>
            <w:pPr>
              <w:ind w:left="60"/>
              <w:spacing w:after="0"/>
              <w:rPr>
                <w:sz w:val="20"/>
                <w:szCs w:val="20"/>
                <w:color w:val="auto"/>
              </w:rPr>
            </w:pPr>
            <w:r>
              <w:rPr>
                <w:rFonts w:ascii="Arial" w:cs="Arial" w:eastAsia="Arial" w:hAnsi="Arial"/>
                <w:sz w:val="10"/>
                <w:szCs w:val="10"/>
                <w:color w:val="auto"/>
              </w:rPr>
              <w:t>Actual Payments</w:t>
            </w:r>
          </w:p>
        </w:tc>
        <w:tc>
          <w:tcPr>
            <w:tcW w:w="1120" w:type="dxa"/>
            <w:vAlign w:val="bottom"/>
            <w:tcBorders>
              <w:bottom w:val="single" w:sz="8" w:color="D60011"/>
            </w:tcBorders>
          </w:tcPr>
          <w:p>
            <w:pPr>
              <w:jc w:val="right"/>
              <w:ind w:right="13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60011"/>
            </w:tcBorders>
          </w:tcPr>
          <w:p>
            <w:pPr>
              <w:jc w:val="right"/>
              <w:ind w:right="12"/>
              <w:spacing w:after="0" w:line="152" w:lineRule="exact"/>
              <w:rPr>
                <w:sz w:val="20"/>
                <w:szCs w:val="20"/>
                <w:color w:val="auto"/>
              </w:rPr>
            </w:pPr>
            <w:r>
              <w:rPr>
                <w:rFonts w:ascii="Arial" w:cs="Arial" w:eastAsia="Arial" w:hAnsi="Arial"/>
                <w:sz w:val="10"/>
                <w:szCs w:val="10"/>
                <w:color w:val="auto"/>
              </w:rPr>
              <w:t>2,014,433</w:t>
            </w:r>
            <w:r>
              <w:rPr>
                <w:rFonts w:ascii="Arial" w:cs="Arial" w:eastAsia="Arial" w:hAnsi="Arial"/>
                <w:sz w:val="15"/>
                <w:szCs w:val="15"/>
                <w:color w:val="auto"/>
                <w:vertAlign w:val="superscript"/>
              </w:rPr>
              <w:t>(17)</w:t>
            </w:r>
          </w:p>
        </w:tc>
        <w:tc>
          <w:tcPr>
            <w:tcW w:w="60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color w:val="auto"/>
              </w:rPr>
              <w:t>1,556,210</w:t>
            </w:r>
          </w:p>
        </w:tc>
        <w:tc>
          <w:tcPr>
            <w:tcW w:w="86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60011"/>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972,700</w:t>
            </w:r>
          </w:p>
        </w:tc>
        <w:tc>
          <w:tcPr>
            <w:tcW w:w="64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180" w:right="2000" w:hanging="208"/>
        <w:spacing w:after="0" w:line="210"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color w:val="auto"/>
        </w:rPr>
        <w:t>This amount is the total benefit payable under the SERP (other than health benefits reported in the “Health Benefits” column). Upon termination other than due to disability or death, the payments would be made quarterly over a three-year period with the first two quarterly payments made on the first day of the calendar quarter that occurs six months following the NEO’s termination date, and the remaining payments made quarterly during the remainder of the three-year period. Upon termination due to disability or death, payments would be made in a lump sum following the disability or death. Mr. Talwar was not vested, and forfeited his benefit, upon his termination. Ms. Peters has begun receiving payments under the SERP, and the amounts reported in this column reflect the total actual amounts that she is expected to receive under the SERP (other than health benefits reported in the “Health Benefits” column).</w:t>
      </w:r>
    </w:p>
    <w:p>
      <w:pPr>
        <w:spacing w:after="0" w:line="37" w:lineRule="exact"/>
        <w:rPr>
          <w:rFonts w:ascii="Arial" w:cs="Arial" w:eastAsia="Arial" w:hAnsi="Arial"/>
          <w:sz w:val="16"/>
          <w:szCs w:val="16"/>
          <w:color w:val="auto"/>
          <w:vertAlign w:val="superscript"/>
        </w:rPr>
      </w:pPr>
    </w:p>
    <w:p>
      <w:pPr>
        <w:ind w:left="2180" w:right="1980" w:hanging="208"/>
        <w:spacing w:after="0" w:line="207"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color w:val="auto"/>
        </w:rPr>
        <w:t xml:space="preserve">Benefit payable as of January 29, 2022 in a lump sum under the Excess Cash Balance Plan six months following the NEO’s termination date. No information is provided with respect to the benefit under the Retirement Plan because that plan is available generally to all salaried team members (except as described in </w:t>
      </w:r>
      <w:r>
        <w:rPr>
          <w:rFonts w:ascii="Arial" w:cs="Arial" w:eastAsia="Arial" w:hAnsi="Arial"/>
          <w:sz w:val="10"/>
          <w:szCs w:val="10"/>
          <w:b w:val="1"/>
          <w:bCs w:val="1"/>
          <w:color w:val="D60011"/>
        </w:rPr>
        <w:t>Retirement Plan</w:t>
      </w:r>
      <w:r>
        <w:rPr>
          <w:rFonts w:ascii="Arial" w:cs="Arial" w:eastAsia="Arial" w:hAnsi="Arial"/>
          <w:sz w:val="10"/>
          <w:szCs w:val="10"/>
          <w:color w:val="auto"/>
        </w:rPr>
        <w:t xml:space="preserve"> beginning on page 88) and does not discriminate in terms of scope, terms, or operation in favor of the executive officers. Mr. Talwar will receive his benefit six months following his termination date. With respect to Ms. Peters, payment owed under the Excess Cash Balance Plan has been completed and no further benefit is due to her under this program.</w:t>
      </w:r>
    </w:p>
    <w:p>
      <w:pPr>
        <w:spacing w:after="0" w:line="38" w:lineRule="exact"/>
        <w:rPr>
          <w:rFonts w:ascii="Arial" w:cs="Arial" w:eastAsia="Arial" w:hAnsi="Arial"/>
          <w:sz w:val="16"/>
          <w:szCs w:val="16"/>
          <w:color w:val="auto"/>
          <w:vertAlign w:val="superscript"/>
        </w:rPr>
      </w:pPr>
    </w:p>
    <w:p>
      <w:pPr>
        <w:ind w:left="2180" w:right="2060" w:hanging="208"/>
        <w:spacing w:after="0" w:line="203"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color w:val="auto"/>
        </w:rPr>
        <w:t>Benefit payable as of January 29, 2022 in a lump sum under the Excess Savings Plan on the first payroll date of the month that occurs thirty days after the termination date (or such later date as may be required by Section 409A of the IRC), or in the event of death, no later than December 31 of the year following the year in which the participant’s death occurs. No information is provided with respect to the benefit under the 401(k) Plan because that plan is available generally to all salaried team members and does not discriminate in terms of scope, terms, or operation in favor of the executive officers.</w:t>
      </w:r>
    </w:p>
    <w:p>
      <w:pPr>
        <w:spacing w:after="0" w:line="38" w:lineRule="exact"/>
        <w:rPr>
          <w:rFonts w:ascii="Arial" w:cs="Arial" w:eastAsia="Arial" w:hAnsi="Arial"/>
          <w:sz w:val="16"/>
          <w:szCs w:val="16"/>
          <w:color w:val="auto"/>
          <w:vertAlign w:val="superscript"/>
        </w:rPr>
      </w:pPr>
    </w:p>
    <w:p>
      <w:pPr>
        <w:ind w:left="2180" w:right="2040" w:hanging="208"/>
        <w:spacing w:after="0" w:line="197"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color w:val="auto"/>
        </w:rPr>
        <w:t>The amount shown represents the actuarial present value of all future expected post-termination medical and dental insurance benefits under the SERP and the employment agreements. The benefits provided, and premiums (including any subsequent increases) required to be paid by the NEO, would be substantially the same for active team members. The benefit amount assumes the NEO does not qualify for disability benefits or other benefits under Medicare.</w:t>
      </w:r>
    </w:p>
    <w:p>
      <w:pPr>
        <w:spacing w:after="0" w:line="1" w:lineRule="exact"/>
        <w:rPr>
          <w:rFonts w:ascii="Arial" w:cs="Arial" w:eastAsia="Arial" w:hAnsi="Arial"/>
          <w:sz w:val="16"/>
          <w:szCs w:val="16"/>
          <w:color w:val="auto"/>
          <w:vertAlign w:val="superscript"/>
        </w:rPr>
      </w:pPr>
    </w:p>
    <w:p>
      <w:pPr>
        <w:ind w:left="2180" w:hanging="208"/>
        <w:spacing w:after="0" w:line="211"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color w:val="auto"/>
        </w:rPr>
        <w:t>Senior executive life insurance is payable following death in a lump sum to the NEO’s beneficiary.</w:t>
      </w:r>
    </w:p>
    <w:p>
      <w:pPr>
        <w:spacing w:after="0" w:line="45" w:lineRule="exact"/>
        <w:rPr>
          <w:rFonts w:ascii="Arial" w:cs="Arial" w:eastAsia="Arial" w:hAnsi="Arial"/>
          <w:sz w:val="16"/>
          <w:szCs w:val="16"/>
          <w:color w:val="auto"/>
          <w:vertAlign w:val="superscript"/>
        </w:rPr>
      </w:pPr>
    </w:p>
    <w:p>
      <w:pPr>
        <w:ind w:left="2180" w:hanging="208"/>
        <w:spacing w:after="0" w:line="203" w:lineRule="auto"/>
        <w:tabs>
          <w:tab w:leader="none" w:pos="2180" w:val="left"/>
        </w:tabs>
        <w:numPr>
          <w:ilvl w:val="0"/>
          <w:numId w:val="139"/>
        </w:numPr>
        <w:rPr>
          <w:rFonts w:ascii="Arial" w:cs="Arial" w:eastAsia="Arial" w:hAnsi="Arial"/>
          <w:sz w:val="12"/>
          <w:szCs w:val="12"/>
          <w:color w:val="auto"/>
          <w:vertAlign w:val="superscript"/>
        </w:rPr>
      </w:pPr>
      <w:r>
        <w:rPr>
          <w:rFonts w:ascii="Arial" w:cs="Arial" w:eastAsia="Arial" w:hAnsi="Arial"/>
          <w:sz w:val="8"/>
          <w:szCs w:val="8"/>
          <w:color w:val="auto"/>
        </w:rPr>
        <w:t>This severance amount includes the following items provided for under Mr. Johnson’s employment agreement:</w:t>
      </w:r>
    </w:p>
    <w:p>
      <w:pPr>
        <w:spacing w:after="0" w:line="45" w:lineRule="exact"/>
        <w:rPr>
          <w:rFonts w:ascii="Arial" w:cs="Arial" w:eastAsia="Arial" w:hAnsi="Arial"/>
          <w:sz w:val="12"/>
          <w:szCs w:val="12"/>
          <w:color w:val="auto"/>
          <w:vertAlign w:val="superscript"/>
        </w:rPr>
      </w:pPr>
    </w:p>
    <w:p>
      <w:pPr>
        <w:ind w:left="2180" w:right="2180"/>
        <w:spacing w:after="0" w:line="231" w:lineRule="auto"/>
        <w:rPr>
          <w:rFonts w:ascii="Arial" w:cs="Arial" w:eastAsia="Arial" w:hAnsi="Arial"/>
          <w:sz w:val="12"/>
          <w:szCs w:val="12"/>
          <w:color w:val="auto"/>
          <w:vertAlign w:val="superscript"/>
        </w:rPr>
      </w:pPr>
      <w:r>
        <w:rPr>
          <w:rFonts w:ascii="Arial" w:cs="Arial" w:eastAsia="Arial" w:hAnsi="Arial"/>
          <w:sz w:val="10"/>
          <w:szCs w:val="10"/>
          <w:b w:val="1"/>
          <w:bCs w:val="1"/>
          <w:color w:val="auto"/>
        </w:rPr>
        <w:t xml:space="preserve">Salary continuation for 24 months. </w:t>
      </w:r>
      <w:r>
        <w:rPr>
          <w:rFonts w:ascii="Arial" w:cs="Arial" w:eastAsia="Arial" w:hAnsi="Arial"/>
          <w:sz w:val="10"/>
          <w:szCs w:val="10"/>
          <w:color w:val="auto"/>
        </w:rPr>
        <w:t>Payment of the first twelve months of salary continuation would be made in a lump sum within 10 days following the six-month</w:t>
      </w:r>
      <w:r>
        <w:rPr>
          <w:rFonts w:ascii="Arial" w:cs="Arial" w:eastAsia="Arial" w:hAnsi="Arial"/>
          <w:sz w:val="10"/>
          <w:szCs w:val="10"/>
          <w:b w:val="1"/>
          <w:bCs w:val="1"/>
          <w:color w:val="auto"/>
        </w:rPr>
        <w:t xml:space="preserve"> </w:t>
      </w:r>
      <w:r>
        <w:rPr>
          <w:rFonts w:ascii="Arial" w:cs="Arial" w:eastAsia="Arial" w:hAnsi="Arial"/>
          <w:sz w:val="10"/>
          <w:szCs w:val="10"/>
          <w:color w:val="auto"/>
        </w:rPr>
        <w:t>anniversary of termination, and the remaining payments would then be made on a monthly basis beginning on the twelve-month anniversary of termination ($2,300,000).</w:t>
      </w:r>
    </w:p>
    <w:p>
      <w:pPr>
        <w:spacing w:after="0" w:line="35" w:lineRule="exact"/>
        <w:rPr>
          <w:rFonts w:ascii="Arial" w:cs="Arial" w:eastAsia="Arial" w:hAnsi="Arial"/>
          <w:sz w:val="12"/>
          <w:szCs w:val="12"/>
          <w:color w:val="auto"/>
          <w:vertAlign w:val="superscript"/>
        </w:rPr>
      </w:pPr>
    </w:p>
    <w:p>
      <w:pPr>
        <w:ind w:left="2180" w:right="2020"/>
        <w:spacing w:after="0" w:line="238" w:lineRule="auto"/>
        <w:rPr>
          <w:rFonts w:ascii="Arial" w:cs="Arial" w:eastAsia="Arial" w:hAnsi="Arial"/>
          <w:sz w:val="12"/>
          <w:szCs w:val="12"/>
          <w:color w:val="auto"/>
          <w:vertAlign w:val="superscript"/>
        </w:rPr>
      </w:pPr>
      <w:r>
        <w:rPr>
          <w:rFonts w:ascii="Arial" w:cs="Arial" w:eastAsia="Arial" w:hAnsi="Arial"/>
          <w:sz w:val="10"/>
          <w:szCs w:val="10"/>
          <w:b w:val="1"/>
          <w:bCs w:val="1"/>
          <w:color w:val="auto"/>
        </w:rPr>
        <w:t xml:space="preserve">Annual Bonus for Year of Termination. </w:t>
      </w:r>
      <w:r>
        <w:rPr>
          <w:rFonts w:ascii="Arial" w:cs="Arial" w:eastAsia="Arial" w:hAnsi="Arial"/>
          <w:sz w:val="10"/>
          <w:szCs w:val="10"/>
          <w:color w:val="auto"/>
        </w:rPr>
        <w:t>For the fiscal year in which termination occurs, payment of the Annual Incentive Plan payouts that would have otherwise been</w:t>
      </w:r>
      <w:r>
        <w:rPr>
          <w:rFonts w:ascii="Arial" w:cs="Arial" w:eastAsia="Arial" w:hAnsi="Arial"/>
          <w:sz w:val="10"/>
          <w:szCs w:val="10"/>
          <w:b w:val="1"/>
          <w:bCs w:val="1"/>
          <w:color w:val="auto"/>
        </w:rPr>
        <w:t xml:space="preserve"> </w:t>
      </w:r>
      <w:r>
        <w:rPr>
          <w:rFonts w:ascii="Arial" w:cs="Arial" w:eastAsia="Arial" w:hAnsi="Arial"/>
          <w:sz w:val="10"/>
          <w:szCs w:val="10"/>
          <w:color w:val="auto"/>
        </w:rPr>
        <w:t>earned if such termination had not occurred, prorated as of the Termination Date, to be paid at the same time as other annual bonuses for the fiscal year in which the termination occurs ($4,169,900).</w:t>
      </w:r>
    </w:p>
    <w:p>
      <w:pPr>
        <w:spacing w:after="0" w:line="35" w:lineRule="exact"/>
        <w:rPr>
          <w:rFonts w:ascii="Arial" w:cs="Arial" w:eastAsia="Arial" w:hAnsi="Arial"/>
          <w:sz w:val="12"/>
          <w:szCs w:val="12"/>
          <w:color w:val="auto"/>
          <w:vertAlign w:val="superscript"/>
        </w:rPr>
      </w:pPr>
    </w:p>
    <w:p>
      <w:pPr>
        <w:ind w:left="2180"/>
        <w:spacing w:after="0"/>
        <w:rPr>
          <w:rFonts w:ascii="Arial" w:cs="Arial" w:eastAsia="Arial" w:hAnsi="Arial"/>
          <w:sz w:val="12"/>
          <w:szCs w:val="12"/>
          <w:color w:val="auto"/>
          <w:vertAlign w:val="superscript"/>
        </w:rPr>
      </w:pPr>
      <w:r>
        <w:rPr>
          <w:rFonts w:ascii="Arial" w:cs="Arial" w:eastAsia="Arial" w:hAnsi="Arial"/>
          <w:sz w:val="10"/>
          <w:szCs w:val="10"/>
          <w:b w:val="1"/>
          <w:bCs w:val="1"/>
          <w:color w:val="auto"/>
        </w:rPr>
        <w:t xml:space="preserve">Outplacement. </w:t>
      </w:r>
      <w:r>
        <w:rPr>
          <w:rFonts w:ascii="Arial" w:cs="Arial" w:eastAsia="Arial" w:hAnsi="Arial"/>
          <w:sz w:val="10"/>
          <w:szCs w:val="10"/>
          <w:color w:val="auto"/>
        </w:rPr>
        <w:t>The approximate cost of one year of outplacement services ($7,000).</w:t>
      </w:r>
    </w:p>
    <w:p>
      <w:pPr>
        <w:spacing w:after="0" w:line="47" w:lineRule="exact"/>
        <w:rPr>
          <w:rFonts w:ascii="Arial" w:cs="Arial" w:eastAsia="Arial" w:hAnsi="Arial"/>
          <w:sz w:val="12"/>
          <w:szCs w:val="12"/>
          <w:color w:val="auto"/>
          <w:vertAlign w:val="superscript"/>
        </w:rPr>
      </w:pPr>
    </w:p>
    <w:p>
      <w:pPr>
        <w:ind w:left="2180" w:right="2020" w:hanging="208"/>
        <w:spacing w:after="0" w:line="208"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b w:val="1"/>
          <w:bCs w:val="1"/>
          <w:color w:val="auto"/>
        </w:rPr>
        <w:t xml:space="preserve">Pro Rata Payment of any Unearned PSUs. </w:t>
      </w:r>
      <w:r>
        <w:rPr>
          <w:rFonts w:ascii="Arial" w:cs="Arial" w:eastAsia="Arial" w:hAnsi="Arial"/>
          <w:sz w:val="10"/>
          <w:szCs w:val="10"/>
          <w:color w:val="auto"/>
        </w:rPr>
        <w:t>Pursuant to Mr. Johnson’s employment agreement, with respect to any non-completed performance period during which</w:t>
      </w:r>
      <w:r>
        <w:rPr>
          <w:rFonts w:ascii="Arial" w:cs="Arial" w:eastAsia="Arial" w:hAnsi="Arial"/>
          <w:sz w:val="10"/>
          <w:szCs w:val="10"/>
          <w:b w:val="1"/>
          <w:bCs w:val="1"/>
          <w:color w:val="auto"/>
        </w:rPr>
        <w:t xml:space="preserve"> </w:t>
      </w:r>
      <w:r>
        <w:rPr>
          <w:rFonts w:ascii="Arial" w:cs="Arial" w:eastAsia="Arial" w:hAnsi="Arial"/>
          <w:sz w:val="10"/>
          <w:szCs w:val="10"/>
          <w:color w:val="auto"/>
        </w:rPr>
        <w:t>termination occurs, payment of any PSU awards that would have otherwise been earned if such termination had not occurred, as prorated through the termination date. The amount shown includes the sum of the value of the PSUs that the NEO would have been entitled to receive based on the prorated target level achievement of the performance goals for the 2021-22 performance measurement period (45,048 PSUs). The PSUs would become immediately vested and payable. The PSUs were valued at $44.43 per share.</w:t>
      </w:r>
    </w:p>
    <w:p>
      <w:pPr>
        <w:spacing w:after="0" w:line="35" w:lineRule="exact"/>
        <w:rPr>
          <w:rFonts w:ascii="Arial" w:cs="Arial" w:eastAsia="Arial" w:hAnsi="Arial"/>
          <w:sz w:val="16"/>
          <w:szCs w:val="16"/>
          <w:color w:val="auto"/>
          <w:vertAlign w:val="superscript"/>
        </w:rPr>
      </w:pPr>
    </w:p>
    <w:p>
      <w:pPr>
        <w:ind w:left="2180" w:right="2060"/>
        <w:spacing w:after="0" w:line="233" w:lineRule="auto"/>
        <w:rPr>
          <w:rFonts w:ascii="Arial" w:cs="Arial" w:eastAsia="Arial" w:hAnsi="Arial"/>
          <w:sz w:val="16"/>
          <w:szCs w:val="16"/>
          <w:color w:val="auto"/>
          <w:vertAlign w:val="superscript"/>
        </w:rPr>
      </w:pPr>
      <w:r>
        <w:rPr>
          <w:rFonts w:ascii="Arial" w:cs="Arial" w:eastAsia="Arial" w:hAnsi="Arial"/>
          <w:sz w:val="10"/>
          <w:szCs w:val="10"/>
          <w:b w:val="1"/>
          <w:bCs w:val="1"/>
          <w:color w:val="auto"/>
        </w:rPr>
        <w:t xml:space="preserve">Payment of any Earned and Unvested PSUs and Vesting of Stock Options. </w:t>
      </w:r>
      <w:r>
        <w:rPr>
          <w:rFonts w:ascii="Arial" w:cs="Arial" w:eastAsia="Arial" w:hAnsi="Arial"/>
          <w:sz w:val="10"/>
          <w:szCs w:val="10"/>
          <w:color w:val="auto"/>
        </w:rPr>
        <w:t>Pursuant to Mr. Johnson’s employment agreement, with respect to any completed</w:t>
      </w:r>
      <w:r>
        <w:rPr>
          <w:rFonts w:ascii="Arial" w:cs="Arial" w:eastAsia="Arial" w:hAnsi="Arial"/>
          <w:sz w:val="10"/>
          <w:szCs w:val="10"/>
          <w:b w:val="1"/>
          <w:bCs w:val="1"/>
          <w:color w:val="auto"/>
        </w:rPr>
        <w:t xml:space="preserve"> </w:t>
      </w:r>
      <w:r>
        <w:rPr>
          <w:rFonts w:ascii="Arial" w:cs="Arial" w:eastAsia="Arial" w:hAnsi="Arial"/>
          <w:sz w:val="10"/>
          <w:szCs w:val="10"/>
          <w:color w:val="auto"/>
        </w:rPr>
        <w:t>performance period during which termination occurs, payment of any PSU award that is earned and unvested as of the termination date. The amount shown includes the (A) PSUs based on the (i) prorated actual level achievement of the performance goals for the 2020-21 performance measurement period (186,782 PSUs), and (ii) actual level achievement of the performance goals for the 2019-20 performance measurement period (0 PSUs), and (B) intrinsic value on January 29, 2022 of 262,412 stock options that would vest.</w:t>
      </w:r>
    </w:p>
    <w:p>
      <w:pPr>
        <w:spacing w:after="0" w:line="37" w:lineRule="exact"/>
        <w:rPr>
          <w:rFonts w:ascii="Arial" w:cs="Arial" w:eastAsia="Arial" w:hAnsi="Arial"/>
          <w:sz w:val="16"/>
          <w:szCs w:val="16"/>
          <w:color w:val="auto"/>
          <w:vertAlign w:val="superscript"/>
        </w:rPr>
      </w:pPr>
    </w:p>
    <w:p>
      <w:pPr>
        <w:ind w:left="2180" w:right="2060" w:hanging="208"/>
        <w:spacing w:after="0" w:line="223" w:lineRule="auto"/>
        <w:tabs>
          <w:tab w:leader="none" w:pos="2180" w:val="left"/>
        </w:tabs>
        <w:numPr>
          <w:ilvl w:val="0"/>
          <w:numId w:val="139"/>
        </w:numPr>
        <w:rPr>
          <w:rFonts w:ascii="Arial" w:cs="Arial" w:eastAsia="Arial" w:hAnsi="Arial"/>
          <w:sz w:val="15"/>
          <w:szCs w:val="15"/>
          <w:color w:val="auto"/>
          <w:vertAlign w:val="superscript"/>
        </w:rPr>
      </w:pPr>
      <w:r>
        <w:rPr>
          <w:rFonts w:ascii="Arial" w:cs="Arial" w:eastAsia="Arial" w:hAnsi="Arial"/>
          <w:sz w:val="9"/>
          <w:szCs w:val="9"/>
          <w:color w:val="auto"/>
        </w:rPr>
        <w:t>This covers termination by the Company without Cause or by the NEO for Good Reason during the two-year period following a Change in Control (each as defined in the NEO’s employment agreement). If the payments or benefits received by the NEO following a Change in Control are subject to the excise tax under Section 4999 of the IRC, then the Company would automatically reduce the NEO payments and benefits to an amount equal to $1 less than the amount that would subject the NEO to the excise tax, as long as the reduced amount would result in a greater benefit to the NEO compared to the unreduced amount on a net after-tax basis.</w:t>
      </w:r>
    </w:p>
    <w:p>
      <w:pPr>
        <w:spacing w:after="0" w:line="37" w:lineRule="exact"/>
        <w:rPr>
          <w:rFonts w:ascii="Arial" w:cs="Arial" w:eastAsia="Arial" w:hAnsi="Arial"/>
          <w:sz w:val="15"/>
          <w:szCs w:val="15"/>
          <w:color w:val="auto"/>
          <w:vertAlign w:val="superscript"/>
        </w:rPr>
      </w:pPr>
    </w:p>
    <w:p>
      <w:pPr>
        <w:ind w:left="2180" w:right="2080" w:hanging="208"/>
        <w:spacing w:after="0" w:line="186"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color w:val="auto"/>
        </w:rPr>
        <w:t>The severance amount equals two times the sum of the NEO’s annual salary plus Annual Incentive Plan payout at target. With respect to Mr. Johnson, it also includes the approximate cost of one year of outplacement services ($7,000).</w:t>
      </w:r>
    </w:p>
    <w:p>
      <w:pPr>
        <w:spacing w:after="0" w:line="38" w:lineRule="exact"/>
        <w:rPr>
          <w:rFonts w:ascii="Arial" w:cs="Arial" w:eastAsia="Arial" w:hAnsi="Arial"/>
          <w:sz w:val="16"/>
          <w:szCs w:val="16"/>
          <w:color w:val="auto"/>
          <w:vertAlign w:val="superscript"/>
        </w:rPr>
      </w:pPr>
    </w:p>
    <w:p>
      <w:pPr>
        <w:ind w:left="2180" w:right="2020" w:hanging="208"/>
        <w:spacing w:after="0" w:line="207" w:lineRule="auto"/>
        <w:tabs>
          <w:tab w:leader="none" w:pos="2180" w:val="left"/>
        </w:tabs>
        <w:numPr>
          <w:ilvl w:val="0"/>
          <w:numId w:val="139"/>
        </w:numPr>
        <w:rPr>
          <w:rFonts w:ascii="Arial" w:cs="Arial" w:eastAsia="Arial" w:hAnsi="Arial"/>
          <w:sz w:val="16"/>
          <w:szCs w:val="16"/>
          <w:color w:val="auto"/>
          <w:vertAlign w:val="superscript"/>
        </w:rPr>
      </w:pPr>
      <w:r>
        <w:rPr>
          <w:rFonts w:ascii="Arial" w:cs="Arial" w:eastAsia="Arial" w:hAnsi="Arial"/>
          <w:sz w:val="10"/>
          <w:szCs w:val="10"/>
          <w:color w:val="auto"/>
        </w:rPr>
        <w:t>The amount shown represents the sum of the (A) value of the RSUs that would vest, (B) value of the PSUs that the NEO would have been entitled to receive based on the (i) prorated target level achievement of the performance goals for the 2021-22 performance measurement period, (ii) actual level achievement of the performance goals for the 2020-21 performance measurement period, and (iii) actual level achievement of the performance goals for the 2019-20 performance measurement period, and (C) intrinsic value on January 29, 2022 of the stock options that would vest. The RSUs would become immediately vested and payable. The RSUs and PSUs were valued at $44.43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27305</wp:posOffset>
            </wp:positionV>
            <wp:extent cx="365760" cy="2228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93</w:t>
            </w:r>
          </w:p>
        </w:tc>
      </w:tr>
      <w:tr>
        <w:trPr>
          <w:trHeight w:val="201"/>
        </w:trPr>
        <w:tc>
          <w:tcPr>
            <w:tcW w:w="87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r>
    </w:tbl>
    <w:p>
      <w:pPr>
        <w:sectPr>
          <w:pgSz w:w="11900" w:h="16838" w:orient="portrait"/>
          <w:cols w:equalWidth="0" w:num="1">
            <w:col w:w="11300"/>
          </w:cols>
          <w:pgMar w:left="300" w:top="565" w:right="299" w:bottom="1440" w:gutter="0" w:footer="0" w:header="0"/>
        </w:sectPr>
      </w:pPr>
    </w:p>
    <w:bookmarkStart w:id="94" w:name="page95"/>
    <w:bookmarkEnd w:id="94"/>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31"/>
        </w:trPr>
        <w:tc>
          <w:tcPr>
            <w:tcW w:w="3420" w:type="dxa"/>
            <w:vAlign w:val="bottom"/>
            <w:gridSpan w:val="2"/>
          </w:tcPr>
          <w:p>
            <w:pPr>
              <w:spacing w:after="0"/>
              <w:rPr>
                <w:sz w:val="20"/>
                <w:szCs w:val="20"/>
                <w:color w:val="auto"/>
              </w:rPr>
            </w:pPr>
            <w:r>
              <w:rPr>
                <w:rFonts w:ascii="Arial" w:cs="Arial" w:eastAsia="Arial" w:hAnsi="Arial"/>
                <w:sz w:val="10"/>
                <w:szCs w:val="10"/>
                <w:b w:val="1"/>
                <w:bCs w:val="1"/>
                <w:color w:val="D60011"/>
              </w:rPr>
              <w:t>EXECUTIVE COMPENSATION</w:t>
            </w:r>
          </w:p>
        </w:tc>
        <w:tc>
          <w:tcPr>
            <w:tcW w:w="2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9"/>
        </w:trPr>
        <w:tc>
          <w:tcPr>
            <w:tcW w:w="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580" w:type="dxa"/>
            <w:vAlign w:val="bottom"/>
          </w:tcPr>
          <w:p>
            <w:pPr>
              <w:jc w:val="right"/>
              <w:ind w:right="132"/>
              <w:spacing w:after="0"/>
              <w:rPr>
                <w:sz w:val="20"/>
                <w:szCs w:val="20"/>
                <w:color w:val="auto"/>
              </w:rPr>
            </w:pPr>
            <w:r>
              <w:rPr>
                <w:rFonts w:ascii="Arial" w:cs="Arial" w:eastAsia="Arial" w:hAnsi="Arial"/>
                <w:sz w:val="10"/>
                <w:szCs w:val="10"/>
                <w:b w:val="1"/>
                <w:bCs w:val="1"/>
                <w:color w:val="auto"/>
              </w:rPr>
              <w:t>RSUs</w:t>
            </w:r>
          </w:p>
        </w:tc>
        <w:tc>
          <w:tcPr>
            <w:tcW w:w="560" w:type="dxa"/>
            <w:vAlign w:val="bottom"/>
          </w:tcPr>
          <w:p>
            <w:pPr>
              <w:jc w:val="right"/>
              <w:ind w:right="52"/>
              <w:spacing w:after="0"/>
              <w:rPr>
                <w:sz w:val="20"/>
                <w:szCs w:val="20"/>
                <w:color w:val="auto"/>
              </w:rPr>
            </w:pPr>
            <w:r>
              <w:rPr>
                <w:rFonts w:ascii="Arial" w:cs="Arial" w:eastAsia="Arial" w:hAnsi="Arial"/>
                <w:sz w:val="10"/>
                <w:szCs w:val="10"/>
                <w:b w:val="1"/>
                <w:bCs w:val="1"/>
                <w:color w:val="auto"/>
              </w:rPr>
              <w:t>PSUs</w:t>
            </w:r>
          </w:p>
        </w:tc>
        <w:tc>
          <w:tcPr>
            <w:tcW w:w="760" w:type="dxa"/>
            <w:vAlign w:val="bottom"/>
          </w:tcPr>
          <w:p>
            <w:pPr>
              <w:jc w:val="right"/>
              <w:ind w:right="12"/>
              <w:spacing w:after="0"/>
              <w:rPr>
                <w:sz w:val="20"/>
                <w:szCs w:val="20"/>
                <w:color w:val="auto"/>
              </w:rPr>
            </w:pPr>
            <w:r>
              <w:rPr>
                <w:rFonts w:ascii="Arial" w:cs="Arial" w:eastAsia="Arial" w:hAnsi="Arial"/>
                <w:sz w:val="10"/>
                <w:szCs w:val="10"/>
                <w:b w:val="1"/>
                <w:bCs w:val="1"/>
                <w:color w:val="auto"/>
              </w:rPr>
              <w:t>Stock Options</w:t>
            </w:r>
          </w:p>
        </w:tc>
      </w:tr>
      <w:tr>
        <w:trPr>
          <w:trHeight w:val="132"/>
        </w:trPr>
        <w:tc>
          <w:tcPr>
            <w:tcW w:w="200" w:type="dxa"/>
            <w:vAlign w:val="bottom"/>
          </w:tcPr>
          <w:p>
            <w:pPr>
              <w:spacing w:after="0"/>
              <w:rPr>
                <w:sz w:val="11"/>
                <w:szCs w:val="11"/>
                <w:color w:val="auto"/>
              </w:rPr>
            </w:pPr>
          </w:p>
        </w:tc>
        <w:tc>
          <w:tcPr>
            <w:tcW w:w="3220" w:type="dxa"/>
            <w:vAlign w:val="bottom"/>
            <w:tcBorders>
              <w:bottom w:val="single" w:sz="8" w:color="D60011"/>
            </w:tcBorders>
          </w:tcPr>
          <w:p>
            <w:pPr>
              <w:spacing w:after="0"/>
              <w:rPr>
                <w:sz w:val="11"/>
                <w:szCs w:val="11"/>
                <w:color w:val="auto"/>
              </w:rPr>
            </w:pPr>
          </w:p>
        </w:tc>
        <w:tc>
          <w:tcPr>
            <w:tcW w:w="2580" w:type="dxa"/>
            <w:vAlign w:val="bottom"/>
            <w:tcBorders>
              <w:bottom w:val="single" w:sz="8" w:color="D60011"/>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33"/>
        </w:trPr>
        <w:tc>
          <w:tcPr>
            <w:tcW w:w="200" w:type="dxa"/>
            <w:vAlign w:val="bottom"/>
          </w:tcPr>
          <w:p>
            <w:pPr>
              <w:spacing w:after="0"/>
              <w:rPr>
                <w:sz w:val="11"/>
                <w:szCs w:val="11"/>
                <w:color w:val="auto"/>
              </w:rPr>
            </w:pPr>
          </w:p>
        </w:tc>
        <w:tc>
          <w:tcPr>
            <w:tcW w:w="32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25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105,948</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231,830</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262,412</w:t>
            </w:r>
          </w:p>
        </w:tc>
      </w:tr>
      <w:tr>
        <w:trPr>
          <w:trHeight w:val="133"/>
        </w:trPr>
        <w:tc>
          <w:tcPr>
            <w:tcW w:w="200" w:type="dxa"/>
            <w:vAlign w:val="bottom"/>
          </w:tcPr>
          <w:p>
            <w:pPr>
              <w:spacing w:after="0"/>
              <w:rPr>
                <w:sz w:val="11"/>
                <w:szCs w:val="11"/>
                <w:color w:val="auto"/>
              </w:rPr>
            </w:pPr>
          </w:p>
        </w:tc>
        <w:tc>
          <w:tcPr>
            <w:tcW w:w="32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25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15,725</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11,642</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8,333</w:t>
            </w:r>
          </w:p>
        </w:tc>
      </w:tr>
      <w:tr>
        <w:trPr>
          <w:trHeight w:val="133"/>
        </w:trPr>
        <w:tc>
          <w:tcPr>
            <w:tcW w:w="200" w:type="dxa"/>
            <w:vAlign w:val="bottom"/>
          </w:tcPr>
          <w:p>
            <w:pPr>
              <w:spacing w:after="0"/>
              <w:rPr>
                <w:sz w:val="11"/>
                <w:szCs w:val="11"/>
                <w:color w:val="auto"/>
              </w:rPr>
            </w:pPr>
          </w:p>
        </w:tc>
        <w:tc>
          <w:tcPr>
            <w:tcW w:w="32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25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19,123</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23,561</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21,298</w:t>
            </w:r>
          </w:p>
        </w:tc>
      </w:tr>
      <w:tr>
        <w:trPr>
          <w:trHeight w:val="133"/>
        </w:trPr>
        <w:tc>
          <w:tcPr>
            <w:tcW w:w="200" w:type="dxa"/>
            <w:vAlign w:val="bottom"/>
          </w:tcPr>
          <w:p>
            <w:pPr>
              <w:spacing w:after="0"/>
              <w:rPr>
                <w:sz w:val="11"/>
                <w:szCs w:val="11"/>
                <w:color w:val="auto"/>
              </w:rPr>
            </w:pPr>
          </w:p>
        </w:tc>
        <w:tc>
          <w:tcPr>
            <w:tcW w:w="32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w:t>
            </w:r>
          </w:p>
        </w:tc>
        <w:tc>
          <w:tcPr>
            <w:tcW w:w="258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19,841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27,500</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40,082</w:t>
            </w:r>
          </w:p>
        </w:tc>
      </w:tr>
      <w:tr>
        <w:trPr>
          <w:trHeight w:val="133"/>
        </w:trPr>
        <w:tc>
          <w:tcPr>
            <w:tcW w:w="200" w:type="dxa"/>
            <w:vAlign w:val="bottom"/>
          </w:tcPr>
          <w:p>
            <w:pPr>
              <w:spacing w:after="0"/>
              <w:rPr>
                <w:sz w:val="11"/>
                <w:szCs w:val="11"/>
                <w:color w:val="auto"/>
              </w:rPr>
            </w:pPr>
          </w:p>
        </w:tc>
        <w:tc>
          <w:tcPr>
            <w:tcW w:w="322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D60011"/>
              </w:rPr>
              <w:t>Gray</w:t>
            </w:r>
          </w:p>
        </w:tc>
        <w:tc>
          <w:tcPr>
            <w:tcW w:w="258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color w:val="auto"/>
              </w:rPr>
              <w:t>13,710</w:t>
            </w:r>
          </w:p>
        </w:tc>
        <w:tc>
          <w:tcPr>
            <w:tcW w:w="5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25,299</w:t>
            </w:r>
          </w:p>
        </w:tc>
        <w:tc>
          <w:tcPr>
            <w:tcW w:w="76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21,077</w:t>
            </w:r>
          </w:p>
        </w:tc>
      </w:tr>
    </w:tbl>
    <w:p>
      <w:pPr>
        <w:spacing w:after="0" w:line="157" w:lineRule="exact"/>
        <w:rPr>
          <w:sz w:val="20"/>
          <w:szCs w:val="20"/>
          <w:color w:val="auto"/>
        </w:rPr>
      </w:pPr>
    </w:p>
    <w:p>
      <w:pPr>
        <w:ind w:left="1040" w:right="899" w:hanging="208"/>
        <w:spacing w:after="0" w:line="210" w:lineRule="auto"/>
        <w:tabs>
          <w:tab w:leader="none" w:pos="1040" w:val="left"/>
        </w:tabs>
        <w:numPr>
          <w:ilvl w:val="0"/>
          <w:numId w:val="140"/>
        </w:numPr>
        <w:rPr>
          <w:rFonts w:ascii="Arial" w:cs="Arial" w:eastAsia="Arial" w:hAnsi="Arial"/>
          <w:sz w:val="16"/>
          <w:szCs w:val="16"/>
          <w:color w:val="auto"/>
          <w:vertAlign w:val="superscript"/>
        </w:rPr>
      </w:pPr>
      <w:r>
        <w:rPr>
          <w:rFonts w:ascii="Arial" w:cs="Arial" w:eastAsia="Arial" w:hAnsi="Arial"/>
          <w:sz w:val="10"/>
          <w:szCs w:val="10"/>
          <w:color w:val="auto"/>
        </w:rPr>
        <w:t>The amount shown represents the sum of the (A) value of the RSUs, some or all of which may be accelerated by the Human Capital Committee, (B) value of the PSUs that the executive would have been entitled to receive based on the (i) target level achievement of the performance goals for the 2021-22 performance period, prorated to the termination date, (ii) actual level achievement of the performance goals for the 2020-21 performance measurement period, and (iii) actual level achievement of the performance goals for the 2019-20 performance measurement period, and (C) intrinsic value on January 29, 2022 of the stock options that would vest. The PSUs would be paid out at the same time as the payouts are made to the other participants in the plan. The RSUs and PSUs were valued at $44.43 per share. The actual value of the RSUs and PSUs to the NEO would depend upon the Company’s stock price on the payout date.</w:t>
      </w:r>
    </w:p>
    <w:p>
      <w:pPr>
        <w:spacing w:after="0" w:line="101"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2920" w:type="dxa"/>
            <w:vAlign w:val="bottom"/>
          </w:tcPr>
          <w:p>
            <w:pPr>
              <w:jc w:val="right"/>
              <w:ind w:right="132"/>
              <w:spacing w:after="0"/>
              <w:rPr>
                <w:sz w:val="20"/>
                <w:szCs w:val="20"/>
                <w:color w:val="auto"/>
              </w:rPr>
            </w:pPr>
            <w:r>
              <w:rPr>
                <w:rFonts w:ascii="Arial" w:cs="Arial" w:eastAsia="Arial" w:hAnsi="Arial"/>
                <w:sz w:val="10"/>
                <w:szCs w:val="10"/>
                <w:b w:val="1"/>
                <w:bCs w:val="1"/>
                <w:color w:val="auto"/>
              </w:rPr>
              <w:t>RSUs</w:t>
            </w:r>
          </w:p>
        </w:tc>
        <w:tc>
          <w:tcPr>
            <w:tcW w:w="560" w:type="dxa"/>
            <w:vAlign w:val="bottom"/>
          </w:tcPr>
          <w:p>
            <w:pPr>
              <w:jc w:val="right"/>
              <w:ind w:right="52"/>
              <w:spacing w:after="0"/>
              <w:rPr>
                <w:sz w:val="20"/>
                <w:szCs w:val="20"/>
                <w:color w:val="auto"/>
              </w:rPr>
            </w:pPr>
            <w:r>
              <w:rPr>
                <w:rFonts w:ascii="Arial" w:cs="Arial" w:eastAsia="Arial" w:hAnsi="Arial"/>
                <w:sz w:val="10"/>
                <w:szCs w:val="10"/>
                <w:b w:val="1"/>
                <w:bCs w:val="1"/>
                <w:color w:val="auto"/>
              </w:rPr>
              <w:t>PSUs</w:t>
            </w:r>
          </w:p>
        </w:tc>
        <w:tc>
          <w:tcPr>
            <w:tcW w:w="760" w:type="dxa"/>
            <w:vAlign w:val="bottom"/>
          </w:tcPr>
          <w:p>
            <w:pPr>
              <w:jc w:val="right"/>
              <w:ind w:right="12"/>
              <w:spacing w:after="0"/>
              <w:rPr>
                <w:sz w:val="20"/>
                <w:szCs w:val="20"/>
                <w:color w:val="auto"/>
              </w:rPr>
            </w:pPr>
            <w:r>
              <w:rPr>
                <w:rFonts w:ascii="Arial" w:cs="Arial" w:eastAsia="Arial" w:hAnsi="Arial"/>
                <w:sz w:val="10"/>
                <w:szCs w:val="10"/>
                <w:b w:val="1"/>
                <w:bCs w:val="1"/>
                <w:color w:val="auto"/>
              </w:rPr>
              <w:t>Stock Options</w:t>
            </w:r>
          </w:p>
        </w:tc>
      </w:tr>
      <w:tr>
        <w:trPr>
          <w:trHeight w:val="132"/>
        </w:trPr>
        <w:tc>
          <w:tcPr>
            <w:tcW w:w="2880" w:type="dxa"/>
            <w:vAlign w:val="bottom"/>
            <w:tcBorders>
              <w:bottom w:val="single" w:sz="8" w:color="D60011"/>
            </w:tcBorders>
          </w:tcPr>
          <w:p>
            <w:pPr>
              <w:spacing w:after="0"/>
              <w:rPr>
                <w:sz w:val="11"/>
                <w:szCs w:val="11"/>
                <w:color w:val="auto"/>
              </w:rPr>
            </w:pPr>
          </w:p>
        </w:tc>
        <w:tc>
          <w:tcPr>
            <w:tcW w:w="2920" w:type="dxa"/>
            <w:vAlign w:val="bottom"/>
            <w:tcBorders>
              <w:bottom w:val="single" w:sz="8" w:color="D60011"/>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33"/>
        </w:trPr>
        <w:tc>
          <w:tcPr>
            <w:tcW w:w="28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292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105,948</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231,830</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129,516</w:t>
            </w:r>
          </w:p>
        </w:tc>
      </w:tr>
      <w:tr>
        <w:trPr>
          <w:trHeight w:val="133"/>
        </w:trPr>
        <w:tc>
          <w:tcPr>
            <w:tcW w:w="28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292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15,725</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11,642</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2,777</w:t>
            </w:r>
          </w:p>
        </w:tc>
      </w:tr>
      <w:tr>
        <w:trPr>
          <w:trHeight w:val="133"/>
        </w:trPr>
        <w:tc>
          <w:tcPr>
            <w:tcW w:w="28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292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19,123</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23,561</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9,727</w:t>
            </w:r>
          </w:p>
        </w:tc>
      </w:tr>
      <w:tr>
        <w:trPr>
          <w:trHeight w:val="133"/>
        </w:trPr>
        <w:tc>
          <w:tcPr>
            <w:tcW w:w="28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w:t>
            </w:r>
          </w:p>
        </w:tc>
        <w:tc>
          <w:tcPr>
            <w:tcW w:w="292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19,841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27,500</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20,368</w:t>
            </w:r>
          </w:p>
        </w:tc>
      </w:tr>
      <w:tr>
        <w:trPr>
          <w:trHeight w:val="133"/>
        </w:trPr>
        <w:tc>
          <w:tcPr>
            <w:tcW w:w="288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D60011"/>
              </w:rPr>
              <w:t>Gray</w:t>
            </w:r>
          </w:p>
        </w:tc>
        <w:tc>
          <w:tcPr>
            <w:tcW w:w="2920" w:type="dxa"/>
            <w:vAlign w:val="bottom"/>
            <w:tcBorders>
              <w:bottom w:val="single" w:sz="8" w:color="E31F25"/>
            </w:tcBorders>
          </w:tcPr>
          <w:p>
            <w:pPr>
              <w:jc w:val="right"/>
              <w:ind w:right="112"/>
              <w:spacing w:after="0"/>
              <w:rPr>
                <w:sz w:val="20"/>
                <w:szCs w:val="20"/>
                <w:color w:val="auto"/>
              </w:rPr>
            </w:pPr>
            <w:r>
              <w:rPr>
                <w:rFonts w:ascii="Arial" w:cs="Arial" w:eastAsia="Arial" w:hAnsi="Arial"/>
                <w:sz w:val="10"/>
                <w:szCs w:val="10"/>
                <w:color w:val="auto"/>
              </w:rPr>
              <w:t>13,710</w:t>
            </w:r>
          </w:p>
        </w:tc>
        <w:tc>
          <w:tcPr>
            <w:tcW w:w="560" w:type="dxa"/>
            <w:vAlign w:val="bottom"/>
            <w:tcBorders>
              <w:bottom w:val="single" w:sz="8" w:color="E31F25"/>
            </w:tcBorders>
          </w:tcPr>
          <w:p>
            <w:pPr>
              <w:jc w:val="right"/>
              <w:ind w:right="32"/>
              <w:spacing w:after="0"/>
              <w:rPr>
                <w:sz w:val="20"/>
                <w:szCs w:val="20"/>
                <w:color w:val="auto"/>
              </w:rPr>
            </w:pPr>
            <w:r>
              <w:rPr>
                <w:rFonts w:ascii="Arial" w:cs="Arial" w:eastAsia="Arial" w:hAnsi="Arial"/>
                <w:sz w:val="10"/>
                <w:szCs w:val="10"/>
                <w:color w:val="auto"/>
              </w:rPr>
              <w:t>25,299</w:t>
            </w:r>
          </w:p>
        </w:tc>
        <w:tc>
          <w:tcPr>
            <w:tcW w:w="760" w:type="dxa"/>
            <w:vAlign w:val="bottom"/>
            <w:tcBorders>
              <w:bottom w:val="single" w:sz="8" w:color="E31F25"/>
            </w:tcBorders>
          </w:tcPr>
          <w:p>
            <w:pPr>
              <w:jc w:val="right"/>
              <w:ind w:right="12"/>
              <w:spacing w:after="0"/>
              <w:rPr>
                <w:sz w:val="20"/>
                <w:szCs w:val="20"/>
                <w:color w:val="auto"/>
              </w:rPr>
            </w:pPr>
            <w:r>
              <w:rPr>
                <w:rFonts w:ascii="Arial" w:cs="Arial" w:eastAsia="Arial" w:hAnsi="Arial"/>
                <w:sz w:val="10"/>
                <w:szCs w:val="10"/>
                <w:color w:val="auto"/>
              </w:rPr>
              <w:t>9,653</w:t>
            </w:r>
          </w:p>
        </w:tc>
      </w:tr>
    </w:tbl>
    <w:p>
      <w:pPr>
        <w:spacing w:after="0" w:line="157" w:lineRule="exact"/>
        <w:rPr>
          <w:sz w:val="20"/>
          <w:szCs w:val="20"/>
          <w:color w:val="auto"/>
        </w:rPr>
      </w:pPr>
    </w:p>
    <w:p>
      <w:pPr>
        <w:ind w:left="1040" w:right="859" w:hanging="208"/>
        <w:spacing w:after="0" w:line="231" w:lineRule="auto"/>
        <w:tabs>
          <w:tab w:leader="none" w:pos="1040" w:val="left"/>
        </w:tabs>
        <w:numPr>
          <w:ilvl w:val="0"/>
          <w:numId w:val="141"/>
        </w:numPr>
        <w:rPr>
          <w:rFonts w:ascii="Arial" w:cs="Arial" w:eastAsia="Arial" w:hAnsi="Arial"/>
          <w:sz w:val="15"/>
          <w:szCs w:val="15"/>
          <w:color w:val="auto"/>
          <w:vertAlign w:val="superscript"/>
        </w:rPr>
      </w:pPr>
      <w:r>
        <w:rPr>
          <w:rFonts w:ascii="Arial" w:cs="Arial" w:eastAsia="Arial" w:hAnsi="Arial"/>
          <w:sz w:val="9"/>
          <w:szCs w:val="9"/>
          <w:color w:val="auto"/>
        </w:rPr>
        <w:t>The amount shown represents the sum of the (A) value of the RSUs, some or all of which may be accelerated by the Human Capital Committee, prorated based on days employed between the grant date and termination date, (B) value of the PSUs that the NEO would have been entitled to receive based on the (i) target level achievement of the performance goals for the 2021-22 performance period, prorated to the termination date, (ii) actual level achievement of the performance goals for the 2020-21 performance measurement period, and (iii) actual level achievement of the performance goals for the 2019-20 performance measurement period, and (C) intrinsic value on January 29, 2022 of the stock options that would vest. The PSUs would be paid out at the same time as the payouts are made to the other participants in the plan. The PSUs were valued at $44.43 per share. The actual value of the PSUs to the NEO would depend upon the Company’s stock price on the payout date.</w:t>
      </w:r>
    </w:p>
    <w:p>
      <w:pPr>
        <w:spacing w:after="0" w:line="101"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2900" w:type="dxa"/>
            <w:vAlign w:val="bottom"/>
          </w:tcPr>
          <w:p>
            <w:pPr>
              <w:jc w:val="right"/>
              <w:ind w:right="132"/>
              <w:spacing w:after="0"/>
              <w:rPr>
                <w:sz w:val="20"/>
                <w:szCs w:val="20"/>
                <w:color w:val="auto"/>
              </w:rPr>
            </w:pPr>
            <w:r>
              <w:rPr>
                <w:rFonts w:ascii="Arial" w:cs="Arial" w:eastAsia="Arial" w:hAnsi="Arial"/>
                <w:sz w:val="10"/>
                <w:szCs w:val="10"/>
                <w:b w:val="1"/>
                <w:bCs w:val="1"/>
                <w:color w:val="auto"/>
              </w:rPr>
              <w:t>RSUs</w:t>
            </w:r>
          </w:p>
        </w:tc>
        <w:tc>
          <w:tcPr>
            <w:tcW w:w="560" w:type="dxa"/>
            <w:vAlign w:val="bottom"/>
          </w:tcPr>
          <w:p>
            <w:pPr>
              <w:jc w:val="right"/>
              <w:ind w:right="52"/>
              <w:spacing w:after="0"/>
              <w:rPr>
                <w:sz w:val="20"/>
                <w:szCs w:val="20"/>
                <w:color w:val="auto"/>
              </w:rPr>
            </w:pPr>
            <w:r>
              <w:rPr>
                <w:rFonts w:ascii="Arial" w:cs="Arial" w:eastAsia="Arial" w:hAnsi="Arial"/>
                <w:sz w:val="10"/>
                <w:szCs w:val="10"/>
                <w:b w:val="1"/>
                <w:bCs w:val="1"/>
                <w:color w:val="auto"/>
              </w:rPr>
              <w:t>PSUs</w:t>
            </w:r>
          </w:p>
        </w:tc>
        <w:tc>
          <w:tcPr>
            <w:tcW w:w="760" w:type="dxa"/>
            <w:vAlign w:val="bottom"/>
          </w:tcPr>
          <w:p>
            <w:pPr>
              <w:jc w:val="right"/>
              <w:ind w:right="12"/>
              <w:spacing w:after="0"/>
              <w:rPr>
                <w:sz w:val="20"/>
                <w:szCs w:val="20"/>
                <w:color w:val="auto"/>
              </w:rPr>
            </w:pPr>
            <w:r>
              <w:rPr>
                <w:rFonts w:ascii="Arial" w:cs="Arial" w:eastAsia="Arial" w:hAnsi="Arial"/>
                <w:sz w:val="10"/>
                <w:szCs w:val="10"/>
                <w:b w:val="1"/>
                <w:bCs w:val="1"/>
                <w:color w:val="auto"/>
              </w:rPr>
              <w:t>Stock Options</w:t>
            </w:r>
          </w:p>
        </w:tc>
      </w:tr>
      <w:tr>
        <w:trPr>
          <w:trHeight w:val="132"/>
        </w:trPr>
        <w:tc>
          <w:tcPr>
            <w:tcW w:w="2900" w:type="dxa"/>
            <w:vAlign w:val="bottom"/>
            <w:tcBorders>
              <w:bottom w:val="single" w:sz="8" w:color="D60011"/>
            </w:tcBorders>
          </w:tcPr>
          <w:p>
            <w:pPr>
              <w:spacing w:after="0"/>
              <w:rPr>
                <w:sz w:val="11"/>
                <w:szCs w:val="11"/>
                <w:color w:val="auto"/>
              </w:rPr>
            </w:pPr>
          </w:p>
        </w:tc>
        <w:tc>
          <w:tcPr>
            <w:tcW w:w="2900" w:type="dxa"/>
            <w:vAlign w:val="bottom"/>
            <w:tcBorders>
              <w:bottom w:val="single" w:sz="8" w:color="D60011"/>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33"/>
        </w:trPr>
        <w:tc>
          <w:tcPr>
            <w:tcW w:w="29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290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62,167</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231,830</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129,516</w:t>
            </w:r>
          </w:p>
        </w:tc>
      </w:tr>
      <w:tr>
        <w:trPr>
          <w:trHeight w:val="133"/>
        </w:trPr>
        <w:tc>
          <w:tcPr>
            <w:tcW w:w="29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290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4,201</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11,642</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2,777</w:t>
            </w:r>
          </w:p>
        </w:tc>
      </w:tr>
      <w:tr>
        <w:trPr>
          <w:trHeight w:val="133"/>
        </w:trPr>
        <w:tc>
          <w:tcPr>
            <w:tcW w:w="29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290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5,140</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23,561</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9,727</w:t>
            </w:r>
          </w:p>
        </w:tc>
      </w:tr>
      <w:tr>
        <w:trPr>
          <w:trHeight w:val="133"/>
        </w:trPr>
        <w:tc>
          <w:tcPr>
            <w:tcW w:w="290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w:t>
            </w:r>
          </w:p>
        </w:tc>
        <w:tc>
          <w:tcPr>
            <w:tcW w:w="290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10,215</w:t>
            </w:r>
          </w:p>
        </w:tc>
        <w:tc>
          <w:tcPr>
            <w:tcW w:w="560" w:type="dxa"/>
            <w:vAlign w:val="bottom"/>
            <w:tcBorders>
              <w:bottom w:val="single" w:sz="8" w:color="CCCCCC"/>
            </w:tcBorders>
          </w:tcPr>
          <w:p>
            <w:pPr>
              <w:jc w:val="right"/>
              <w:ind w:right="32"/>
              <w:spacing w:after="0"/>
              <w:rPr>
                <w:sz w:val="20"/>
                <w:szCs w:val="20"/>
                <w:color w:val="auto"/>
              </w:rPr>
            </w:pPr>
            <w:r>
              <w:rPr>
                <w:rFonts w:ascii="Arial" w:cs="Arial" w:eastAsia="Arial" w:hAnsi="Arial"/>
                <w:sz w:val="10"/>
                <w:szCs w:val="10"/>
                <w:color w:val="auto"/>
              </w:rPr>
              <w:t>27,500</w:t>
            </w:r>
          </w:p>
        </w:tc>
        <w:tc>
          <w:tcPr>
            <w:tcW w:w="76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20,368</w:t>
            </w:r>
          </w:p>
        </w:tc>
      </w:tr>
      <w:tr>
        <w:trPr>
          <w:trHeight w:val="133"/>
        </w:trPr>
        <w:tc>
          <w:tcPr>
            <w:tcW w:w="2900" w:type="dxa"/>
            <w:vAlign w:val="bottom"/>
            <w:tcBorders>
              <w:bottom w:val="single" w:sz="8" w:color="D60011"/>
            </w:tcBorders>
          </w:tcPr>
          <w:p>
            <w:pPr>
              <w:ind w:left="60"/>
              <w:spacing w:after="0"/>
              <w:rPr>
                <w:sz w:val="20"/>
                <w:szCs w:val="20"/>
                <w:color w:val="auto"/>
              </w:rPr>
            </w:pPr>
            <w:r>
              <w:rPr>
                <w:rFonts w:ascii="Arial" w:cs="Arial" w:eastAsia="Arial" w:hAnsi="Arial"/>
                <w:sz w:val="10"/>
                <w:szCs w:val="10"/>
                <w:b w:val="1"/>
                <w:bCs w:val="1"/>
                <w:color w:val="D60011"/>
              </w:rPr>
              <w:t>Gray</w:t>
            </w:r>
          </w:p>
        </w:tc>
        <w:tc>
          <w:tcPr>
            <w:tcW w:w="2900" w:type="dxa"/>
            <w:vAlign w:val="bottom"/>
            <w:tcBorders>
              <w:bottom w:val="single" w:sz="8" w:color="D60011"/>
            </w:tcBorders>
          </w:tcPr>
          <w:p>
            <w:pPr>
              <w:jc w:val="right"/>
              <w:ind w:right="112"/>
              <w:spacing w:after="0"/>
              <w:rPr>
                <w:sz w:val="20"/>
                <w:szCs w:val="20"/>
                <w:color w:val="auto"/>
              </w:rPr>
            </w:pPr>
            <w:r>
              <w:rPr>
                <w:rFonts w:ascii="Arial" w:cs="Arial" w:eastAsia="Arial" w:hAnsi="Arial"/>
                <w:sz w:val="10"/>
                <w:szCs w:val="10"/>
                <w:color w:val="auto"/>
              </w:rPr>
              <w:t>4,751</w:t>
            </w:r>
          </w:p>
        </w:tc>
        <w:tc>
          <w:tcPr>
            <w:tcW w:w="560" w:type="dxa"/>
            <w:vAlign w:val="bottom"/>
            <w:tcBorders>
              <w:bottom w:val="single" w:sz="8" w:color="D60011"/>
            </w:tcBorders>
          </w:tcPr>
          <w:p>
            <w:pPr>
              <w:jc w:val="right"/>
              <w:ind w:right="32"/>
              <w:spacing w:after="0"/>
              <w:rPr>
                <w:sz w:val="20"/>
                <w:szCs w:val="20"/>
                <w:color w:val="auto"/>
              </w:rPr>
            </w:pPr>
            <w:r>
              <w:rPr>
                <w:rFonts w:ascii="Arial" w:cs="Arial" w:eastAsia="Arial" w:hAnsi="Arial"/>
                <w:sz w:val="10"/>
                <w:szCs w:val="10"/>
                <w:color w:val="auto"/>
              </w:rPr>
              <w:t>25,299</w:t>
            </w:r>
          </w:p>
        </w:tc>
        <w:tc>
          <w:tcPr>
            <w:tcW w:w="76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9,653</w:t>
            </w:r>
          </w:p>
        </w:tc>
      </w:tr>
    </w:tbl>
    <w:p>
      <w:pPr>
        <w:spacing w:after="0" w:line="110" w:lineRule="exact"/>
        <w:rPr>
          <w:sz w:val="20"/>
          <w:szCs w:val="20"/>
          <w:color w:val="auto"/>
        </w:rPr>
      </w:pPr>
    </w:p>
    <w:p>
      <w:pPr>
        <w:ind w:left="1040" w:hanging="208"/>
        <w:spacing w:after="0"/>
        <w:tabs>
          <w:tab w:leader="none" w:pos="1040" w:val="left"/>
        </w:tabs>
        <w:numPr>
          <w:ilvl w:val="0"/>
          <w:numId w:val="142"/>
        </w:numPr>
        <w:rPr>
          <w:rFonts w:ascii="Arial" w:cs="Arial" w:eastAsia="Arial" w:hAnsi="Arial"/>
          <w:sz w:val="15"/>
          <w:szCs w:val="15"/>
          <w:color w:val="auto"/>
          <w:vertAlign w:val="superscript"/>
        </w:rPr>
      </w:pPr>
      <w:r>
        <w:rPr>
          <w:rFonts w:ascii="Arial" w:cs="Arial" w:eastAsia="Arial" w:hAnsi="Arial"/>
          <w:sz w:val="9"/>
          <w:szCs w:val="9"/>
          <w:color w:val="auto"/>
        </w:rPr>
        <w:t>The severance amount equals one-and-a-half times the NEO’s annual salary, payable in lump sum within 10 days of the six-month anniversary of the termination date.</w:t>
      </w:r>
    </w:p>
    <w:p>
      <w:pPr>
        <w:spacing w:after="0" w:line="84" w:lineRule="exact"/>
        <w:rPr>
          <w:rFonts w:ascii="Arial" w:cs="Arial" w:eastAsia="Arial" w:hAnsi="Arial"/>
          <w:sz w:val="15"/>
          <w:szCs w:val="15"/>
          <w:color w:val="auto"/>
          <w:vertAlign w:val="superscript"/>
        </w:rPr>
      </w:pPr>
    </w:p>
    <w:p>
      <w:pPr>
        <w:ind w:left="1040" w:hanging="208"/>
        <w:spacing w:after="0" w:line="182" w:lineRule="auto"/>
        <w:tabs>
          <w:tab w:leader="none" w:pos="1040" w:val="left"/>
        </w:tabs>
        <w:numPr>
          <w:ilvl w:val="0"/>
          <w:numId w:val="142"/>
        </w:numPr>
        <w:rPr>
          <w:rFonts w:ascii="Arial" w:cs="Arial" w:eastAsia="Arial" w:hAnsi="Arial"/>
          <w:sz w:val="15"/>
          <w:szCs w:val="15"/>
          <w:color w:val="auto"/>
          <w:vertAlign w:val="superscript"/>
        </w:rPr>
      </w:pPr>
      <w:r>
        <w:rPr>
          <w:rFonts w:ascii="Arial" w:cs="Arial" w:eastAsia="Arial" w:hAnsi="Arial"/>
          <w:sz w:val="9"/>
          <w:szCs w:val="9"/>
          <w:color w:val="auto"/>
        </w:rPr>
        <w:t>The amount shown represents the intrinsic value on January 29, 2022 of the stock options that would vest.</w:t>
      </w:r>
    </w:p>
    <w:p>
      <w:pPr>
        <w:spacing w:after="0" w:line="101" w:lineRule="exact"/>
        <w:rPr>
          <w:sz w:val="20"/>
          <w:szCs w:val="20"/>
          <w:color w:val="auto"/>
        </w:rPr>
      </w:pPr>
    </w:p>
    <w:tbl>
      <w:tblPr>
        <w:tblLayout w:type="fixed"/>
        <w:tblInd w:w="1040" w:type="dxa"/>
        <w:tblCellMar>
          <w:top w:w="0" w:type="dxa"/>
          <w:left w:w="0" w:type="dxa"/>
          <w:bottom w:w="0" w:type="dxa"/>
          <w:right w:w="0" w:type="dxa"/>
        </w:tblCellMar>
      </w:tblPr>
      <w:tr>
        <w:trPr>
          <w:trHeight w:val="115"/>
        </w:trPr>
        <w:tc>
          <w:tcPr>
            <w:tcW w:w="3420" w:type="dxa"/>
            <w:vAlign w:val="bottom"/>
          </w:tcPr>
          <w:p>
            <w:pPr>
              <w:spacing w:after="0"/>
              <w:rPr>
                <w:sz w:val="10"/>
                <w:szCs w:val="10"/>
                <w:color w:val="auto"/>
              </w:rPr>
            </w:pPr>
          </w:p>
        </w:tc>
        <w:tc>
          <w:tcPr>
            <w:tcW w:w="3700" w:type="dxa"/>
            <w:vAlign w:val="bottom"/>
          </w:tcPr>
          <w:p>
            <w:pPr>
              <w:jc w:val="right"/>
              <w:ind w:right="32"/>
              <w:spacing w:after="0"/>
              <w:rPr>
                <w:sz w:val="20"/>
                <w:szCs w:val="20"/>
                <w:color w:val="auto"/>
              </w:rPr>
            </w:pPr>
            <w:r>
              <w:rPr>
                <w:rFonts w:ascii="Arial" w:cs="Arial" w:eastAsia="Arial" w:hAnsi="Arial"/>
                <w:sz w:val="10"/>
                <w:szCs w:val="10"/>
                <w:b w:val="1"/>
                <w:bCs w:val="1"/>
                <w:color w:val="auto"/>
              </w:rPr>
              <w:t>Stock Options</w:t>
            </w:r>
          </w:p>
        </w:tc>
      </w:tr>
      <w:tr>
        <w:trPr>
          <w:trHeight w:val="132"/>
        </w:trPr>
        <w:tc>
          <w:tcPr>
            <w:tcW w:w="3420" w:type="dxa"/>
            <w:vAlign w:val="bottom"/>
            <w:tcBorders>
              <w:bottom w:val="single" w:sz="8" w:color="D60011"/>
            </w:tcBorders>
          </w:tcPr>
          <w:p>
            <w:pPr>
              <w:spacing w:after="0"/>
              <w:rPr>
                <w:sz w:val="11"/>
                <w:szCs w:val="11"/>
                <w:color w:val="auto"/>
              </w:rPr>
            </w:pPr>
          </w:p>
        </w:tc>
        <w:tc>
          <w:tcPr>
            <w:tcW w:w="370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33"/>
        </w:trPr>
        <w:tc>
          <w:tcPr>
            <w:tcW w:w="34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37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2,777</w:t>
            </w:r>
          </w:p>
        </w:tc>
      </w:tr>
      <w:tr>
        <w:trPr>
          <w:trHeight w:val="133"/>
        </w:trPr>
        <w:tc>
          <w:tcPr>
            <w:tcW w:w="34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37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9,727</w:t>
            </w:r>
          </w:p>
        </w:tc>
      </w:tr>
      <w:tr>
        <w:trPr>
          <w:trHeight w:val="133"/>
        </w:trPr>
        <w:tc>
          <w:tcPr>
            <w:tcW w:w="342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w:t>
            </w:r>
          </w:p>
        </w:tc>
        <w:tc>
          <w:tcPr>
            <w:tcW w:w="37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20,368</w:t>
            </w:r>
          </w:p>
        </w:tc>
      </w:tr>
      <w:tr>
        <w:trPr>
          <w:trHeight w:val="133"/>
        </w:trPr>
        <w:tc>
          <w:tcPr>
            <w:tcW w:w="3420" w:type="dxa"/>
            <w:vAlign w:val="bottom"/>
            <w:tcBorders>
              <w:bottom w:val="single" w:sz="8" w:color="D60011"/>
            </w:tcBorders>
          </w:tcPr>
          <w:p>
            <w:pPr>
              <w:ind w:left="60"/>
              <w:spacing w:after="0"/>
              <w:rPr>
                <w:sz w:val="20"/>
                <w:szCs w:val="20"/>
                <w:color w:val="auto"/>
              </w:rPr>
            </w:pPr>
            <w:r>
              <w:rPr>
                <w:rFonts w:ascii="Arial" w:cs="Arial" w:eastAsia="Arial" w:hAnsi="Arial"/>
                <w:sz w:val="10"/>
                <w:szCs w:val="10"/>
                <w:b w:val="1"/>
                <w:bCs w:val="1"/>
                <w:color w:val="D60011"/>
              </w:rPr>
              <w:t>Gray</w:t>
            </w:r>
          </w:p>
        </w:tc>
        <w:tc>
          <w:tcPr>
            <w:tcW w:w="370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9,653</w:t>
            </w:r>
          </w:p>
        </w:tc>
      </w:tr>
    </w:tbl>
    <w:p>
      <w:pPr>
        <w:spacing w:after="0" w:line="157" w:lineRule="exact"/>
        <w:rPr>
          <w:sz w:val="20"/>
          <w:szCs w:val="20"/>
          <w:color w:val="auto"/>
        </w:rPr>
      </w:pPr>
    </w:p>
    <w:p>
      <w:pPr>
        <w:ind w:left="1040" w:right="919" w:hanging="208"/>
        <w:spacing w:after="0" w:line="203" w:lineRule="auto"/>
        <w:tabs>
          <w:tab w:leader="none" w:pos="1040" w:val="left"/>
        </w:tabs>
        <w:numPr>
          <w:ilvl w:val="0"/>
          <w:numId w:val="143"/>
        </w:numPr>
        <w:rPr>
          <w:rFonts w:ascii="Arial" w:cs="Arial" w:eastAsia="Arial" w:hAnsi="Arial"/>
          <w:sz w:val="16"/>
          <w:szCs w:val="16"/>
          <w:color w:val="auto"/>
          <w:vertAlign w:val="superscript"/>
        </w:rPr>
      </w:pPr>
      <w:r>
        <w:rPr>
          <w:rFonts w:ascii="Arial" w:cs="Arial" w:eastAsia="Arial" w:hAnsi="Arial"/>
          <w:sz w:val="10"/>
          <w:szCs w:val="10"/>
          <w:color w:val="auto"/>
        </w:rPr>
        <w:t>Mr. Talwar ceased to serve as Executive Vice President and Chief Executive Officer—EMEA effective November 17, 2021, and departed from the Company, on December 16, 2021, at which time his employment agreement terminated. The Human Capital Committee determined that Mr. Talwar’s departure constituted a termination without cause under the terms of his employment agreement and the Company benefit plans, and accordingly, certain amounts were required to be paid to Mr. Talwar under his employment agreement and the Company benefit plans.</w:t>
      </w:r>
    </w:p>
    <w:p>
      <w:pPr>
        <w:spacing w:after="0" w:line="92" w:lineRule="exact"/>
        <w:rPr>
          <w:rFonts w:ascii="Arial" w:cs="Arial" w:eastAsia="Arial" w:hAnsi="Arial"/>
          <w:sz w:val="16"/>
          <w:szCs w:val="16"/>
          <w:color w:val="auto"/>
          <w:vertAlign w:val="superscript"/>
        </w:rPr>
      </w:pPr>
    </w:p>
    <w:p>
      <w:pPr>
        <w:ind w:left="1040" w:right="919" w:hanging="208"/>
        <w:spacing w:after="0" w:line="197" w:lineRule="auto"/>
        <w:tabs>
          <w:tab w:leader="none" w:pos="1040" w:val="left"/>
        </w:tabs>
        <w:numPr>
          <w:ilvl w:val="0"/>
          <w:numId w:val="143"/>
        </w:numPr>
        <w:rPr>
          <w:rFonts w:ascii="Arial" w:cs="Arial" w:eastAsia="Arial" w:hAnsi="Arial"/>
          <w:sz w:val="16"/>
          <w:szCs w:val="16"/>
          <w:color w:val="auto"/>
          <w:vertAlign w:val="superscript"/>
        </w:rPr>
      </w:pPr>
      <w:r>
        <w:rPr>
          <w:rFonts w:ascii="Arial" w:cs="Arial" w:eastAsia="Arial" w:hAnsi="Arial"/>
          <w:sz w:val="10"/>
          <w:szCs w:val="10"/>
          <w:color w:val="auto"/>
        </w:rPr>
        <w:t>This severance amount consists of the following items provided for under Mr. Talwar’s separation agreement, which reflect required payments owed under Mr. Talwar’s employment agreement on a termination without cause, which the Human Capital Committee determined was appropriate based on the circumstances of Mr. Talwar’s departure:</w:t>
      </w:r>
    </w:p>
    <w:p>
      <w:pPr>
        <w:spacing w:after="0" w:line="101" w:lineRule="exact"/>
        <w:rPr>
          <w:sz w:val="20"/>
          <w:szCs w:val="20"/>
          <w:color w:val="auto"/>
        </w:rPr>
      </w:pPr>
    </w:p>
    <w:p>
      <w:pPr>
        <w:ind w:left="1520" w:hanging="388"/>
        <w:spacing w:after="0"/>
        <w:tabs>
          <w:tab w:leader="none" w:pos="1520" w:val="left"/>
        </w:tabs>
        <w:numPr>
          <w:ilvl w:val="0"/>
          <w:numId w:val="144"/>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156845</wp:posOffset>
            </wp:positionV>
            <wp:extent cx="717804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95" w:name="page96"/>
    <w:bookmarkEnd w:id="95"/>
    <w:p>
      <w:pPr>
        <w:ind w:left="7960"/>
        <w:spacing w:after="0"/>
        <w:rPr>
          <w:sz w:val="20"/>
          <w:szCs w:val="20"/>
          <w:color w:val="auto"/>
        </w:rPr>
      </w:pPr>
      <w:r>
        <w:rPr>
          <w:rFonts w:ascii="Arial" w:cs="Arial" w:eastAsia="Arial" w:hAnsi="Arial"/>
          <w:sz w:val="10"/>
          <w:szCs w:val="10"/>
          <w:b w:val="1"/>
          <w:bCs w:val="1"/>
          <w:color w:val="D60011"/>
        </w:rPr>
        <w:t>EXECUTIVE COMPENSATION</w:t>
      </w:r>
    </w:p>
    <w:p>
      <w:pPr>
        <w:spacing w:after="0" w:line="119" w:lineRule="exact"/>
        <w:rPr>
          <w:sz w:val="20"/>
          <w:szCs w:val="20"/>
          <w:color w:val="auto"/>
        </w:rPr>
      </w:pPr>
    </w:p>
    <w:p>
      <w:pPr>
        <w:ind w:left="2180" w:right="2100"/>
        <w:spacing w:after="0" w:line="250" w:lineRule="auto"/>
        <w:rPr>
          <w:sz w:val="20"/>
          <w:szCs w:val="20"/>
          <w:color w:val="auto"/>
        </w:rPr>
      </w:pPr>
      <w:r>
        <w:rPr>
          <w:rFonts w:ascii="Arial" w:cs="Arial" w:eastAsia="Arial" w:hAnsi="Arial"/>
          <w:sz w:val="10"/>
          <w:szCs w:val="10"/>
          <w:b w:val="1"/>
          <w:bCs w:val="1"/>
          <w:color w:val="auto"/>
        </w:rPr>
        <w:t xml:space="preserve">One-and-a-half times Mr. Talwar’s annual salary. </w:t>
      </w:r>
      <w:r>
        <w:rPr>
          <w:rFonts w:ascii="Arial" w:cs="Arial" w:eastAsia="Arial" w:hAnsi="Arial"/>
          <w:sz w:val="10"/>
          <w:szCs w:val="10"/>
          <w:color w:val="auto"/>
        </w:rPr>
        <w:t>Severance payment under Mr. Talwar’s employment agreement will be processed six months after his termination</w:t>
      </w:r>
      <w:r>
        <w:rPr>
          <w:rFonts w:ascii="Arial" w:cs="Arial" w:eastAsia="Arial" w:hAnsi="Arial"/>
          <w:sz w:val="10"/>
          <w:szCs w:val="10"/>
          <w:b w:val="1"/>
          <w:bCs w:val="1"/>
          <w:color w:val="auto"/>
        </w:rPr>
        <w:t xml:space="preserve"> </w:t>
      </w:r>
      <w:r>
        <w:rPr>
          <w:rFonts w:ascii="Arial" w:cs="Arial" w:eastAsia="Arial" w:hAnsi="Arial"/>
          <w:sz w:val="10"/>
          <w:szCs w:val="10"/>
          <w:color w:val="auto"/>
        </w:rPr>
        <w:t>date of December 16, 2021.</w:t>
      </w:r>
    </w:p>
    <w:p>
      <w:pPr>
        <w:spacing w:after="0" w:line="84" w:lineRule="exact"/>
        <w:rPr>
          <w:sz w:val="20"/>
          <w:szCs w:val="20"/>
          <w:color w:val="auto"/>
        </w:rPr>
      </w:pPr>
    </w:p>
    <w:p>
      <w:pPr>
        <w:ind w:left="2180" w:right="2180"/>
        <w:spacing w:after="0" w:line="250" w:lineRule="auto"/>
        <w:rPr>
          <w:sz w:val="20"/>
          <w:szCs w:val="20"/>
          <w:color w:val="auto"/>
        </w:rPr>
      </w:pPr>
      <w:r>
        <w:rPr>
          <w:rFonts w:ascii="Arial" w:cs="Arial" w:eastAsia="Arial" w:hAnsi="Arial"/>
          <w:sz w:val="10"/>
          <w:szCs w:val="10"/>
          <w:b w:val="1"/>
          <w:bCs w:val="1"/>
          <w:color w:val="auto"/>
        </w:rPr>
        <w:t xml:space="preserve">Vacation Payout. </w:t>
      </w:r>
      <w:r>
        <w:rPr>
          <w:rFonts w:ascii="Arial" w:cs="Arial" w:eastAsia="Arial" w:hAnsi="Arial"/>
          <w:sz w:val="10"/>
          <w:szCs w:val="10"/>
          <w:color w:val="auto"/>
        </w:rPr>
        <w:t>During the pay period following his termination date, Mr. Talwar was paid the dollar amount equivalent of his unused vacation accrued up until his</w:t>
      </w:r>
      <w:r>
        <w:rPr>
          <w:rFonts w:ascii="Arial" w:cs="Arial" w:eastAsia="Arial" w:hAnsi="Arial"/>
          <w:sz w:val="10"/>
          <w:szCs w:val="10"/>
          <w:b w:val="1"/>
          <w:bCs w:val="1"/>
          <w:color w:val="auto"/>
        </w:rPr>
        <w:t xml:space="preserve"> </w:t>
      </w:r>
      <w:r>
        <w:rPr>
          <w:rFonts w:ascii="Arial" w:cs="Arial" w:eastAsia="Arial" w:hAnsi="Arial"/>
          <w:sz w:val="10"/>
          <w:szCs w:val="10"/>
          <w:color w:val="auto"/>
        </w:rPr>
        <w:t>termination date.</w:t>
      </w:r>
    </w:p>
    <w:p>
      <w:pPr>
        <w:spacing w:after="0" w:line="86" w:lineRule="exact"/>
        <w:rPr>
          <w:sz w:val="20"/>
          <w:szCs w:val="20"/>
          <w:color w:val="auto"/>
        </w:rPr>
      </w:pPr>
    </w:p>
    <w:p>
      <w:pPr>
        <w:ind w:left="2180" w:right="1980" w:hanging="208"/>
        <w:spacing w:after="0" w:line="215" w:lineRule="auto"/>
        <w:tabs>
          <w:tab w:leader="none" w:pos="2180" w:val="left"/>
        </w:tabs>
        <w:numPr>
          <w:ilvl w:val="0"/>
          <w:numId w:val="145"/>
        </w:numPr>
        <w:rPr>
          <w:rFonts w:ascii="Arial" w:cs="Arial" w:eastAsia="Arial" w:hAnsi="Arial"/>
          <w:sz w:val="15"/>
          <w:szCs w:val="15"/>
          <w:color w:val="auto"/>
          <w:vertAlign w:val="superscript"/>
        </w:rPr>
      </w:pPr>
      <w:r>
        <w:rPr>
          <w:rFonts w:ascii="Arial" w:cs="Arial" w:eastAsia="Arial" w:hAnsi="Arial"/>
          <w:sz w:val="9"/>
          <w:szCs w:val="9"/>
          <w:color w:val="auto"/>
        </w:rPr>
        <w:t>In accordance with the treatment of Ms. Peters’s departure as a retirement, the amount shown includes the sum of the (A) value of the accelerated RSUs (7,209), (B) PSUs based on the actual level achievement of the performance goals for the 2020-21 performance measurement period (21,817 PSUs), and (C) intrinsic value on April 30, 2021 of 21,429 stock options that were vested. The RSUs and PSUs were valued using the closing stock price on April 30, 2021 ($58.98 per share).</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CEO PAY RATIO</w:t>
      </w:r>
    </w:p>
    <w:p>
      <w:pPr>
        <w:spacing w:after="0" w:line="145" w:lineRule="exact"/>
        <w:rPr>
          <w:sz w:val="20"/>
          <w:szCs w:val="20"/>
          <w:color w:val="auto"/>
        </w:rPr>
      </w:pPr>
    </w:p>
    <w:p>
      <w:pPr>
        <w:ind w:left="1980" w:right="2060"/>
        <w:spacing w:after="0" w:line="244" w:lineRule="auto"/>
        <w:rPr>
          <w:sz w:val="20"/>
          <w:szCs w:val="20"/>
          <w:color w:val="auto"/>
        </w:rPr>
      </w:pPr>
      <w:r>
        <w:rPr>
          <w:rFonts w:ascii="Arial" w:cs="Arial" w:eastAsia="Arial" w:hAnsi="Arial"/>
          <w:sz w:val="11"/>
          <w:szCs w:val="11"/>
          <w:color w:val="auto"/>
        </w:rPr>
        <w:t>The following information is a reasonable good faith estimate calculated in a manner consistent with the SEC pay ratio rules and methods for disclosure. The SEC rules do not specify a single methodology for identification of the median team member or calculation of the CEO pay ratio, and other companies may use different assumptions, adjustments, exclusions, or estimates in calculating their CEO pay ratio. Accordingly, CEO pay ratio disclosures may involve a degree of imprecision and may be inconsistent in methodology among different companies. Therefore, the CEO pay ratio disclosed by other companies may not be comparable to the Company’s CEO pay ratio as disclosed below. Using the methodology described below, our CEO pay ratio based on fiscal year 2021 compensation is approximately 1,191:1.</w:t>
      </w:r>
    </w:p>
    <w:p>
      <w:pPr>
        <w:spacing w:after="0" w:line="110" w:lineRule="exact"/>
        <w:rPr>
          <w:sz w:val="20"/>
          <w:szCs w:val="20"/>
          <w:color w:val="auto"/>
        </w:rPr>
      </w:pPr>
    </w:p>
    <w:p>
      <w:pPr>
        <w:ind w:left="1980" w:right="2020"/>
        <w:spacing w:after="0" w:line="248" w:lineRule="auto"/>
        <w:rPr>
          <w:sz w:val="20"/>
          <w:szCs w:val="20"/>
          <w:color w:val="auto"/>
        </w:rPr>
      </w:pPr>
      <w:r>
        <w:rPr>
          <w:rFonts w:ascii="Arial" w:cs="Arial" w:eastAsia="Arial" w:hAnsi="Arial"/>
          <w:sz w:val="11"/>
          <w:szCs w:val="11"/>
          <w:color w:val="auto"/>
        </w:rPr>
        <w:t>It is no longer appropriate for us to use the median team member we identified as of December 31, 2020 for purposes of this year’s Proxy Statement because of a change in the original median team member’s circumstances that we reasonably believe would result in a significant change in our pay ratio disclosure. Accordingly, we have identified another team member utilizing the same compensation measure used to select the original median team member. We identified our median team member and calculated our CEO pay ratio as follows:</w:t>
      </w:r>
    </w:p>
    <w:p>
      <w:pPr>
        <w:spacing w:after="0" w:line="107" w:lineRule="exact"/>
        <w:rPr>
          <w:sz w:val="20"/>
          <w:szCs w:val="20"/>
          <w:color w:val="auto"/>
        </w:rPr>
      </w:pPr>
    </w:p>
    <w:p>
      <w:pPr>
        <w:ind w:left="2180" w:hanging="208"/>
        <w:spacing w:after="0"/>
        <w:tabs>
          <w:tab w:leader="none" w:pos="2180" w:val="left"/>
        </w:tabs>
        <w:numPr>
          <w:ilvl w:val="0"/>
          <w:numId w:val="146"/>
        </w:numPr>
        <w:rPr>
          <w:rFonts w:ascii="Arial" w:cs="Arial" w:eastAsia="Arial" w:hAnsi="Arial"/>
          <w:sz w:val="11"/>
          <w:szCs w:val="11"/>
          <w:b w:val="1"/>
          <w:bCs w:val="1"/>
          <w:color w:val="D60011"/>
        </w:rPr>
      </w:pPr>
      <w:r>
        <w:rPr>
          <w:rFonts w:ascii="Arial" w:cs="Arial" w:eastAsia="Arial" w:hAnsi="Arial"/>
          <w:sz w:val="11"/>
          <w:szCs w:val="11"/>
          <w:color w:val="auto"/>
        </w:rPr>
        <w:t>We identified the median team member using our team member population as of the final day of our payroll year, December 31, 2021.</w:t>
      </w:r>
    </w:p>
    <w:p>
      <w:pPr>
        <w:spacing w:after="0" w:line="125" w:lineRule="exact"/>
        <w:rPr>
          <w:rFonts w:ascii="Arial" w:cs="Arial" w:eastAsia="Arial" w:hAnsi="Arial"/>
          <w:sz w:val="11"/>
          <w:szCs w:val="11"/>
          <w:b w:val="1"/>
          <w:bCs w:val="1"/>
          <w:color w:val="D60011"/>
        </w:rPr>
      </w:pPr>
    </w:p>
    <w:p>
      <w:pPr>
        <w:ind w:left="2180" w:right="2020" w:hanging="208"/>
        <w:spacing w:after="0" w:line="242" w:lineRule="auto"/>
        <w:tabs>
          <w:tab w:leader="none" w:pos="2180" w:val="left"/>
        </w:tabs>
        <w:numPr>
          <w:ilvl w:val="0"/>
          <w:numId w:val="146"/>
        </w:numPr>
        <w:rPr>
          <w:rFonts w:ascii="Arial" w:cs="Arial" w:eastAsia="Arial" w:hAnsi="Arial"/>
          <w:sz w:val="11"/>
          <w:szCs w:val="11"/>
          <w:b w:val="1"/>
          <w:bCs w:val="1"/>
          <w:color w:val="D60011"/>
        </w:rPr>
      </w:pPr>
      <w:r>
        <w:rPr>
          <w:rFonts w:ascii="Arial" w:cs="Arial" w:eastAsia="Arial" w:hAnsi="Arial"/>
          <w:sz w:val="11"/>
          <w:szCs w:val="11"/>
          <w:color w:val="auto"/>
        </w:rPr>
        <w:t>We utilized a CACM across our global team member population to calculate the median team member compensation. For our CACM, we used base salary derived from our payroll records. Our team members receive a base salary, calculated on an hourly, weekly, monthly, or annual basis. As a result, base salary provides an accurate depiction of earnings for the purpose of identifying our median team member. Because we do not widely offer Annual Incentive Plan awards or LTI awards to our team members, such awards were excluded from our CACM. Given our workforce and the high turnover rates inherent in the retail industry, our methodology included annualizing the compensation for all permanent team members (full-time and part-time) who did not work a full calendar year to properly reflect their compensation levels. For non-salaried team members, references to “base salary” refer to the product of their hourly wage rate, including commissions, as applicable, and the average weekly hours they worked. We did not perform any full-time equivalency adjustments or annualize the compensation for temporary or seasonal positions. We did not make any other assumptions, adjustments, exclusions, or estimates with respect to base salary. We also did not make any cost-of-living adjustments or use any statistical sampling.</w:t>
      </w:r>
    </w:p>
    <w:p>
      <w:pPr>
        <w:spacing w:after="0" w:line="110" w:lineRule="exact"/>
        <w:rPr>
          <w:rFonts w:ascii="Arial" w:cs="Arial" w:eastAsia="Arial" w:hAnsi="Arial"/>
          <w:sz w:val="11"/>
          <w:szCs w:val="11"/>
          <w:b w:val="1"/>
          <w:bCs w:val="1"/>
          <w:color w:val="D60011"/>
        </w:rPr>
      </w:pPr>
    </w:p>
    <w:p>
      <w:pPr>
        <w:ind w:left="2180" w:right="2480" w:hanging="208"/>
        <w:spacing w:after="0" w:line="279" w:lineRule="auto"/>
        <w:tabs>
          <w:tab w:leader="none" w:pos="2180" w:val="left"/>
        </w:tabs>
        <w:numPr>
          <w:ilvl w:val="0"/>
          <w:numId w:val="146"/>
        </w:numPr>
        <w:rPr>
          <w:rFonts w:ascii="Arial" w:cs="Arial" w:eastAsia="Arial" w:hAnsi="Arial"/>
          <w:sz w:val="11"/>
          <w:szCs w:val="11"/>
          <w:b w:val="1"/>
          <w:bCs w:val="1"/>
          <w:color w:val="D60011"/>
        </w:rPr>
      </w:pPr>
      <w:r>
        <w:rPr>
          <w:rFonts w:ascii="Arial" w:cs="Arial" w:eastAsia="Arial" w:hAnsi="Arial"/>
          <w:sz w:val="11"/>
          <w:szCs w:val="11"/>
          <w:color w:val="auto"/>
        </w:rPr>
        <w:t xml:space="preserve">After identifying the median team member, we calculated this team member’s annual total compensation in the same manner as the CEO’s compensation, which is described in the </w:t>
      </w:r>
      <w:r>
        <w:rPr>
          <w:rFonts w:ascii="Arial" w:cs="Arial" w:eastAsia="Arial" w:hAnsi="Arial"/>
          <w:sz w:val="11"/>
          <w:szCs w:val="11"/>
          <w:b w:val="1"/>
          <w:bCs w:val="1"/>
          <w:color w:val="D60011"/>
        </w:rPr>
        <w:t>Summary Compensation Table</w:t>
      </w:r>
      <w:r>
        <w:rPr>
          <w:rFonts w:ascii="Arial" w:cs="Arial" w:eastAsia="Arial" w:hAnsi="Arial"/>
          <w:sz w:val="11"/>
          <w:szCs w:val="11"/>
          <w:color w:val="auto"/>
        </w:rPr>
        <w:t xml:space="preserve"> beginning on page 70.</w:t>
      </w:r>
    </w:p>
    <w:p>
      <w:pPr>
        <w:spacing w:after="0" w:line="84" w:lineRule="exact"/>
        <w:rPr>
          <w:sz w:val="20"/>
          <w:szCs w:val="20"/>
          <w:color w:val="auto"/>
        </w:rPr>
      </w:pPr>
    </w:p>
    <w:p>
      <w:pPr>
        <w:jc w:val="both"/>
        <w:ind w:left="1980" w:right="1980"/>
        <w:spacing w:after="0" w:line="253" w:lineRule="auto"/>
        <w:rPr>
          <w:sz w:val="20"/>
          <w:szCs w:val="20"/>
          <w:color w:val="auto"/>
        </w:rPr>
      </w:pPr>
      <w:r>
        <w:rPr>
          <w:rFonts w:ascii="Arial" w:cs="Arial" w:eastAsia="Arial" w:hAnsi="Arial"/>
          <w:sz w:val="11"/>
          <w:szCs w:val="11"/>
          <w:color w:val="auto"/>
        </w:rPr>
        <w:t>We are a global retailer and approximately 67% of our team members are part-time team members. Our median team member is a part-time sales associate who worked an average of 17 hours per week in one of our stores in Fresno, California, and whose annual compensation was $12,135 in fiscal year 2021. Our CEO’s compensation during the same time period was $14,458,325.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71755</wp:posOffset>
            </wp:positionV>
            <wp:extent cx="365760" cy="2228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95</w:t>
            </w:r>
          </w:p>
        </w:tc>
      </w:tr>
      <w:tr>
        <w:trPr>
          <w:trHeight w:val="201"/>
        </w:trPr>
        <w:tc>
          <w:tcPr>
            <w:tcW w:w="87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r>
    </w:tbl>
    <w:p>
      <w:pPr>
        <w:sectPr>
          <w:pgSz w:w="11900" w:h="16838" w:orient="portrait"/>
          <w:cols w:equalWidth="0" w:num="1">
            <w:col w:w="11300"/>
          </w:cols>
          <w:pgMar w:left="300" w:top="565" w:right="29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1545590</wp:posOffset>
            </wp:positionH>
            <wp:positionV relativeFrom="page">
              <wp:posOffset>363220</wp:posOffset>
            </wp:positionV>
            <wp:extent cx="4457700" cy="11029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4457700" cy="110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40" w:right="899"/>
        <w:spacing w:after="0" w:line="248" w:lineRule="auto"/>
        <w:rPr>
          <w:sz w:val="20"/>
          <w:szCs w:val="20"/>
          <w:color w:val="auto"/>
        </w:rPr>
      </w:pPr>
      <w:r>
        <w:rPr>
          <w:rFonts w:ascii="Arial" w:cs="Arial" w:eastAsia="Arial" w:hAnsi="Arial"/>
          <w:sz w:val="11"/>
          <w:szCs w:val="11"/>
          <w:color w:val="auto"/>
        </w:rPr>
        <w:t xml:space="preserve">Management and the Board understand that </w:t>
      </w:r>
      <w:r>
        <w:rPr>
          <w:rFonts w:ascii="Arial" w:cs="Arial" w:eastAsia="Arial" w:hAnsi="Arial"/>
          <w:sz w:val="11"/>
          <w:szCs w:val="11"/>
          <w:i w:val="1"/>
          <w:iCs w:val="1"/>
          <w:color w:val="auto"/>
        </w:rPr>
        <w:t>how</w:t>
      </w:r>
      <w:r>
        <w:rPr>
          <w:rFonts w:ascii="Arial" w:cs="Arial" w:eastAsia="Arial" w:hAnsi="Arial"/>
          <w:sz w:val="11"/>
          <w:szCs w:val="11"/>
          <w:color w:val="auto"/>
        </w:rPr>
        <w:t xml:space="preserve"> we achieve our purpose is just as important as the results. Stakeholders understandably want to know that the company they are buying from, investing in, working for, or doing business with, is acting responsibly by valuing their team members, giving back to the communities they serve, and actively addressing the environmental impact of their operations. For these reasons, ESG is embedded in how we manage our business.</w:t>
      </w:r>
    </w:p>
    <w:p>
      <w:pPr>
        <w:spacing w:after="0" w:line="107" w:lineRule="exact"/>
        <w:rPr>
          <w:sz w:val="20"/>
          <w:szCs w:val="20"/>
          <w:color w:val="auto"/>
        </w:rPr>
      </w:pPr>
    </w:p>
    <w:p>
      <w:pPr>
        <w:ind w:left="840" w:right="979"/>
        <w:spacing w:after="0" w:line="268" w:lineRule="auto"/>
        <w:rPr>
          <w:sz w:val="20"/>
          <w:szCs w:val="20"/>
          <w:color w:val="auto"/>
        </w:rPr>
      </w:pPr>
      <w:r>
        <w:rPr>
          <w:rFonts w:ascii="Arial" w:cs="Arial" w:eastAsia="Arial" w:hAnsi="Arial"/>
          <w:sz w:val="11"/>
          <w:szCs w:val="11"/>
          <w:color w:val="auto"/>
        </w:rPr>
        <w:t>We have long established ESG as a priority for the Company and are continuing to drive accountability to stakeholders, improve the environmental and social impacts of our business, measure the impact we are making, and communicate with our stakeholders.</w:t>
      </w:r>
    </w:p>
    <w:p>
      <w:pPr>
        <w:spacing w:after="0" w:line="96" w:lineRule="exact"/>
        <w:rPr>
          <w:sz w:val="20"/>
          <w:szCs w:val="20"/>
          <w:color w:val="auto"/>
        </w:rPr>
      </w:pPr>
    </w:p>
    <w:p>
      <w:pPr>
        <w:ind w:left="840" w:right="879"/>
        <w:spacing w:after="0" w:line="252" w:lineRule="auto"/>
        <w:rPr>
          <w:sz w:val="20"/>
          <w:szCs w:val="20"/>
          <w:color w:val="auto"/>
        </w:rPr>
      </w:pPr>
      <w:r>
        <w:rPr>
          <w:rFonts w:ascii="Arial" w:cs="Arial" w:eastAsia="Arial" w:hAnsi="Arial"/>
          <w:sz w:val="11"/>
          <w:szCs w:val="11"/>
          <w:color w:val="auto"/>
        </w:rPr>
        <w:t xml:space="preserve">We also, recognize, however, that this is a journey. We view public reporting as an ongoing process and expect our disclosures to continue to evolve over time. We are fully committed to building on our progress over time and strengthening our vision for a more sustainable world. For additional information regarding our effort to power a more sustainable future, see our Impact Report, which is presented consistent with the SASB reporting standards and TCFD reporting framework and is available at </w:t>
      </w:r>
      <w:r>
        <w:rPr>
          <w:rFonts w:ascii="Arial" w:cs="Arial" w:eastAsia="Arial" w:hAnsi="Arial"/>
          <w:sz w:val="11"/>
          <w:szCs w:val="11"/>
          <w:b w:val="1"/>
          <w:bCs w:val="1"/>
          <w:color w:val="D60011"/>
        </w:rPr>
        <w:t>investors.footlocker-inc. com/impactreport</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67945</wp:posOffset>
            </wp:positionV>
            <wp:extent cx="4463415" cy="30060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63415" cy="300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520" w:hanging="388"/>
        <w:spacing w:after="0"/>
        <w:tabs>
          <w:tab w:leader="none" w:pos="1520" w:val="left"/>
        </w:tabs>
        <w:numPr>
          <w:ilvl w:val="0"/>
          <w:numId w:val="147"/>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156845</wp:posOffset>
            </wp:positionV>
            <wp:extent cx="717804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363220</wp:posOffset>
            </wp:positionV>
            <wp:extent cx="7178040" cy="53663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5366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1545590</wp:posOffset>
            </wp:positionH>
            <wp:positionV relativeFrom="page">
              <wp:posOffset>363220</wp:posOffset>
            </wp:positionV>
            <wp:extent cx="4457700" cy="17659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445770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40" w:right="959"/>
        <w:spacing w:after="0" w:line="246" w:lineRule="auto"/>
        <w:rPr>
          <w:sz w:val="20"/>
          <w:szCs w:val="20"/>
          <w:color w:val="auto"/>
        </w:rPr>
      </w:pPr>
      <w:r>
        <w:rPr>
          <w:rFonts w:ascii="Arial" w:cs="Arial" w:eastAsia="Arial" w:hAnsi="Arial"/>
          <w:sz w:val="11"/>
          <w:szCs w:val="11"/>
          <w:color w:val="auto"/>
        </w:rPr>
        <w:t>As described in Proposal 2 above, in accordance with the requirements of Section 14A of the Exchange Act and the related rules of the SEC, our shareholders have the opportunity to cast a nonbinding, advisory vote to approve the compensation of our NEOs. This Proposal 3 affords shareholders the opportunity to cast an advisory vote on how often we should include a Say-on-Pay proposal in our proxy materials for future annual meetings or any special meeting for which we must include executive compensation information in the proxy statement for that meeting (a “Say-on-Pay Frequency Proposal”). Under this Proposal 3, shareholders may vote to have the Say-on-Pay vote every 1 year, 2 years, or 3 years.</w:t>
      </w:r>
    </w:p>
    <w:p>
      <w:pPr>
        <w:spacing w:after="0" w:line="108" w:lineRule="exact"/>
        <w:rPr>
          <w:sz w:val="20"/>
          <w:szCs w:val="20"/>
          <w:color w:val="auto"/>
        </w:rPr>
      </w:pPr>
    </w:p>
    <w:p>
      <w:pPr>
        <w:ind w:left="840" w:right="839"/>
        <w:spacing w:after="0" w:line="318" w:lineRule="auto"/>
        <w:rPr>
          <w:sz w:val="20"/>
          <w:szCs w:val="20"/>
          <w:color w:val="auto"/>
        </w:rPr>
      </w:pPr>
      <w:r>
        <w:rPr>
          <w:rFonts w:ascii="Arial" w:cs="Arial" w:eastAsia="Arial" w:hAnsi="Arial"/>
          <w:sz w:val="10"/>
          <w:szCs w:val="10"/>
          <w:color w:val="auto"/>
        </w:rPr>
        <w:t>Our shareholders voted on a similar proposal in 2016 with the majority voting to hold the Say-on-Pay vote every 1 year. We continue to believe that Say-on-Pay votes should be conducted every 1 year so that our shareholders may annually express their views on our executive compensation program.</w:t>
      </w:r>
    </w:p>
    <w:p>
      <w:pPr>
        <w:spacing w:after="0" w:line="73" w:lineRule="exact"/>
        <w:rPr>
          <w:sz w:val="20"/>
          <w:szCs w:val="20"/>
          <w:color w:val="auto"/>
        </w:rPr>
      </w:pPr>
    </w:p>
    <w:p>
      <w:pPr>
        <w:jc w:val="both"/>
        <w:ind w:left="840" w:right="879"/>
        <w:spacing w:after="0" w:line="253" w:lineRule="auto"/>
        <w:rPr>
          <w:sz w:val="20"/>
          <w:szCs w:val="20"/>
          <w:color w:val="auto"/>
        </w:rPr>
      </w:pPr>
      <w:r>
        <w:rPr>
          <w:rFonts w:ascii="Arial" w:cs="Arial" w:eastAsia="Arial" w:hAnsi="Arial"/>
          <w:sz w:val="11"/>
          <w:szCs w:val="11"/>
          <w:color w:val="auto"/>
        </w:rPr>
        <w:t>As an advisory vote, this proposal is not binding on the Company, the Board, or the Human Capital Committee. However, the Human Capital Committee and the Board value the opinions expressed by shareholders in their votes on this proposal and will consider the outcome of the vote when making future decisions regarding the frequency of conducting a Say-on-Pay vote.</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1"/>
          <w:szCs w:val="11"/>
          <w:color w:val="auto"/>
        </w:rPr>
        <w:t>It is expected that the next vote on a Say-on-Pay Frequency Proposal will occur at the 2028 annual meeting.</w:t>
      </w:r>
    </w:p>
    <w:p>
      <w:pPr>
        <w:spacing w:after="0" w:line="120" w:lineRule="exact"/>
        <w:rPr>
          <w:sz w:val="20"/>
          <w:szCs w:val="20"/>
          <w:color w:val="auto"/>
        </w:rPr>
      </w:pPr>
    </w:p>
    <w:p>
      <w:pPr>
        <w:ind w:left="1520" w:hanging="388"/>
        <w:spacing w:after="0"/>
        <w:tabs>
          <w:tab w:leader="none" w:pos="1520" w:val="left"/>
        </w:tabs>
        <w:numPr>
          <w:ilvl w:val="0"/>
          <w:numId w:val="148"/>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156845</wp:posOffset>
            </wp:positionV>
            <wp:extent cx="717804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1545590</wp:posOffset>
            </wp:positionH>
            <wp:positionV relativeFrom="page">
              <wp:posOffset>363220</wp:posOffset>
            </wp:positionV>
            <wp:extent cx="4457700" cy="24003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80" w:right="2180"/>
        <w:spacing w:after="0" w:line="290" w:lineRule="auto"/>
        <w:rPr>
          <w:sz w:val="20"/>
          <w:szCs w:val="20"/>
          <w:color w:val="auto"/>
        </w:rPr>
      </w:pPr>
      <w:r>
        <w:rPr>
          <w:rFonts w:ascii="Arial" w:cs="Arial" w:eastAsia="Arial" w:hAnsi="Arial"/>
          <w:sz w:val="10"/>
          <w:szCs w:val="10"/>
          <w:color w:val="auto"/>
        </w:rPr>
        <w:t>The Audit Committee is responsible for the appointment, compensation, retention, and oversight of the independent registered public accounting firm retained to audit the Company’s financial statements. The Audit Committee conducts an annual evaluation of the independent registered public accounting firm’s qualifications, performance, and independence. The Audit Committee exercises sole authority to approve all audit engagement fees.</w:t>
      </w:r>
    </w:p>
    <w:p>
      <w:pPr>
        <w:spacing w:after="0" w:line="87" w:lineRule="exact"/>
        <w:rPr>
          <w:sz w:val="20"/>
          <w:szCs w:val="20"/>
          <w:color w:val="auto"/>
        </w:rPr>
      </w:pPr>
    </w:p>
    <w:p>
      <w:pPr>
        <w:ind w:left="1980" w:right="1980"/>
        <w:spacing w:after="0" w:line="243" w:lineRule="auto"/>
        <w:rPr>
          <w:sz w:val="20"/>
          <w:szCs w:val="20"/>
          <w:color w:val="auto"/>
        </w:rPr>
      </w:pPr>
      <w:r>
        <w:rPr>
          <w:rFonts w:ascii="Arial" w:cs="Arial" w:eastAsia="Arial" w:hAnsi="Arial"/>
          <w:sz w:val="11"/>
          <w:szCs w:val="11"/>
          <w:color w:val="auto"/>
        </w:rPr>
        <w:t>The Audit Committee ensures the regular rotation of the lead audit partner, as required by law. The Audit Committee is also involved in reviewing, evaluating, and selecting the new lead audit partner, based on their qualifications, when the previous lead audit partner is required to rotate off the audit engagement. In evaluating and selecting a lead audit partner, the Audit Committee provides selection criteria to KPMG LLP to which KPMG LLP responds with a roster of qualified candidates. Two members of the Audit Committee, along with the Audit Committee Chair and the Lead Independent Director, interview the candidates. The Chief Executive Officer, Chief Financial Officer, and Chief Accounting Officer also interview the candidates. The Audit Committee Chair and proposed lead audit partner meet in executive session. The Audit Committee Chair then recommends his selection to the Audit Committee for its consideration and approval.</w:t>
      </w:r>
    </w:p>
    <w:p>
      <w:pPr>
        <w:spacing w:after="0" w:line="112" w:lineRule="exact"/>
        <w:rPr>
          <w:sz w:val="20"/>
          <w:szCs w:val="20"/>
          <w:color w:val="auto"/>
        </w:rPr>
      </w:pPr>
    </w:p>
    <w:p>
      <w:pPr>
        <w:ind w:left="1980" w:right="2020"/>
        <w:spacing w:after="0" w:line="242" w:lineRule="auto"/>
        <w:rPr>
          <w:sz w:val="20"/>
          <w:szCs w:val="20"/>
          <w:color w:val="auto"/>
        </w:rPr>
      </w:pPr>
      <w:r>
        <w:rPr>
          <w:rFonts w:ascii="Arial" w:cs="Arial" w:eastAsia="Arial" w:hAnsi="Arial"/>
          <w:sz w:val="11"/>
          <w:szCs w:val="11"/>
          <w:color w:val="auto"/>
        </w:rPr>
        <w:t>The Audit Committee has appointed KPMG LLP as our independent registered public accounting firm for the 2022 fiscal year. We are asking shareholders at this meeting to ratify this appointment of KPMG LLP for 2022. KPMG LLP has served as our independent registered public accounting firm since 1995. The Audit Committee and the Board believe that the continued retention of KPMG LLP to serve as the Company’s independent registered public accounting firm is in the best interests of the Company and its shareholders. Although ratification is not required by our By-Laws or otherwise, the Board is submitting the appointment of KPMG LLP to our shareholders for ratification because we value our shareholders’ views regarding this appointment and because we view it as a good corporate governance practice. In the event that shareholders fail to ratify this appointment, it will be considered a recommendation to the Board and the Audit Committee to consider selecting a different firm. Even if the appointment is ratified, the Audit Committee may in its discretion select a different independent registered public accounting firm at any time during the year if it determines that such a change would be in the best interests of the Company and its shareholders.</w:t>
      </w:r>
    </w:p>
    <w:p>
      <w:pPr>
        <w:spacing w:after="0" w:line="112" w:lineRule="exact"/>
        <w:rPr>
          <w:sz w:val="20"/>
          <w:szCs w:val="20"/>
          <w:color w:val="auto"/>
        </w:rPr>
      </w:pPr>
    </w:p>
    <w:p>
      <w:pPr>
        <w:ind w:left="1980" w:right="2360"/>
        <w:spacing w:after="0" w:line="268" w:lineRule="auto"/>
        <w:rPr>
          <w:sz w:val="20"/>
          <w:szCs w:val="20"/>
          <w:color w:val="auto"/>
        </w:rPr>
      </w:pPr>
      <w:r>
        <w:rPr>
          <w:rFonts w:ascii="Arial" w:cs="Arial" w:eastAsia="Arial" w:hAnsi="Arial"/>
          <w:sz w:val="11"/>
          <w:szCs w:val="11"/>
          <w:color w:val="auto"/>
        </w:rPr>
        <w:t>Representatives of KPMG LLP will be present at the Annual Meeting and will have an opportunity to make a statement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66040</wp:posOffset>
            </wp:positionV>
            <wp:extent cx="365760" cy="2228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00" w:type="dxa"/>
            <w:vAlign w:val="bottom"/>
          </w:tcPr>
          <w:p>
            <w:pPr>
              <w:ind w:left="736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600" w:type="dxa"/>
            <w:vAlign w:val="bottom"/>
          </w:tcPr>
          <w:p>
            <w:pPr>
              <w:jc w:val="right"/>
              <w:ind w:right="2246"/>
              <w:spacing w:after="0"/>
              <w:rPr>
                <w:sz w:val="20"/>
                <w:szCs w:val="20"/>
                <w:color w:val="auto"/>
              </w:rPr>
            </w:pPr>
            <w:r>
              <w:rPr>
                <w:rFonts w:ascii="Arial" w:cs="Arial" w:eastAsia="Arial" w:hAnsi="Arial"/>
                <w:sz w:val="11"/>
                <w:szCs w:val="11"/>
                <w:b w:val="1"/>
                <w:bCs w:val="1"/>
                <w:color w:val="FFFFFF"/>
              </w:rPr>
              <w:t>99</w:t>
            </w:r>
          </w:p>
        </w:tc>
      </w:tr>
      <w:tr>
        <w:trPr>
          <w:trHeight w:val="201"/>
        </w:trPr>
        <w:tc>
          <w:tcPr>
            <w:tcW w:w="87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r>
    </w:tbl>
    <w:p>
      <w:pPr>
        <w:sectPr>
          <w:pgSz w:w="11900" w:h="16838" w:orient="portrait"/>
          <w:cols w:equalWidth="0" w:num="1">
            <w:col w:w="11300"/>
          </w:cols>
          <w:pgMar w:left="300" w:top="1440" w:right="299" w:bottom="1440" w:gutter="0" w:footer="0" w:header="0"/>
        </w:sectPr>
      </w:pPr>
    </w:p>
    <w:bookmarkStart w:id="100" w:name="page101"/>
    <w:bookmarkEnd w:id="100"/>
    <w:p>
      <w:pPr>
        <w:ind w:left="840"/>
        <w:spacing w:after="0"/>
        <w:rPr>
          <w:sz w:val="20"/>
          <w:szCs w:val="20"/>
          <w:color w:val="auto"/>
        </w:rPr>
      </w:pPr>
      <w:r>
        <w:rPr>
          <w:rFonts w:ascii="Arial" w:cs="Arial" w:eastAsia="Arial" w:hAnsi="Arial"/>
          <w:sz w:val="10"/>
          <w:szCs w:val="10"/>
          <w:b w:val="1"/>
          <w:bCs w:val="1"/>
          <w:color w:val="D60011"/>
        </w:rPr>
        <w:t>PROPOSAL 4: RATIFICATION OF APPOINTMENT OF OUR INDEPENDENT REGISTERED PUBLIC ACCOUNTING FIRM</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AUDIT AND NON-AUDIT FEES</w:t>
      </w:r>
    </w:p>
    <w:p>
      <w:pPr>
        <w:spacing w:after="0" w:line="145" w:lineRule="exact"/>
        <w:rPr>
          <w:sz w:val="20"/>
          <w:szCs w:val="20"/>
          <w:color w:val="auto"/>
        </w:rPr>
      </w:pPr>
    </w:p>
    <w:p>
      <w:pPr>
        <w:ind w:left="840" w:right="1019"/>
        <w:spacing w:after="0" w:line="268" w:lineRule="auto"/>
        <w:rPr>
          <w:sz w:val="20"/>
          <w:szCs w:val="20"/>
          <w:color w:val="auto"/>
        </w:rPr>
      </w:pPr>
      <w:r>
        <w:rPr>
          <w:rFonts w:ascii="Arial" w:cs="Arial" w:eastAsia="Arial" w:hAnsi="Arial"/>
          <w:sz w:val="11"/>
          <w:szCs w:val="11"/>
          <w:color w:val="auto"/>
        </w:rPr>
        <w:t>The following table shows the fees we paid to KPMG LLP for the audit of the Company’s annual financial statements for 2020 and 2021, as well as the fees billed for other services KPMG LLP provided during these two fiscal years:</w:t>
      </w:r>
    </w:p>
    <w:p>
      <w:pPr>
        <w:spacing w:after="0" w:line="10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3140" w:type="dxa"/>
            <w:vAlign w:val="bottom"/>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600" w:type="dxa"/>
            <w:vAlign w:val="bottom"/>
          </w:tcPr>
          <w:p>
            <w:pPr>
              <w:jc w:val="right"/>
              <w:ind w:right="52"/>
              <w:spacing w:after="0"/>
              <w:rPr>
                <w:sz w:val="20"/>
                <w:szCs w:val="20"/>
                <w:color w:val="auto"/>
              </w:rPr>
            </w:pPr>
            <w:r>
              <w:rPr>
                <w:rFonts w:ascii="Arial" w:cs="Arial" w:eastAsia="Arial" w:hAnsi="Arial"/>
                <w:sz w:val="10"/>
                <w:szCs w:val="10"/>
                <w:b w:val="1"/>
                <w:bCs w:val="1"/>
                <w:color w:val="auto"/>
              </w:rPr>
              <w:t>2021</w:t>
            </w:r>
          </w:p>
        </w:tc>
      </w:tr>
      <w:tr>
        <w:trPr>
          <w:trHeight w:val="132"/>
        </w:trPr>
        <w:tc>
          <w:tcPr>
            <w:tcW w:w="3600" w:type="dxa"/>
            <w:vAlign w:val="bottom"/>
            <w:tcBorders>
              <w:bottom w:val="single" w:sz="8" w:color="D60011"/>
            </w:tcBorders>
          </w:tcPr>
          <w:p>
            <w:pPr>
              <w:ind w:left="60"/>
              <w:spacing w:after="0"/>
              <w:rPr>
                <w:sz w:val="20"/>
                <w:szCs w:val="20"/>
                <w:color w:val="auto"/>
              </w:rPr>
            </w:pPr>
            <w:r>
              <w:rPr>
                <w:rFonts w:ascii="Arial" w:cs="Arial" w:eastAsia="Arial" w:hAnsi="Arial"/>
                <w:sz w:val="10"/>
                <w:szCs w:val="10"/>
                <w:b w:val="1"/>
                <w:bCs w:val="1"/>
                <w:color w:val="auto"/>
              </w:rPr>
              <w:t>Category</w:t>
            </w:r>
          </w:p>
        </w:tc>
        <w:tc>
          <w:tcPr>
            <w:tcW w:w="314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b w:val="1"/>
                <w:bCs w:val="1"/>
                <w:color w:val="auto"/>
              </w:rPr>
              <w:t>($)</w:t>
            </w:r>
          </w:p>
        </w:tc>
      </w:tr>
      <w:tr>
        <w:trPr>
          <w:trHeight w:val="152"/>
        </w:trPr>
        <w:tc>
          <w:tcPr>
            <w:tcW w:w="3600" w:type="dxa"/>
            <w:vAlign w:val="bottom"/>
            <w:tcBorders>
              <w:bottom w:val="single" w:sz="8" w:color="CCCCCC"/>
            </w:tcBorders>
          </w:tcPr>
          <w:p>
            <w:pPr>
              <w:ind w:left="60"/>
              <w:spacing w:after="0" w:line="152" w:lineRule="exact"/>
              <w:rPr>
                <w:sz w:val="20"/>
                <w:szCs w:val="20"/>
                <w:color w:val="auto"/>
              </w:rPr>
            </w:pPr>
            <w:r>
              <w:rPr>
                <w:rFonts w:ascii="Arial" w:cs="Arial" w:eastAsia="Arial" w:hAnsi="Arial"/>
                <w:sz w:val="10"/>
                <w:szCs w:val="10"/>
                <w:b w:val="1"/>
                <w:bCs w:val="1"/>
                <w:color w:val="D60011"/>
              </w:rPr>
              <w:t>Audit Fees</w:t>
            </w:r>
            <w:r>
              <w:rPr>
                <w:rFonts w:ascii="Arial" w:cs="Arial" w:eastAsia="Arial" w:hAnsi="Arial"/>
                <w:sz w:val="15"/>
                <w:szCs w:val="15"/>
                <w:b w:val="1"/>
                <w:bCs w:val="1"/>
                <w:color w:val="D60011"/>
                <w:vertAlign w:val="superscript"/>
              </w:rPr>
              <w:t>(1)</w:t>
            </w:r>
          </w:p>
        </w:tc>
        <w:tc>
          <w:tcPr>
            <w:tcW w:w="314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4,056,000</w:t>
            </w:r>
          </w:p>
        </w:tc>
        <w:tc>
          <w:tcPr>
            <w:tcW w:w="6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5,397,000</w:t>
            </w:r>
          </w:p>
        </w:tc>
      </w:tr>
      <w:tr>
        <w:trPr>
          <w:trHeight w:val="151"/>
        </w:trPr>
        <w:tc>
          <w:tcPr>
            <w:tcW w:w="3600" w:type="dxa"/>
            <w:vAlign w:val="bottom"/>
            <w:tcBorders>
              <w:bottom w:val="single" w:sz="8" w:color="CCCCCC"/>
            </w:tcBorders>
          </w:tcPr>
          <w:p>
            <w:pPr>
              <w:ind w:left="60"/>
              <w:spacing w:after="0" w:line="151" w:lineRule="exact"/>
              <w:rPr>
                <w:sz w:val="20"/>
                <w:szCs w:val="20"/>
                <w:color w:val="auto"/>
              </w:rPr>
            </w:pPr>
            <w:r>
              <w:rPr>
                <w:rFonts w:ascii="Arial" w:cs="Arial" w:eastAsia="Arial" w:hAnsi="Arial"/>
                <w:sz w:val="10"/>
                <w:szCs w:val="10"/>
                <w:b w:val="1"/>
                <w:bCs w:val="1"/>
                <w:color w:val="D60011"/>
              </w:rPr>
              <w:t>Audit-Related Fees</w:t>
            </w:r>
            <w:r>
              <w:rPr>
                <w:rFonts w:ascii="Arial" w:cs="Arial" w:eastAsia="Arial" w:hAnsi="Arial"/>
                <w:sz w:val="15"/>
                <w:szCs w:val="15"/>
                <w:b w:val="1"/>
                <w:bCs w:val="1"/>
                <w:color w:val="D60011"/>
                <w:vertAlign w:val="superscript"/>
              </w:rPr>
              <w:t>(2)</w:t>
            </w:r>
          </w:p>
        </w:tc>
        <w:tc>
          <w:tcPr>
            <w:tcW w:w="314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324,000</w:t>
            </w:r>
          </w:p>
        </w:tc>
        <w:tc>
          <w:tcPr>
            <w:tcW w:w="6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3,061,000</w:t>
            </w:r>
          </w:p>
        </w:tc>
      </w:tr>
      <w:tr>
        <w:trPr>
          <w:trHeight w:val="151"/>
        </w:trPr>
        <w:tc>
          <w:tcPr>
            <w:tcW w:w="3600" w:type="dxa"/>
            <w:vAlign w:val="bottom"/>
            <w:tcBorders>
              <w:bottom w:val="single" w:sz="8" w:color="CCCCCC"/>
            </w:tcBorders>
          </w:tcPr>
          <w:p>
            <w:pPr>
              <w:ind w:left="60"/>
              <w:spacing w:after="0" w:line="151" w:lineRule="exact"/>
              <w:rPr>
                <w:sz w:val="20"/>
                <w:szCs w:val="20"/>
                <w:color w:val="auto"/>
              </w:rPr>
            </w:pPr>
            <w:r>
              <w:rPr>
                <w:rFonts w:ascii="Arial" w:cs="Arial" w:eastAsia="Arial" w:hAnsi="Arial"/>
                <w:sz w:val="10"/>
                <w:szCs w:val="10"/>
                <w:b w:val="1"/>
                <w:bCs w:val="1"/>
                <w:color w:val="D60011"/>
              </w:rPr>
              <w:t>Tax Fees</w:t>
            </w:r>
            <w:r>
              <w:rPr>
                <w:rFonts w:ascii="Arial" w:cs="Arial" w:eastAsia="Arial" w:hAnsi="Arial"/>
                <w:sz w:val="15"/>
                <w:szCs w:val="15"/>
                <w:b w:val="1"/>
                <w:bCs w:val="1"/>
                <w:color w:val="D60011"/>
                <w:vertAlign w:val="superscript"/>
              </w:rPr>
              <w:t>(3)</w:t>
            </w:r>
          </w:p>
        </w:tc>
        <w:tc>
          <w:tcPr>
            <w:tcW w:w="3140" w:type="dxa"/>
            <w:vAlign w:val="bottom"/>
            <w:tcBorders>
              <w:bottom w:val="single" w:sz="8" w:color="CCCCCC"/>
            </w:tcBorders>
          </w:tcPr>
          <w:p>
            <w:pPr>
              <w:jc w:val="right"/>
              <w:ind w:right="72"/>
              <w:spacing w:after="0"/>
              <w:rPr>
                <w:sz w:val="20"/>
                <w:szCs w:val="20"/>
                <w:color w:val="auto"/>
              </w:rPr>
            </w:pPr>
            <w:r>
              <w:rPr>
                <w:rFonts w:ascii="Arial" w:cs="Arial" w:eastAsia="Arial" w:hAnsi="Arial"/>
                <w:sz w:val="10"/>
                <w:szCs w:val="10"/>
                <w:color w:val="auto"/>
              </w:rPr>
              <w:t>304,000</w:t>
            </w:r>
          </w:p>
        </w:tc>
        <w:tc>
          <w:tcPr>
            <w:tcW w:w="600" w:type="dxa"/>
            <w:vAlign w:val="bottom"/>
            <w:tcBorders>
              <w:bottom w:val="single" w:sz="8" w:color="CCCCCC"/>
            </w:tcBorders>
          </w:tcPr>
          <w:p>
            <w:pPr>
              <w:jc w:val="right"/>
              <w:ind w:right="12"/>
              <w:spacing w:after="0"/>
              <w:rPr>
                <w:sz w:val="20"/>
                <w:szCs w:val="20"/>
                <w:color w:val="auto"/>
              </w:rPr>
            </w:pPr>
            <w:r>
              <w:rPr>
                <w:rFonts w:ascii="Arial" w:cs="Arial" w:eastAsia="Arial" w:hAnsi="Arial"/>
                <w:sz w:val="10"/>
                <w:szCs w:val="10"/>
                <w:color w:val="auto"/>
              </w:rPr>
              <w:t>515,000</w:t>
            </w:r>
          </w:p>
        </w:tc>
      </w:tr>
      <w:tr>
        <w:trPr>
          <w:trHeight w:val="132"/>
        </w:trPr>
        <w:tc>
          <w:tcPr>
            <w:tcW w:w="3600" w:type="dxa"/>
            <w:vAlign w:val="bottom"/>
            <w:tcBorders>
              <w:bottom w:val="single" w:sz="8" w:color="D60011"/>
            </w:tcBorders>
          </w:tcPr>
          <w:p>
            <w:pPr>
              <w:ind w:left="60"/>
              <w:spacing w:after="0"/>
              <w:rPr>
                <w:sz w:val="20"/>
                <w:szCs w:val="20"/>
                <w:color w:val="auto"/>
              </w:rPr>
            </w:pPr>
            <w:r>
              <w:rPr>
                <w:rFonts w:ascii="Arial" w:cs="Arial" w:eastAsia="Arial" w:hAnsi="Arial"/>
                <w:sz w:val="10"/>
                <w:szCs w:val="10"/>
                <w:b w:val="1"/>
                <w:bCs w:val="1"/>
                <w:color w:val="D60011"/>
              </w:rPr>
              <w:t>Total</w:t>
            </w:r>
          </w:p>
        </w:tc>
        <w:tc>
          <w:tcPr>
            <w:tcW w:w="3140" w:type="dxa"/>
            <w:vAlign w:val="bottom"/>
            <w:tcBorders>
              <w:bottom w:val="single" w:sz="8" w:color="D60011"/>
            </w:tcBorders>
          </w:tcPr>
          <w:p>
            <w:pPr>
              <w:jc w:val="right"/>
              <w:ind w:right="72"/>
              <w:spacing w:after="0"/>
              <w:rPr>
                <w:sz w:val="20"/>
                <w:szCs w:val="20"/>
                <w:color w:val="auto"/>
              </w:rPr>
            </w:pPr>
            <w:r>
              <w:rPr>
                <w:rFonts w:ascii="Arial" w:cs="Arial" w:eastAsia="Arial" w:hAnsi="Arial"/>
                <w:sz w:val="10"/>
                <w:szCs w:val="10"/>
                <w:color w:val="auto"/>
              </w:rPr>
              <w:t>4,684,000</w:t>
            </w:r>
          </w:p>
        </w:tc>
        <w:tc>
          <w:tcPr>
            <w:tcW w:w="600" w:type="dxa"/>
            <w:vAlign w:val="bottom"/>
            <w:tcBorders>
              <w:bottom w:val="single" w:sz="8" w:color="D60011"/>
            </w:tcBorders>
          </w:tcPr>
          <w:p>
            <w:pPr>
              <w:jc w:val="right"/>
              <w:ind w:right="12"/>
              <w:spacing w:after="0"/>
              <w:rPr>
                <w:sz w:val="20"/>
                <w:szCs w:val="20"/>
                <w:color w:val="auto"/>
              </w:rPr>
            </w:pPr>
            <w:r>
              <w:rPr>
                <w:rFonts w:ascii="Arial" w:cs="Arial" w:eastAsia="Arial" w:hAnsi="Arial"/>
                <w:sz w:val="10"/>
                <w:szCs w:val="10"/>
                <w:color w:val="auto"/>
              </w:rPr>
              <w:t>8,973,000</w:t>
            </w:r>
          </w:p>
        </w:tc>
      </w:tr>
    </w:tbl>
    <w:p>
      <w:pPr>
        <w:spacing w:after="0" w:line="157" w:lineRule="exact"/>
        <w:rPr>
          <w:sz w:val="20"/>
          <w:szCs w:val="20"/>
          <w:color w:val="auto"/>
        </w:rPr>
      </w:pPr>
    </w:p>
    <w:p>
      <w:pPr>
        <w:ind w:left="1040" w:right="1039" w:hanging="208"/>
        <w:spacing w:after="0" w:line="202" w:lineRule="auto"/>
        <w:tabs>
          <w:tab w:leader="none" w:pos="1040" w:val="left"/>
        </w:tabs>
        <w:numPr>
          <w:ilvl w:val="0"/>
          <w:numId w:val="149"/>
        </w:numPr>
        <w:rPr>
          <w:rFonts w:ascii="Arial" w:cs="Arial" w:eastAsia="Arial" w:hAnsi="Arial"/>
          <w:sz w:val="15"/>
          <w:szCs w:val="15"/>
          <w:color w:val="auto"/>
          <w:vertAlign w:val="superscript"/>
        </w:rPr>
      </w:pPr>
      <w:r>
        <w:rPr>
          <w:rFonts w:ascii="Arial" w:cs="Arial" w:eastAsia="Arial" w:hAnsi="Arial"/>
          <w:sz w:val="9"/>
          <w:szCs w:val="9"/>
          <w:color w:val="auto"/>
        </w:rPr>
        <w:t>Audit fees consisted of professional services provided in connection with the audit of our annual financial statements, reviews of financial statements included in our Quarterly Reports on Form 10-Q, as well as work generally only the independent auditor can reasonably be expected to provide, such as statutory audits.</w:t>
      </w:r>
    </w:p>
    <w:p>
      <w:pPr>
        <w:spacing w:after="0" w:line="37" w:lineRule="exact"/>
        <w:rPr>
          <w:rFonts w:ascii="Arial" w:cs="Arial" w:eastAsia="Arial" w:hAnsi="Arial"/>
          <w:sz w:val="15"/>
          <w:szCs w:val="15"/>
          <w:color w:val="auto"/>
          <w:vertAlign w:val="superscript"/>
        </w:rPr>
      </w:pPr>
    </w:p>
    <w:p>
      <w:pPr>
        <w:ind w:left="1040" w:right="1079" w:hanging="208"/>
        <w:spacing w:after="0" w:line="186" w:lineRule="auto"/>
        <w:tabs>
          <w:tab w:leader="none" w:pos="1040" w:val="left"/>
        </w:tabs>
        <w:numPr>
          <w:ilvl w:val="0"/>
          <w:numId w:val="149"/>
        </w:numPr>
        <w:rPr>
          <w:rFonts w:ascii="Arial" w:cs="Arial" w:eastAsia="Arial" w:hAnsi="Arial"/>
          <w:sz w:val="16"/>
          <w:szCs w:val="16"/>
          <w:color w:val="auto"/>
          <w:vertAlign w:val="superscript"/>
        </w:rPr>
      </w:pPr>
      <w:r>
        <w:rPr>
          <w:rFonts w:ascii="Arial" w:cs="Arial" w:eastAsia="Arial" w:hAnsi="Arial"/>
          <w:sz w:val="10"/>
          <w:szCs w:val="10"/>
          <w:color w:val="auto"/>
        </w:rPr>
        <w:t>Audit-related fees consisted principally of audits of financial statements of certain employee benefit plans, the Foot Locker Foundation, and due diligence related to certain acquisitions.</w:t>
      </w:r>
    </w:p>
    <w:p>
      <w:pPr>
        <w:spacing w:after="0" w:line="1" w:lineRule="exact"/>
        <w:rPr>
          <w:rFonts w:ascii="Arial" w:cs="Arial" w:eastAsia="Arial" w:hAnsi="Arial"/>
          <w:sz w:val="16"/>
          <w:szCs w:val="16"/>
          <w:color w:val="auto"/>
          <w:vertAlign w:val="superscript"/>
        </w:rPr>
      </w:pPr>
    </w:p>
    <w:p>
      <w:pPr>
        <w:ind w:left="1040" w:hanging="208"/>
        <w:spacing w:after="0" w:line="211" w:lineRule="auto"/>
        <w:tabs>
          <w:tab w:leader="none" w:pos="1040" w:val="left"/>
        </w:tabs>
        <w:numPr>
          <w:ilvl w:val="0"/>
          <w:numId w:val="149"/>
        </w:numPr>
        <w:rPr>
          <w:rFonts w:ascii="Arial" w:cs="Arial" w:eastAsia="Arial" w:hAnsi="Arial"/>
          <w:sz w:val="16"/>
          <w:szCs w:val="16"/>
          <w:color w:val="auto"/>
          <w:vertAlign w:val="superscript"/>
        </w:rPr>
      </w:pPr>
      <w:r>
        <w:rPr>
          <w:rFonts w:ascii="Arial" w:cs="Arial" w:eastAsia="Arial" w:hAnsi="Arial"/>
          <w:sz w:val="10"/>
          <w:szCs w:val="10"/>
          <w:color w:val="auto"/>
        </w:rPr>
        <w:t>Tax fees consisted of corporate income tax compliance assistance and tax compliance related to certain acquisitions.</w:t>
      </w:r>
    </w:p>
    <w:p>
      <w:pPr>
        <w:spacing w:after="0" w:line="89" w:lineRule="exact"/>
        <w:rPr>
          <w:sz w:val="20"/>
          <w:szCs w:val="20"/>
          <w:color w:val="auto"/>
        </w:rPr>
      </w:pPr>
    </w:p>
    <w:p>
      <w:pPr>
        <w:ind w:left="840" w:right="2299"/>
        <w:spacing w:after="0" w:line="288" w:lineRule="auto"/>
        <w:rPr>
          <w:sz w:val="20"/>
          <w:szCs w:val="20"/>
          <w:color w:val="auto"/>
        </w:rPr>
      </w:pPr>
      <w:r>
        <w:rPr>
          <w:rFonts w:ascii="Arial" w:cs="Arial" w:eastAsia="Arial" w:hAnsi="Arial"/>
          <w:sz w:val="24"/>
          <w:szCs w:val="24"/>
          <w:b w:val="1"/>
          <w:bCs w:val="1"/>
          <w:color w:val="auto"/>
        </w:rPr>
        <w:t>AUDIT COMMITTEE PREAPPROVAL POLICIES AND PROCEDURES</w:t>
      </w:r>
    </w:p>
    <w:p>
      <w:pPr>
        <w:spacing w:after="0" w:line="38" w:lineRule="exact"/>
        <w:rPr>
          <w:sz w:val="20"/>
          <w:szCs w:val="20"/>
          <w:color w:val="auto"/>
        </w:rPr>
      </w:pPr>
    </w:p>
    <w:p>
      <w:pPr>
        <w:ind w:left="840" w:right="899"/>
        <w:spacing w:after="0" w:line="276" w:lineRule="auto"/>
        <w:rPr>
          <w:sz w:val="20"/>
          <w:szCs w:val="20"/>
          <w:color w:val="auto"/>
        </w:rPr>
      </w:pPr>
      <w:r>
        <w:rPr>
          <w:rFonts w:ascii="Arial" w:cs="Arial" w:eastAsia="Arial" w:hAnsi="Arial"/>
          <w:sz w:val="10"/>
          <w:szCs w:val="10"/>
          <w:color w:val="auto"/>
        </w:rPr>
        <w:t>The Audit Committee has a policy that all audit and non-audit services to be provided by our independent accountants, including services for our subsidiaries and affiliates, are to be approved in advance by the Audit Committee, regardless of the estimated cost for providing such services. The Audit Committee has delegated this authority to the Audit Committee Chair to approve fees between meetings, and then the fees are reviewed with the Audit Committee at a subsequent meeting. Management reviews the total amount and nature of the audit and non-audit services provided by the independent accountants since its prior meeting, including services for our subsidiaries and affiliates, with the Audit Committee at regularly-scheduled meetings.</w:t>
      </w:r>
    </w:p>
    <w:p>
      <w:pPr>
        <w:spacing w:after="0" w:line="90" w:lineRule="exact"/>
        <w:rPr>
          <w:sz w:val="20"/>
          <w:szCs w:val="20"/>
          <w:color w:val="auto"/>
        </w:rPr>
      </w:pPr>
    </w:p>
    <w:p>
      <w:pPr>
        <w:ind w:left="1520" w:hanging="388"/>
        <w:spacing w:after="0"/>
        <w:tabs>
          <w:tab w:leader="none" w:pos="1520" w:val="left"/>
        </w:tabs>
        <w:numPr>
          <w:ilvl w:val="0"/>
          <w:numId w:val="150"/>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156845</wp:posOffset>
            </wp:positionV>
            <wp:extent cx="717804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101" w:name="page102"/>
    <w:bookmarkEnd w:id="101"/>
    <w:p>
      <w:pPr>
        <w:ind w:left="4000"/>
        <w:spacing w:after="0"/>
        <w:rPr>
          <w:sz w:val="20"/>
          <w:szCs w:val="20"/>
          <w:color w:val="auto"/>
        </w:rPr>
      </w:pPr>
      <w:r>
        <w:rPr>
          <w:rFonts w:ascii="Arial" w:cs="Arial" w:eastAsia="Arial" w:hAnsi="Arial"/>
          <w:sz w:val="10"/>
          <w:szCs w:val="10"/>
          <w:b w:val="1"/>
          <w:bCs w:val="1"/>
          <w:color w:val="D60011"/>
        </w:rPr>
        <w:t>PROPOSAL 4: RATIFICATION OF APPOINTMENT OF OUR INDEPENDENT REGISTERED PUBLIC ACCOUNTING FIRM</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AUDIT COMMITTEE REPORT</w:t>
      </w:r>
    </w:p>
    <w:p>
      <w:pPr>
        <w:spacing w:after="0" w:line="145" w:lineRule="exact"/>
        <w:rPr>
          <w:sz w:val="20"/>
          <w:szCs w:val="20"/>
          <w:color w:val="auto"/>
        </w:rPr>
      </w:pPr>
    </w:p>
    <w:p>
      <w:pPr>
        <w:ind w:left="1980" w:right="2040"/>
        <w:spacing w:after="0" w:line="248" w:lineRule="auto"/>
        <w:rPr>
          <w:sz w:val="20"/>
          <w:szCs w:val="20"/>
          <w:color w:val="auto"/>
        </w:rPr>
      </w:pPr>
      <w:r>
        <w:rPr>
          <w:rFonts w:ascii="Arial" w:cs="Arial" w:eastAsia="Arial" w:hAnsi="Arial"/>
          <w:sz w:val="11"/>
          <w:szCs w:val="11"/>
          <w:color w:val="auto"/>
        </w:rPr>
        <w:t>In accordance with the charter adopted by the Board, the Audit Committee assists the Board in fulfilling its oversight responsibilities of the Company’s accounting policies and practices, as well as financial reporting. The Audit Committee is responsible for the appointment, compensation, and oversight of the independent registered public accounting firm. The Company’s management is responsible for preparing our financial statements and establishing and maintaining adequate internal controls over financial reporting.</w:t>
      </w:r>
    </w:p>
    <w:p>
      <w:pPr>
        <w:spacing w:after="0" w:line="107" w:lineRule="exact"/>
        <w:rPr>
          <w:sz w:val="20"/>
          <w:szCs w:val="20"/>
          <w:color w:val="auto"/>
        </w:rPr>
      </w:pPr>
    </w:p>
    <w:p>
      <w:pPr>
        <w:ind w:left="1980" w:right="2120"/>
        <w:spacing w:after="0" w:line="268" w:lineRule="auto"/>
        <w:rPr>
          <w:sz w:val="20"/>
          <w:szCs w:val="20"/>
          <w:color w:val="auto"/>
        </w:rPr>
      </w:pPr>
      <w:r>
        <w:rPr>
          <w:rFonts w:ascii="Arial" w:cs="Arial" w:eastAsia="Arial" w:hAnsi="Arial"/>
          <w:sz w:val="11"/>
          <w:szCs w:val="11"/>
          <w:color w:val="auto"/>
        </w:rPr>
        <w:t>The Audit Committee consists of six independent directors named below, as independence is defined under the NYSE rules. All of the Audit Committee members meet the expertise requirements under the NYSE rules.</w:t>
      </w:r>
    </w:p>
    <w:p>
      <w:pPr>
        <w:spacing w:after="0" w:line="96" w:lineRule="exact"/>
        <w:rPr>
          <w:sz w:val="20"/>
          <w:szCs w:val="20"/>
          <w:color w:val="auto"/>
        </w:rPr>
      </w:pPr>
    </w:p>
    <w:p>
      <w:pPr>
        <w:ind w:left="1980" w:right="2000"/>
        <w:spacing w:after="0" w:line="246" w:lineRule="auto"/>
        <w:rPr>
          <w:sz w:val="20"/>
          <w:szCs w:val="20"/>
          <w:color w:val="auto"/>
        </w:rPr>
      </w:pPr>
      <w:r>
        <w:rPr>
          <w:rFonts w:ascii="Arial" w:cs="Arial" w:eastAsia="Arial" w:hAnsi="Arial"/>
          <w:sz w:val="11"/>
          <w:szCs w:val="11"/>
          <w:color w:val="auto"/>
        </w:rPr>
        <w:t>The Audit Committee held nine meetings in 2021. At its meetings during 2021, the Audit Committee discussed with management, the Company’s independent registered public accounting firm (KPMG LLP), and the Company’s internal auditors the assessment of the Company’s internal control over financial reporting. The Audit Committee also discussed with KPMG LLP its attestation report and opinion on the Company’s internal control over financial reporting contained in the Annual Report. The Audit Committee regularly meets privately with KPMG LLP, the internal auditors, and the Vice President of Internal Audit during the year.</w:t>
      </w:r>
    </w:p>
    <w:p>
      <w:pPr>
        <w:spacing w:after="0" w:line="108" w:lineRule="exact"/>
        <w:rPr>
          <w:sz w:val="20"/>
          <w:szCs w:val="20"/>
          <w:color w:val="auto"/>
        </w:rPr>
      </w:pPr>
    </w:p>
    <w:p>
      <w:pPr>
        <w:ind w:left="1980" w:right="2040"/>
        <w:spacing w:after="0" w:line="248" w:lineRule="auto"/>
        <w:rPr>
          <w:sz w:val="20"/>
          <w:szCs w:val="20"/>
          <w:color w:val="auto"/>
        </w:rPr>
      </w:pPr>
      <w:r>
        <w:rPr>
          <w:rFonts w:ascii="Arial" w:cs="Arial" w:eastAsia="Arial" w:hAnsi="Arial"/>
          <w:sz w:val="11"/>
          <w:szCs w:val="11"/>
          <w:color w:val="auto"/>
        </w:rPr>
        <w:t>The Audit Committee reviewed and discussed with management and KPMG LLP the audited financial statements for the 2021 fiscal year, which ended January 29, 2022. The Audit Committee also discussed with KPMG LLP the matters required to be discussed by applicable PCAOB and SEC standards. The Audit Committee, both with and without management present, discussed and reviewed the results of KPMG LLP’s examination of the financial statements and the overall quality of the Company’s financial reporting.</w:t>
      </w:r>
    </w:p>
    <w:p>
      <w:pPr>
        <w:spacing w:after="0" w:line="107" w:lineRule="exact"/>
        <w:rPr>
          <w:sz w:val="20"/>
          <w:szCs w:val="20"/>
          <w:color w:val="auto"/>
        </w:rPr>
      </w:pPr>
    </w:p>
    <w:p>
      <w:pPr>
        <w:ind w:left="1980" w:right="2140"/>
        <w:spacing w:after="0" w:line="268" w:lineRule="auto"/>
        <w:rPr>
          <w:sz w:val="20"/>
          <w:szCs w:val="20"/>
          <w:color w:val="auto"/>
        </w:rPr>
      </w:pPr>
      <w:r>
        <w:rPr>
          <w:rFonts w:ascii="Arial" w:cs="Arial" w:eastAsia="Arial" w:hAnsi="Arial"/>
          <w:sz w:val="11"/>
          <w:szCs w:val="11"/>
          <w:color w:val="auto"/>
        </w:rPr>
        <w:t>The Audit Committee engages in an annual evaluation of the independent registered public accounting firm’s qualifications. In evaluating and selecting the Company’s independent registered public accounting firm, the Audit Committee considered, among other things:</w:t>
      </w:r>
    </w:p>
    <w:p>
      <w:pPr>
        <w:spacing w:after="0" w:line="96" w:lineRule="exact"/>
        <w:rPr>
          <w:sz w:val="20"/>
          <w:szCs w:val="20"/>
          <w:color w:val="auto"/>
        </w:rPr>
      </w:pPr>
    </w:p>
    <w:p>
      <w:pPr>
        <w:ind w:left="2180" w:hanging="208"/>
        <w:spacing w:after="0"/>
        <w:tabs>
          <w:tab w:leader="none" w:pos="2180" w:val="left"/>
        </w:tabs>
        <w:numPr>
          <w:ilvl w:val="0"/>
          <w:numId w:val="151"/>
        </w:numPr>
        <w:rPr>
          <w:rFonts w:ascii="Arial" w:cs="Arial" w:eastAsia="Arial" w:hAnsi="Arial"/>
          <w:sz w:val="11"/>
          <w:szCs w:val="11"/>
          <w:b w:val="1"/>
          <w:bCs w:val="1"/>
          <w:color w:val="D60011"/>
        </w:rPr>
      </w:pPr>
      <w:r>
        <w:rPr>
          <w:rFonts w:ascii="Arial" w:cs="Arial" w:eastAsia="Arial" w:hAnsi="Arial"/>
          <w:sz w:val="11"/>
          <w:szCs w:val="11"/>
          <w:color w:val="auto"/>
        </w:rPr>
        <w:t>historical and recent performance of the current independent audit firm;</w:t>
      </w:r>
    </w:p>
    <w:p>
      <w:pPr>
        <w:spacing w:after="0" w:line="125" w:lineRule="exact"/>
        <w:rPr>
          <w:rFonts w:ascii="Arial" w:cs="Arial" w:eastAsia="Arial" w:hAnsi="Arial"/>
          <w:sz w:val="11"/>
          <w:szCs w:val="11"/>
          <w:b w:val="1"/>
          <w:bCs w:val="1"/>
          <w:color w:val="D60011"/>
        </w:rPr>
      </w:pPr>
    </w:p>
    <w:p>
      <w:pPr>
        <w:ind w:left="2180" w:hanging="208"/>
        <w:spacing w:after="0"/>
        <w:tabs>
          <w:tab w:leader="none" w:pos="2180" w:val="left"/>
        </w:tabs>
        <w:numPr>
          <w:ilvl w:val="0"/>
          <w:numId w:val="151"/>
        </w:numPr>
        <w:rPr>
          <w:rFonts w:ascii="Arial" w:cs="Arial" w:eastAsia="Arial" w:hAnsi="Arial"/>
          <w:sz w:val="11"/>
          <w:szCs w:val="11"/>
          <w:b w:val="1"/>
          <w:bCs w:val="1"/>
          <w:color w:val="D60011"/>
        </w:rPr>
      </w:pPr>
      <w:r>
        <w:rPr>
          <w:rFonts w:ascii="Arial" w:cs="Arial" w:eastAsia="Arial" w:hAnsi="Arial"/>
          <w:sz w:val="11"/>
          <w:szCs w:val="11"/>
          <w:color w:val="auto"/>
        </w:rPr>
        <w:t>an analysis of known significant legal or regulatory proceedings related to the firm;</w:t>
      </w:r>
    </w:p>
    <w:p>
      <w:pPr>
        <w:spacing w:after="0" w:line="125" w:lineRule="exact"/>
        <w:rPr>
          <w:rFonts w:ascii="Arial" w:cs="Arial" w:eastAsia="Arial" w:hAnsi="Arial"/>
          <w:sz w:val="11"/>
          <w:szCs w:val="11"/>
          <w:b w:val="1"/>
          <w:bCs w:val="1"/>
          <w:color w:val="D60011"/>
        </w:rPr>
      </w:pPr>
    </w:p>
    <w:p>
      <w:pPr>
        <w:ind w:left="2180" w:hanging="208"/>
        <w:spacing w:after="0"/>
        <w:tabs>
          <w:tab w:leader="none" w:pos="2180" w:val="left"/>
        </w:tabs>
        <w:numPr>
          <w:ilvl w:val="0"/>
          <w:numId w:val="151"/>
        </w:numPr>
        <w:rPr>
          <w:rFonts w:ascii="Arial" w:cs="Arial" w:eastAsia="Arial" w:hAnsi="Arial"/>
          <w:sz w:val="11"/>
          <w:szCs w:val="11"/>
          <w:b w:val="1"/>
          <w:bCs w:val="1"/>
          <w:color w:val="D60011"/>
        </w:rPr>
      </w:pPr>
      <w:r>
        <w:rPr>
          <w:rFonts w:ascii="Arial" w:cs="Arial" w:eastAsia="Arial" w:hAnsi="Arial"/>
          <w:sz w:val="11"/>
          <w:szCs w:val="11"/>
          <w:color w:val="auto"/>
        </w:rPr>
        <w:t>external data on audit quality and performance, including PCAOB reports;</w:t>
      </w:r>
    </w:p>
    <w:p>
      <w:pPr>
        <w:spacing w:after="0" w:line="125" w:lineRule="exact"/>
        <w:rPr>
          <w:rFonts w:ascii="Arial" w:cs="Arial" w:eastAsia="Arial" w:hAnsi="Arial"/>
          <w:sz w:val="11"/>
          <w:szCs w:val="11"/>
          <w:b w:val="1"/>
          <w:bCs w:val="1"/>
          <w:color w:val="D60011"/>
        </w:rPr>
      </w:pPr>
    </w:p>
    <w:p>
      <w:pPr>
        <w:ind w:left="2180" w:hanging="208"/>
        <w:spacing w:after="0"/>
        <w:tabs>
          <w:tab w:leader="none" w:pos="2180" w:val="left"/>
        </w:tabs>
        <w:numPr>
          <w:ilvl w:val="0"/>
          <w:numId w:val="151"/>
        </w:numPr>
        <w:rPr>
          <w:rFonts w:ascii="Arial" w:cs="Arial" w:eastAsia="Arial" w:hAnsi="Arial"/>
          <w:sz w:val="11"/>
          <w:szCs w:val="11"/>
          <w:b w:val="1"/>
          <w:bCs w:val="1"/>
          <w:color w:val="D60011"/>
        </w:rPr>
      </w:pPr>
      <w:r>
        <w:rPr>
          <w:rFonts w:ascii="Arial" w:cs="Arial" w:eastAsia="Arial" w:hAnsi="Arial"/>
          <w:sz w:val="11"/>
          <w:szCs w:val="11"/>
          <w:color w:val="auto"/>
        </w:rPr>
        <w:t>industry experience;</w:t>
      </w:r>
    </w:p>
    <w:p>
      <w:pPr>
        <w:spacing w:after="0" w:line="125" w:lineRule="exact"/>
        <w:rPr>
          <w:rFonts w:ascii="Arial" w:cs="Arial" w:eastAsia="Arial" w:hAnsi="Arial"/>
          <w:sz w:val="11"/>
          <w:szCs w:val="11"/>
          <w:b w:val="1"/>
          <w:bCs w:val="1"/>
          <w:color w:val="D60011"/>
        </w:rPr>
      </w:pPr>
    </w:p>
    <w:p>
      <w:pPr>
        <w:ind w:left="2180" w:hanging="208"/>
        <w:spacing w:after="0"/>
        <w:tabs>
          <w:tab w:leader="none" w:pos="2180" w:val="left"/>
        </w:tabs>
        <w:numPr>
          <w:ilvl w:val="0"/>
          <w:numId w:val="151"/>
        </w:numPr>
        <w:rPr>
          <w:rFonts w:ascii="Arial" w:cs="Arial" w:eastAsia="Arial" w:hAnsi="Arial"/>
          <w:sz w:val="11"/>
          <w:szCs w:val="11"/>
          <w:b w:val="1"/>
          <w:bCs w:val="1"/>
          <w:color w:val="D60011"/>
        </w:rPr>
      </w:pPr>
      <w:r>
        <w:rPr>
          <w:rFonts w:ascii="Arial" w:cs="Arial" w:eastAsia="Arial" w:hAnsi="Arial"/>
          <w:sz w:val="11"/>
          <w:szCs w:val="11"/>
          <w:color w:val="auto"/>
        </w:rPr>
        <w:t>audit fee revenues;</w:t>
      </w:r>
    </w:p>
    <w:p>
      <w:pPr>
        <w:spacing w:after="0" w:line="125" w:lineRule="exact"/>
        <w:rPr>
          <w:rFonts w:ascii="Arial" w:cs="Arial" w:eastAsia="Arial" w:hAnsi="Arial"/>
          <w:sz w:val="11"/>
          <w:szCs w:val="11"/>
          <w:b w:val="1"/>
          <w:bCs w:val="1"/>
          <w:color w:val="D60011"/>
        </w:rPr>
      </w:pPr>
    </w:p>
    <w:p>
      <w:pPr>
        <w:ind w:left="2180" w:hanging="208"/>
        <w:spacing w:after="0"/>
        <w:tabs>
          <w:tab w:leader="none" w:pos="2180" w:val="left"/>
        </w:tabs>
        <w:numPr>
          <w:ilvl w:val="0"/>
          <w:numId w:val="151"/>
        </w:numPr>
        <w:rPr>
          <w:rFonts w:ascii="Arial" w:cs="Arial" w:eastAsia="Arial" w:hAnsi="Arial"/>
          <w:sz w:val="11"/>
          <w:szCs w:val="11"/>
          <w:b w:val="1"/>
          <w:bCs w:val="1"/>
          <w:color w:val="D60011"/>
        </w:rPr>
      </w:pPr>
      <w:r>
        <w:rPr>
          <w:rFonts w:ascii="Arial" w:cs="Arial" w:eastAsia="Arial" w:hAnsi="Arial"/>
          <w:sz w:val="11"/>
          <w:szCs w:val="11"/>
          <w:color w:val="auto"/>
        </w:rPr>
        <w:t>firm capabilities and audit approach; and</w:t>
      </w:r>
    </w:p>
    <w:p>
      <w:pPr>
        <w:spacing w:after="0" w:line="125" w:lineRule="exact"/>
        <w:rPr>
          <w:rFonts w:ascii="Arial" w:cs="Arial" w:eastAsia="Arial" w:hAnsi="Arial"/>
          <w:sz w:val="11"/>
          <w:szCs w:val="11"/>
          <w:b w:val="1"/>
          <w:bCs w:val="1"/>
          <w:color w:val="D60011"/>
        </w:rPr>
      </w:pPr>
    </w:p>
    <w:p>
      <w:pPr>
        <w:ind w:left="2180" w:hanging="208"/>
        <w:spacing w:after="0"/>
        <w:tabs>
          <w:tab w:leader="none" w:pos="2180" w:val="left"/>
        </w:tabs>
        <w:numPr>
          <w:ilvl w:val="0"/>
          <w:numId w:val="151"/>
        </w:numPr>
        <w:rPr>
          <w:rFonts w:ascii="Arial" w:cs="Arial" w:eastAsia="Arial" w:hAnsi="Arial"/>
          <w:sz w:val="11"/>
          <w:szCs w:val="11"/>
          <w:b w:val="1"/>
          <w:bCs w:val="1"/>
          <w:color w:val="D60011"/>
        </w:rPr>
      </w:pPr>
      <w:r>
        <w:rPr>
          <w:rFonts w:ascii="Arial" w:cs="Arial" w:eastAsia="Arial" w:hAnsi="Arial"/>
          <w:sz w:val="11"/>
          <w:szCs w:val="11"/>
          <w:color w:val="auto"/>
        </w:rPr>
        <w:t>the independence, tenure, and partner rotation of the audit firm.</w:t>
      </w:r>
    </w:p>
    <w:p>
      <w:pPr>
        <w:spacing w:after="0" w:line="126" w:lineRule="exact"/>
        <w:rPr>
          <w:sz w:val="20"/>
          <w:szCs w:val="20"/>
          <w:color w:val="auto"/>
        </w:rPr>
      </w:pPr>
    </w:p>
    <w:p>
      <w:pPr>
        <w:ind w:left="1980" w:right="2040"/>
        <w:spacing w:after="0" w:line="246" w:lineRule="auto"/>
        <w:rPr>
          <w:sz w:val="20"/>
          <w:szCs w:val="20"/>
          <w:color w:val="auto"/>
        </w:rPr>
      </w:pPr>
      <w:r>
        <w:rPr>
          <w:rFonts w:ascii="Arial" w:cs="Arial" w:eastAsia="Arial" w:hAnsi="Arial"/>
          <w:sz w:val="11"/>
          <w:szCs w:val="11"/>
          <w:color w:val="auto"/>
        </w:rPr>
        <w:t>The Audit Committee also considers the advisability and potential impact of selecting a different independent registered public accounting firm. The Audit Committee obtained from KPMG LLP the written disclosures and the letter required by applicable PCAOB requirements regarding the independent accountant’s communications with the Audit Committee concerning independence, and has discussed with KPMG LLP its independence and any relationships that may affect its objectivity. The Audit Committee also considered whether the non-audit services provided to the Company by KPMG LLP are compatible with maintaining KPMG LLP’s independence. The Audit Committee has satisfied itself that KPMG LLP is independent.</w:t>
      </w:r>
    </w:p>
    <w:p>
      <w:pPr>
        <w:spacing w:after="0" w:line="108" w:lineRule="exact"/>
        <w:rPr>
          <w:sz w:val="20"/>
          <w:szCs w:val="20"/>
          <w:color w:val="auto"/>
        </w:rPr>
      </w:pPr>
    </w:p>
    <w:p>
      <w:pPr>
        <w:ind w:left="1980" w:right="2080"/>
        <w:spacing w:after="0" w:line="268" w:lineRule="auto"/>
        <w:rPr>
          <w:sz w:val="20"/>
          <w:szCs w:val="20"/>
          <w:color w:val="auto"/>
        </w:rPr>
      </w:pPr>
      <w:r>
        <w:rPr>
          <w:rFonts w:ascii="Arial" w:cs="Arial" w:eastAsia="Arial" w:hAnsi="Arial"/>
          <w:sz w:val="11"/>
          <w:szCs w:val="11"/>
          <w:color w:val="auto"/>
        </w:rPr>
        <w:t>As a result of this evaluation, the Audit Committee approved the appointment of KPMG LLP as the Company’s independent registered public accounting firm for the fiscal year ending January 29, 2022, subject to shareholder ratification.</w:t>
      </w:r>
    </w:p>
    <w:p>
      <w:pPr>
        <w:spacing w:after="0" w:line="96" w:lineRule="exact"/>
        <w:rPr>
          <w:sz w:val="20"/>
          <w:szCs w:val="20"/>
          <w:color w:val="auto"/>
        </w:rPr>
      </w:pPr>
    </w:p>
    <w:p>
      <w:pPr>
        <w:ind w:left="1980" w:right="2040"/>
        <w:spacing w:after="0" w:line="279" w:lineRule="auto"/>
        <w:rPr>
          <w:sz w:val="20"/>
          <w:szCs w:val="20"/>
          <w:color w:val="auto"/>
        </w:rPr>
      </w:pPr>
      <w:r>
        <w:rPr>
          <w:rFonts w:ascii="Arial" w:cs="Arial" w:eastAsia="Arial" w:hAnsi="Arial"/>
          <w:sz w:val="11"/>
          <w:szCs w:val="11"/>
          <w:b w:val="1"/>
          <w:bCs w:val="1"/>
          <w:color w:val="auto"/>
        </w:rPr>
        <w:t>Based on the review and discussions referred to above, the Audit Committee recommended to the Board that the audited financial statements be included in the Annual Report.</w:t>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Members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85090</wp:posOffset>
            </wp:positionV>
            <wp:extent cx="4663440" cy="782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663440" cy="78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1980"/>
              <w:spacing w:after="0"/>
              <w:rPr>
                <w:sz w:val="20"/>
                <w:szCs w:val="20"/>
                <w:color w:val="auto"/>
              </w:rPr>
            </w:pPr>
            <w:r>
              <w:rPr>
                <w:rFonts w:ascii="Arial" w:cs="Arial" w:eastAsia="Arial" w:hAnsi="Arial"/>
                <w:sz w:val="14"/>
                <w:szCs w:val="14"/>
                <w:b w:val="1"/>
                <w:bCs w:val="1"/>
                <w:color w:val="D60011"/>
              </w:rPr>
              <w:t>GUILLERMO G.</w:t>
            </w: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VIRGINIA C.</w:t>
            </w: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MATTHEW M.</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DARLENE</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ULICE</w:t>
            </w:r>
          </w:p>
        </w:tc>
        <w:tc>
          <w:tcPr>
            <w:tcW w:w="3240" w:type="dxa"/>
            <w:vAlign w:val="bottom"/>
            <w:gridSpan w:val="2"/>
          </w:tcPr>
          <w:p>
            <w:pPr>
              <w:ind w:left="260"/>
              <w:spacing w:after="0"/>
              <w:rPr>
                <w:sz w:val="20"/>
                <w:szCs w:val="20"/>
                <w:color w:val="auto"/>
              </w:rPr>
            </w:pPr>
            <w:r>
              <w:rPr>
                <w:rFonts w:ascii="Arial" w:cs="Arial" w:eastAsia="Arial" w:hAnsi="Arial"/>
                <w:sz w:val="14"/>
                <w:szCs w:val="14"/>
                <w:b w:val="1"/>
                <w:bCs w:val="1"/>
                <w:color w:val="auto"/>
              </w:rPr>
              <w:t>DONA D.</w:t>
            </w:r>
          </w:p>
        </w:tc>
      </w:tr>
      <w:tr>
        <w:trPr>
          <w:trHeight w:val="198"/>
        </w:trPr>
        <w:tc>
          <w:tcPr>
            <w:tcW w:w="3240" w:type="dxa"/>
            <w:vAlign w:val="bottom"/>
          </w:tcPr>
          <w:p>
            <w:pPr>
              <w:ind w:left="1980"/>
              <w:spacing w:after="0"/>
              <w:rPr>
                <w:sz w:val="20"/>
                <w:szCs w:val="20"/>
                <w:color w:val="auto"/>
              </w:rPr>
            </w:pPr>
            <w:r>
              <w:rPr>
                <w:rFonts w:ascii="Arial" w:cs="Arial" w:eastAsia="Arial" w:hAnsi="Arial"/>
                <w:sz w:val="14"/>
                <w:szCs w:val="14"/>
                <w:b w:val="1"/>
                <w:bCs w:val="1"/>
                <w:color w:val="D60011"/>
              </w:rPr>
              <w:t>MARMOL</w:t>
            </w: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DROSOS</w:t>
            </w: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MCKENNA</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NICOSIA</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PAYNE, JR.</w:t>
            </w: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YOUNG</w:t>
            </w:r>
          </w:p>
        </w:tc>
        <w:tc>
          <w:tcPr>
            <w:tcW w:w="2440" w:type="dxa"/>
            <w:vAlign w:val="bottom"/>
          </w:tcPr>
          <w:p>
            <w:pPr>
              <w:spacing w:after="0"/>
              <w:rPr>
                <w:sz w:val="17"/>
                <w:szCs w:val="17"/>
                <w:color w:val="auto"/>
              </w:rPr>
            </w:pPr>
          </w:p>
        </w:tc>
      </w:tr>
      <w:tr>
        <w:trPr>
          <w:trHeight w:val="247"/>
        </w:trPr>
        <w:tc>
          <w:tcPr>
            <w:tcW w:w="3240" w:type="dxa"/>
            <w:vAlign w:val="bottom"/>
          </w:tcPr>
          <w:p>
            <w:pPr>
              <w:ind w:left="1980"/>
              <w:spacing w:after="0"/>
              <w:rPr>
                <w:sz w:val="20"/>
                <w:szCs w:val="20"/>
                <w:color w:val="auto"/>
              </w:rPr>
            </w:pPr>
            <w:r>
              <w:rPr>
                <w:rFonts w:ascii="Arial" w:cs="Arial" w:eastAsia="Arial" w:hAnsi="Arial"/>
                <w:sz w:val="11"/>
                <w:szCs w:val="11"/>
                <w:b w:val="1"/>
                <w:bCs w:val="1"/>
                <w:color w:val="auto"/>
              </w:rPr>
              <w:t>Chair</w:t>
            </w:r>
          </w:p>
        </w:tc>
        <w:tc>
          <w:tcPr>
            <w:tcW w:w="1220" w:type="dxa"/>
            <w:vAlign w:val="bottom"/>
          </w:tcPr>
          <w:p>
            <w:pPr>
              <w:ind w:left="220"/>
              <w:spacing w:after="0"/>
              <w:rPr>
                <w:sz w:val="20"/>
                <w:szCs w:val="20"/>
                <w:color w:val="auto"/>
              </w:rPr>
            </w:pPr>
            <w:r>
              <w:rPr>
                <w:rFonts w:ascii="Arial" w:cs="Arial" w:eastAsia="Arial" w:hAnsi="Arial"/>
                <w:sz w:val="11"/>
                <w:szCs w:val="11"/>
                <w:b w:val="1"/>
                <w:bCs w:val="1"/>
                <w:color w:val="auto"/>
              </w:rPr>
              <w:t>Member</w:t>
            </w:r>
          </w:p>
        </w:tc>
        <w:tc>
          <w:tcPr>
            <w:tcW w:w="1280" w:type="dxa"/>
            <w:vAlign w:val="bottom"/>
          </w:tcPr>
          <w:p>
            <w:pPr>
              <w:ind w:left="160"/>
              <w:spacing w:after="0"/>
              <w:rPr>
                <w:sz w:val="20"/>
                <w:szCs w:val="20"/>
                <w:color w:val="auto"/>
              </w:rPr>
            </w:pPr>
            <w:r>
              <w:rPr>
                <w:rFonts w:ascii="Arial" w:cs="Arial" w:eastAsia="Arial" w:hAnsi="Arial"/>
                <w:sz w:val="11"/>
                <w:szCs w:val="11"/>
                <w:b w:val="1"/>
                <w:bCs w:val="1"/>
                <w:color w:val="auto"/>
              </w:rPr>
              <w:t>Member</w:t>
            </w:r>
          </w:p>
        </w:tc>
        <w:tc>
          <w:tcPr>
            <w:tcW w:w="1080" w:type="dxa"/>
            <w:vAlign w:val="bottom"/>
          </w:tcPr>
          <w:p>
            <w:pPr>
              <w:ind w:left="180"/>
              <w:spacing w:after="0"/>
              <w:rPr>
                <w:sz w:val="20"/>
                <w:szCs w:val="20"/>
                <w:color w:val="auto"/>
              </w:rPr>
            </w:pPr>
            <w:r>
              <w:rPr>
                <w:rFonts w:ascii="Arial" w:cs="Arial" w:eastAsia="Arial" w:hAnsi="Arial"/>
                <w:sz w:val="11"/>
                <w:szCs w:val="11"/>
                <w:b w:val="1"/>
                <w:bCs w:val="1"/>
                <w:color w:val="auto"/>
              </w:rPr>
              <w:t>Member</w:t>
            </w:r>
          </w:p>
        </w:tc>
        <w:tc>
          <w:tcPr>
            <w:tcW w:w="1240" w:type="dxa"/>
            <w:vAlign w:val="bottom"/>
          </w:tcPr>
          <w:p>
            <w:pPr>
              <w:ind w:left="200"/>
              <w:spacing w:after="0"/>
              <w:rPr>
                <w:sz w:val="20"/>
                <w:szCs w:val="20"/>
                <w:color w:val="auto"/>
              </w:rPr>
            </w:pPr>
            <w:r>
              <w:rPr>
                <w:rFonts w:ascii="Arial" w:cs="Arial" w:eastAsia="Arial" w:hAnsi="Arial"/>
                <w:sz w:val="11"/>
                <w:szCs w:val="11"/>
                <w:b w:val="1"/>
                <w:bCs w:val="1"/>
                <w:color w:val="auto"/>
              </w:rPr>
              <w:t>Member</w:t>
            </w:r>
          </w:p>
        </w:tc>
        <w:tc>
          <w:tcPr>
            <w:tcW w:w="800" w:type="dxa"/>
            <w:vAlign w:val="bottom"/>
          </w:tcPr>
          <w:p>
            <w:pPr>
              <w:ind w:left="260"/>
              <w:spacing w:after="0"/>
              <w:rPr>
                <w:sz w:val="20"/>
                <w:szCs w:val="20"/>
                <w:color w:val="auto"/>
              </w:rPr>
            </w:pPr>
            <w:r>
              <w:rPr>
                <w:rFonts w:ascii="Arial" w:cs="Arial" w:eastAsia="Arial" w:hAnsi="Arial"/>
                <w:sz w:val="11"/>
                <w:szCs w:val="11"/>
                <w:b w:val="1"/>
                <w:bCs w:val="1"/>
                <w:color w:val="auto"/>
              </w:rPr>
              <w:t>Member</w:t>
            </w:r>
          </w:p>
        </w:tc>
        <w:tc>
          <w:tcPr>
            <w:tcW w:w="2440" w:type="dxa"/>
            <w:vAlign w:val="bottom"/>
          </w:tcPr>
          <w:p>
            <w:pPr>
              <w:spacing w:after="0"/>
              <w:rPr>
                <w:sz w:val="21"/>
                <w:szCs w:val="21"/>
                <w:color w:val="auto"/>
              </w:rPr>
            </w:pPr>
          </w:p>
        </w:tc>
      </w:tr>
      <w:tr>
        <w:trPr>
          <w:trHeight w:val="414"/>
        </w:trPr>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40" w:type="dxa"/>
            <w:vAlign w:val="bottom"/>
            <w:gridSpan w:val="2"/>
          </w:tcPr>
          <w:p>
            <w:pPr>
              <w:ind w:left="540"/>
              <w:spacing w:after="0"/>
              <w:rPr>
                <w:sz w:val="20"/>
                <w:szCs w:val="20"/>
                <w:color w:val="auto"/>
              </w:rPr>
            </w:pPr>
            <w:r>
              <w:rPr>
                <w:rFonts w:ascii="Arial" w:cs="Arial" w:eastAsia="Arial" w:hAnsi="Arial"/>
                <w:sz w:val="10"/>
                <w:szCs w:val="10"/>
                <w:b w:val="1"/>
                <w:bCs w:val="1"/>
                <w:color w:val="D61100"/>
              </w:rPr>
              <w:t xml:space="preserve">2022 </w:t>
            </w:r>
            <w:r>
              <w:rPr>
                <w:rFonts w:ascii="Arial" w:cs="Arial" w:eastAsia="Arial" w:hAnsi="Arial"/>
                <w:sz w:val="10"/>
                <w:szCs w:val="10"/>
                <w:b w:val="1"/>
                <w:bCs w:val="1"/>
                <w:color w:val="000000"/>
              </w:rPr>
              <w:t>PROXY STATEMENT</w:t>
            </w:r>
          </w:p>
        </w:tc>
        <w:tc>
          <w:tcPr>
            <w:tcW w:w="2440" w:type="dxa"/>
            <w:vAlign w:val="bottom"/>
          </w:tcPr>
          <w:p>
            <w:pPr>
              <w:jc w:val="right"/>
              <w:ind w:right="2186"/>
              <w:spacing w:after="0"/>
              <w:rPr>
                <w:sz w:val="20"/>
                <w:szCs w:val="20"/>
                <w:color w:val="auto"/>
              </w:rPr>
            </w:pPr>
            <w:r>
              <w:rPr>
                <w:rFonts w:ascii="Arial" w:cs="Arial" w:eastAsia="Arial" w:hAnsi="Arial"/>
                <w:sz w:val="11"/>
                <w:szCs w:val="11"/>
                <w:b w:val="1"/>
                <w:bCs w:val="1"/>
                <w:color w:val="FFFFFF"/>
                <w:w w:val="97"/>
              </w:rPr>
              <w:t>101</w:t>
            </w:r>
          </w:p>
        </w:tc>
      </w:tr>
      <w:tr>
        <w:trPr>
          <w:trHeight w:val="201"/>
        </w:trPr>
        <w:tc>
          <w:tcPr>
            <w:tcW w:w="3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-330835</wp:posOffset>
            </wp:positionV>
            <wp:extent cx="365760" cy="2228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1534160</wp:posOffset>
            </wp:positionH>
            <wp:positionV relativeFrom="page">
              <wp:posOffset>386080</wp:posOffset>
            </wp:positionV>
            <wp:extent cx="4457700" cy="782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4457700" cy="782955"/>
                    </a:xfrm>
                    <a:prstGeom prst="rect">
                      <a:avLst/>
                    </a:prstGeom>
                    <a:noFill/>
                  </pic:spPr>
                </pic:pic>
              </a:graphicData>
            </a:graphic>
          </wp:anchor>
        </w:drawing>
      </w:r>
    </w:p>
    <w:p>
      <w:pPr>
        <w:spacing w:after="0" w:line="374"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DIRECTORS AND EXECUTIVE OFFICERS</w:t>
      </w:r>
    </w:p>
    <w:p>
      <w:pPr>
        <w:spacing w:after="0" w:line="145" w:lineRule="exact"/>
        <w:rPr>
          <w:sz w:val="20"/>
          <w:szCs w:val="20"/>
          <w:color w:val="auto"/>
        </w:rPr>
      </w:pPr>
    </w:p>
    <w:p>
      <w:pPr>
        <w:ind w:left="840" w:right="1119"/>
        <w:spacing w:after="0" w:line="253" w:lineRule="auto"/>
        <w:rPr>
          <w:sz w:val="20"/>
          <w:szCs w:val="20"/>
          <w:color w:val="auto"/>
        </w:rPr>
      </w:pPr>
      <w:r>
        <w:rPr>
          <w:rFonts w:ascii="Arial" w:cs="Arial" w:eastAsia="Arial" w:hAnsi="Arial"/>
          <w:sz w:val="11"/>
          <w:szCs w:val="11"/>
          <w:color w:val="auto"/>
        </w:rPr>
        <w:t>The table below shows the number of shares of Common Stock reported to us as beneficially owned by each of our directors and NEOs, and by all directors, NEOs, and other executive officers as a group, as of the Record Date, including shares of Common Stock that they have a right to acquire within 60 days after the Record Date by the exercise of stock options.</w:t>
      </w:r>
    </w:p>
    <w:p>
      <w:pPr>
        <w:spacing w:after="0" w:line="104" w:lineRule="exact"/>
        <w:rPr>
          <w:sz w:val="20"/>
          <w:szCs w:val="20"/>
          <w:color w:val="auto"/>
        </w:rPr>
      </w:pPr>
    </w:p>
    <w:p>
      <w:pPr>
        <w:ind w:left="840" w:right="979"/>
        <w:spacing w:after="0" w:line="253" w:lineRule="auto"/>
        <w:rPr>
          <w:sz w:val="20"/>
          <w:szCs w:val="20"/>
          <w:color w:val="auto"/>
        </w:rPr>
      </w:pPr>
      <w:r>
        <w:rPr>
          <w:rFonts w:ascii="Arial" w:cs="Arial" w:eastAsia="Arial" w:hAnsi="Arial"/>
          <w:sz w:val="11"/>
          <w:szCs w:val="11"/>
          <w:color w:val="auto"/>
        </w:rPr>
        <w:t>Mr. Johnson beneficially owned 1.5% of the total number of outstanding shares of Common Stock as of the Record Date. No other director or NEO beneficially owned 1% or more of the total number of outstanding shares as of the Record Date. Each person has sole voting and investment power for the number of shares shown, except as otherwise noted below:</w:t>
      </w:r>
    </w:p>
    <w:p>
      <w:pPr>
        <w:spacing w:after="0" w:line="124"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1160" w:type="dxa"/>
            <w:vAlign w:val="bottom"/>
          </w:tcPr>
          <w:p>
            <w:pPr>
              <w:jc w:val="right"/>
              <w:ind w:right="192"/>
              <w:spacing w:after="0"/>
              <w:rPr>
                <w:sz w:val="20"/>
                <w:szCs w:val="20"/>
                <w:color w:val="auto"/>
              </w:rPr>
            </w:pPr>
            <w:r>
              <w:rPr>
                <w:rFonts w:ascii="Arial" w:cs="Arial" w:eastAsia="Arial" w:hAnsi="Arial"/>
                <w:sz w:val="10"/>
                <w:szCs w:val="10"/>
                <w:b w:val="1"/>
                <w:bCs w:val="1"/>
                <w:color w:val="auto"/>
              </w:rPr>
              <w:t>Common Stock</w:t>
            </w:r>
          </w:p>
        </w:tc>
        <w:tc>
          <w:tcPr>
            <w:tcW w:w="1200" w:type="dxa"/>
            <w:vAlign w:val="bottom"/>
          </w:tcPr>
          <w:p>
            <w:pPr>
              <w:jc w:val="right"/>
              <w:ind w:right="192"/>
              <w:spacing w:after="0"/>
              <w:rPr>
                <w:sz w:val="20"/>
                <w:szCs w:val="20"/>
                <w:color w:val="auto"/>
              </w:rPr>
            </w:pPr>
            <w:r>
              <w:rPr>
                <w:rFonts w:ascii="Arial" w:cs="Arial" w:eastAsia="Arial" w:hAnsi="Arial"/>
                <w:sz w:val="10"/>
                <w:szCs w:val="10"/>
                <w:b w:val="1"/>
                <w:bCs w:val="1"/>
                <w:color w:val="auto"/>
              </w:rPr>
              <w:t>Stock Options</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08"/>
        </w:trPr>
        <w:tc>
          <w:tcPr>
            <w:tcW w:w="3080" w:type="dxa"/>
            <w:vAlign w:val="bottom"/>
          </w:tcPr>
          <w:p>
            <w:pPr>
              <w:spacing w:after="0"/>
              <w:rPr>
                <w:sz w:val="9"/>
                <w:szCs w:val="9"/>
                <w:color w:val="auto"/>
              </w:rPr>
            </w:pPr>
          </w:p>
        </w:tc>
        <w:tc>
          <w:tcPr>
            <w:tcW w:w="1160" w:type="dxa"/>
            <w:vAlign w:val="bottom"/>
          </w:tcPr>
          <w:p>
            <w:pPr>
              <w:jc w:val="right"/>
              <w:ind w:right="152"/>
              <w:spacing w:after="0" w:line="108" w:lineRule="exact"/>
              <w:rPr>
                <w:sz w:val="20"/>
                <w:szCs w:val="20"/>
                <w:color w:val="auto"/>
              </w:rPr>
            </w:pPr>
            <w:r>
              <w:rPr>
                <w:rFonts w:ascii="Arial" w:cs="Arial" w:eastAsia="Arial" w:hAnsi="Arial"/>
                <w:sz w:val="10"/>
                <w:szCs w:val="10"/>
                <w:b w:val="1"/>
                <w:bCs w:val="1"/>
                <w:color w:val="auto"/>
              </w:rPr>
              <w:t>Beneficially Owned</w:t>
            </w:r>
          </w:p>
        </w:tc>
        <w:tc>
          <w:tcPr>
            <w:tcW w:w="120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Exercisable Within</w:t>
            </w: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08"/>
        </w:trPr>
        <w:tc>
          <w:tcPr>
            <w:tcW w:w="3080" w:type="dxa"/>
            <w:vAlign w:val="bottom"/>
          </w:tcPr>
          <w:p>
            <w:pPr>
              <w:spacing w:after="0"/>
              <w:rPr>
                <w:sz w:val="9"/>
                <w:szCs w:val="9"/>
                <w:color w:val="auto"/>
              </w:rPr>
            </w:pPr>
          </w:p>
        </w:tc>
        <w:tc>
          <w:tcPr>
            <w:tcW w:w="116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Excluding Stock</w:t>
            </w:r>
          </w:p>
        </w:tc>
        <w:tc>
          <w:tcPr>
            <w:tcW w:w="120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60 Days After</w:t>
            </w:r>
          </w:p>
        </w:tc>
        <w:tc>
          <w:tcPr>
            <w:tcW w:w="106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DSUs, RSUs,</w:t>
            </w:r>
          </w:p>
        </w:tc>
        <w:tc>
          <w:tcPr>
            <w:tcW w:w="840" w:type="dxa"/>
            <w:vAlign w:val="bottom"/>
          </w:tcPr>
          <w:p>
            <w:pPr>
              <w:spacing w:after="0"/>
              <w:rPr>
                <w:sz w:val="9"/>
                <w:szCs w:val="9"/>
                <w:color w:val="auto"/>
              </w:rPr>
            </w:pPr>
          </w:p>
        </w:tc>
      </w:tr>
      <w:tr>
        <w:trPr>
          <w:trHeight w:val="108"/>
        </w:trPr>
        <w:tc>
          <w:tcPr>
            <w:tcW w:w="3080" w:type="dxa"/>
            <w:vAlign w:val="bottom"/>
          </w:tcPr>
          <w:p>
            <w:pPr>
              <w:spacing w:after="0"/>
              <w:rPr>
                <w:sz w:val="9"/>
                <w:szCs w:val="9"/>
                <w:color w:val="auto"/>
              </w:rPr>
            </w:pPr>
          </w:p>
        </w:tc>
        <w:tc>
          <w:tcPr>
            <w:tcW w:w="1160" w:type="dxa"/>
            <w:vAlign w:val="bottom"/>
          </w:tcPr>
          <w:p>
            <w:pPr>
              <w:jc w:val="right"/>
              <w:ind w:right="152"/>
              <w:spacing w:after="0" w:line="108" w:lineRule="exact"/>
              <w:rPr>
                <w:sz w:val="20"/>
                <w:szCs w:val="20"/>
                <w:color w:val="auto"/>
              </w:rPr>
            </w:pPr>
            <w:r>
              <w:rPr>
                <w:rFonts w:ascii="Arial" w:cs="Arial" w:eastAsia="Arial" w:hAnsi="Arial"/>
                <w:sz w:val="10"/>
                <w:szCs w:val="10"/>
                <w:b w:val="1"/>
                <w:bCs w:val="1"/>
                <w:color w:val="auto"/>
              </w:rPr>
              <w:t>Options</w:t>
            </w:r>
          </w:p>
        </w:tc>
        <w:tc>
          <w:tcPr>
            <w:tcW w:w="1200" w:type="dxa"/>
            <w:vAlign w:val="bottom"/>
          </w:tcPr>
          <w:p>
            <w:pPr>
              <w:jc w:val="right"/>
              <w:ind w:right="192"/>
              <w:spacing w:after="0" w:line="108" w:lineRule="exact"/>
              <w:rPr>
                <w:sz w:val="20"/>
                <w:szCs w:val="20"/>
                <w:color w:val="auto"/>
              </w:rPr>
            </w:pPr>
            <w:r>
              <w:rPr>
                <w:rFonts w:ascii="Arial" w:cs="Arial" w:eastAsia="Arial" w:hAnsi="Arial"/>
                <w:sz w:val="10"/>
                <w:szCs w:val="10"/>
                <w:b w:val="1"/>
                <w:bCs w:val="1"/>
                <w:color w:val="auto"/>
              </w:rPr>
              <w:t>3/21/22</w:t>
            </w:r>
          </w:p>
        </w:tc>
        <w:tc>
          <w:tcPr>
            <w:tcW w:w="1060" w:type="dxa"/>
            <w:vAlign w:val="bottom"/>
          </w:tcPr>
          <w:p>
            <w:pPr>
              <w:jc w:val="right"/>
              <w:ind w:right="232"/>
              <w:spacing w:after="0" w:line="108" w:lineRule="exact"/>
              <w:rPr>
                <w:sz w:val="20"/>
                <w:szCs w:val="20"/>
                <w:color w:val="auto"/>
              </w:rPr>
            </w:pPr>
            <w:r>
              <w:rPr>
                <w:rFonts w:ascii="Arial" w:cs="Arial" w:eastAsia="Arial" w:hAnsi="Arial"/>
                <w:sz w:val="10"/>
                <w:szCs w:val="10"/>
                <w:b w:val="1"/>
                <w:bCs w:val="1"/>
                <w:color w:val="auto"/>
              </w:rPr>
              <w:t>and PSUs</w:t>
            </w:r>
          </w:p>
        </w:tc>
        <w:tc>
          <w:tcPr>
            <w:tcW w:w="840" w:type="dxa"/>
            <w:vAlign w:val="bottom"/>
          </w:tcPr>
          <w:p>
            <w:pPr>
              <w:jc w:val="right"/>
              <w:ind w:right="132"/>
              <w:spacing w:after="0" w:line="108" w:lineRule="exact"/>
              <w:rPr>
                <w:sz w:val="20"/>
                <w:szCs w:val="20"/>
                <w:color w:val="auto"/>
              </w:rPr>
            </w:pPr>
            <w:r>
              <w:rPr>
                <w:rFonts w:ascii="Arial" w:cs="Arial" w:eastAsia="Arial" w:hAnsi="Arial"/>
                <w:sz w:val="10"/>
                <w:szCs w:val="10"/>
                <w:b w:val="1"/>
                <w:bCs w:val="1"/>
                <w:color w:val="auto"/>
              </w:rPr>
              <w:t>Total</w:t>
            </w:r>
          </w:p>
        </w:tc>
      </w:tr>
      <w:tr>
        <w:trPr>
          <w:trHeight w:val="144"/>
        </w:trPr>
        <w:tc>
          <w:tcPr>
            <w:tcW w:w="3080" w:type="dxa"/>
            <w:vAlign w:val="bottom"/>
            <w:tcBorders>
              <w:bottom w:val="single" w:sz="8" w:color="D60010"/>
            </w:tcBorders>
          </w:tcPr>
          <w:p>
            <w:pPr>
              <w:ind w:left="60"/>
              <w:spacing w:after="0"/>
              <w:rPr>
                <w:sz w:val="20"/>
                <w:szCs w:val="20"/>
                <w:color w:val="auto"/>
              </w:rPr>
            </w:pPr>
            <w:r>
              <w:rPr>
                <w:rFonts w:ascii="Arial" w:cs="Arial" w:eastAsia="Arial" w:hAnsi="Arial"/>
                <w:sz w:val="10"/>
                <w:szCs w:val="10"/>
                <w:b w:val="1"/>
                <w:bCs w:val="1"/>
                <w:color w:val="auto"/>
              </w:rPr>
              <w:t>Name</w:t>
            </w:r>
          </w:p>
        </w:tc>
        <w:tc>
          <w:tcPr>
            <w:tcW w:w="1160" w:type="dxa"/>
            <w:vAlign w:val="bottom"/>
            <w:tcBorders>
              <w:bottom w:val="single" w:sz="8" w:color="D60010"/>
            </w:tcBorders>
          </w:tcPr>
          <w:p>
            <w:pPr>
              <w:jc w:val="right"/>
              <w:ind w:right="15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(1)</w:t>
            </w:r>
          </w:p>
        </w:tc>
        <w:tc>
          <w:tcPr>
            <w:tcW w:w="1200" w:type="dxa"/>
            <w:vAlign w:val="bottom"/>
            <w:tcBorders>
              <w:bottom w:val="single" w:sz="8" w:color="D60010"/>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D60010"/>
            </w:tcBorders>
          </w:tcPr>
          <w:p>
            <w:pPr>
              <w:jc w:val="right"/>
              <w:ind w:right="192"/>
              <w:spacing w:after="0" w:line="14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5"/>
                <w:szCs w:val="15"/>
                <w:b w:val="1"/>
                <w:bCs w:val="1"/>
                <w:color w:val="auto"/>
                <w:vertAlign w:val="superscript"/>
              </w:rPr>
              <w:t>(2)</w:t>
            </w:r>
          </w:p>
        </w:tc>
        <w:tc>
          <w:tcPr>
            <w:tcW w:w="840" w:type="dxa"/>
            <w:vAlign w:val="bottom"/>
            <w:tcBorders>
              <w:bottom w:val="single" w:sz="8" w:color="D60010"/>
            </w:tcBorders>
          </w:tcPr>
          <w:p>
            <w:pPr>
              <w:jc w:val="right"/>
              <w:ind w:right="112"/>
              <w:spacing w:after="0"/>
              <w:rPr>
                <w:sz w:val="20"/>
                <w:szCs w:val="20"/>
                <w:color w:val="auto"/>
              </w:rPr>
            </w:pPr>
            <w:r>
              <w:rPr>
                <w:rFonts w:ascii="Arial" w:cs="Arial" w:eastAsia="Arial" w:hAnsi="Arial"/>
                <w:sz w:val="10"/>
                <w:szCs w:val="10"/>
                <w:b w:val="1"/>
                <w:bCs w:val="1"/>
                <w:color w:val="auto"/>
              </w:rPr>
              <w:t>(#)</w:t>
            </w:r>
          </w:p>
        </w:tc>
      </w:tr>
      <w:tr>
        <w:trPr>
          <w:trHeight w:val="132"/>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Bracken</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4,022</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36,599</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19,123</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59,744</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Drosos</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Feldman</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76,274</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31,739</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108,013</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Gray</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7,626</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65,871</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13,710</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87,207</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Johnson</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344,206</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974,230</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105,948</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1,424,384</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Marmol</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44,408</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1,136</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45,544</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Martin</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28,271</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82,384</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19,841</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130,496</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McKenna</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12,008</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1,136</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13,144</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Nicosia</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6,045</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1,569</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7,614</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Oakland</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17,983</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7,117</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25,100</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Page</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2,777</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15,725</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18,502</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Payne</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13,297</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2,450</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15,747</w:t>
            </w:r>
          </w:p>
        </w:tc>
      </w:tr>
      <w:tr>
        <w:trPr>
          <w:trHeight w:val="152"/>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Peters</w:t>
            </w:r>
          </w:p>
        </w:tc>
        <w:tc>
          <w:tcPr>
            <w:tcW w:w="1160" w:type="dxa"/>
            <w:vAlign w:val="bottom"/>
            <w:tcBorders>
              <w:bottom w:val="single" w:sz="8" w:color="CCCCCC"/>
            </w:tcBorders>
          </w:tcPr>
          <w:p>
            <w:pPr>
              <w:jc w:val="right"/>
              <w:ind w:right="72"/>
              <w:spacing w:after="0" w:line="152" w:lineRule="exact"/>
              <w:rPr>
                <w:sz w:val="20"/>
                <w:szCs w:val="20"/>
                <w:color w:val="auto"/>
              </w:rPr>
            </w:pPr>
            <w:r>
              <w:rPr>
                <w:rFonts w:ascii="Arial" w:cs="Arial" w:eastAsia="Arial" w:hAnsi="Arial"/>
                <w:sz w:val="10"/>
                <w:szCs w:val="10"/>
                <w:color w:val="auto"/>
              </w:rPr>
              <w:t>145,601</w:t>
            </w:r>
            <w:r>
              <w:rPr>
                <w:rFonts w:ascii="Arial" w:cs="Arial" w:eastAsia="Arial" w:hAnsi="Arial"/>
                <w:sz w:val="15"/>
                <w:szCs w:val="15"/>
                <w:color w:val="auto"/>
                <w:vertAlign w:val="superscript"/>
              </w:rPr>
              <w:t>(3)</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194,553</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37,048</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377,202</w:t>
            </w:r>
          </w:p>
        </w:tc>
      </w:tr>
      <w:tr>
        <w:trPr>
          <w:trHeight w:val="151"/>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Talwar</w:t>
            </w:r>
          </w:p>
        </w:tc>
        <w:tc>
          <w:tcPr>
            <w:tcW w:w="1160" w:type="dxa"/>
            <w:vAlign w:val="bottom"/>
            <w:tcBorders>
              <w:bottom w:val="single" w:sz="8" w:color="CCCCCC"/>
            </w:tcBorders>
          </w:tcPr>
          <w:p>
            <w:pPr>
              <w:jc w:val="right"/>
              <w:ind w:right="72"/>
              <w:spacing w:after="0" w:line="151" w:lineRule="exact"/>
              <w:rPr>
                <w:sz w:val="20"/>
                <w:szCs w:val="20"/>
                <w:color w:val="auto"/>
              </w:rPr>
            </w:pPr>
            <w:r>
              <w:rPr>
                <w:rFonts w:ascii="Arial" w:cs="Arial" w:eastAsia="Arial" w:hAnsi="Arial"/>
                <w:sz w:val="10"/>
                <w:szCs w:val="10"/>
                <w:color w:val="auto"/>
              </w:rPr>
              <w:t>17,263</w:t>
            </w:r>
            <w:r>
              <w:rPr>
                <w:rFonts w:ascii="Arial" w:cs="Arial" w:eastAsia="Arial" w:hAnsi="Arial"/>
                <w:sz w:val="15"/>
                <w:szCs w:val="15"/>
                <w:color w:val="auto"/>
                <w:vertAlign w:val="superscript"/>
              </w:rPr>
              <w:t>(3)</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7,433</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24,696</w:t>
            </w:r>
          </w:p>
        </w:tc>
      </w:tr>
      <w:tr>
        <w:trPr>
          <w:trHeight w:val="132"/>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Underhill</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15,443</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1,136</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16,579</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Walker</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4,829</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2,373</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7,202</w:t>
            </w:r>
          </w:p>
        </w:tc>
      </w:tr>
      <w:tr>
        <w:trPr>
          <w:trHeight w:val="133"/>
        </w:trPr>
        <w:tc>
          <w:tcPr>
            <w:tcW w:w="3080" w:type="dxa"/>
            <w:vAlign w:val="bottom"/>
            <w:tcBorders>
              <w:bottom w:val="single" w:sz="8" w:color="CCCCCC"/>
            </w:tcBorders>
          </w:tcPr>
          <w:p>
            <w:pPr>
              <w:ind w:left="60"/>
              <w:spacing w:after="0"/>
              <w:rPr>
                <w:sz w:val="20"/>
                <w:szCs w:val="20"/>
                <w:color w:val="auto"/>
              </w:rPr>
            </w:pPr>
            <w:r>
              <w:rPr>
                <w:rFonts w:ascii="Arial" w:cs="Arial" w:eastAsia="Arial" w:hAnsi="Arial"/>
                <w:sz w:val="10"/>
                <w:szCs w:val="10"/>
                <w:b w:val="1"/>
                <w:bCs w:val="1"/>
                <w:color w:val="D60011"/>
              </w:rPr>
              <w:t>Young</w:t>
            </w:r>
          </w:p>
        </w:tc>
        <w:tc>
          <w:tcPr>
            <w:tcW w:w="1160" w:type="dxa"/>
            <w:vAlign w:val="bottom"/>
            <w:tcBorders>
              <w:bottom w:val="single" w:sz="8" w:color="CCCCCC"/>
            </w:tcBorders>
          </w:tcPr>
          <w:p>
            <w:pPr>
              <w:jc w:val="right"/>
              <w:ind w:right="152"/>
              <w:spacing w:after="0"/>
              <w:rPr>
                <w:sz w:val="20"/>
                <w:szCs w:val="20"/>
                <w:color w:val="auto"/>
              </w:rPr>
            </w:pPr>
            <w:r>
              <w:rPr>
                <w:rFonts w:ascii="Arial" w:cs="Arial" w:eastAsia="Arial" w:hAnsi="Arial"/>
                <w:sz w:val="10"/>
                <w:szCs w:val="10"/>
                <w:color w:val="auto"/>
              </w:rPr>
              <w:t>49,515</w:t>
            </w:r>
          </w:p>
        </w:tc>
        <w:tc>
          <w:tcPr>
            <w:tcW w:w="1200" w:type="dxa"/>
            <w:vAlign w:val="bottom"/>
            <w:tcBorders>
              <w:bottom w:val="single" w:sz="8" w:color="CCCCCC"/>
            </w:tcBorders>
          </w:tcPr>
          <w:p>
            <w:pPr>
              <w:jc w:val="right"/>
              <w:ind w:right="17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CCCCCC"/>
            </w:tcBorders>
          </w:tcPr>
          <w:p>
            <w:pPr>
              <w:jc w:val="right"/>
              <w:ind w:right="192"/>
              <w:spacing w:after="0"/>
              <w:rPr>
                <w:sz w:val="20"/>
                <w:szCs w:val="20"/>
                <w:color w:val="auto"/>
              </w:rPr>
            </w:pPr>
            <w:r>
              <w:rPr>
                <w:rFonts w:ascii="Arial" w:cs="Arial" w:eastAsia="Arial" w:hAnsi="Arial"/>
                <w:sz w:val="10"/>
                <w:szCs w:val="10"/>
                <w:color w:val="auto"/>
              </w:rPr>
              <w:t>76,659</w:t>
            </w:r>
          </w:p>
        </w:tc>
        <w:tc>
          <w:tcPr>
            <w:tcW w:w="840" w:type="dxa"/>
            <w:vAlign w:val="bottom"/>
            <w:tcBorders>
              <w:bottom w:val="single" w:sz="8" w:color="CCCCCC"/>
            </w:tcBorders>
          </w:tcPr>
          <w:p>
            <w:pPr>
              <w:jc w:val="right"/>
              <w:ind w:right="112"/>
              <w:spacing w:after="0"/>
              <w:rPr>
                <w:sz w:val="20"/>
                <w:szCs w:val="20"/>
                <w:color w:val="auto"/>
              </w:rPr>
            </w:pPr>
            <w:r>
              <w:rPr>
                <w:rFonts w:ascii="Arial" w:cs="Arial" w:eastAsia="Arial" w:hAnsi="Arial"/>
                <w:sz w:val="10"/>
                <w:szCs w:val="10"/>
                <w:color w:val="auto"/>
              </w:rPr>
              <w:t>126,174</w:t>
            </w:r>
          </w:p>
        </w:tc>
      </w:tr>
      <w:tr>
        <w:trPr>
          <w:trHeight w:val="152"/>
        </w:trPr>
        <w:tc>
          <w:tcPr>
            <w:tcW w:w="3080" w:type="dxa"/>
            <w:vAlign w:val="bottom"/>
            <w:tcBorders>
              <w:bottom w:val="single" w:sz="8" w:color="D60010"/>
            </w:tcBorders>
          </w:tcPr>
          <w:p>
            <w:pPr>
              <w:ind w:left="60"/>
              <w:spacing w:after="0"/>
              <w:rPr>
                <w:sz w:val="20"/>
                <w:szCs w:val="20"/>
                <w:color w:val="auto"/>
              </w:rPr>
            </w:pPr>
            <w:r>
              <w:rPr>
                <w:rFonts w:ascii="Arial" w:cs="Arial" w:eastAsia="Arial" w:hAnsi="Arial"/>
                <w:sz w:val="10"/>
                <w:szCs w:val="10"/>
                <w:color w:val="auto"/>
                <w:w w:val="97"/>
              </w:rPr>
              <w:t>All 25 directors and executive officers as a group, including the NEOs</w:t>
            </w:r>
          </w:p>
        </w:tc>
        <w:tc>
          <w:tcPr>
            <w:tcW w:w="1160" w:type="dxa"/>
            <w:vAlign w:val="bottom"/>
            <w:tcBorders>
              <w:bottom w:val="single" w:sz="8" w:color="D60010"/>
            </w:tcBorders>
          </w:tcPr>
          <w:p>
            <w:pPr>
              <w:jc w:val="right"/>
              <w:ind w:right="152"/>
              <w:spacing w:after="0"/>
              <w:rPr>
                <w:sz w:val="20"/>
                <w:szCs w:val="20"/>
                <w:color w:val="auto"/>
              </w:rPr>
            </w:pPr>
            <w:r>
              <w:rPr>
                <w:rFonts w:ascii="Arial" w:cs="Arial" w:eastAsia="Arial" w:hAnsi="Arial"/>
                <w:sz w:val="10"/>
                <w:szCs w:val="10"/>
                <w:color w:val="auto"/>
              </w:rPr>
              <w:t>927,220</w:t>
            </w:r>
          </w:p>
        </w:tc>
        <w:tc>
          <w:tcPr>
            <w:tcW w:w="1200" w:type="dxa"/>
            <w:vAlign w:val="bottom"/>
            <w:tcBorders>
              <w:bottom w:val="single" w:sz="8" w:color="D60010"/>
            </w:tcBorders>
          </w:tcPr>
          <w:p>
            <w:pPr>
              <w:jc w:val="right"/>
              <w:ind w:right="172"/>
              <w:spacing w:after="0"/>
              <w:rPr>
                <w:sz w:val="20"/>
                <w:szCs w:val="20"/>
                <w:color w:val="auto"/>
              </w:rPr>
            </w:pPr>
            <w:r>
              <w:rPr>
                <w:rFonts w:ascii="Arial" w:cs="Arial" w:eastAsia="Arial" w:hAnsi="Arial"/>
                <w:sz w:val="10"/>
                <w:szCs w:val="10"/>
                <w:color w:val="auto"/>
              </w:rPr>
              <w:t>1,640,476</w:t>
            </w:r>
          </w:p>
        </w:tc>
        <w:tc>
          <w:tcPr>
            <w:tcW w:w="1060" w:type="dxa"/>
            <w:vAlign w:val="bottom"/>
            <w:tcBorders>
              <w:bottom w:val="single" w:sz="8" w:color="D60010"/>
            </w:tcBorders>
          </w:tcPr>
          <w:p>
            <w:pPr>
              <w:jc w:val="right"/>
              <w:ind w:right="192"/>
              <w:spacing w:after="0"/>
              <w:rPr>
                <w:sz w:val="20"/>
                <w:szCs w:val="20"/>
                <w:color w:val="auto"/>
              </w:rPr>
            </w:pPr>
            <w:r>
              <w:rPr>
                <w:rFonts w:ascii="Arial" w:cs="Arial" w:eastAsia="Arial" w:hAnsi="Arial"/>
                <w:sz w:val="10"/>
                <w:szCs w:val="10"/>
                <w:color w:val="auto"/>
              </w:rPr>
              <w:t>402,301</w:t>
            </w:r>
          </w:p>
        </w:tc>
        <w:tc>
          <w:tcPr>
            <w:tcW w:w="840" w:type="dxa"/>
            <w:vAlign w:val="bottom"/>
            <w:tcBorders>
              <w:bottom w:val="single" w:sz="8" w:color="D60010"/>
            </w:tcBorders>
          </w:tcPr>
          <w:p>
            <w:pPr>
              <w:jc w:val="right"/>
              <w:ind w:right="12"/>
              <w:spacing w:after="0" w:line="152" w:lineRule="exact"/>
              <w:rPr>
                <w:sz w:val="20"/>
                <w:szCs w:val="20"/>
                <w:color w:val="auto"/>
              </w:rPr>
            </w:pPr>
            <w:r>
              <w:rPr>
                <w:rFonts w:ascii="Arial" w:cs="Arial" w:eastAsia="Arial" w:hAnsi="Arial"/>
                <w:sz w:val="10"/>
                <w:szCs w:val="10"/>
                <w:color w:val="auto"/>
              </w:rPr>
              <w:t>2,969,997</w:t>
            </w:r>
            <w:r>
              <w:rPr>
                <w:rFonts w:ascii="Arial" w:cs="Arial" w:eastAsia="Arial" w:hAnsi="Arial"/>
                <w:sz w:val="15"/>
                <w:szCs w:val="15"/>
                <w:color w:val="auto"/>
                <w:vertAlign w:val="superscript"/>
              </w:rPr>
              <w:t>(4)</w:t>
            </w:r>
          </w:p>
        </w:tc>
      </w:tr>
    </w:tbl>
    <w:p>
      <w:pPr>
        <w:spacing w:after="0" w:line="152" w:lineRule="exact"/>
        <w:rPr>
          <w:sz w:val="20"/>
          <w:szCs w:val="20"/>
          <w:color w:val="auto"/>
        </w:rPr>
      </w:pPr>
    </w:p>
    <w:p>
      <w:pPr>
        <w:ind w:left="1040" w:hanging="208"/>
        <w:spacing w:after="0"/>
        <w:tabs>
          <w:tab w:leader="none" w:pos="1040" w:val="left"/>
        </w:tabs>
        <w:numPr>
          <w:ilvl w:val="0"/>
          <w:numId w:val="152"/>
        </w:numPr>
        <w:rPr>
          <w:rFonts w:ascii="Arial" w:cs="Arial" w:eastAsia="Arial" w:hAnsi="Arial"/>
          <w:sz w:val="16"/>
          <w:szCs w:val="16"/>
          <w:color w:val="auto"/>
          <w:vertAlign w:val="superscript"/>
        </w:rPr>
      </w:pPr>
      <w:r>
        <w:rPr>
          <w:rFonts w:ascii="Arial" w:cs="Arial" w:eastAsia="Arial" w:hAnsi="Arial"/>
          <w:sz w:val="10"/>
          <w:szCs w:val="10"/>
          <w:color w:val="auto"/>
        </w:rPr>
        <w:t>This column includes shares held in the Company’s 401(k) Plan.</w:t>
      </w:r>
    </w:p>
    <w:p>
      <w:pPr>
        <w:spacing w:after="0" w:line="45" w:lineRule="exact"/>
        <w:rPr>
          <w:rFonts w:ascii="Arial" w:cs="Arial" w:eastAsia="Arial" w:hAnsi="Arial"/>
          <w:sz w:val="16"/>
          <w:szCs w:val="16"/>
          <w:color w:val="auto"/>
          <w:vertAlign w:val="superscript"/>
        </w:rPr>
      </w:pPr>
    </w:p>
    <w:p>
      <w:pPr>
        <w:ind w:left="1040" w:right="939" w:hanging="208"/>
        <w:spacing w:after="0" w:line="180" w:lineRule="auto"/>
        <w:tabs>
          <w:tab w:leader="none" w:pos="1040" w:val="left"/>
        </w:tabs>
        <w:numPr>
          <w:ilvl w:val="0"/>
          <w:numId w:val="152"/>
        </w:numPr>
        <w:rPr>
          <w:rFonts w:ascii="Arial" w:cs="Arial" w:eastAsia="Arial" w:hAnsi="Arial"/>
          <w:sz w:val="16"/>
          <w:szCs w:val="16"/>
          <w:color w:val="auto"/>
          <w:vertAlign w:val="superscript"/>
        </w:rPr>
      </w:pPr>
      <w:r>
        <w:rPr>
          <w:rFonts w:ascii="Arial" w:cs="Arial" w:eastAsia="Arial" w:hAnsi="Arial"/>
          <w:sz w:val="10"/>
          <w:szCs w:val="10"/>
          <w:color w:val="auto"/>
        </w:rPr>
        <w:t>This column includes the (a) DSUs credited to the accounts of the directors who elected to defer all or part of their annual retainer fee, (b) executives’ unvested RSUs, and (c) earned but unvested PSUs. The DSUs, RSUs, and PSUs do not have current voting or investment power.</w:t>
      </w:r>
    </w:p>
    <w:p>
      <w:pPr>
        <w:spacing w:after="0" w:line="37" w:lineRule="exact"/>
        <w:rPr>
          <w:rFonts w:ascii="Arial" w:cs="Arial" w:eastAsia="Arial" w:hAnsi="Arial"/>
          <w:sz w:val="16"/>
          <w:szCs w:val="16"/>
          <w:color w:val="auto"/>
          <w:vertAlign w:val="superscript"/>
        </w:rPr>
      </w:pPr>
    </w:p>
    <w:p>
      <w:pPr>
        <w:ind w:left="1040" w:right="1119" w:hanging="208"/>
        <w:spacing w:after="0" w:line="186" w:lineRule="auto"/>
        <w:tabs>
          <w:tab w:leader="none" w:pos="1040" w:val="left"/>
        </w:tabs>
        <w:numPr>
          <w:ilvl w:val="0"/>
          <w:numId w:val="152"/>
        </w:numPr>
        <w:rPr>
          <w:rFonts w:ascii="Arial" w:cs="Arial" w:eastAsia="Arial" w:hAnsi="Arial"/>
          <w:sz w:val="16"/>
          <w:szCs w:val="16"/>
          <w:color w:val="auto"/>
          <w:vertAlign w:val="superscript"/>
        </w:rPr>
      </w:pPr>
      <w:r>
        <w:rPr>
          <w:rFonts w:ascii="Arial" w:cs="Arial" w:eastAsia="Arial" w:hAnsi="Arial"/>
          <w:sz w:val="10"/>
          <w:szCs w:val="10"/>
          <w:color w:val="auto"/>
        </w:rPr>
        <w:t>This information is based on the last beneficial ownership reports filed on behalf of Ms. Peters and Mr. Talwar with the SEC on March 30, 2021 and May 17, 2021, respectively, and also includes 7,209 RSUs that were accelerated in connection with Ms. Peters’s departure.</w:t>
      </w:r>
    </w:p>
    <w:p>
      <w:pPr>
        <w:spacing w:after="0" w:line="1" w:lineRule="exact"/>
        <w:rPr>
          <w:rFonts w:ascii="Arial" w:cs="Arial" w:eastAsia="Arial" w:hAnsi="Arial"/>
          <w:sz w:val="16"/>
          <w:szCs w:val="16"/>
          <w:color w:val="auto"/>
          <w:vertAlign w:val="superscript"/>
        </w:rPr>
      </w:pPr>
    </w:p>
    <w:p>
      <w:pPr>
        <w:ind w:left="1040" w:hanging="208"/>
        <w:spacing w:after="0" w:line="211" w:lineRule="auto"/>
        <w:tabs>
          <w:tab w:leader="none" w:pos="1040" w:val="left"/>
        </w:tabs>
        <w:numPr>
          <w:ilvl w:val="0"/>
          <w:numId w:val="152"/>
        </w:numPr>
        <w:rPr>
          <w:rFonts w:ascii="Arial" w:cs="Arial" w:eastAsia="Arial" w:hAnsi="Arial"/>
          <w:sz w:val="16"/>
          <w:szCs w:val="16"/>
          <w:color w:val="auto"/>
          <w:vertAlign w:val="superscript"/>
        </w:rPr>
      </w:pPr>
      <w:r>
        <w:rPr>
          <w:rFonts w:ascii="Arial" w:cs="Arial" w:eastAsia="Arial" w:hAnsi="Arial"/>
          <w:sz w:val="10"/>
          <w:szCs w:val="10"/>
          <w:color w:val="auto"/>
        </w:rPr>
        <w:t>This number represents approximately 3.1% of the shares of Common Stock outstanding at the close of business on the Record Date.</w:t>
      </w:r>
    </w:p>
    <w:p>
      <w:pPr>
        <w:spacing w:after="0" w:line="100" w:lineRule="exact"/>
        <w:rPr>
          <w:sz w:val="20"/>
          <w:szCs w:val="20"/>
          <w:color w:val="auto"/>
        </w:rPr>
      </w:pPr>
    </w:p>
    <w:p>
      <w:pPr>
        <w:ind w:left="1540" w:hanging="408"/>
        <w:spacing w:after="0"/>
        <w:tabs>
          <w:tab w:leader="none" w:pos="1540" w:val="left"/>
        </w:tabs>
        <w:numPr>
          <w:ilvl w:val="0"/>
          <w:numId w:val="153"/>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254000</wp:posOffset>
            </wp:positionV>
            <wp:extent cx="717804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jc w:val="right"/>
        <w:ind w:right="1980"/>
        <w:spacing w:after="0"/>
        <w:rPr>
          <w:sz w:val="20"/>
          <w:szCs w:val="20"/>
          <w:color w:val="auto"/>
        </w:rPr>
      </w:pPr>
      <w:r>
        <w:rPr>
          <w:rFonts w:ascii="Arial" w:cs="Arial" w:eastAsia="Arial" w:hAnsi="Arial"/>
          <w:sz w:val="10"/>
          <w:szCs w:val="10"/>
          <w:b w:val="1"/>
          <w:bCs w:val="1"/>
          <w:color w:val="D60011"/>
        </w:rPr>
        <w:t>SHARE OWNERSHIP</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PRINCIPAL SHAREHOLDERS</w:t>
      </w:r>
    </w:p>
    <w:p>
      <w:pPr>
        <w:spacing w:after="0" w:line="145" w:lineRule="exact"/>
        <w:rPr>
          <w:sz w:val="20"/>
          <w:szCs w:val="20"/>
          <w:color w:val="auto"/>
        </w:rPr>
      </w:pPr>
    </w:p>
    <w:p>
      <w:pPr>
        <w:jc w:val="both"/>
        <w:ind w:left="1980" w:right="1980"/>
        <w:spacing w:after="0" w:line="253" w:lineRule="auto"/>
        <w:rPr>
          <w:sz w:val="20"/>
          <w:szCs w:val="20"/>
          <w:color w:val="auto"/>
        </w:rPr>
      </w:pPr>
      <w:r>
        <w:rPr>
          <w:rFonts w:ascii="Arial" w:cs="Arial" w:eastAsia="Arial" w:hAnsi="Arial"/>
          <w:sz w:val="11"/>
          <w:szCs w:val="11"/>
          <w:color w:val="auto"/>
        </w:rPr>
        <w:t>The table below provides information on shareholders who beneficially owned more than 5% of our Common Stock as of December 31, 2021 according to reports filed with the SEC. To the best of our knowledge, there are no other shareholders who beneficially own more than 5% of a class of the Company’s voting securities.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2300" w:type="dxa"/>
            <w:vAlign w:val="bottom"/>
          </w:tcPr>
          <w:p>
            <w:pPr>
              <w:jc w:val="right"/>
              <w:ind w:right="212"/>
              <w:spacing w:after="0"/>
              <w:rPr>
                <w:sz w:val="20"/>
                <w:szCs w:val="20"/>
                <w:color w:val="auto"/>
              </w:rPr>
            </w:pPr>
            <w:r>
              <w:rPr>
                <w:rFonts w:ascii="Arial" w:cs="Arial" w:eastAsia="Arial" w:hAnsi="Arial"/>
                <w:sz w:val="10"/>
                <w:szCs w:val="10"/>
                <w:b w:val="1"/>
                <w:bCs w:val="1"/>
                <w:color w:val="auto"/>
              </w:rPr>
              <w:t>Amount and Nature</w:t>
            </w:r>
          </w:p>
        </w:tc>
        <w:tc>
          <w:tcPr>
            <w:tcW w:w="700" w:type="dxa"/>
            <w:vAlign w:val="bottom"/>
          </w:tcPr>
          <w:p>
            <w:pPr>
              <w:jc w:val="right"/>
              <w:ind w:right="54"/>
              <w:spacing w:after="0"/>
              <w:rPr>
                <w:sz w:val="20"/>
                <w:szCs w:val="20"/>
                <w:color w:val="auto"/>
              </w:rPr>
            </w:pPr>
            <w:r>
              <w:rPr>
                <w:rFonts w:ascii="Arial" w:cs="Arial" w:eastAsia="Arial" w:hAnsi="Arial"/>
                <w:sz w:val="10"/>
                <w:szCs w:val="10"/>
                <w:b w:val="1"/>
                <w:bCs w:val="1"/>
                <w:color w:val="auto"/>
              </w:rPr>
              <w:t>Percent</w:t>
            </w:r>
          </w:p>
        </w:tc>
      </w:tr>
      <w:tr>
        <w:trPr>
          <w:trHeight w:val="108"/>
        </w:trPr>
        <w:tc>
          <w:tcPr>
            <w:tcW w:w="4340" w:type="dxa"/>
            <w:vAlign w:val="bottom"/>
          </w:tcPr>
          <w:p>
            <w:pPr>
              <w:spacing w:after="0"/>
              <w:rPr>
                <w:sz w:val="9"/>
                <w:szCs w:val="9"/>
                <w:color w:val="auto"/>
              </w:rPr>
            </w:pPr>
          </w:p>
        </w:tc>
        <w:tc>
          <w:tcPr>
            <w:tcW w:w="2300" w:type="dxa"/>
            <w:vAlign w:val="bottom"/>
          </w:tcPr>
          <w:p>
            <w:pPr>
              <w:jc w:val="right"/>
              <w:ind w:right="212"/>
              <w:spacing w:after="0" w:line="108" w:lineRule="exact"/>
              <w:rPr>
                <w:sz w:val="20"/>
                <w:szCs w:val="20"/>
                <w:color w:val="auto"/>
              </w:rPr>
            </w:pPr>
            <w:r>
              <w:rPr>
                <w:rFonts w:ascii="Arial" w:cs="Arial" w:eastAsia="Arial" w:hAnsi="Arial"/>
                <w:sz w:val="10"/>
                <w:szCs w:val="10"/>
                <w:b w:val="1"/>
                <w:bCs w:val="1"/>
                <w:color w:val="auto"/>
              </w:rPr>
              <w:t>of Beneficial Ownership</w:t>
            </w:r>
          </w:p>
        </w:tc>
        <w:tc>
          <w:tcPr>
            <w:tcW w:w="700" w:type="dxa"/>
            <w:vAlign w:val="bottom"/>
          </w:tcPr>
          <w:p>
            <w:pPr>
              <w:jc w:val="right"/>
              <w:ind w:right="54"/>
              <w:spacing w:after="0" w:line="108" w:lineRule="exact"/>
              <w:rPr>
                <w:sz w:val="20"/>
                <w:szCs w:val="20"/>
                <w:color w:val="auto"/>
              </w:rPr>
            </w:pPr>
            <w:r>
              <w:rPr>
                <w:rFonts w:ascii="Arial" w:cs="Arial" w:eastAsia="Arial" w:hAnsi="Arial"/>
                <w:sz w:val="10"/>
                <w:szCs w:val="10"/>
                <w:b w:val="1"/>
                <w:bCs w:val="1"/>
                <w:color w:val="auto"/>
              </w:rPr>
              <w:t>of Class</w:t>
            </w:r>
          </w:p>
        </w:tc>
      </w:tr>
      <w:tr>
        <w:trPr>
          <w:trHeight w:val="124"/>
        </w:trPr>
        <w:tc>
          <w:tcPr>
            <w:tcW w:w="4340" w:type="dxa"/>
            <w:vAlign w:val="bottom"/>
            <w:tcBorders>
              <w:bottom w:val="single" w:sz="8" w:color="D60010"/>
            </w:tcBorders>
          </w:tcPr>
          <w:p>
            <w:pPr>
              <w:spacing w:after="0"/>
              <w:rPr>
                <w:sz w:val="20"/>
                <w:szCs w:val="20"/>
                <w:color w:val="auto"/>
              </w:rPr>
            </w:pPr>
            <w:r>
              <w:rPr>
                <w:rFonts w:ascii="Arial" w:cs="Arial" w:eastAsia="Arial" w:hAnsi="Arial"/>
                <w:sz w:val="10"/>
                <w:szCs w:val="10"/>
                <w:b w:val="1"/>
                <w:bCs w:val="1"/>
                <w:color w:val="auto"/>
              </w:rPr>
              <w:t>Name and Address of Beneficial Owner</w:t>
            </w:r>
          </w:p>
        </w:tc>
        <w:tc>
          <w:tcPr>
            <w:tcW w:w="2300" w:type="dxa"/>
            <w:vAlign w:val="bottom"/>
            <w:tcBorders>
              <w:bottom w:val="single" w:sz="8" w:color="D60010"/>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60010"/>
            </w:tcBorders>
          </w:tcPr>
          <w:p>
            <w:pPr>
              <w:jc w:val="right"/>
              <w:ind w:right="14"/>
              <w:spacing w:after="0"/>
              <w:rPr>
                <w:sz w:val="20"/>
                <w:szCs w:val="20"/>
                <w:color w:val="auto"/>
              </w:rPr>
            </w:pPr>
            <w:r>
              <w:rPr>
                <w:rFonts w:ascii="Arial" w:cs="Arial" w:eastAsia="Arial" w:hAnsi="Arial"/>
                <w:sz w:val="10"/>
                <w:szCs w:val="10"/>
                <w:b w:val="1"/>
                <w:bCs w:val="1"/>
                <w:color w:val="auto"/>
              </w:rPr>
              <w:t>(%)</w:t>
            </w:r>
          </w:p>
        </w:tc>
      </w:tr>
      <w:tr>
        <w:trPr>
          <w:trHeight w:val="137"/>
        </w:trPr>
        <w:tc>
          <w:tcPr>
            <w:tcW w:w="4340" w:type="dxa"/>
            <w:vAlign w:val="bottom"/>
          </w:tcPr>
          <w:p>
            <w:pPr>
              <w:spacing w:after="0"/>
              <w:rPr>
                <w:sz w:val="20"/>
                <w:szCs w:val="20"/>
                <w:color w:val="auto"/>
              </w:rPr>
            </w:pPr>
            <w:r>
              <w:rPr>
                <w:rFonts w:ascii="Arial" w:cs="Arial" w:eastAsia="Arial" w:hAnsi="Arial"/>
                <w:sz w:val="10"/>
                <w:szCs w:val="10"/>
                <w:b w:val="1"/>
                <w:bCs w:val="1"/>
                <w:color w:val="D60011"/>
              </w:rPr>
              <w:t>Vesa Equity Investment S.à r.l., EP Investment S.à r.l., and Daniel Křetínský</w:t>
            </w:r>
          </w:p>
        </w:tc>
        <w:tc>
          <w:tcPr>
            <w:tcW w:w="2300" w:type="dxa"/>
            <w:vAlign w:val="bottom"/>
          </w:tcPr>
          <w:p>
            <w:pPr>
              <w:jc w:val="right"/>
              <w:ind w:right="192"/>
              <w:spacing w:after="0" w:line="137" w:lineRule="exact"/>
              <w:rPr>
                <w:sz w:val="20"/>
                <w:szCs w:val="20"/>
                <w:color w:val="auto"/>
              </w:rPr>
            </w:pPr>
            <w:r>
              <w:rPr>
                <w:rFonts w:ascii="Arial" w:cs="Arial" w:eastAsia="Arial" w:hAnsi="Arial"/>
                <w:sz w:val="10"/>
                <w:szCs w:val="10"/>
                <w:color w:val="auto"/>
              </w:rPr>
              <w:t>12,750,317</w:t>
            </w:r>
            <w:r>
              <w:rPr>
                <w:rFonts w:ascii="Arial" w:cs="Arial" w:eastAsia="Arial" w:hAnsi="Arial"/>
                <w:sz w:val="15"/>
                <w:szCs w:val="15"/>
                <w:color w:val="auto"/>
                <w:vertAlign w:val="superscript"/>
              </w:rPr>
              <w:t>(a)</w:t>
            </w:r>
          </w:p>
        </w:tc>
        <w:tc>
          <w:tcPr>
            <w:tcW w:w="700" w:type="dxa"/>
            <w:vAlign w:val="bottom"/>
          </w:tcPr>
          <w:p>
            <w:pPr>
              <w:jc w:val="right"/>
              <w:ind w:right="14"/>
              <w:spacing w:after="0" w:line="137" w:lineRule="exact"/>
              <w:rPr>
                <w:sz w:val="20"/>
                <w:szCs w:val="20"/>
                <w:color w:val="auto"/>
              </w:rPr>
            </w:pPr>
            <w:r>
              <w:rPr>
                <w:rFonts w:ascii="Arial" w:cs="Arial" w:eastAsia="Arial" w:hAnsi="Arial"/>
                <w:sz w:val="10"/>
                <w:szCs w:val="10"/>
                <w:color w:val="auto"/>
              </w:rPr>
              <w:t>12.9</w:t>
            </w:r>
            <w:r>
              <w:rPr>
                <w:rFonts w:ascii="Arial" w:cs="Arial" w:eastAsia="Arial" w:hAnsi="Arial"/>
                <w:sz w:val="15"/>
                <w:szCs w:val="15"/>
                <w:color w:val="auto"/>
                <w:vertAlign w:val="superscript"/>
              </w:rPr>
              <w:t>(a)</w:t>
            </w:r>
          </w:p>
        </w:tc>
      </w:tr>
      <w:tr>
        <w:trPr>
          <w:trHeight w:val="125"/>
        </w:trPr>
        <w:tc>
          <w:tcPr>
            <w:tcW w:w="4340" w:type="dxa"/>
            <w:vAlign w:val="bottom"/>
          </w:tcPr>
          <w:p>
            <w:pPr>
              <w:ind w:left="100"/>
              <w:spacing w:after="0"/>
              <w:rPr>
                <w:sz w:val="20"/>
                <w:szCs w:val="20"/>
                <w:color w:val="auto"/>
              </w:rPr>
            </w:pPr>
            <w:r>
              <w:rPr>
                <w:rFonts w:ascii="Arial" w:cs="Arial" w:eastAsia="Arial" w:hAnsi="Arial"/>
                <w:sz w:val="10"/>
                <w:szCs w:val="10"/>
                <w:color w:val="auto"/>
              </w:rPr>
              <w:t>39 Avenue John F. Kennedy</w:t>
            </w:r>
          </w:p>
        </w:tc>
        <w:tc>
          <w:tcPr>
            <w:tcW w:w="23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4340" w:type="dxa"/>
            <w:vAlign w:val="bottom"/>
            <w:tcBorders>
              <w:bottom w:val="single" w:sz="8" w:color="BCBEC0"/>
            </w:tcBorders>
          </w:tcPr>
          <w:p>
            <w:pPr>
              <w:ind w:left="100"/>
              <w:spacing w:after="0"/>
              <w:rPr>
                <w:sz w:val="20"/>
                <w:szCs w:val="20"/>
                <w:color w:val="auto"/>
              </w:rPr>
            </w:pPr>
            <w:r>
              <w:rPr>
                <w:rFonts w:ascii="Arial" w:cs="Arial" w:eastAsia="Arial" w:hAnsi="Arial"/>
                <w:sz w:val="10"/>
                <w:szCs w:val="10"/>
                <w:color w:val="auto"/>
              </w:rPr>
              <w:t>L-1855 Luxembourg, Luxembourg</w:t>
            </w:r>
          </w:p>
        </w:tc>
        <w:tc>
          <w:tcPr>
            <w:tcW w:w="2300" w:type="dxa"/>
            <w:vAlign w:val="bottom"/>
            <w:tcBorders>
              <w:bottom w:val="single" w:sz="8" w:color="BCBEC0"/>
            </w:tcBorders>
          </w:tcPr>
          <w:p>
            <w:pPr>
              <w:spacing w:after="0"/>
              <w:rPr>
                <w:sz w:val="10"/>
                <w:szCs w:val="10"/>
                <w:color w:val="auto"/>
              </w:rPr>
            </w:pPr>
          </w:p>
        </w:tc>
        <w:tc>
          <w:tcPr>
            <w:tcW w:w="700" w:type="dxa"/>
            <w:vAlign w:val="bottom"/>
            <w:tcBorders>
              <w:bottom w:val="single" w:sz="8" w:color="BCBEC0"/>
            </w:tcBorders>
          </w:tcPr>
          <w:p>
            <w:pPr>
              <w:spacing w:after="0"/>
              <w:rPr>
                <w:sz w:val="10"/>
                <w:szCs w:val="10"/>
                <w:color w:val="auto"/>
              </w:rPr>
            </w:pPr>
          </w:p>
        </w:tc>
      </w:tr>
      <w:tr>
        <w:trPr>
          <w:trHeight w:val="137"/>
        </w:trPr>
        <w:tc>
          <w:tcPr>
            <w:tcW w:w="4340" w:type="dxa"/>
            <w:vAlign w:val="bottom"/>
          </w:tcPr>
          <w:p>
            <w:pPr>
              <w:spacing w:after="0"/>
              <w:rPr>
                <w:sz w:val="20"/>
                <w:szCs w:val="20"/>
                <w:color w:val="auto"/>
              </w:rPr>
            </w:pPr>
            <w:r>
              <w:rPr>
                <w:rFonts w:ascii="Arial" w:cs="Arial" w:eastAsia="Arial" w:hAnsi="Arial"/>
                <w:sz w:val="10"/>
                <w:szCs w:val="10"/>
                <w:b w:val="1"/>
                <w:bCs w:val="1"/>
                <w:color w:val="D60011"/>
              </w:rPr>
              <w:t>The Vanguard Group, Inc.</w:t>
            </w:r>
          </w:p>
        </w:tc>
        <w:tc>
          <w:tcPr>
            <w:tcW w:w="2300" w:type="dxa"/>
            <w:vAlign w:val="bottom"/>
          </w:tcPr>
          <w:p>
            <w:pPr>
              <w:jc w:val="right"/>
              <w:ind w:right="192"/>
              <w:spacing w:after="0" w:line="137" w:lineRule="exact"/>
              <w:rPr>
                <w:sz w:val="20"/>
                <w:szCs w:val="20"/>
                <w:color w:val="auto"/>
              </w:rPr>
            </w:pPr>
            <w:r>
              <w:rPr>
                <w:rFonts w:ascii="Arial" w:cs="Arial" w:eastAsia="Arial" w:hAnsi="Arial"/>
                <w:sz w:val="10"/>
                <w:szCs w:val="10"/>
                <w:color w:val="auto"/>
              </w:rPr>
              <w:t>11,309,861</w:t>
            </w:r>
            <w:r>
              <w:rPr>
                <w:rFonts w:ascii="Arial" w:cs="Arial" w:eastAsia="Arial" w:hAnsi="Arial"/>
                <w:sz w:val="15"/>
                <w:szCs w:val="15"/>
                <w:color w:val="auto"/>
                <w:vertAlign w:val="superscript"/>
              </w:rPr>
              <w:t>(b)</w:t>
            </w:r>
          </w:p>
        </w:tc>
        <w:tc>
          <w:tcPr>
            <w:tcW w:w="700" w:type="dxa"/>
            <w:vAlign w:val="bottom"/>
          </w:tcPr>
          <w:p>
            <w:pPr>
              <w:jc w:val="right"/>
              <w:ind w:right="14"/>
              <w:spacing w:after="0" w:line="137" w:lineRule="exact"/>
              <w:rPr>
                <w:sz w:val="20"/>
                <w:szCs w:val="20"/>
                <w:color w:val="auto"/>
              </w:rPr>
            </w:pPr>
            <w:r>
              <w:rPr>
                <w:rFonts w:ascii="Arial" w:cs="Arial" w:eastAsia="Arial" w:hAnsi="Arial"/>
                <w:sz w:val="10"/>
                <w:szCs w:val="10"/>
                <w:color w:val="auto"/>
              </w:rPr>
              <w:t>11.27</w:t>
            </w:r>
            <w:r>
              <w:rPr>
                <w:rFonts w:ascii="Arial" w:cs="Arial" w:eastAsia="Arial" w:hAnsi="Arial"/>
                <w:sz w:val="15"/>
                <w:szCs w:val="15"/>
                <w:color w:val="auto"/>
                <w:vertAlign w:val="superscript"/>
              </w:rPr>
              <w:t>(b)</w:t>
            </w:r>
          </w:p>
        </w:tc>
      </w:tr>
      <w:tr>
        <w:trPr>
          <w:trHeight w:val="125"/>
        </w:trPr>
        <w:tc>
          <w:tcPr>
            <w:tcW w:w="4340" w:type="dxa"/>
            <w:vAlign w:val="bottom"/>
          </w:tcPr>
          <w:p>
            <w:pPr>
              <w:ind w:left="100"/>
              <w:spacing w:after="0"/>
              <w:rPr>
                <w:sz w:val="20"/>
                <w:szCs w:val="20"/>
                <w:color w:val="auto"/>
              </w:rPr>
            </w:pPr>
            <w:r>
              <w:rPr>
                <w:rFonts w:ascii="Arial" w:cs="Arial" w:eastAsia="Arial" w:hAnsi="Arial"/>
                <w:sz w:val="10"/>
                <w:szCs w:val="10"/>
                <w:color w:val="auto"/>
              </w:rPr>
              <w:t>100 Vanguard Boulevard</w:t>
            </w:r>
          </w:p>
        </w:tc>
        <w:tc>
          <w:tcPr>
            <w:tcW w:w="23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4340" w:type="dxa"/>
            <w:vAlign w:val="bottom"/>
            <w:tcBorders>
              <w:bottom w:val="single" w:sz="8" w:color="BCBEC0"/>
            </w:tcBorders>
          </w:tcPr>
          <w:p>
            <w:pPr>
              <w:ind w:left="100"/>
              <w:spacing w:after="0"/>
              <w:rPr>
                <w:sz w:val="20"/>
                <w:szCs w:val="20"/>
                <w:color w:val="auto"/>
              </w:rPr>
            </w:pPr>
            <w:r>
              <w:rPr>
                <w:rFonts w:ascii="Arial" w:cs="Arial" w:eastAsia="Arial" w:hAnsi="Arial"/>
                <w:sz w:val="10"/>
                <w:szCs w:val="10"/>
                <w:color w:val="auto"/>
              </w:rPr>
              <w:t>Malvern, Pennsylvania 19355</w:t>
            </w:r>
          </w:p>
        </w:tc>
        <w:tc>
          <w:tcPr>
            <w:tcW w:w="2300" w:type="dxa"/>
            <w:vAlign w:val="bottom"/>
            <w:tcBorders>
              <w:bottom w:val="single" w:sz="8" w:color="BCBEC0"/>
            </w:tcBorders>
          </w:tcPr>
          <w:p>
            <w:pPr>
              <w:spacing w:after="0"/>
              <w:rPr>
                <w:sz w:val="10"/>
                <w:szCs w:val="10"/>
                <w:color w:val="auto"/>
              </w:rPr>
            </w:pPr>
          </w:p>
        </w:tc>
        <w:tc>
          <w:tcPr>
            <w:tcW w:w="700" w:type="dxa"/>
            <w:vAlign w:val="bottom"/>
            <w:tcBorders>
              <w:bottom w:val="single" w:sz="8" w:color="BCBEC0"/>
            </w:tcBorders>
          </w:tcPr>
          <w:p>
            <w:pPr>
              <w:spacing w:after="0"/>
              <w:rPr>
                <w:sz w:val="10"/>
                <w:szCs w:val="10"/>
                <w:color w:val="auto"/>
              </w:rPr>
            </w:pPr>
          </w:p>
        </w:tc>
      </w:tr>
      <w:tr>
        <w:trPr>
          <w:trHeight w:val="137"/>
        </w:trPr>
        <w:tc>
          <w:tcPr>
            <w:tcW w:w="4340" w:type="dxa"/>
            <w:vAlign w:val="bottom"/>
          </w:tcPr>
          <w:p>
            <w:pPr>
              <w:spacing w:after="0"/>
              <w:rPr>
                <w:sz w:val="20"/>
                <w:szCs w:val="20"/>
                <w:color w:val="auto"/>
              </w:rPr>
            </w:pPr>
            <w:r>
              <w:rPr>
                <w:rFonts w:ascii="Arial" w:cs="Arial" w:eastAsia="Arial" w:hAnsi="Arial"/>
                <w:sz w:val="10"/>
                <w:szCs w:val="10"/>
                <w:b w:val="1"/>
                <w:bCs w:val="1"/>
                <w:color w:val="D60011"/>
              </w:rPr>
              <w:t>BlackRock, Inc.</w:t>
            </w:r>
          </w:p>
        </w:tc>
        <w:tc>
          <w:tcPr>
            <w:tcW w:w="2300" w:type="dxa"/>
            <w:vAlign w:val="bottom"/>
          </w:tcPr>
          <w:p>
            <w:pPr>
              <w:jc w:val="right"/>
              <w:ind w:right="192"/>
              <w:spacing w:after="0" w:line="137" w:lineRule="exact"/>
              <w:rPr>
                <w:sz w:val="20"/>
                <w:szCs w:val="20"/>
                <w:color w:val="auto"/>
              </w:rPr>
            </w:pPr>
            <w:r>
              <w:rPr>
                <w:rFonts w:ascii="Arial" w:cs="Arial" w:eastAsia="Arial" w:hAnsi="Arial"/>
                <w:sz w:val="10"/>
                <w:szCs w:val="10"/>
                <w:color w:val="auto"/>
              </w:rPr>
              <w:t>7,742,626</w:t>
            </w:r>
            <w:r>
              <w:rPr>
                <w:rFonts w:ascii="Arial" w:cs="Arial" w:eastAsia="Arial" w:hAnsi="Arial"/>
                <w:sz w:val="15"/>
                <w:szCs w:val="15"/>
                <w:color w:val="auto"/>
                <w:vertAlign w:val="superscript"/>
              </w:rPr>
              <w:t>(c)</w:t>
            </w:r>
          </w:p>
        </w:tc>
        <w:tc>
          <w:tcPr>
            <w:tcW w:w="700" w:type="dxa"/>
            <w:vAlign w:val="bottom"/>
          </w:tcPr>
          <w:p>
            <w:pPr>
              <w:jc w:val="right"/>
              <w:ind w:right="14"/>
              <w:spacing w:after="0" w:line="137" w:lineRule="exact"/>
              <w:rPr>
                <w:sz w:val="20"/>
                <w:szCs w:val="20"/>
                <w:color w:val="auto"/>
              </w:rPr>
            </w:pPr>
            <w:r>
              <w:rPr>
                <w:rFonts w:ascii="Arial" w:cs="Arial" w:eastAsia="Arial" w:hAnsi="Arial"/>
                <w:sz w:val="15"/>
                <w:szCs w:val="15"/>
                <w:color w:val="auto"/>
                <w:vertAlign w:val="subscript"/>
              </w:rPr>
              <w:t>7.7</w:t>
            </w:r>
            <w:r>
              <w:rPr>
                <w:rFonts w:ascii="Arial" w:cs="Arial" w:eastAsia="Arial" w:hAnsi="Arial"/>
                <w:sz w:val="7"/>
                <w:szCs w:val="7"/>
                <w:color w:val="auto"/>
              </w:rPr>
              <w:t>(c)</w:t>
            </w:r>
          </w:p>
        </w:tc>
      </w:tr>
      <w:tr>
        <w:trPr>
          <w:trHeight w:val="125"/>
        </w:trPr>
        <w:tc>
          <w:tcPr>
            <w:tcW w:w="4340" w:type="dxa"/>
            <w:vAlign w:val="bottom"/>
          </w:tcPr>
          <w:p>
            <w:pPr>
              <w:ind w:left="100"/>
              <w:spacing w:after="0"/>
              <w:rPr>
                <w:sz w:val="20"/>
                <w:szCs w:val="20"/>
                <w:color w:val="auto"/>
              </w:rPr>
            </w:pPr>
            <w:r>
              <w:rPr>
                <w:rFonts w:ascii="Arial" w:cs="Arial" w:eastAsia="Arial" w:hAnsi="Arial"/>
                <w:sz w:val="10"/>
                <w:szCs w:val="10"/>
                <w:color w:val="auto"/>
              </w:rPr>
              <w:t>55 East 52nd Street</w:t>
            </w:r>
          </w:p>
        </w:tc>
        <w:tc>
          <w:tcPr>
            <w:tcW w:w="23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4340" w:type="dxa"/>
            <w:vAlign w:val="bottom"/>
            <w:tcBorders>
              <w:bottom w:val="single" w:sz="8" w:color="BCBEC0"/>
            </w:tcBorders>
          </w:tcPr>
          <w:p>
            <w:pPr>
              <w:ind w:left="100"/>
              <w:spacing w:after="0"/>
              <w:rPr>
                <w:sz w:val="20"/>
                <w:szCs w:val="20"/>
                <w:color w:val="auto"/>
              </w:rPr>
            </w:pPr>
            <w:r>
              <w:rPr>
                <w:rFonts w:ascii="Arial" w:cs="Arial" w:eastAsia="Arial" w:hAnsi="Arial"/>
                <w:sz w:val="10"/>
                <w:szCs w:val="10"/>
                <w:color w:val="auto"/>
              </w:rPr>
              <w:t>New York, New York 10055</w:t>
            </w:r>
          </w:p>
        </w:tc>
        <w:tc>
          <w:tcPr>
            <w:tcW w:w="2300" w:type="dxa"/>
            <w:vAlign w:val="bottom"/>
            <w:tcBorders>
              <w:bottom w:val="single" w:sz="8" w:color="BCBEC0"/>
            </w:tcBorders>
          </w:tcPr>
          <w:p>
            <w:pPr>
              <w:spacing w:after="0"/>
              <w:rPr>
                <w:sz w:val="10"/>
                <w:szCs w:val="10"/>
                <w:color w:val="auto"/>
              </w:rPr>
            </w:pPr>
          </w:p>
        </w:tc>
        <w:tc>
          <w:tcPr>
            <w:tcW w:w="700" w:type="dxa"/>
            <w:vAlign w:val="bottom"/>
            <w:tcBorders>
              <w:bottom w:val="single" w:sz="8" w:color="BCBEC0"/>
            </w:tcBorders>
          </w:tcPr>
          <w:p>
            <w:pPr>
              <w:spacing w:after="0"/>
              <w:rPr>
                <w:sz w:val="10"/>
                <w:szCs w:val="10"/>
                <w:color w:val="auto"/>
              </w:rPr>
            </w:pPr>
          </w:p>
        </w:tc>
      </w:tr>
      <w:tr>
        <w:trPr>
          <w:trHeight w:val="137"/>
        </w:trPr>
        <w:tc>
          <w:tcPr>
            <w:tcW w:w="4340" w:type="dxa"/>
            <w:vAlign w:val="bottom"/>
          </w:tcPr>
          <w:p>
            <w:pPr>
              <w:spacing w:after="0"/>
              <w:rPr>
                <w:sz w:val="20"/>
                <w:szCs w:val="20"/>
                <w:color w:val="auto"/>
              </w:rPr>
            </w:pPr>
            <w:r>
              <w:rPr>
                <w:rFonts w:ascii="Arial" w:cs="Arial" w:eastAsia="Arial" w:hAnsi="Arial"/>
                <w:sz w:val="10"/>
                <w:szCs w:val="10"/>
                <w:b w:val="1"/>
                <w:bCs w:val="1"/>
                <w:color w:val="D60011"/>
              </w:rPr>
              <w:t>FMR LLC</w:t>
            </w:r>
          </w:p>
        </w:tc>
        <w:tc>
          <w:tcPr>
            <w:tcW w:w="2300" w:type="dxa"/>
            <w:vAlign w:val="bottom"/>
          </w:tcPr>
          <w:p>
            <w:pPr>
              <w:jc w:val="right"/>
              <w:ind w:right="192"/>
              <w:spacing w:after="0" w:line="137" w:lineRule="exact"/>
              <w:rPr>
                <w:sz w:val="20"/>
                <w:szCs w:val="20"/>
                <w:color w:val="auto"/>
              </w:rPr>
            </w:pPr>
            <w:r>
              <w:rPr>
                <w:rFonts w:ascii="Arial" w:cs="Arial" w:eastAsia="Arial" w:hAnsi="Arial"/>
                <w:sz w:val="10"/>
                <w:szCs w:val="10"/>
                <w:color w:val="auto"/>
              </w:rPr>
              <w:t>8,622,922</w:t>
            </w:r>
            <w:r>
              <w:rPr>
                <w:rFonts w:ascii="Arial" w:cs="Arial" w:eastAsia="Arial" w:hAnsi="Arial"/>
                <w:sz w:val="15"/>
                <w:szCs w:val="15"/>
                <w:color w:val="auto"/>
                <w:vertAlign w:val="superscript"/>
              </w:rPr>
              <w:t>(d)</w:t>
            </w:r>
          </w:p>
        </w:tc>
        <w:tc>
          <w:tcPr>
            <w:tcW w:w="700" w:type="dxa"/>
            <w:vAlign w:val="bottom"/>
          </w:tcPr>
          <w:p>
            <w:pPr>
              <w:jc w:val="right"/>
              <w:ind w:right="14"/>
              <w:spacing w:after="0" w:line="137" w:lineRule="exact"/>
              <w:rPr>
                <w:sz w:val="20"/>
                <w:szCs w:val="20"/>
                <w:color w:val="auto"/>
              </w:rPr>
            </w:pPr>
            <w:r>
              <w:rPr>
                <w:rFonts w:ascii="Arial" w:cs="Arial" w:eastAsia="Arial" w:hAnsi="Arial"/>
                <w:sz w:val="10"/>
                <w:szCs w:val="10"/>
                <w:color w:val="auto"/>
              </w:rPr>
              <w:t>8.591</w:t>
            </w:r>
            <w:r>
              <w:rPr>
                <w:rFonts w:ascii="Arial" w:cs="Arial" w:eastAsia="Arial" w:hAnsi="Arial"/>
                <w:sz w:val="15"/>
                <w:szCs w:val="15"/>
                <w:color w:val="auto"/>
                <w:vertAlign w:val="superscript"/>
              </w:rPr>
              <w:t>(d)</w:t>
            </w:r>
          </w:p>
        </w:tc>
      </w:tr>
      <w:tr>
        <w:trPr>
          <w:trHeight w:val="125"/>
        </w:trPr>
        <w:tc>
          <w:tcPr>
            <w:tcW w:w="4340" w:type="dxa"/>
            <w:vAlign w:val="bottom"/>
          </w:tcPr>
          <w:p>
            <w:pPr>
              <w:ind w:left="100"/>
              <w:spacing w:after="0"/>
              <w:rPr>
                <w:sz w:val="20"/>
                <w:szCs w:val="20"/>
                <w:color w:val="auto"/>
              </w:rPr>
            </w:pPr>
            <w:r>
              <w:rPr>
                <w:rFonts w:ascii="Arial" w:cs="Arial" w:eastAsia="Arial" w:hAnsi="Arial"/>
                <w:sz w:val="10"/>
                <w:szCs w:val="10"/>
                <w:color w:val="auto"/>
              </w:rPr>
              <w:t>245 Summer Street</w:t>
            </w:r>
          </w:p>
        </w:tc>
        <w:tc>
          <w:tcPr>
            <w:tcW w:w="23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4340" w:type="dxa"/>
            <w:vAlign w:val="bottom"/>
            <w:tcBorders>
              <w:bottom w:val="single" w:sz="8" w:color="BCBEC0"/>
            </w:tcBorders>
          </w:tcPr>
          <w:p>
            <w:pPr>
              <w:ind w:left="100"/>
              <w:spacing w:after="0"/>
              <w:rPr>
                <w:sz w:val="20"/>
                <w:szCs w:val="20"/>
                <w:color w:val="auto"/>
              </w:rPr>
            </w:pPr>
            <w:r>
              <w:rPr>
                <w:rFonts w:ascii="Arial" w:cs="Arial" w:eastAsia="Arial" w:hAnsi="Arial"/>
                <w:sz w:val="10"/>
                <w:szCs w:val="10"/>
                <w:color w:val="auto"/>
              </w:rPr>
              <w:t>Boston, Massachusetts 02210</w:t>
            </w:r>
          </w:p>
        </w:tc>
        <w:tc>
          <w:tcPr>
            <w:tcW w:w="2300" w:type="dxa"/>
            <w:vAlign w:val="bottom"/>
            <w:tcBorders>
              <w:bottom w:val="single" w:sz="8" w:color="BCBEC0"/>
            </w:tcBorders>
          </w:tcPr>
          <w:p>
            <w:pPr>
              <w:spacing w:after="0"/>
              <w:rPr>
                <w:sz w:val="10"/>
                <w:szCs w:val="10"/>
                <w:color w:val="auto"/>
              </w:rPr>
            </w:pPr>
          </w:p>
        </w:tc>
        <w:tc>
          <w:tcPr>
            <w:tcW w:w="700" w:type="dxa"/>
            <w:vAlign w:val="bottom"/>
            <w:tcBorders>
              <w:bottom w:val="single" w:sz="8" w:color="BCBEC0"/>
            </w:tcBorders>
          </w:tcPr>
          <w:p>
            <w:pPr>
              <w:spacing w:after="0"/>
              <w:rPr>
                <w:sz w:val="10"/>
                <w:szCs w:val="10"/>
                <w:color w:val="auto"/>
              </w:rPr>
            </w:pPr>
          </w:p>
        </w:tc>
      </w:tr>
      <w:tr>
        <w:trPr>
          <w:trHeight w:val="137"/>
        </w:trPr>
        <w:tc>
          <w:tcPr>
            <w:tcW w:w="4340" w:type="dxa"/>
            <w:vAlign w:val="bottom"/>
          </w:tcPr>
          <w:p>
            <w:pPr>
              <w:spacing w:after="0"/>
              <w:rPr>
                <w:sz w:val="20"/>
                <w:szCs w:val="20"/>
                <w:color w:val="auto"/>
              </w:rPr>
            </w:pPr>
            <w:r>
              <w:rPr>
                <w:rFonts w:ascii="Arial" w:cs="Arial" w:eastAsia="Arial" w:hAnsi="Arial"/>
                <w:sz w:val="10"/>
                <w:szCs w:val="10"/>
                <w:b w:val="1"/>
                <w:bCs w:val="1"/>
                <w:color w:val="D60011"/>
              </w:rPr>
              <w:t>Boston Partners</w:t>
            </w:r>
          </w:p>
        </w:tc>
        <w:tc>
          <w:tcPr>
            <w:tcW w:w="2300" w:type="dxa"/>
            <w:vAlign w:val="bottom"/>
          </w:tcPr>
          <w:p>
            <w:pPr>
              <w:jc w:val="right"/>
              <w:ind w:right="192"/>
              <w:spacing w:after="0" w:line="137" w:lineRule="exact"/>
              <w:rPr>
                <w:sz w:val="20"/>
                <w:szCs w:val="20"/>
                <w:color w:val="auto"/>
              </w:rPr>
            </w:pPr>
            <w:r>
              <w:rPr>
                <w:rFonts w:ascii="Arial" w:cs="Arial" w:eastAsia="Arial" w:hAnsi="Arial"/>
                <w:sz w:val="10"/>
                <w:szCs w:val="10"/>
                <w:color w:val="auto"/>
              </w:rPr>
              <w:t>5,474,042</w:t>
            </w:r>
            <w:r>
              <w:rPr>
                <w:rFonts w:ascii="Arial" w:cs="Arial" w:eastAsia="Arial" w:hAnsi="Arial"/>
                <w:sz w:val="15"/>
                <w:szCs w:val="15"/>
                <w:color w:val="auto"/>
                <w:vertAlign w:val="superscript"/>
              </w:rPr>
              <w:t>(e)</w:t>
            </w:r>
          </w:p>
        </w:tc>
        <w:tc>
          <w:tcPr>
            <w:tcW w:w="700" w:type="dxa"/>
            <w:vAlign w:val="bottom"/>
          </w:tcPr>
          <w:p>
            <w:pPr>
              <w:jc w:val="right"/>
              <w:ind w:right="14"/>
              <w:spacing w:after="0" w:line="137" w:lineRule="exact"/>
              <w:rPr>
                <w:sz w:val="20"/>
                <w:szCs w:val="20"/>
                <w:color w:val="auto"/>
              </w:rPr>
            </w:pPr>
            <w:r>
              <w:rPr>
                <w:rFonts w:ascii="Arial" w:cs="Arial" w:eastAsia="Arial" w:hAnsi="Arial"/>
                <w:sz w:val="10"/>
                <w:szCs w:val="10"/>
                <w:color w:val="auto"/>
              </w:rPr>
              <w:t>5.45</w:t>
            </w:r>
            <w:r>
              <w:rPr>
                <w:rFonts w:ascii="Arial" w:cs="Arial" w:eastAsia="Arial" w:hAnsi="Arial"/>
                <w:sz w:val="15"/>
                <w:szCs w:val="15"/>
                <w:color w:val="auto"/>
                <w:vertAlign w:val="superscript"/>
              </w:rPr>
              <w:t>(e)</w:t>
            </w:r>
          </w:p>
        </w:tc>
      </w:tr>
      <w:tr>
        <w:trPr>
          <w:trHeight w:val="125"/>
        </w:trPr>
        <w:tc>
          <w:tcPr>
            <w:tcW w:w="4340" w:type="dxa"/>
            <w:vAlign w:val="bottom"/>
          </w:tcPr>
          <w:p>
            <w:pPr>
              <w:ind w:left="100"/>
              <w:spacing w:after="0"/>
              <w:rPr>
                <w:sz w:val="20"/>
                <w:szCs w:val="20"/>
                <w:color w:val="auto"/>
              </w:rPr>
            </w:pPr>
            <w:r>
              <w:rPr>
                <w:rFonts w:ascii="Arial" w:cs="Arial" w:eastAsia="Arial" w:hAnsi="Arial"/>
                <w:sz w:val="10"/>
                <w:szCs w:val="10"/>
                <w:color w:val="auto"/>
              </w:rPr>
              <w:t>One Beacon Street, 30th Floor</w:t>
            </w:r>
          </w:p>
        </w:tc>
        <w:tc>
          <w:tcPr>
            <w:tcW w:w="23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4340" w:type="dxa"/>
            <w:vAlign w:val="bottom"/>
            <w:tcBorders>
              <w:bottom w:val="single" w:sz="8" w:color="D60010"/>
            </w:tcBorders>
          </w:tcPr>
          <w:p>
            <w:pPr>
              <w:ind w:left="100"/>
              <w:spacing w:after="0"/>
              <w:rPr>
                <w:sz w:val="20"/>
                <w:szCs w:val="20"/>
                <w:color w:val="auto"/>
              </w:rPr>
            </w:pPr>
            <w:r>
              <w:rPr>
                <w:rFonts w:ascii="Arial" w:cs="Arial" w:eastAsia="Arial" w:hAnsi="Arial"/>
                <w:sz w:val="10"/>
                <w:szCs w:val="10"/>
                <w:color w:val="auto"/>
              </w:rPr>
              <w:t>Boston, Massachusetts 02108</w:t>
            </w:r>
          </w:p>
        </w:tc>
        <w:tc>
          <w:tcPr>
            <w:tcW w:w="2300" w:type="dxa"/>
            <w:vAlign w:val="bottom"/>
            <w:tcBorders>
              <w:bottom w:val="single" w:sz="8" w:color="D60010"/>
            </w:tcBorders>
          </w:tcPr>
          <w:p>
            <w:pPr>
              <w:spacing w:after="0"/>
              <w:rPr>
                <w:sz w:val="10"/>
                <w:szCs w:val="10"/>
                <w:color w:val="auto"/>
              </w:rPr>
            </w:pPr>
          </w:p>
        </w:tc>
        <w:tc>
          <w:tcPr>
            <w:tcW w:w="700" w:type="dxa"/>
            <w:vAlign w:val="bottom"/>
            <w:tcBorders>
              <w:bottom w:val="single" w:sz="8" w:color="D60010"/>
            </w:tcBorders>
          </w:tcPr>
          <w:p>
            <w:pPr>
              <w:spacing w:after="0"/>
              <w:rPr>
                <w:sz w:val="10"/>
                <w:szCs w:val="10"/>
                <w:color w:val="auto"/>
              </w:rPr>
            </w:pPr>
          </w:p>
        </w:tc>
      </w:tr>
    </w:tbl>
    <w:p>
      <w:pPr>
        <w:spacing w:after="0" w:line="157" w:lineRule="exact"/>
        <w:rPr>
          <w:sz w:val="20"/>
          <w:szCs w:val="20"/>
          <w:color w:val="auto"/>
        </w:rPr>
      </w:pPr>
    </w:p>
    <w:p>
      <w:pPr>
        <w:ind w:left="2180" w:right="2060" w:hanging="208"/>
        <w:spacing w:after="0" w:line="223" w:lineRule="auto"/>
        <w:tabs>
          <w:tab w:leader="none" w:pos="2180" w:val="left"/>
        </w:tabs>
        <w:numPr>
          <w:ilvl w:val="0"/>
          <w:numId w:val="154"/>
        </w:numPr>
        <w:rPr>
          <w:rFonts w:ascii="Arial" w:cs="Arial" w:eastAsia="Arial" w:hAnsi="Arial"/>
          <w:sz w:val="15"/>
          <w:szCs w:val="15"/>
          <w:color w:val="auto"/>
          <w:vertAlign w:val="superscript"/>
        </w:rPr>
      </w:pPr>
      <w:r>
        <w:rPr>
          <w:rFonts w:ascii="Arial" w:cs="Arial" w:eastAsia="Arial" w:hAnsi="Arial"/>
          <w:sz w:val="9"/>
          <w:szCs w:val="9"/>
          <w:color w:val="auto"/>
        </w:rPr>
        <w:t>Reflects shares beneficially owned as of July 14, 2021 according to Form 4 filed with the SEC. As reported in this Form 4, Vesa Equity Investment S.à r.l. is the record holder of the reported shares of Common Stock. The principal shareholder of Vesa Equity Investment S.à r.l. is EP Investment S.à r.l., the ultimate beneficial owner of which is Daniel Křetínský. Each of Mr. Křetínský and EP Investment S.à r.l. may be deemed to hold shared voting power with respect to 12,750,317 shares and shared dispositive power with respect to 12,750,317 shares, and to be an indirect beneficial owner of the shares owned by Vesa Equity Investment S.à r.l.</w:t>
      </w:r>
    </w:p>
    <w:p>
      <w:pPr>
        <w:spacing w:after="0" w:line="37" w:lineRule="exact"/>
        <w:rPr>
          <w:rFonts w:ascii="Arial" w:cs="Arial" w:eastAsia="Arial" w:hAnsi="Arial"/>
          <w:sz w:val="15"/>
          <w:szCs w:val="15"/>
          <w:color w:val="auto"/>
          <w:vertAlign w:val="superscript"/>
        </w:rPr>
      </w:pPr>
    </w:p>
    <w:p>
      <w:pPr>
        <w:ind w:left="2180" w:right="2000" w:hanging="208"/>
        <w:spacing w:after="0" w:line="197" w:lineRule="auto"/>
        <w:tabs>
          <w:tab w:leader="none" w:pos="2180" w:val="left"/>
        </w:tabs>
        <w:numPr>
          <w:ilvl w:val="0"/>
          <w:numId w:val="154"/>
        </w:numPr>
        <w:rPr>
          <w:rFonts w:ascii="Arial" w:cs="Arial" w:eastAsia="Arial" w:hAnsi="Arial"/>
          <w:sz w:val="16"/>
          <w:szCs w:val="16"/>
          <w:color w:val="auto"/>
          <w:vertAlign w:val="superscript"/>
        </w:rPr>
      </w:pPr>
      <w:r>
        <w:rPr>
          <w:rFonts w:ascii="Arial" w:cs="Arial" w:eastAsia="Arial" w:hAnsi="Arial"/>
          <w:sz w:val="10"/>
          <w:szCs w:val="10"/>
          <w:color w:val="auto"/>
        </w:rPr>
        <w:t>Reflects shares beneficially owned as of December 31, 2021 according to Amendment No. 12 to Schedule 13G filed with the SEC. As reported in this schedule, The Vanguard Group, an investment adviser, holds shared voting power with respect to 56,593 shares, sole dispositive power with respect to 11,180,393 shares, and shared dispositive power with respect to 129,468 shares.</w:t>
      </w:r>
    </w:p>
    <w:p>
      <w:pPr>
        <w:spacing w:after="0" w:line="38" w:lineRule="exact"/>
        <w:rPr>
          <w:rFonts w:ascii="Arial" w:cs="Arial" w:eastAsia="Arial" w:hAnsi="Arial"/>
          <w:sz w:val="16"/>
          <w:szCs w:val="16"/>
          <w:color w:val="auto"/>
          <w:vertAlign w:val="superscript"/>
        </w:rPr>
      </w:pPr>
    </w:p>
    <w:p>
      <w:pPr>
        <w:ind w:left="2180" w:right="2240" w:hanging="208"/>
        <w:spacing w:after="0" w:line="202" w:lineRule="auto"/>
        <w:tabs>
          <w:tab w:leader="none" w:pos="2180" w:val="left"/>
        </w:tabs>
        <w:numPr>
          <w:ilvl w:val="0"/>
          <w:numId w:val="154"/>
        </w:numPr>
        <w:rPr>
          <w:rFonts w:ascii="Arial" w:cs="Arial" w:eastAsia="Arial" w:hAnsi="Arial"/>
          <w:sz w:val="15"/>
          <w:szCs w:val="15"/>
          <w:color w:val="auto"/>
          <w:vertAlign w:val="superscript"/>
        </w:rPr>
      </w:pPr>
      <w:r>
        <w:rPr>
          <w:rFonts w:ascii="Arial" w:cs="Arial" w:eastAsia="Arial" w:hAnsi="Arial"/>
          <w:sz w:val="9"/>
          <w:szCs w:val="9"/>
          <w:color w:val="auto"/>
        </w:rPr>
        <w:t>Reflects shares beneficially owned as of December 31, 2021 according to Amendment No. 13 to Schedule 13G filed with the SEC. As reported in this schedule, BlackRock, Inc., a parent holding company, holds sole voting power with respect to 7,434,875 shares and sole dispositive power with respect to 7,742,626 shares.</w:t>
      </w:r>
    </w:p>
    <w:p>
      <w:pPr>
        <w:spacing w:after="0" w:line="37" w:lineRule="exact"/>
        <w:rPr>
          <w:rFonts w:ascii="Arial" w:cs="Arial" w:eastAsia="Arial" w:hAnsi="Arial"/>
          <w:sz w:val="15"/>
          <w:szCs w:val="15"/>
          <w:color w:val="auto"/>
          <w:vertAlign w:val="superscript"/>
        </w:rPr>
      </w:pPr>
    </w:p>
    <w:p>
      <w:pPr>
        <w:ind w:left="2180" w:right="2020" w:hanging="208"/>
        <w:spacing w:after="0" w:line="212" w:lineRule="auto"/>
        <w:tabs>
          <w:tab w:leader="none" w:pos="2180" w:val="left"/>
        </w:tabs>
        <w:numPr>
          <w:ilvl w:val="0"/>
          <w:numId w:val="154"/>
        </w:numPr>
        <w:rPr>
          <w:rFonts w:ascii="Arial" w:cs="Arial" w:eastAsia="Arial" w:hAnsi="Arial"/>
          <w:sz w:val="16"/>
          <w:szCs w:val="16"/>
          <w:color w:val="auto"/>
          <w:vertAlign w:val="superscript"/>
        </w:rPr>
      </w:pPr>
      <w:r>
        <w:rPr>
          <w:rFonts w:ascii="Arial" w:cs="Arial" w:eastAsia="Arial" w:hAnsi="Arial"/>
          <w:sz w:val="10"/>
          <w:szCs w:val="10"/>
          <w:color w:val="auto"/>
        </w:rPr>
        <w:t>Reflects shares beneficially owned as of December 31, 2021 according to Amendment No. 1 to Schedule 13G filed with the SEC. As reported in this schedule, FMR LLC holds sole voting power with respect to 1,024,117 shares. Each of Crosby Advisors LLC, FIAM LLC, Fidelity Institutional Asset Management Trust Company, Fidelity Management &amp; Research Company LLC, Fidelity Management Trust Company, and Strategic Advisers LLC beneficially own shares. Abigail P. Johnson is a Director, the Chairman, and the Chief Executive Officer of FMR LLC. Neither FMR LLC nor Ms. Johnson has the sole power to vote or direct the voting of the shares owned directly by the various investment companies registered under the Investment Company Act (“Fidelity Funds”) advised by Fidelity Management &amp; Research Company LLC (“FMR Co. LLC”), a wholly-owned subsidiary of FMR LLC, which power resides with the Fidelity Funds’ Boards of Trustees. FMR Co. LLC carries out the voting of the shares under written guidelines established by the Fidelity Funds’ Boards of Trustees.</w:t>
      </w:r>
    </w:p>
    <w:p>
      <w:pPr>
        <w:spacing w:after="0" w:line="38" w:lineRule="exact"/>
        <w:rPr>
          <w:rFonts w:ascii="Arial" w:cs="Arial" w:eastAsia="Arial" w:hAnsi="Arial"/>
          <w:sz w:val="16"/>
          <w:szCs w:val="16"/>
          <w:color w:val="auto"/>
          <w:vertAlign w:val="superscript"/>
        </w:rPr>
      </w:pPr>
    </w:p>
    <w:p>
      <w:pPr>
        <w:ind w:left="2180" w:right="2080" w:hanging="208"/>
        <w:spacing w:after="0" w:line="197" w:lineRule="auto"/>
        <w:tabs>
          <w:tab w:leader="none" w:pos="2180" w:val="left"/>
        </w:tabs>
        <w:numPr>
          <w:ilvl w:val="0"/>
          <w:numId w:val="154"/>
        </w:numPr>
        <w:rPr>
          <w:rFonts w:ascii="Arial" w:cs="Arial" w:eastAsia="Arial" w:hAnsi="Arial"/>
          <w:sz w:val="16"/>
          <w:szCs w:val="16"/>
          <w:color w:val="auto"/>
          <w:vertAlign w:val="superscript"/>
        </w:rPr>
      </w:pPr>
      <w:r>
        <w:rPr>
          <w:rFonts w:ascii="Arial" w:cs="Arial" w:eastAsia="Arial" w:hAnsi="Arial"/>
          <w:sz w:val="10"/>
          <w:szCs w:val="10"/>
          <w:color w:val="auto"/>
        </w:rPr>
        <w:t>Reflects shares beneficially owned as of December 30, 2021 according to Amendment No. 1 to Schedule 13G filed with the SEC. As reported in this schedule, Boston Partners, an investment adviser, holds sole voting power with respect to 4,089,913 shares, shared voting power with respect to 9,361 shares, and sole dispositive power with respect to 5,474,042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73025</wp:posOffset>
            </wp:positionV>
            <wp:extent cx="365760" cy="2228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60" w:type="dxa"/>
            <w:vAlign w:val="bottom"/>
          </w:tcPr>
          <w:p>
            <w:pPr>
              <w:jc w:val="right"/>
              <w:ind w:right="2186"/>
              <w:spacing w:after="0"/>
              <w:rPr>
                <w:sz w:val="20"/>
                <w:szCs w:val="20"/>
                <w:color w:val="auto"/>
              </w:rPr>
            </w:pPr>
            <w:r>
              <w:rPr>
                <w:rFonts w:ascii="Arial" w:cs="Arial" w:eastAsia="Arial" w:hAnsi="Arial"/>
                <w:sz w:val="11"/>
                <w:szCs w:val="11"/>
                <w:b w:val="1"/>
                <w:bCs w:val="1"/>
                <w:color w:val="FFFFFF"/>
              </w:rPr>
              <w:t>103</w:t>
            </w:r>
          </w:p>
        </w:tc>
      </w:tr>
      <w:tr>
        <w:trPr>
          <w:trHeight w:val="354"/>
        </w:trPr>
        <w:tc>
          <w:tcPr>
            <w:tcW w:w="8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9" w:right="29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1534160</wp:posOffset>
            </wp:positionH>
            <wp:positionV relativeFrom="page">
              <wp:posOffset>363220</wp:posOffset>
            </wp:positionV>
            <wp:extent cx="4457700" cy="1594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445770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360" w:type="dxa"/>
            <w:vAlign w:val="bottom"/>
          </w:tcPr>
          <w:p>
            <w:pPr>
              <w:ind w:left="20"/>
              <w:spacing w:after="0"/>
              <w:rPr>
                <w:sz w:val="20"/>
                <w:szCs w:val="20"/>
                <w:color w:val="auto"/>
              </w:rPr>
            </w:pPr>
            <w:r>
              <w:rPr>
                <w:rFonts w:ascii="Arial" w:cs="Arial" w:eastAsia="Arial" w:hAnsi="Arial"/>
                <w:sz w:val="10"/>
                <w:szCs w:val="10"/>
                <w:b w:val="1"/>
                <w:bCs w:val="1"/>
                <w:color w:val="auto"/>
              </w:rPr>
              <w:t>Nominations and</w:t>
            </w:r>
          </w:p>
        </w:tc>
        <w:tc>
          <w:tcPr>
            <w:tcW w:w="3900" w:type="dxa"/>
            <w:vAlign w:val="bottom"/>
          </w:tcPr>
          <w:p>
            <w:pPr>
              <w:spacing w:after="0"/>
              <w:rPr>
                <w:sz w:val="10"/>
                <w:szCs w:val="10"/>
                <w:color w:val="auto"/>
              </w:rPr>
            </w:pPr>
          </w:p>
        </w:tc>
        <w:tc>
          <w:tcPr>
            <w:tcW w:w="2080" w:type="dxa"/>
            <w:vAlign w:val="bottom"/>
          </w:tcPr>
          <w:p>
            <w:pPr>
              <w:spacing w:after="0"/>
              <w:rPr>
                <w:sz w:val="10"/>
                <w:szCs w:val="10"/>
                <w:color w:val="auto"/>
              </w:rPr>
            </w:pPr>
          </w:p>
        </w:tc>
      </w:tr>
      <w:tr>
        <w:trPr>
          <w:trHeight w:val="140"/>
        </w:trPr>
        <w:tc>
          <w:tcPr>
            <w:tcW w:w="1360" w:type="dxa"/>
            <w:vAlign w:val="bottom"/>
            <w:tcBorders>
              <w:bottom w:val="single" w:sz="8" w:color="E31F25"/>
            </w:tcBorders>
          </w:tcPr>
          <w:p>
            <w:pPr>
              <w:ind w:left="20"/>
              <w:spacing w:after="0"/>
              <w:rPr>
                <w:sz w:val="20"/>
                <w:szCs w:val="20"/>
                <w:color w:val="auto"/>
              </w:rPr>
            </w:pPr>
            <w:r>
              <w:rPr>
                <w:rFonts w:ascii="Arial" w:cs="Arial" w:eastAsia="Arial" w:hAnsi="Arial"/>
                <w:sz w:val="10"/>
                <w:szCs w:val="10"/>
                <w:b w:val="1"/>
                <w:bCs w:val="1"/>
                <w:color w:val="auto"/>
              </w:rPr>
              <w:t>Shareholder Proposals</w:t>
            </w:r>
          </w:p>
        </w:tc>
        <w:tc>
          <w:tcPr>
            <w:tcW w:w="3900" w:type="dxa"/>
            <w:vAlign w:val="bottom"/>
            <w:tcBorders>
              <w:bottom w:val="single" w:sz="8" w:color="E31F25"/>
            </w:tcBorders>
          </w:tcPr>
          <w:p>
            <w:pPr>
              <w:ind w:left="280"/>
              <w:spacing w:after="0"/>
              <w:rPr>
                <w:sz w:val="20"/>
                <w:szCs w:val="20"/>
                <w:color w:val="auto"/>
              </w:rPr>
            </w:pPr>
            <w:r>
              <w:rPr>
                <w:rFonts w:ascii="Arial" w:cs="Arial" w:eastAsia="Arial" w:hAnsi="Arial"/>
                <w:sz w:val="10"/>
                <w:szCs w:val="10"/>
                <w:b w:val="1"/>
                <w:bCs w:val="1"/>
                <w:color w:val="auto"/>
              </w:rPr>
              <w:t>Procedure</w:t>
            </w:r>
          </w:p>
        </w:tc>
        <w:tc>
          <w:tcPr>
            <w:tcW w:w="2080" w:type="dxa"/>
            <w:vAlign w:val="bottom"/>
            <w:tcBorders>
              <w:bottom w:val="single" w:sz="8" w:color="E31F25"/>
            </w:tcBorders>
          </w:tcPr>
          <w:p>
            <w:pPr>
              <w:ind w:left="60"/>
              <w:spacing w:after="0"/>
              <w:rPr>
                <w:sz w:val="20"/>
                <w:szCs w:val="20"/>
                <w:color w:val="auto"/>
              </w:rPr>
            </w:pPr>
            <w:r>
              <w:rPr>
                <w:rFonts w:ascii="Arial" w:cs="Arial" w:eastAsia="Arial" w:hAnsi="Arial"/>
                <w:sz w:val="10"/>
                <w:szCs w:val="10"/>
                <w:b w:val="1"/>
                <w:bCs w:val="1"/>
                <w:color w:val="auto"/>
              </w:rPr>
              <w:t>Deadline</w:t>
            </w:r>
          </w:p>
        </w:tc>
      </w:tr>
      <w:tr>
        <w:trPr>
          <w:trHeight w:val="137"/>
        </w:trPr>
        <w:tc>
          <w:tcPr>
            <w:tcW w:w="1360" w:type="dxa"/>
            <w:vAlign w:val="bottom"/>
          </w:tcPr>
          <w:p>
            <w:pPr>
              <w:ind w:left="20"/>
              <w:spacing w:after="0"/>
              <w:rPr>
                <w:sz w:val="20"/>
                <w:szCs w:val="20"/>
                <w:color w:val="auto"/>
              </w:rPr>
            </w:pPr>
            <w:r>
              <w:rPr>
                <w:rFonts w:ascii="Arial" w:cs="Arial" w:eastAsia="Arial" w:hAnsi="Arial"/>
                <w:sz w:val="10"/>
                <w:szCs w:val="10"/>
                <w:b w:val="1"/>
                <w:bCs w:val="1"/>
                <w:color w:val="D60011"/>
              </w:rPr>
              <w:t>Proposals for</w:t>
            </w:r>
          </w:p>
        </w:tc>
        <w:tc>
          <w:tcPr>
            <w:tcW w:w="3900" w:type="dxa"/>
            <w:vAlign w:val="bottom"/>
          </w:tcPr>
          <w:p>
            <w:pPr>
              <w:ind w:left="280"/>
              <w:spacing w:after="0"/>
              <w:rPr>
                <w:sz w:val="20"/>
                <w:szCs w:val="20"/>
                <w:color w:val="auto"/>
              </w:rPr>
            </w:pPr>
            <w:r>
              <w:rPr>
                <w:rFonts w:ascii="Arial" w:cs="Arial" w:eastAsia="Arial" w:hAnsi="Arial"/>
                <w:sz w:val="10"/>
                <w:szCs w:val="10"/>
                <w:color w:val="auto"/>
              </w:rPr>
              <w:t>Under SEC Rule 14a-8, if a shareholder would like us to include a proposal in our</w:t>
            </w:r>
          </w:p>
        </w:tc>
        <w:tc>
          <w:tcPr>
            <w:tcW w:w="2080" w:type="dxa"/>
            <w:vAlign w:val="bottom"/>
          </w:tcPr>
          <w:p>
            <w:pPr>
              <w:ind w:left="60"/>
              <w:spacing w:after="0"/>
              <w:rPr>
                <w:sz w:val="20"/>
                <w:szCs w:val="20"/>
                <w:color w:val="auto"/>
              </w:rPr>
            </w:pPr>
            <w:r>
              <w:rPr>
                <w:rFonts w:ascii="Arial" w:cs="Arial" w:eastAsia="Arial" w:hAnsi="Arial"/>
                <w:sz w:val="10"/>
                <w:szCs w:val="10"/>
                <w:color w:val="auto"/>
              </w:rPr>
              <w:t>December 9, 2022</w:t>
            </w:r>
          </w:p>
        </w:tc>
      </w:tr>
      <w:tr>
        <w:trPr>
          <w:trHeight w:val="108"/>
        </w:trPr>
        <w:tc>
          <w:tcPr>
            <w:tcW w:w="1360" w:type="dxa"/>
            <w:vAlign w:val="bottom"/>
          </w:tcPr>
          <w:p>
            <w:pPr>
              <w:ind w:left="20"/>
              <w:spacing w:after="0" w:line="108" w:lineRule="exact"/>
              <w:rPr>
                <w:sz w:val="20"/>
                <w:szCs w:val="20"/>
                <w:color w:val="auto"/>
              </w:rPr>
            </w:pPr>
            <w:r>
              <w:rPr>
                <w:rFonts w:ascii="Arial" w:cs="Arial" w:eastAsia="Arial" w:hAnsi="Arial"/>
                <w:sz w:val="10"/>
                <w:szCs w:val="10"/>
                <w:b w:val="1"/>
                <w:bCs w:val="1"/>
                <w:color w:val="D60011"/>
              </w:rPr>
              <w:t>Inclusion in Our 2023</w:t>
            </w:r>
          </w:p>
        </w:tc>
        <w:tc>
          <w:tcPr>
            <w:tcW w:w="3900" w:type="dxa"/>
            <w:vAlign w:val="bottom"/>
          </w:tcPr>
          <w:p>
            <w:pPr>
              <w:ind w:left="280"/>
              <w:spacing w:after="0" w:line="108" w:lineRule="exact"/>
              <w:rPr>
                <w:sz w:val="20"/>
                <w:szCs w:val="20"/>
                <w:color w:val="auto"/>
              </w:rPr>
            </w:pPr>
            <w:r>
              <w:rPr>
                <w:rFonts w:ascii="Arial" w:cs="Arial" w:eastAsia="Arial" w:hAnsi="Arial"/>
                <w:sz w:val="10"/>
                <w:szCs w:val="10"/>
                <w:color w:val="auto"/>
                <w:w w:val="96"/>
              </w:rPr>
              <w:t>Proxy Statement and form of proxy for the 2023 annual meeting, our Secretary must</w:t>
            </w:r>
          </w:p>
        </w:tc>
        <w:tc>
          <w:tcPr>
            <w:tcW w:w="2080" w:type="dxa"/>
            <w:vAlign w:val="bottom"/>
          </w:tcPr>
          <w:p>
            <w:pPr>
              <w:spacing w:after="0"/>
              <w:rPr>
                <w:sz w:val="9"/>
                <w:szCs w:val="9"/>
                <w:color w:val="auto"/>
              </w:rPr>
            </w:pPr>
          </w:p>
        </w:tc>
      </w:tr>
      <w:tr>
        <w:trPr>
          <w:trHeight w:val="110"/>
        </w:trPr>
        <w:tc>
          <w:tcPr>
            <w:tcW w:w="1360" w:type="dxa"/>
            <w:vAlign w:val="bottom"/>
          </w:tcPr>
          <w:p>
            <w:pPr>
              <w:ind w:left="20"/>
              <w:spacing w:after="0" w:line="110" w:lineRule="exact"/>
              <w:rPr>
                <w:sz w:val="20"/>
                <w:szCs w:val="20"/>
                <w:color w:val="auto"/>
              </w:rPr>
            </w:pPr>
            <w:r>
              <w:rPr>
                <w:rFonts w:ascii="Arial" w:cs="Arial" w:eastAsia="Arial" w:hAnsi="Arial"/>
                <w:sz w:val="10"/>
                <w:szCs w:val="10"/>
                <w:b w:val="1"/>
                <w:bCs w:val="1"/>
                <w:color w:val="D60011"/>
              </w:rPr>
              <w:t>Proxy Materials</w:t>
            </w:r>
          </w:p>
        </w:tc>
        <w:tc>
          <w:tcPr>
            <w:tcW w:w="3900" w:type="dxa"/>
            <w:vAlign w:val="bottom"/>
          </w:tcPr>
          <w:p>
            <w:pPr>
              <w:ind w:left="280"/>
              <w:spacing w:after="0" w:line="110" w:lineRule="exact"/>
              <w:rPr>
                <w:sz w:val="20"/>
                <w:szCs w:val="20"/>
                <w:color w:val="auto"/>
              </w:rPr>
            </w:pPr>
            <w:r>
              <w:rPr>
                <w:rFonts w:ascii="Arial" w:cs="Arial" w:eastAsia="Arial" w:hAnsi="Arial"/>
                <w:sz w:val="10"/>
                <w:szCs w:val="10"/>
                <w:color w:val="auto"/>
              </w:rPr>
              <w:t>receive the proposal at our Corporate Headquarters in order to be considered for</w:t>
            </w:r>
          </w:p>
        </w:tc>
        <w:tc>
          <w:tcPr>
            <w:tcW w:w="2080" w:type="dxa"/>
            <w:vAlign w:val="bottom"/>
          </w:tcPr>
          <w:p>
            <w:pPr>
              <w:spacing w:after="0"/>
              <w:rPr>
                <w:sz w:val="9"/>
                <w:szCs w:val="9"/>
                <w:color w:val="auto"/>
              </w:rPr>
            </w:pPr>
          </w:p>
        </w:tc>
      </w:tr>
      <w:tr>
        <w:trPr>
          <w:trHeight w:val="125"/>
        </w:trPr>
        <w:tc>
          <w:tcPr>
            <w:tcW w:w="1360" w:type="dxa"/>
            <w:vAlign w:val="bottom"/>
          </w:tcPr>
          <w:p>
            <w:pPr>
              <w:spacing w:after="0"/>
              <w:rPr>
                <w:sz w:val="10"/>
                <w:szCs w:val="10"/>
                <w:color w:val="auto"/>
              </w:rPr>
            </w:pPr>
          </w:p>
        </w:tc>
        <w:tc>
          <w:tcPr>
            <w:tcW w:w="3900" w:type="dxa"/>
            <w:vAlign w:val="bottom"/>
          </w:tcPr>
          <w:p>
            <w:pPr>
              <w:ind w:left="280"/>
              <w:spacing w:after="0"/>
              <w:rPr>
                <w:sz w:val="20"/>
                <w:szCs w:val="20"/>
                <w:color w:val="auto"/>
              </w:rPr>
            </w:pPr>
            <w:r>
              <w:rPr>
                <w:rFonts w:ascii="Arial" w:cs="Arial" w:eastAsia="Arial" w:hAnsi="Arial"/>
                <w:sz w:val="10"/>
                <w:szCs w:val="10"/>
                <w:color w:val="auto"/>
              </w:rPr>
              <w:t>inclusion in the 2023 proxy statement.</w:t>
            </w:r>
          </w:p>
        </w:tc>
        <w:tc>
          <w:tcPr>
            <w:tcW w:w="2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15240</wp:posOffset>
            </wp:positionV>
            <wp:extent cx="466344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62" w:lineRule="exact"/>
        <w:rPr>
          <w:sz w:val="20"/>
          <w:szCs w:val="20"/>
          <w:color w:val="auto"/>
        </w:rPr>
      </w:pPr>
    </w:p>
    <w:p>
      <w:pPr>
        <w:ind w:left="860"/>
        <w:spacing w:after="0"/>
        <w:tabs>
          <w:tab w:leader="none" w:pos="2460" w:val="left"/>
        </w:tabs>
        <w:rPr>
          <w:sz w:val="20"/>
          <w:szCs w:val="20"/>
          <w:color w:val="auto"/>
        </w:rPr>
      </w:pPr>
      <w:r>
        <w:rPr>
          <w:rFonts w:ascii="Arial" w:cs="Arial" w:eastAsia="Arial" w:hAnsi="Arial"/>
          <w:sz w:val="10"/>
          <w:szCs w:val="10"/>
          <w:b w:val="1"/>
          <w:bCs w:val="1"/>
          <w:color w:val="D60011"/>
        </w:rPr>
        <w:t>Director Nominations</w:t>
      </w:r>
      <w:r>
        <w:rPr>
          <w:sz w:val="20"/>
          <w:szCs w:val="20"/>
          <w:color w:val="auto"/>
        </w:rPr>
        <w:tab/>
      </w:r>
      <w:r>
        <w:rPr>
          <w:rFonts w:ascii="Arial" w:cs="Arial" w:eastAsia="Arial" w:hAnsi="Arial"/>
          <w:sz w:val="8"/>
          <w:szCs w:val="8"/>
          <w:color w:val="auto"/>
        </w:rPr>
        <w:t>Under our proxy access by-law, a shareholder, or a group of up to 20 shareholders,</w:t>
      </w:r>
    </w:p>
    <w:p>
      <w:pPr>
        <w:ind w:left="860"/>
        <w:spacing w:after="0"/>
        <w:tabs>
          <w:tab w:leader="none" w:pos="2460" w:val="left"/>
        </w:tabs>
        <w:rPr>
          <w:sz w:val="20"/>
          <w:szCs w:val="20"/>
          <w:color w:val="auto"/>
        </w:rPr>
      </w:pPr>
      <w:r>
        <w:rPr>
          <w:rFonts w:ascii="Arial" w:cs="Arial" w:eastAsia="Arial" w:hAnsi="Arial"/>
          <w:sz w:val="10"/>
          <w:szCs w:val="10"/>
          <w:b w:val="1"/>
          <w:bCs w:val="1"/>
          <w:color w:val="D60011"/>
        </w:rPr>
        <w:t>for Inclusion in Our</w:t>
      </w:r>
      <w:r>
        <w:rPr>
          <w:sz w:val="20"/>
          <w:szCs w:val="20"/>
          <w:color w:val="auto"/>
        </w:rPr>
        <w:tab/>
      </w:r>
      <w:r>
        <w:rPr>
          <w:rFonts w:ascii="Arial" w:cs="Arial" w:eastAsia="Arial" w:hAnsi="Arial"/>
          <w:sz w:val="8"/>
          <w:szCs w:val="8"/>
          <w:color w:val="auto"/>
        </w:rPr>
        <w:t>owning at least 3% of the outstanding Common Stock continuously for at least three</w:t>
      </w:r>
    </w:p>
    <w:p>
      <w:pPr>
        <w:ind w:left="860"/>
        <w:spacing w:after="0"/>
        <w:tabs>
          <w:tab w:leader="none" w:pos="2460" w:val="left"/>
        </w:tabs>
        <w:rPr>
          <w:sz w:val="20"/>
          <w:szCs w:val="20"/>
          <w:color w:val="auto"/>
        </w:rPr>
      </w:pPr>
      <w:r>
        <w:rPr>
          <w:rFonts w:ascii="Arial" w:cs="Arial" w:eastAsia="Arial" w:hAnsi="Arial"/>
          <w:sz w:val="10"/>
          <w:szCs w:val="10"/>
          <w:b w:val="1"/>
          <w:bCs w:val="1"/>
          <w:color w:val="D60011"/>
        </w:rPr>
        <w:t>2023 Proxy Materials</w:t>
      </w:r>
      <w:r>
        <w:rPr>
          <w:sz w:val="20"/>
          <w:szCs w:val="20"/>
          <w:color w:val="auto"/>
        </w:rPr>
        <w:tab/>
      </w:r>
      <w:r>
        <w:rPr>
          <w:rFonts w:ascii="Arial" w:cs="Arial" w:eastAsia="Arial" w:hAnsi="Arial"/>
          <w:sz w:val="8"/>
          <w:szCs w:val="8"/>
          <w:color w:val="auto"/>
        </w:rPr>
        <w:t>years as of the date of the notice of nomination, may nominate and include in the</w:t>
      </w:r>
    </w:p>
    <w:p>
      <w:pPr>
        <w:ind w:left="860"/>
        <w:spacing w:after="0"/>
        <w:tabs>
          <w:tab w:leader="none" w:pos="2460" w:val="left"/>
        </w:tabs>
        <w:rPr>
          <w:sz w:val="20"/>
          <w:szCs w:val="20"/>
          <w:color w:val="auto"/>
        </w:rPr>
      </w:pPr>
      <w:r>
        <w:rPr>
          <w:rFonts w:ascii="Arial" w:cs="Arial" w:eastAsia="Arial" w:hAnsi="Arial"/>
          <w:sz w:val="10"/>
          <w:szCs w:val="10"/>
          <w:b w:val="1"/>
          <w:bCs w:val="1"/>
          <w:color w:val="D60011"/>
        </w:rPr>
        <w:t>(Proxy Access)</w:t>
      </w:r>
      <w:r>
        <w:rPr>
          <w:sz w:val="20"/>
          <w:szCs w:val="20"/>
          <w:color w:val="auto"/>
        </w:rPr>
        <w:tab/>
      </w:r>
      <w:r>
        <w:rPr>
          <w:rFonts w:ascii="Arial" w:cs="Arial" w:eastAsia="Arial" w:hAnsi="Arial"/>
          <w:sz w:val="8"/>
          <w:szCs w:val="8"/>
          <w:color w:val="auto"/>
        </w:rPr>
        <w:t>Company’s proxy materials director nominees constituting up to two individuals or</w:t>
      </w:r>
    </w:p>
    <w:p>
      <w:pPr>
        <w:ind w:left="2480"/>
        <w:spacing w:after="0" w:line="229" w:lineRule="auto"/>
        <w:rPr>
          <w:sz w:val="20"/>
          <w:szCs w:val="20"/>
          <w:color w:val="auto"/>
        </w:rPr>
      </w:pPr>
      <w:r>
        <w:rPr>
          <w:rFonts w:ascii="Arial" w:cs="Arial" w:eastAsia="Arial" w:hAnsi="Arial"/>
          <w:sz w:val="10"/>
          <w:szCs w:val="10"/>
          <w:color w:val="auto"/>
        </w:rPr>
        <w:t xml:space="preserve">20% of the Board, whichever is greater (subject to certain limitations set forth in the By-Laws), provided that the shareholder(s) and nominee(s) satisfy the requirements specified in the By-Laws. Notices of proxy access nomination for the 2023 annual meeting should be addressed to our Secretary at our Corporate Headquarters. You should carefully review the requirements specified in the By-Laws, which are available at </w:t>
      </w:r>
      <w:r>
        <w:rPr>
          <w:rFonts w:ascii="Arial" w:cs="Arial" w:eastAsia="Arial" w:hAnsi="Arial"/>
          <w:sz w:val="10"/>
          <w:szCs w:val="10"/>
          <w:b w:val="1"/>
          <w:bCs w:val="1"/>
          <w:color w:val="D60010"/>
        </w:rPr>
        <w:t>investors.footlocker-inc.com/by-laws.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13970</wp:posOffset>
            </wp:positionV>
            <wp:extent cx="466344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879"/>
        <w:spacing w:after="0" w:line="245" w:lineRule="auto"/>
        <w:rPr>
          <w:sz w:val="20"/>
          <w:szCs w:val="20"/>
          <w:color w:val="auto"/>
        </w:rPr>
      </w:pPr>
      <w:r>
        <w:rPr>
          <w:rFonts w:ascii="Arial" w:cs="Arial" w:eastAsia="Arial" w:hAnsi="Arial"/>
          <w:sz w:val="10"/>
          <w:szCs w:val="10"/>
          <w:color w:val="auto"/>
        </w:rPr>
        <w:t>No earlier than November 9, 2022 and no later than December 9, 2022</w:t>
      </w:r>
    </w:p>
    <w:p>
      <w:pPr>
        <w:spacing w:after="0" w:line="924" w:lineRule="exact"/>
        <w:rPr>
          <w:sz w:val="20"/>
          <w:szCs w:val="20"/>
          <w:color w:val="auto"/>
        </w:rPr>
      </w:pPr>
    </w:p>
    <w:p>
      <w:pPr>
        <w:sectPr>
          <w:pgSz w:w="11900" w:h="16838" w:orient="portrait"/>
          <w:cols w:equalWidth="0" w:num="2">
            <w:col w:w="6040" w:space="120"/>
            <w:col w:w="2859"/>
          </w:cols>
          <w:pgMar w:left="1440" w:top="1440" w:right="1440" w:bottom="1440" w:gutter="0" w:footer="0" w:header="0"/>
          <w:type w:val="continuous"/>
        </w:sectPr>
      </w:pPr>
    </w:p>
    <w:p>
      <w:pPr>
        <w:ind w:left="860"/>
        <w:spacing w:after="0"/>
        <w:rPr>
          <w:sz w:val="20"/>
          <w:szCs w:val="20"/>
          <w:color w:val="auto"/>
        </w:rPr>
      </w:pPr>
      <w:r>
        <w:rPr>
          <w:rFonts w:ascii="Arial" w:cs="Arial" w:eastAsia="Arial" w:hAnsi="Arial"/>
          <w:sz w:val="10"/>
          <w:szCs w:val="10"/>
          <w:b w:val="1"/>
          <w:bCs w:val="1"/>
          <w:color w:val="D60010"/>
        </w:rPr>
        <w:t>Other Proposals or</w:t>
      </w:r>
    </w:p>
    <w:p>
      <w:pPr>
        <w:ind w:left="860"/>
        <w:spacing w:after="0" w:line="231" w:lineRule="auto"/>
        <w:rPr>
          <w:sz w:val="20"/>
          <w:szCs w:val="20"/>
          <w:color w:val="auto"/>
        </w:rPr>
      </w:pPr>
      <w:r>
        <w:rPr>
          <w:rFonts w:ascii="Arial" w:cs="Arial" w:eastAsia="Arial" w:hAnsi="Arial"/>
          <w:sz w:val="10"/>
          <w:szCs w:val="10"/>
          <w:b w:val="1"/>
          <w:bCs w:val="1"/>
          <w:color w:val="D60010"/>
        </w:rPr>
        <w:t>Nominations for the</w:t>
      </w:r>
    </w:p>
    <w:p>
      <w:pPr>
        <w:ind w:left="860"/>
        <w:spacing w:after="0"/>
        <w:rPr>
          <w:sz w:val="20"/>
          <w:szCs w:val="20"/>
          <w:color w:val="auto"/>
        </w:rPr>
      </w:pPr>
      <w:r>
        <w:rPr>
          <w:rFonts w:ascii="Arial" w:cs="Arial" w:eastAsia="Arial" w:hAnsi="Arial"/>
          <w:sz w:val="8"/>
          <w:szCs w:val="8"/>
          <w:b w:val="1"/>
          <w:bCs w:val="1"/>
          <w:color w:val="D60010"/>
        </w:rPr>
        <w:t>2023 Annual Meeting</w:t>
      </w:r>
    </w:p>
    <w:p>
      <w:pPr>
        <w:spacing w:after="0" w:line="20" w:lineRule="exact"/>
        <w:rPr>
          <w:sz w:val="20"/>
          <w:szCs w:val="20"/>
          <w:color w:val="auto"/>
        </w:rPr>
      </w:pPr>
      <w:r>
        <w:rPr>
          <w:sz w:val="20"/>
          <w:szCs w:val="20"/>
          <w:color w:val="auto"/>
        </w:rPr>
        <w:br w:type="column"/>
      </w:r>
    </w:p>
    <w:p>
      <w:pPr>
        <w:spacing w:after="0" w:line="303" w:lineRule="auto"/>
        <w:rPr>
          <w:sz w:val="20"/>
          <w:szCs w:val="20"/>
          <w:color w:val="auto"/>
        </w:rPr>
      </w:pPr>
      <w:r>
        <w:rPr>
          <w:rFonts w:ascii="Arial" w:cs="Arial" w:eastAsia="Arial" w:hAnsi="Arial"/>
          <w:sz w:val="8"/>
          <w:szCs w:val="8"/>
          <w:color w:val="auto"/>
        </w:rPr>
        <w:t xml:space="preserve">For any shareholder proposal that is not submitted under SEC Rule 14a-8, and any nomination of directors not submitted pursuant to our proxy access by-law provision, our By-Laws describe the procedures that must be followed. Proposals for nomination for directors and other items of business should be addressed to our Secretary at our Corporate Headquarters and must contain the information specified in the By-Laws, which are available at </w:t>
      </w:r>
      <w:r>
        <w:rPr>
          <w:rFonts w:ascii="Arial" w:cs="Arial" w:eastAsia="Arial" w:hAnsi="Arial"/>
          <w:sz w:val="8"/>
          <w:szCs w:val="8"/>
          <w:b w:val="1"/>
          <w:bCs w:val="1"/>
          <w:color w:val="D60011"/>
        </w:rPr>
        <w:t>investors.footlocker-inc. com/by-laws</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274320</wp:posOffset>
            </wp:positionV>
            <wp:extent cx="46634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79"/>
        <w:spacing w:after="0" w:line="229" w:lineRule="auto"/>
        <w:rPr>
          <w:sz w:val="20"/>
          <w:szCs w:val="20"/>
          <w:color w:val="auto"/>
        </w:rPr>
      </w:pPr>
      <w:r>
        <w:rPr>
          <w:rFonts w:ascii="Arial" w:cs="Arial" w:eastAsia="Arial" w:hAnsi="Arial"/>
          <w:sz w:val="10"/>
          <w:szCs w:val="10"/>
          <w:color w:val="auto"/>
        </w:rPr>
        <w:t>No earlier than January 18, 2023 and no later than February 17, 2023. However, if we hold the 2023 annual meeting on a date that is not within 25 days before or after the first anniversary of the prior year’s annual meeting, then we must receive the notice no later than ten days after the earlier of the date we first provide notice of the meeting to shareholders or announce it publicly.</w:t>
      </w:r>
    </w:p>
    <w:p>
      <w:pPr>
        <w:spacing w:after="0" w:line="152" w:lineRule="exact"/>
        <w:rPr>
          <w:sz w:val="20"/>
          <w:szCs w:val="20"/>
          <w:color w:val="auto"/>
        </w:rPr>
      </w:pPr>
    </w:p>
    <w:p>
      <w:pPr>
        <w:sectPr>
          <w:pgSz w:w="11900" w:h="16838" w:orient="portrait"/>
          <w:cols w:equalWidth="0" w:num="3">
            <w:col w:w="1820" w:space="660"/>
            <w:col w:w="3580" w:space="100"/>
            <w:col w:w="2859"/>
          </w:cols>
          <w:pgMar w:left="1440" w:top="1440" w:right="1440" w:bottom="1440" w:gutter="0" w:footer="0" w:header="0"/>
          <w:type w:val="continuous"/>
        </w:sectPr>
      </w:pPr>
    </w:p>
    <w:p>
      <w:pPr>
        <w:ind w:left="840"/>
        <w:spacing w:after="0"/>
        <w:rPr>
          <w:sz w:val="20"/>
          <w:szCs w:val="20"/>
          <w:color w:val="auto"/>
        </w:rPr>
      </w:pPr>
      <w:r>
        <w:rPr>
          <w:rFonts w:ascii="Arial" w:cs="Arial" w:eastAsia="Arial" w:hAnsi="Arial"/>
          <w:sz w:val="11"/>
          <w:szCs w:val="11"/>
          <w:color w:val="auto"/>
        </w:rPr>
        <w:t>By Order of the Board of Directors</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D60011"/>
        </w:rPr>
        <w:t>SHEILAGH M. CLARKE</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0"/>
          <w:szCs w:val="10"/>
          <w:color w:val="auto"/>
        </w:rPr>
        <w:t>Executive Vice President, General Counsel and Secretary</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April 8, 2022</w:t>
      </w:r>
    </w:p>
    <w:p>
      <w:pPr>
        <w:spacing w:after="0" w:line="110" w:lineRule="exact"/>
        <w:rPr>
          <w:sz w:val="20"/>
          <w:szCs w:val="20"/>
          <w:color w:val="auto"/>
        </w:rPr>
      </w:pPr>
    </w:p>
    <w:p>
      <w:pPr>
        <w:ind w:left="1540" w:hanging="408"/>
        <w:spacing w:after="0"/>
        <w:tabs>
          <w:tab w:leader="none" w:pos="1540" w:val="left"/>
        </w:tabs>
        <w:numPr>
          <w:ilvl w:val="0"/>
          <w:numId w:val="155"/>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254000</wp:posOffset>
            </wp:positionV>
            <wp:extent cx="717804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1534160</wp:posOffset>
            </wp:positionH>
            <wp:positionV relativeFrom="page">
              <wp:posOffset>363220</wp:posOffset>
            </wp:positionV>
            <wp:extent cx="4457700" cy="7486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4457700" cy="748665"/>
                    </a:xfrm>
                    <a:prstGeom prst="rect">
                      <a:avLst/>
                    </a:prstGeom>
                    <a:noFill/>
                  </pic:spPr>
                </pic:pic>
              </a:graphicData>
            </a:graphic>
          </wp:anchor>
        </w:drawing>
      </w:r>
    </w:p>
    <w:p>
      <w:pPr>
        <w:spacing w:after="0" w:line="25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What constitutes a quorum for the Annual Meeting?</w:t>
      </w:r>
    </w:p>
    <w:p>
      <w:pPr>
        <w:spacing w:after="0" w:line="127" w:lineRule="exact"/>
        <w:rPr>
          <w:sz w:val="20"/>
          <w:szCs w:val="20"/>
          <w:color w:val="auto"/>
        </w:rPr>
      </w:pPr>
    </w:p>
    <w:p>
      <w:pPr>
        <w:ind w:left="2180" w:right="2000" w:hanging="208"/>
        <w:spacing w:after="0" w:line="253" w:lineRule="auto"/>
        <w:tabs>
          <w:tab w:leader="none" w:pos="2180" w:val="left"/>
        </w:tabs>
        <w:numPr>
          <w:ilvl w:val="0"/>
          <w:numId w:val="156"/>
        </w:numPr>
        <w:rPr>
          <w:rFonts w:ascii="Arial" w:cs="Arial" w:eastAsia="Arial" w:hAnsi="Arial"/>
          <w:sz w:val="11"/>
          <w:szCs w:val="11"/>
          <w:b w:val="1"/>
          <w:bCs w:val="1"/>
          <w:color w:val="auto"/>
        </w:rPr>
      </w:pPr>
      <w:r>
        <w:rPr>
          <w:rFonts w:ascii="Arial" w:cs="Arial" w:eastAsia="Arial" w:hAnsi="Arial"/>
          <w:sz w:val="11"/>
          <w:szCs w:val="11"/>
          <w:color w:val="auto"/>
        </w:rPr>
        <w:t>We will have a quorum and be able to conduct the business of the Annual Meeting if the holders of a majority of the shares outstanding and entitled to vote are present at the meeting, either in person or by proxy. We will count abstentions and broker non-votes, if any, as present and entitled to vote in determining whether we have a quorum.</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Who may vote at the Annual Meeting?</w:t>
      </w:r>
    </w:p>
    <w:p>
      <w:pPr>
        <w:spacing w:after="0" w:line="127" w:lineRule="exact"/>
        <w:rPr>
          <w:sz w:val="20"/>
          <w:szCs w:val="20"/>
          <w:color w:val="auto"/>
        </w:rPr>
      </w:pPr>
    </w:p>
    <w:p>
      <w:pPr>
        <w:ind w:left="2180" w:right="2140" w:hanging="208"/>
        <w:spacing w:after="0" w:line="253" w:lineRule="auto"/>
        <w:tabs>
          <w:tab w:leader="none" w:pos="2180" w:val="left"/>
        </w:tabs>
        <w:numPr>
          <w:ilvl w:val="0"/>
          <w:numId w:val="157"/>
        </w:numPr>
        <w:rPr>
          <w:rFonts w:ascii="Arial" w:cs="Arial" w:eastAsia="Arial" w:hAnsi="Arial"/>
          <w:sz w:val="11"/>
          <w:szCs w:val="11"/>
          <w:b w:val="1"/>
          <w:bCs w:val="1"/>
          <w:color w:val="auto"/>
        </w:rPr>
      </w:pPr>
      <w:r>
        <w:rPr>
          <w:rFonts w:ascii="Arial" w:cs="Arial" w:eastAsia="Arial" w:hAnsi="Arial"/>
          <w:sz w:val="11"/>
          <w:szCs w:val="11"/>
          <w:color w:val="auto"/>
        </w:rPr>
        <w:t>Only shareholders of record on the books of the Company as of the Record Date are entitled to vote at the Annual Meeting, and any adjournments or postponements of the meeting, on the items of business described in this Proxy Statement. There were 96,089,997 shares of Common Stock outstanding as of the Record Date. Each share of Common Stock is entitled to one vote.</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Can I vote shares held in employee plans?</w:t>
      </w:r>
    </w:p>
    <w:p>
      <w:pPr>
        <w:spacing w:after="0" w:line="127" w:lineRule="exact"/>
        <w:rPr>
          <w:sz w:val="20"/>
          <w:szCs w:val="20"/>
          <w:color w:val="auto"/>
        </w:rPr>
      </w:pPr>
    </w:p>
    <w:p>
      <w:pPr>
        <w:ind w:left="2180" w:right="2040" w:hanging="208"/>
        <w:spacing w:after="0" w:line="248" w:lineRule="auto"/>
        <w:tabs>
          <w:tab w:leader="none" w:pos="2180" w:val="left"/>
        </w:tabs>
        <w:numPr>
          <w:ilvl w:val="0"/>
          <w:numId w:val="158"/>
        </w:numPr>
        <w:rPr>
          <w:rFonts w:ascii="Arial" w:cs="Arial" w:eastAsia="Arial" w:hAnsi="Arial"/>
          <w:sz w:val="11"/>
          <w:szCs w:val="11"/>
          <w:b w:val="1"/>
          <w:bCs w:val="1"/>
          <w:color w:val="auto"/>
        </w:rPr>
      </w:pPr>
      <w:r>
        <w:rPr>
          <w:rFonts w:ascii="Arial" w:cs="Arial" w:eastAsia="Arial" w:hAnsi="Arial"/>
          <w:sz w:val="11"/>
          <w:szCs w:val="11"/>
          <w:color w:val="auto"/>
        </w:rPr>
        <w:t>If you hold shares of Common Stock through the 401(k) Plan or the 1165(e) Plan, your proxy card includes the number of shares allocated to your plan account. Your proxy card will serve as a VIF for these shares for the plan trustee to vote the shares. The trustee will vote only those shares for which voting instructions have been given. To allow sufficient time for voting by the trustees of these plans, your voting instructions must be received by 11:59 p.m. EDT on May 15, 2022.</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Could matters be voted on at the Annual Meeting other than the proposals on page 1?</w:t>
      </w:r>
    </w:p>
    <w:p>
      <w:pPr>
        <w:spacing w:after="0" w:line="127" w:lineRule="exact"/>
        <w:rPr>
          <w:sz w:val="20"/>
          <w:szCs w:val="20"/>
          <w:color w:val="auto"/>
        </w:rPr>
      </w:pPr>
    </w:p>
    <w:p>
      <w:pPr>
        <w:ind w:left="2180" w:right="2080" w:hanging="208"/>
        <w:spacing w:after="0" w:line="268" w:lineRule="auto"/>
        <w:tabs>
          <w:tab w:leader="none" w:pos="2180" w:val="left"/>
        </w:tabs>
        <w:numPr>
          <w:ilvl w:val="0"/>
          <w:numId w:val="159"/>
        </w:numPr>
        <w:rPr>
          <w:rFonts w:ascii="Arial" w:cs="Arial" w:eastAsia="Arial" w:hAnsi="Arial"/>
          <w:sz w:val="11"/>
          <w:szCs w:val="11"/>
          <w:b w:val="1"/>
          <w:bCs w:val="1"/>
          <w:color w:val="auto"/>
        </w:rPr>
      </w:pPr>
      <w:r>
        <w:rPr>
          <w:rFonts w:ascii="Arial" w:cs="Arial" w:eastAsia="Arial" w:hAnsi="Arial"/>
          <w:sz w:val="11"/>
          <w:szCs w:val="11"/>
          <w:color w:val="auto"/>
        </w:rPr>
        <w:t>We do not know of any other business that will be presented at the Annual Meeting. If any other matters are properly brought before the meeting for consideration, then the persons named as proxies will have the discretion to vote on those matters for you using their best judgment.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What happens if I do not vote my shares?</w:t>
      </w:r>
    </w:p>
    <w:p>
      <w:pPr>
        <w:spacing w:after="0" w:line="127" w:lineRule="exact"/>
        <w:rPr>
          <w:sz w:val="20"/>
          <w:szCs w:val="20"/>
          <w:color w:val="auto"/>
        </w:rPr>
      </w:pPr>
    </w:p>
    <w:p>
      <w:pPr>
        <w:ind w:left="2180" w:right="2440" w:hanging="208"/>
        <w:spacing w:after="0" w:line="246" w:lineRule="auto"/>
        <w:tabs>
          <w:tab w:leader="none" w:pos="2180" w:val="left"/>
        </w:tabs>
        <w:numPr>
          <w:ilvl w:val="0"/>
          <w:numId w:val="160"/>
        </w:numPr>
        <w:rPr>
          <w:rFonts w:ascii="Arial" w:cs="Arial" w:eastAsia="Arial" w:hAnsi="Arial"/>
          <w:sz w:val="11"/>
          <w:szCs w:val="11"/>
          <w:b w:val="1"/>
          <w:bCs w:val="1"/>
          <w:color w:val="auto"/>
        </w:rPr>
      </w:pPr>
      <w:r>
        <w:rPr>
          <w:rFonts w:ascii="Arial" w:cs="Arial" w:eastAsia="Arial" w:hAnsi="Arial"/>
          <w:sz w:val="11"/>
          <w:szCs w:val="11"/>
          <w:color w:val="auto"/>
        </w:rPr>
        <w:t>This depends on how you hold your shares and the type of proposal. If you hold your shares in “street name,” such as through a bank or brokerage account, it is important that you cast your vote if you want it to count for Proposals 1, 2, and 3. If you do not instruct your bank or broker regarding how to vote your shares, no votes will be cast on your behalf on Proposals 1, 2, and 3 because the broker does not have discretionary authority to vote. This is called a “broker non-vote.” Your bank or broker will have discretion to vote any uninstructed shares on Proposal 4.</w:t>
      </w:r>
    </w:p>
    <w:p>
      <w:pPr>
        <w:spacing w:after="0" w:line="107" w:lineRule="exact"/>
        <w:rPr>
          <w:rFonts w:ascii="Arial" w:cs="Arial" w:eastAsia="Arial" w:hAnsi="Arial"/>
          <w:sz w:val="11"/>
          <w:szCs w:val="11"/>
          <w:b w:val="1"/>
          <w:bCs w:val="1"/>
          <w:color w:val="auto"/>
        </w:rPr>
      </w:pPr>
    </w:p>
    <w:p>
      <w:pPr>
        <w:ind w:left="2180" w:right="2160"/>
        <w:spacing w:after="0" w:line="253" w:lineRule="auto"/>
        <w:rPr>
          <w:rFonts w:ascii="Arial" w:cs="Arial" w:eastAsia="Arial" w:hAnsi="Arial"/>
          <w:sz w:val="11"/>
          <w:szCs w:val="11"/>
          <w:b w:val="1"/>
          <w:bCs w:val="1"/>
          <w:color w:val="auto"/>
        </w:rPr>
      </w:pPr>
      <w:r>
        <w:rPr>
          <w:rFonts w:ascii="Arial" w:cs="Arial" w:eastAsia="Arial" w:hAnsi="Arial"/>
          <w:sz w:val="11"/>
          <w:szCs w:val="11"/>
          <w:color w:val="auto"/>
        </w:rPr>
        <w:t>If you are a “shareholder of record,” meaning your stock ownership is reflected directly on the books and records of the Company’s transfer agent, or if you hold your shares through the 401(k) Plan or 1165(e) Plan, no votes will be cast on your behalf on any of the proposals if you do not cast your vote.</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How will the votes be counted?</w:t>
      </w:r>
    </w:p>
    <w:p>
      <w:pPr>
        <w:spacing w:after="0" w:line="127" w:lineRule="exact"/>
        <w:rPr>
          <w:sz w:val="20"/>
          <w:szCs w:val="20"/>
          <w:color w:val="auto"/>
        </w:rPr>
      </w:pPr>
    </w:p>
    <w:p>
      <w:pPr>
        <w:ind w:left="2180" w:hanging="208"/>
        <w:spacing w:after="0"/>
        <w:tabs>
          <w:tab w:leader="none" w:pos="2180" w:val="left"/>
        </w:tabs>
        <w:numPr>
          <w:ilvl w:val="0"/>
          <w:numId w:val="161"/>
        </w:numPr>
        <w:rPr>
          <w:rFonts w:ascii="Arial" w:cs="Arial" w:eastAsia="Arial" w:hAnsi="Arial"/>
          <w:sz w:val="11"/>
          <w:szCs w:val="11"/>
          <w:b w:val="1"/>
          <w:bCs w:val="1"/>
          <w:color w:val="auto"/>
        </w:rPr>
      </w:pPr>
      <w:r>
        <w:rPr>
          <w:rFonts w:ascii="Arial" w:cs="Arial" w:eastAsia="Arial" w:hAnsi="Arial"/>
          <w:sz w:val="11"/>
          <w:szCs w:val="11"/>
          <w:color w:val="auto"/>
        </w:rPr>
        <w:t>Votes will be counted and certified by an independent inspector of election.</w:t>
      </w:r>
    </w:p>
    <w:p>
      <w:pPr>
        <w:spacing w:after="0" w:line="125" w:lineRule="exact"/>
        <w:rPr>
          <w:rFonts w:ascii="Arial" w:cs="Arial" w:eastAsia="Arial" w:hAnsi="Arial"/>
          <w:sz w:val="11"/>
          <w:szCs w:val="11"/>
          <w:b w:val="1"/>
          <w:bCs w:val="1"/>
          <w:color w:val="auto"/>
        </w:rPr>
      </w:pPr>
    </w:p>
    <w:p>
      <w:pPr>
        <w:ind w:left="2180" w:right="2240"/>
        <w:spacing w:after="0" w:line="268" w:lineRule="auto"/>
        <w:rPr>
          <w:rFonts w:ascii="Arial" w:cs="Arial" w:eastAsia="Arial" w:hAnsi="Arial"/>
          <w:sz w:val="11"/>
          <w:szCs w:val="11"/>
          <w:b w:val="1"/>
          <w:bCs w:val="1"/>
          <w:color w:val="auto"/>
        </w:rPr>
      </w:pPr>
      <w:r>
        <w:rPr>
          <w:rFonts w:ascii="Arial" w:cs="Arial" w:eastAsia="Arial" w:hAnsi="Arial"/>
          <w:sz w:val="11"/>
          <w:szCs w:val="11"/>
          <w:color w:val="auto"/>
        </w:rPr>
        <w:t>If you abstain from voting or there is a broker non-vote on any matter, your abstention or broker non-vote will not affect the outcome of such vote because abstentions and broker non-votes are not considered to be votes cast.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Can I change my mind after voting my shares?</w:t>
      </w:r>
    </w:p>
    <w:p>
      <w:pPr>
        <w:spacing w:after="0" w:line="127" w:lineRule="exact"/>
        <w:rPr>
          <w:sz w:val="20"/>
          <w:szCs w:val="20"/>
          <w:color w:val="auto"/>
        </w:rPr>
      </w:pPr>
    </w:p>
    <w:p>
      <w:pPr>
        <w:ind w:left="2180" w:hanging="208"/>
        <w:spacing w:after="0"/>
        <w:tabs>
          <w:tab w:leader="none" w:pos="2180" w:val="left"/>
        </w:tabs>
        <w:numPr>
          <w:ilvl w:val="0"/>
          <w:numId w:val="162"/>
        </w:numPr>
        <w:rPr>
          <w:rFonts w:ascii="Arial" w:cs="Arial" w:eastAsia="Arial" w:hAnsi="Arial"/>
          <w:sz w:val="11"/>
          <w:szCs w:val="11"/>
          <w:b w:val="1"/>
          <w:bCs w:val="1"/>
          <w:color w:val="auto"/>
        </w:rPr>
      </w:pPr>
      <w:r>
        <w:rPr>
          <w:rFonts w:ascii="Arial" w:cs="Arial" w:eastAsia="Arial" w:hAnsi="Arial"/>
          <w:sz w:val="11"/>
          <w:szCs w:val="11"/>
          <w:color w:val="auto"/>
        </w:rPr>
        <w:t>Yes, you may revoke your proxy at any time before it is used by:</w:t>
      </w:r>
    </w:p>
    <w:p>
      <w:pPr>
        <w:spacing w:after="0" w:line="125" w:lineRule="exact"/>
        <w:rPr>
          <w:rFonts w:ascii="Arial" w:cs="Arial" w:eastAsia="Arial" w:hAnsi="Arial"/>
          <w:sz w:val="11"/>
          <w:szCs w:val="11"/>
          <w:b w:val="1"/>
          <w:bCs w:val="1"/>
          <w:color w:val="auto"/>
        </w:rPr>
      </w:pPr>
    </w:p>
    <w:p>
      <w:pPr>
        <w:ind w:left="2400" w:hanging="212"/>
        <w:spacing w:after="0"/>
        <w:tabs>
          <w:tab w:leader="none" w:pos="2400" w:val="left"/>
        </w:tabs>
        <w:numPr>
          <w:ilvl w:val="1"/>
          <w:numId w:val="162"/>
        </w:numPr>
        <w:rPr>
          <w:rFonts w:ascii="Arial" w:cs="Arial" w:eastAsia="Arial" w:hAnsi="Arial"/>
          <w:sz w:val="11"/>
          <w:szCs w:val="11"/>
          <w:color w:val="D60011"/>
        </w:rPr>
      </w:pPr>
      <w:r>
        <w:rPr>
          <w:rFonts w:ascii="Arial" w:cs="Arial" w:eastAsia="Arial" w:hAnsi="Arial"/>
          <w:sz w:val="11"/>
          <w:szCs w:val="11"/>
          <w:color w:val="auto"/>
        </w:rPr>
        <w:t>sending a written notice to our Secretary at our Corporate Headquarters,</w:t>
      </w:r>
    </w:p>
    <w:p>
      <w:pPr>
        <w:spacing w:after="0" w:line="125" w:lineRule="exact"/>
        <w:rPr>
          <w:rFonts w:ascii="Arial" w:cs="Arial" w:eastAsia="Arial" w:hAnsi="Arial"/>
          <w:sz w:val="11"/>
          <w:szCs w:val="11"/>
          <w:color w:val="D60011"/>
        </w:rPr>
      </w:pPr>
    </w:p>
    <w:p>
      <w:pPr>
        <w:ind w:left="2400" w:hanging="212"/>
        <w:spacing w:after="0"/>
        <w:tabs>
          <w:tab w:leader="none" w:pos="2400" w:val="left"/>
        </w:tabs>
        <w:numPr>
          <w:ilvl w:val="1"/>
          <w:numId w:val="162"/>
        </w:numPr>
        <w:rPr>
          <w:rFonts w:ascii="Arial" w:cs="Arial" w:eastAsia="Arial" w:hAnsi="Arial"/>
          <w:sz w:val="11"/>
          <w:szCs w:val="11"/>
          <w:color w:val="D60011"/>
        </w:rPr>
      </w:pPr>
      <w:r>
        <w:rPr>
          <w:rFonts w:ascii="Arial" w:cs="Arial" w:eastAsia="Arial" w:hAnsi="Arial"/>
          <w:sz w:val="11"/>
          <w:szCs w:val="11"/>
          <w:color w:val="auto"/>
        </w:rPr>
        <w:t>delivering a valid proxy card with a later date,</w:t>
      </w:r>
    </w:p>
    <w:p>
      <w:pPr>
        <w:spacing w:after="0" w:line="125" w:lineRule="exact"/>
        <w:rPr>
          <w:rFonts w:ascii="Arial" w:cs="Arial" w:eastAsia="Arial" w:hAnsi="Arial"/>
          <w:sz w:val="11"/>
          <w:szCs w:val="11"/>
          <w:color w:val="D60011"/>
        </w:rPr>
      </w:pPr>
    </w:p>
    <w:p>
      <w:pPr>
        <w:ind w:left="2400" w:hanging="212"/>
        <w:spacing w:after="0"/>
        <w:tabs>
          <w:tab w:leader="none" w:pos="2400" w:val="left"/>
        </w:tabs>
        <w:numPr>
          <w:ilvl w:val="1"/>
          <w:numId w:val="162"/>
        </w:numPr>
        <w:rPr>
          <w:rFonts w:ascii="Arial" w:cs="Arial" w:eastAsia="Arial" w:hAnsi="Arial"/>
          <w:sz w:val="11"/>
          <w:szCs w:val="11"/>
          <w:color w:val="D60011"/>
        </w:rPr>
      </w:pPr>
      <w:r>
        <w:rPr>
          <w:rFonts w:ascii="Arial" w:cs="Arial" w:eastAsia="Arial" w:hAnsi="Arial"/>
          <w:sz w:val="11"/>
          <w:szCs w:val="11"/>
          <w:color w:val="auto"/>
        </w:rPr>
        <w:t>providing a later-dated vote by telephone, scanning, internet, or app, or</w:t>
      </w:r>
    </w:p>
    <w:p>
      <w:pPr>
        <w:spacing w:after="0" w:line="125" w:lineRule="exact"/>
        <w:rPr>
          <w:rFonts w:ascii="Arial" w:cs="Arial" w:eastAsia="Arial" w:hAnsi="Arial"/>
          <w:sz w:val="11"/>
          <w:szCs w:val="11"/>
          <w:color w:val="D60011"/>
        </w:rPr>
      </w:pPr>
    </w:p>
    <w:p>
      <w:pPr>
        <w:ind w:left="2400" w:hanging="212"/>
        <w:spacing w:after="0"/>
        <w:tabs>
          <w:tab w:leader="none" w:pos="2400" w:val="left"/>
        </w:tabs>
        <w:numPr>
          <w:ilvl w:val="1"/>
          <w:numId w:val="162"/>
        </w:numPr>
        <w:rPr>
          <w:rFonts w:ascii="Arial" w:cs="Arial" w:eastAsia="Arial" w:hAnsi="Arial"/>
          <w:sz w:val="11"/>
          <w:szCs w:val="11"/>
          <w:color w:val="D60011"/>
        </w:rPr>
      </w:pPr>
      <w:r>
        <w:rPr>
          <w:rFonts w:ascii="Arial" w:cs="Arial" w:eastAsia="Arial" w:hAnsi="Arial"/>
          <w:sz w:val="11"/>
          <w:szCs w:val="11"/>
          <w:color w:val="auto"/>
        </w:rPr>
        <w:t>voting at the Annual Meeting.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D60011"/>
        </w:rPr>
        <w:t>Q: How do I attend the Annual Meeting?</w:t>
      </w:r>
    </w:p>
    <w:p>
      <w:pPr>
        <w:spacing w:after="0" w:line="127" w:lineRule="exact"/>
        <w:rPr>
          <w:sz w:val="20"/>
          <w:szCs w:val="20"/>
          <w:color w:val="auto"/>
        </w:rPr>
      </w:pPr>
    </w:p>
    <w:p>
      <w:pPr>
        <w:ind w:left="2180" w:right="2180" w:hanging="208"/>
        <w:spacing w:after="0" w:line="318" w:lineRule="auto"/>
        <w:tabs>
          <w:tab w:leader="none" w:pos="2180" w:val="left"/>
        </w:tabs>
        <w:numPr>
          <w:ilvl w:val="0"/>
          <w:numId w:val="163"/>
        </w:numPr>
        <w:rPr>
          <w:rFonts w:ascii="Arial" w:cs="Arial" w:eastAsia="Arial" w:hAnsi="Arial"/>
          <w:sz w:val="10"/>
          <w:szCs w:val="10"/>
          <w:b w:val="1"/>
          <w:bCs w:val="1"/>
          <w:color w:val="auto"/>
        </w:rPr>
      </w:pPr>
      <w:r>
        <w:rPr>
          <w:rFonts w:ascii="Arial" w:cs="Arial" w:eastAsia="Arial" w:hAnsi="Arial"/>
          <w:sz w:val="10"/>
          <w:szCs w:val="10"/>
          <w:color w:val="auto"/>
        </w:rPr>
        <w:t>We are pleased to welcome shareholders to the Annual Meeting. The Annual Meeting will be held in a virtual format only to provide a safe experience for our shareholders and team members. All shareholders will be afforded the same rights they would have had at a physical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52070</wp:posOffset>
            </wp:positionV>
            <wp:extent cx="365760" cy="2228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Pr>
          <w:p>
            <w:pPr>
              <w:ind w:left="7440"/>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2560" w:type="dxa"/>
            <w:vAlign w:val="bottom"/>
          </w:tcPr>
          <w:p>
            <w:pPr>
              <w:jc w:val="right"/>
              <w:ind w:right="2186"/>
              <w:spacing w:after="0"/>
              <w:rPr>
                <w:sz w:val="20"/>
                <w:szCs w:val="20"/>
                <w:color w:val="auto"/>
              </w:rPr>
            </w:pPr>
            <w:r>
              <w:rPr>
                <w:rFonts w:ascii="Arial" w:cs="Arial" w:eastAsia="Arial" w:hAnsi="Arial"/>
                <w:sz w:val="11"/>
                <w:szCs w:val="11"/>
                <w:b w:val="1"/>
                <w:bCs w:val="1"/>
                <w:color w:val="FFFFFF"/>
              </w:rPr>
              <w:t>105</w:t>
            </w:r>
          </w:p>
        </w:tc>
      </w:tr>
      <w:tr>
        <w:trPr>
          <w:trHeight w:val="354"/>
        </w:trPr>
        <w:tc>
          <w:tcPr>
            <w:tcW w:w="8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106" w:name="page107"/>
    <w:bookmarkEnd w:id="106"/>
    <w:p>
      <w:pPr>
        <w:ind w:left="840"/>
        <w:spacing w:after="0"/>
        <w:rPr>
          <w:sz w:val="20"/>
          <w:szCs w:val="20"/>
          <w:color w:val="auto"/>
        </w:rPr>
      </w:pPr>
      <w:r>
        <w:rPr>
          <w:rFonts w:ascii="Arial" w:cs="Arial" w:eastAsia="Arial" w:hAnsi="Arial"/>
          <w:sz w:val="10"/>
          <w:szCs w:val="10"/>
          <w:b w:val="1"/>
          <w:bCs w:val="1"/>
          <w:color w:val="D60011"/>
        </w:rPr>
        <w:t>FREQUENTLY ASKED QUESTIONS</w:t>
      </w:r>
    </w:p>
    <w:p>
      <w:pPr>
        <w:spacing w:after="0" w:line="117" w:lineRule="exact"/>
        <w:rPr>
          <w:sz w:val="20"/>
          <w:szCs w:val="20"/>
          <w:color w:val="auto"/>
        </w:rPr>
      </w:pPr>
    </w:p>
    <w:p>
      <w:pPr>
        <w:ind w:left="1040" w:right="939"/>
        <w:spacing w:after="0" w:line="248" w:lineRule="auto"/>
        <w:rPr>
          <w:sz w:val="20"/>
          <w:szCs w:val="20"/>
          <w:color w:val="auto"/>
        </w:rPr>
      </w:pPr>
      <w:r>
        <w:rPr>
          <w:rFonts w:ascii="Arial" w:cs="Arial" w:eastAsia="Arial" w:hAnsi="Arial"/>
          <w:sz w:val="11"/>
          <w:szCs w:val="11"/>
          <w:color w:val="auto"/>
        </w:rPr>
        <w:t>The live audio webcast of the meeting will begin promptly at 9:00 a.m. EDT. Online access to the audio webcast will open shortly prior to the start of the meeting to allow time for you to log-in and test your device’s audio system. We encourage you to access the meeting in advance of the designated start time. A support line will be available on the meeting website shortly prior to, and during, the meeting to assist shareholders with any technical difficulties they may have accessing or hearing the meeting.</w:t>
      </w:r>
    </w:p>
    <w:p>
      <w:pPr>
        <w:spacing w:after="0" w:line="107" w:lineRule="exact"/>
        <w:rPr>
          <w:sz w:val="20"/>
          <w:szCs w:val="20"/>
          <w:color w:val="auto"/>
        </w:rPr>
      </w:pPr>
    </w:p>
    <w:p>
      <w:pPr>
        <w:ind w:left="1040" w:right="879"/>
        <w:spacing w:after="0" w:line="268" w:lineRule="auto"/>
        <w:rPr>
          <w:sz w:val="20"/>
          <w:szCs w:val="20"/>
          <w:color w:val="auto"/>
        </w:rPr>
      </w:pPr>
      <w:r>
        <w:rPr>
          <w:rFonts w:ascii="Arial" w:cs="Arial" w:eastAsia="Arial" w:hAnsi="Arial"/>
          <w:sz w:val="11"/>
          <w:szCs w:val="11"/>
          <w:color w:val="auto"/>
        </w:rPr>
        <w:t xml:space="preserve">To be admitted to the Annual Meeting, you will need to log-in to </w:t>
      </w:r>
      <w:r>
        <w:rPr>
          <w:rFonts w:ascii="Arial" w:cs="Arial" w:eastAsia="Arial" w:hAnsi="Arial"/>
          <w:sz w:val="11"/>
          <w:szCs w:val="11"/>
          <w:b w:val="1"/>
          <w:bCs w:val="1"/>
          <w:color w:val="D60011"/>
        </w:rPr>
        <w:t>virtualshareholdermeeting.com/FL2022</w:t>
      </w:r>
      <w:r>
        <w:rPr>
          <w:rFonts w:ascii="Arial" w:cs="Arial" w:eastAsia="Arial" w:hAnsi="Arial"/>
          <w:sz w:val="11"/>
          <w:szCs w:val="11"/>
          <w:color w:val="auto"/>
        </w:rPr>
        <w:t xml:space="preserve"> using the 16-digit control number found on your Notice, proxy card, VIF, or email previously sent to shareholders entitled to vote at the Annual Meeting.</w:t>
      </w:r>
    </w:p>
    <w:p>
      <w:pPr>
        <w:spacing w:after="0" w:line="96" w:lineRule="exact"/>
        <w:rPr>
          <w:sz w:val="20"/>
          <w:szCs w:val="20"/>
          <w:color w:val="auto"/>
        </w:rPr>
      </w:pPr>
    </w:p>
    <w:p>
      <w:pPr>
        <w:ind w:left="1040" w:right="1319"/>
        <w:spacing w:after="0" w:line="268" w:lineRule="auto"/>
        <w:rPr>
          <w:sz w:val="20"/>
          <w:szCs w:val="20"/>
          <w:color w:val="auto"/>
        </w:rPr>
      </w:pPr>
      <w:r>
        <w:rPr>
          <w:rFonts w:ascii="Arial" w:cs="Arial" w:eastAsia="Arial" w:hAnsi="Arial"/>
          <w:sz w:val="11"/>
          <w:szCs w:val="11"/>
          <w:color w:val="auto"/>
        </w:rPr>
        <w:t>Even if you plan on attending the Annual Meeting, we encourage you to vote your shares in advance using one of the methods described in this Proxy Statement to ensure that your vote will be represented at the Annual Meeting.</w:t>
      </w:r>
    </w:p>
    <w:p>
      <w:pPr>
        <w:spacing w:after="0" w:line="96" w:lineRule="exact"/>
        <w:rPr>
          <w:sz w:val="20"/>
          <w:szCs w:val="20"/>
          <w:color w:val="auto"/>
        </w:rPr>
      </w:pPr>
    </w:p>
    <w:p>
      <w:pPr>
        <w:ind w:left="840"/>
        <w:spacing w:after="0"/>
        <w:tabs>
          <w:tab w:leader="none" w:pos="1020" w:val="left"/>
        </w:tabs>
        <w:rPr>
          <w:sz w:val="20"/>
          <w:szCs w:val="20"/>
          <w:color w:val="auto"/>
        </w:rPr>
      </w:pPr>
      <w:r>
        <w:rPr>
          <w:rFonts w:ascii="Arial" w:cs="Arial" w:eastAsia="Arial" w:hAnsi="Arial"/>
          <w:sz w:val="11"/>
          <w:szCs w:val="11"/>
          <w:b w:val="1"/>
          <w:bCs w:val="1"/>
          <w:color w:val="D60011"/>
        </w:rPr>
        <w:t>Q:</w:t>
      </w:r>
      <w:r>
        <w:rPr>
          <w:sz w:val="20"/>
          <w:szCs w:val="20"/>
          <w:color w:val="auto"/>
        </w:rPr>
        <w:tab/>
      </w:r>
      <w:r>
        <w:rPr>
          <w:rFonts w:ascii="Arial" w:cs="Arial" w:eastAsia="Arial" w:hAnsi="Arial"/>
          <w:sz w:val="10"/>
          <w:szCs w:val="10"/>
          <w:b w:val="1"/>
          <w:bCs w:val="1"/>
          <w:color w:val="D60011"/>
        </w:rPr>
        <w:t>Will there be a question and answer session at the Annual Meeting?</w:t>
      </w:r>
    </w:p>
    <w:p>
      <w:pPr>
        <w:spacing w:after="0" w:line="126" w:lineRule="exact"/>
        <w:rPr>
          <w:sz w:val="20"/>
          <w:szCs w:val="20"/>
          <w:color w:val="auto"/>
        </w:rPr>
      </w:pPr>
    </w:p>
    <w:p>
      <w:pPr>
        <w:ind w:left="1040" w:right="979" w:hanging="208"/>
        <w:spacing w:after="0" w:line="246" w:lineRule="auto"/>
        <w:tabs>
          <w:tab w:leader="none" w:pos="1040" w:val="left"/>
        </w:tabs>
        <w:numPr>
          <w:ilvl w:val="0"/>
          <w:numId w:val="164"/>
        </w:numPr>
        <w:rPr>
          <w:rFonts w:ascii="Arial" w:cs="Arial" w:eastAsia="Arial" w:hAnsi="Arial"/>
          <w:sz w:val="11"/>
          <w:szCs w:val="11"/>
          <w:b w:val="1"/>
          <w:bCs w:val="1"/>
          <w:color w:val="auto"/>
        </w:rPr>
      </w:pPr>
      <w:r>
        <w:rPr>
          <w:rFonts w:ascii="Arial" w:cs="Arial" w:eastAsia="Arial" w:hAnsi="Arial"/>
          <w:sz w:val="11"/>
          <w:szCs w:val="11"/>
          <w:color w:val="auto"/>
        </w:rPr>
        <w:t xml:space="preserve">Shareholders may submit a question in advance of the meeting by emailing the Company at </w:t>
      </w:r>
      <w:r>
        <w:rPr>
          <w:rFonts w:ascii="Arial" w:cs="Arial" w:eastAsia="Arial" w:hAnsi="Arial"/>
          <w:sz w:val="11"/>
          <w:szCs w:val="11"/>
          <w:b w:val="1"/>
          <w:bCs w:val="1"/>
          <w:color w:val="D60011"/>
        </w:rPr>
        <w:t>ir@footlocker.com</w:t>
      </w:r>
      <w:r>
        <w:rPr>
          <w:rFonts w:ascii="Arial" w:cs="Arial" w:eastAsia="Arial" w:hAnsi="Arial"/>
          <w:sz w:val="11"/>
          <w:szCs w:val="11"/>
          <w:color w:val="auto"/>
        </w:rPr>
        <w:t xml:space="preserve">. Live questions may be submitted online shortly prior to, and during, the Annual Meeting by logging in with the 16-digit control number at </w:t>
      </w:r>
      <w:r>
        <w:rPr>
          <w:rFonts w:ascii="Arial" w:cs="Arial" w:eastAsia="Arial" w:hAnsi="Arial"/>
          <w:sz w:val="11"/>
          <w:szCs w:val="11"/>
          <w:b w:val="1"/>
          <w:bCs w:val="1"/>
          <w:color w:val="D60011"/>
        </w:rPr>
        <w:t>virtualshareholdermeeting.com/FL2022</w:t>
      </w:r>
      <w:r>
        <w:rPr>
          <w:rFonts w:ascii="Arial" w:cs="Arial" w:eastAsia="Arial" w:hAnsi="Arial"/>
          <w:sz w:val="11"/>
          <w:szCs w:val="11"/>
          <w:color w:val="auto"/>
        </w:rPr>
        <w:t>. We will answer questions during the meeting that are pertinent to the Company as time permits and in accordance with our rules of conduct for the Annual Meeting, which will be available on the virtual meeting website. Questions and answers may be grouped by topic and substantially similar questions may be grouped and answered once.</w:t>
      </w:r>
    </w:p>
    <w:p>
      <w:pPr>
        <w:spacing w:after="0" w:line="108" w:lineRule="exact"/>
        <w:rPr>
          <w:sz w:val="20"/>
          <w:szCs w:val="20"/>
          <w:color w:val="auto"/>
        </w:rPr>
      </w:pPr>
    </w:p>
    <w:p>
      <w:pPr>
        <w:ind w:left="1040" w:right="1519"/>
        <w:spacing w:after="0" w:line="279" w:lineRule="auto"/>
        <w:rPr>
          <w:sz w:val="20"/>
          <w:szCs w:val="20"/>
          <w:color w:val="auto"/>
        </w:rPr>
      </w:pPr>
      <w:r>
        <w:rPr>
          <w:rFonts w:ascii="Arial" w:cs="Arial" w:eastAsia="Arial" w:hAnsi="Arial"/>
          <w:sz w:val="11"/>
          <w:szCs w:val="11"/>
          <w:color w:val="auto"/>
        </w:rPr>
        <w:t xml:space="preserve">Answers to any pertinent questions that are not addressed during the meeting may be published following the meeting on our corporate website at </w:t>
      </w:r>
      <w:r>
        <w:rPr>
          <w:rFonts w:ascii="Arial" w:cs="Arial" w:eastAsia="Arial" w:hAnsi="Arial"/>
          <w:sz w:val="11"/>
          <w:szCs w:val="11"/>
          <w:b w:val="1"/>
          <w:bCs w:val="1"/>
          <w:color w:val="D60011"/>
        </w:rPr>
        <w:t>footlocker.com/corp</w:t>
      </w:r>
      <w:r>
        <w:rPr>
          <w:rFonts w:ascii="Arial" w:cs="Arial" w:eastAsia="Arial" w:hAnsi="Arial"/>
          <w:sz w:val="11"/>
          <w:szCs w:val="11"/>
          <w:color w:val="auto"/>
        </w:rPr>
        <w:t>.</w:t>
      </w:r>
    </w:p>
    <w:p>
      <w:pPr>
        <w:spacing w:after="0" w:line="84" w:lineRule="exact"/>
        <w:rPr>
          <w:sz w:val="20"/>
          <w:szCs w:val="20"/>
          <w:color w:val="auto"/>
        </w:rPr>
      </w:pPr>
    </w:p>
    <w:p>
      <w:pPr>
        <w:ind w:left="840"/>
        <w:spacing w:after="0"/>
        <w:tabs>
          <w:tab w:leader="none" w:pos="1020" w:val="left"/>
        </w:tabs>
        <w:rPr>
          <w:sz w:val="20"/>
          <w:szCs w:val="20"/>
          <w:color w:val="auto"/>
        </w:rPr>
      </w:pPr>
      <w:r>
        <w:rPr>
          <w:rFonts w:ascii="Arial" w:cs="Arial" w:eastAsia="Arial" w:hAnsi="Arial"/>
          <w:sz w:val="11"/>
          <w:szCs w:val="11"/>
          <w:b w:val="1"/>
          <w:bCs w:val="1"/>
          <w:color w:val="D60011"/>
        </w:rPr>
        <w:t>Q:</w:t>
      </w:r>
      <w:r>
        <w:rPr>
          <w:sz w:val="20"/>
          <w:szCs w:val="20"/>
          <w:color w:val="auto"/>
        </w:rPr>
        <w:tab/>
      </w:r>
      <w:r>
        <w:rPr>
          <w:rFonts w:ascii="Arial" w:cs="Arial" w:eastAsia="Arial" w:hAnsi="Arial"/>
          <w:sz w:val="10"/>
          <w:szCs w:val="10"/>
          <w:b w:val="1"/>
          <w:bCs w:val="1"/>
          <w:color w:val="D60011"/>
        </w:rPr>
        <w:t>Will the Annual Meeting be available for replay?</w:t>
      </w:r>
    </w:p>
    <w:p>
      <w:pPr>
        <w:spacing w:after="0" w:line="126" w:lineRule="exact"/>
        <w:rPr>
          <w:sz w:val="20"/>
          <w:szCs w:val="20"/>
          <w:color w:val="auto"/>
        </w:rPr>
      </w:pPr>
    </w:p>
    <w:p>
      <w:pPr>
        <w:ind w:left="1040" w:right="2539" w:hanging="208"/>
        <w:spacing w:after="0" w:line="279" w:lineRule="auto"/>
        <w:tabs>
          <w:tab w:leader="none" w:pos="1040" w:val="left"/>
        </w:tabs>
        <w:numPr>
          <w:ilvl w:val="0"/>
          <w:numId w:val="165"/>
        </w:numPr>
        <w:rPr>
          <w:rFonts w:ascii="Arial" w:cs="Arial" w:eastAsia="Arial" w:hAnsi="Arial"/>
          <w:sz w:val="11"/>
          <w:szCs w:val="11"/>
          <w:b w:val="1"/>
          <w:bCs w:val="1"/>
          <w:color w:val="auto"/>
        </w:rPr>
      </w:pPr>
      <w:r>
        <w:rPr>
          <w:rFonts w:ascii="Arial" w:cs="Arial" w:eastAsia="Arial" w:hAnsi="Arial"/>
          <w:sz w:val="11"/>
          <w:szCs w:val="11"/>
          <w:color w:val="auto"/>
        </w:rPr>
        <w:t xml:space="preserve">A replay of the Annual Meeting will be made publicly available approximately 24 hours after the Annual Meeting at </w:t>
      </w:r>
      <w:r>
        <w:rPr>
          <w:rFonts w:ascii="Arial" w:cs="Arial" w:eastAsia="Arial" w:hAnsi="Arial"/>
          <w:sz w:val="11"/>
          <w:szCs w:val="11"/>
          <w:b w:val="1"/>
          <w:bCs w:val="1"/>
          <w:color w:val="D60011"/>
        </w:rPr>
        <w:t>virtualshareholdermeeting.com/FL2022</w:t>
      </w:r>
      <w:r>
        <w:rPr>
          <w:rFonts w:ascii="Arial" w:cs="Arial" w:eastAsia="Arial" w:hAnsi="Arial"/>
          <w:sz w:val="11"/>
          <w:szCs w:val="11"/>
          <w:color w:val="000000"/>
        </w:rPr>
        <w:t>. The replay will be available for one year.</w:t>
      </w:r>
    </w:p>
    <w:p>
      <w:pPr>
        <w:spacing w:after="0" w:line="336" w:lineRule="exact"/>
        <w:rPr>
          <w:sz w:val="20"/>
          <w:szCs w:val="20"/>
          <w:color w:val="auto"/>
        </w:rPr>
      </w:pPr>
    </w:p>
    <w:p>
      <w:pPr>
        <w:ind w:left="1040" w:hanging="208"/>
        <w:spacing w:after="0"/>
        <w:tabs>
          <w:tab w:leader="none" w:pos="1040" w:val="left"/>
        </w:tabs>
        <w:numPr>
          <w:ilvl w:val="0"/>
          <w:numId w:val="166"/>
        </w:numPr>
        <w:rPr>
          <w:rFonts w:ascii="Arial" w:cs="Arial" w:eastAsia="Arial" w:hAnsi="Arial"/>
          <w:sz w:val="11"/>
          <w:szCs w:val="11"/>
          <w:b w:val="1"/>
          <w:bCs w:val="1"/>
          <w:color w:val="auto"/>
        </w:rPr>
      </w:pPr>
      <w:r>
        <w:rPr>
          <w:rFonts w:ascii="Arial" w:cs="Arial" w:eastAsia="Arial" w:hAnsi="Arial"/>
          <w:sz w:val="11"/>
          <w:szCs w:val="11"/>
          <w:color w:val="auto"/>
        </w:rPr>
        <w:t>The Company will pay for the cost of the solicitation of proxies, including the preparation, printing, and mailing of the proxy materials.</w:t>
      </w:r>
    </w:p>
    <w:p>
      <w:pPr>
        <w:spacing w:after="0" w:line="126" w:lineRule="exact"/>
        <w:rPr>
          <w:sz w:val="20"/>
          <w:szCs w:val="20"/>
          <w:color w:val="auto"/>
        </w:rPr>
      </w:pPr>
    </w:p>
    <w:p>
      <w:pPr>
        <w:ind w:left="1040" w:right="939"/>
        <w:spacing w:after="0" w:line="281" w:lineRule="auto"/>
        <w:rPr>
          <w:sz w:val="20"/>
          <w:szCs w:val="20"/>
          <w:color w:val="auto"/>
        </w:rPr>
      </w:pPr>
      <w:r>
        <w:rPr>
          <w:rFonts w:ascii="Arial" w:cs="Arial" w:eastAsia="Arial" w:hAnsi="Arial"/>
          <w:sz w:val="10"/>
          <w:szCs w:val="10"/>
          <w:color w:val="auto"/>
        </w:rPr>
        <w:t>Proxies may be solicited, without additional compensation, by our directors, officers, or team members by mail, telephone, facsimile, in person, or otherwise. We will request banks, brokers, and other custodians, nominees, and fiduciaries to deliver proxy materials to the beneficial owners of the Common Stock and obtain their voting instructions, and we will reimburse those firms for their expenses under both SEC and NYSE rules. In addition, we have retained Innisfree M&amp;A Incorporated to assist us in the solicitation of proxies for a fee of $15,000 plus out-of-pocket expenses.</w:t>
      </w:r>
    </w:p>
    <w:p>
      <w:pPr>
        <w:spacing w:after="0" w:line="91" w:lineRule="exact"/>
        <w:rPr>
          <w:sz w:val="20"/>
          <w:szCs w:val="20"/>
          <w:color w:val="auto"/>
        </w:rPr>
      </w:pPr>
    </w:p>
    <w:p>
      <w:pPr>
        <w:ind w:left="840"/>
        <w:spacing w:after="0"/>
        <w:tabs>
          <w:tab w:leader="none" w:pos="1020" w:val="left"/>
        </w:tabs>
        <w:rPr>
          <w:sz w:val="20"/>
          <w:szCs w:val="20"/>
          <w:color w:val="auto"/>
        </w:rPr>
      </w:pPr>
      <w:r>
        <w:rPr>
          <w:rFonts w:ascii="Arial" w:cs="Arial" w:eastAsia="Arial" w:hAnsi="Arial"/>
          <w:sz w:val="11"/>
          <w:szCs w:val="11"/>
          <w:b w:val="1"/>
          <w:bCs w:val="1"/>
          <w:color w:val="D60011"/>
        </w:rPr>
        <w:t>Q:</w:t>
      </w:r>
      <w:r>
        <w:rPr>
          <w:sz w:val="20"/>
          <w:szCs w:val="20"/>
          <w:color w:val="auto"/>
        </w:rPr>
        <w:tab/>
      </w:r>
      <w:r>
        <w:rPr>
          <w:rFonts w:ascii="Arial" w:cs="Arial" w:eastAsia="Arial" w:hAnsi="Arial"/>
          <w:sz w:val="10"/>
          <w:szCs w:val="10"/>
          <w:b w:val="1"/>
          <w:bCs w:val="1"/>
          <w:color w:val="D60011"/>
        </w:rPr>
        <w:t>Why did I receive a notice but no proxy materials?</w:t>
      </w:r>
    </w:p>
    <w:p>
      <w:pPr>
        <w:spacing w:after="0" w:line="126" w:lineRule="exact"/>
        <w:rPr>
          <w:sz w:val="20"/>
          <w:szCs w:val="20"/>
          <w:color w:val="auto"/>
        </w:rPr>
      </w:pPr>
    </w:p>
    <w:p>
      <w:pPr>
        <w:ind w:left="1040" w:right="879" w:hanging="208"/>
        <w:spacing w:after="0" w:line="243" w:lineRule="auto"/>
        <w:tabs>
          <w:tab w:leader="none" w:pos="1040" w:val="left"/>
        </w:tabs>
        <w:numPr>
          <w:ilvl w:val="0"/>
          <w:numId w:val="167"/>
        </w:numPr>
        <w:rPr>
          <w:rFonts w:ascii="Arial" w:cs="Arial" w:eastAsia="Arial" w:hAnsi="Arial"/>
          <w:sz w:val="11"/>
          <w:szCs w:val="11"/>
          <w:b w:val="1"/>
          <w:bCs w:val="1"/>
          <w:color w:val="auto"/>
        </w:rPr>
      </w:pPr>
      <w:r>
        <w:rPr>
          <w:rFonts w:ascii="Arial" w:cs="Arial" w:eastAsia="Arial" w:hAnsi="Arial"/>
          <w:sz w:val="11"/>
          <w:szCs w:val="11"/>
          <w:color w:val="auto"/>
        </w:rPr>
        <w:t xml:space="preserve">We are furnishing proxy materials to our shareholders primarily over the internet under the SEC’s notice and access rules instead of mailing full sets of the printed materials. We believe that this procedure reduces costs, provides greater flexibility to our shareholders, and decreases the environmental impact of our Annual Meeting. For additional information regarding our commitment to the environment, see our Global Environmental and Climate Change Statement available at </w:t>
      </w:r>
      <w:r>
        <w:rPr>
          <w:rFonts w:ascii="Arial" w:cs="Arial" w:eastAsia="Arial" w:hAnsi="Arial"/>
          <w:sz w:val="11"/>
          <w:szCs w:val="11"/>
          <w:b w:val="1"/>
          <w:bCs w:val="1"/>
          <w:color w:val="D60011"/>
        </w:rPr>
        <w:t>investors.footlocker-inc.com/climate</w:t>
      </w:r>
      <w:r>
        <w:rPr>
          <w:rFonts w:ascii="Arial" w:cs="Arial" w:eastAsia="Arial" w:hAnsi="Arial"/>
          <w:sz w:val="11"/>
          <w:szCs w:val="11"/>
          <w:color w:val="auto"/>
        </w:rPr>
        <w:t>. On or about April 8, 2022, we started mailing a Notice to most of our shareholders in the United States. The Notice contains instructions on how to access our Proxy Statement and Annual Report on the internet and vote online. If you received a Notice, you will not receive paper copies of the proxy materials, unless you request them. If you received a Notice and would like to receive paper copies of the proxy materials, please follow the instructions on the Notice for requesting the materials, and we will promptly mail the materials to you.</w:t>
      </w:r>
    </w:p>
    <w:p>
      <w:pPr>
        <w:spacing w:after="0" w:line="109" w:lineRule="exact"/>
        <w:rPr>
          <w:rFonts w:ascii="Arial" w:cs="Arial" w:eastAsia="Arial" w:hAnsi="Arial"/>
          <w:sz w:val="11"/>
          <w:szCs w:val="11"/>
          <w:b w:val="1"/>
          <w:bCs w:val="1"/>
          <w:color w:val="auto"/>
        </w:rPr>
      </w:pPr>
    </w:p>
    <w:p>
      <w:pPr>
        <w:ind w:left="1040" w:right="1199"/>
        <w:spacing w:after="0" w:line="268" w:lineRule="auto"/>
        <w:rPr>
          <w:rFonts w:ascii="Arial" w:cs="Arial" w:eastAsia="Arial" w:hAnsi="Arial"/>
          <w:sz w:val="11"/>
          <w:szCs w:val="11"/>
          <w:b w:val="1"/>
          <w:bCs w:val="1"/>
          <w:color w:val="auto"/>
        </w:rPr>
      </w:pPr>
      <w:r>
        <w:rPr>
          <w:rFonts w:ascii="Arial" w:cs="Arial" w:eastAsia="Arial" w:hAnsi="Arial"/>
          <w:sz w:val="11"/>
          <w:szCs w:val="11"/>
          <w:color w:val="auto"/>
        </w:rPr>
        <w:t>We are mailing to shareholders, or making available to shareholders via the internet, this Proxy Statement, form of proxy card, and our Annual Report on or about April 8, 2022.</w:t>
      </w:r>
    </w:p>
    <w:p>
      <w:pPr>
        <w:spacing w:after="0" w:line="96" w:lineRule="exact"/>
        <w:rPr>
          <w:sz w:val="20"/>
          <w:szCs w:val="20"/>
          <w:color w:val="auto"/>
        </w:rPr>
      </w:pPr>
    </w:p>
    <w:p>
      <w:pPr>
        <w:ind w:left="840"/>
        <w:spacing w:after="0"/>
        <w:tabs>
          <w:tab w:leader="none" w:pos="1020" w:val="left"/>
        </w:tabs>
        <w:rPr>
          <w:sz w:val="20"/>
          <w:szCs w:val="20"/>
          <w:color w:val="auto"/>
        </w:rPr>
      </w:pPr>
      <w:r>
        <w:rPr>
          <w:rFonts w:ascii="Arial" w:cs="Arial" w:eastAsia="Arial" w:hAnsi="Arial"/>
          <w:sz w:val="11"/>
          <w:szCs w:val="11"/>
          <w:b w:val="1"/>
          <w:bCs w:val="1"/>
          <w:color w:val="D60011"/>
        </w:rPr>
        <w:t>Q:</w:t>
      </w:r>
      <w:r>
        <w:rPr>
          <w:sz w:val="20"/>
          <w:szCs w:val="20"/>
          <w:color w:val="auto"/>
        </w:rPr>
        <w:tab/>
      </w:r>
      <w:r>
        <w:rPr>
          <w:rFonts w:ascii="Arial" w:cs="Arial" w:eastAsia="Arial" w:hAnsi="Arial"/>
          <w:sz w:val="10"/>
          <w:szCs w:val="10"/>
          <w:b w:val="1"/>
          <w:bCs w:val="1"/>
          <w:color w:val="D60011"/>
        </w:rPr>
        <w:t>What is “householding” and how does it affect me?</w:t>
      </w:r>
    </w:p>
    <w:p>
      <w:pPr>
        <w:spacing w:after="0" w:line="126" w:lineRule="exact"/>
        <w:rPr>
          <w:sz w:val="20"/>
          <w:szCs w:val="20"/>
          <w:color w:val="auto"/>
        </w:rPr>
      </w:pPr>
    </w:p>
    <w:p>
      <w:pPr>
        <w:ind w:left="1040" w:right="979" w:hanging="208"/>
        <w:spacing w:after="0" w:line="246" w:lineRule="auto"/>
        <w:tabs>
          <w:tab w:leader="none" w:pos="1040" w:val="left"/>
        </w:tabs>
        <w:numPr>
          <w:ilvl w:val="0"/>
          <w:numId w:val="168"/>
        </w:numPr>
        <w:rPr>
          <w:rFonts w:ascii="Arial" w:cs="Arial" w:eastAsia="Arial" w:hAnsi="Arial"/>
          <w:sz w:val="11"/>
          <w:szCs w:val="11"/>
          <w:b w:val="1"/>
          <w:bCs w:val="1"/>
          <w:color w:val="auto"/>
        </w:rPr>
      </w:pPr>
      <w:r>
        <w:rPr>
          <w:rFonts w:ascii="Arial" w:cs="Arial" w:eastAsia="Arial" w:hAnsi="Arial"/>
          <w:sz w:val="11"/>
          <w:szCs w:val="11"/>
          <w:color w:val="auto"/>
        </w:rPr>
        <w:t>The Company has adopted the “householding” procedure approved by the SEC, which allows us to deliver one set of documents to a household of shareholders instead of delivering a set to each shareholder in a household, unless we have been instructed otherwise. This procedure is more environmentally friendly and cost-effective because it reduces the number of copies to be printed and mailed. Shareholders who receive proxy materials in paper form will continue to receive separate proxy cards/VIFs to vote their shares. Shareholders who receive the Notice will get instructions on submitting their proxy cards/VIF via the internet.</w:t>
      </w:r>
    </w:p>
    <w:p>
      <w:pPr>
        <w:spacing w:after="0" w:line="107" w:lineRule="exact"/>
        <w:rPr>
          <w:rFonts w:ascii="Arial" w:cs="Arial" w:eastAsia="Arial" w:hAnsi="Arial"/>
          <w:sz w:val="11"/>
          <w:szCs w:val="11"/>
          <w:b w:val="1"/>
          <w:bCs w:val="1"/>
          <w:color w:val="auto"/>
        </w:rPr>
      </w:pPr>
    </w:p>
    <w:p>
      <w:pPr>
        <w:ind w:left="1040" w:right="1059"/>
        <w:spacing w:after="0" w:line="248" w:lineRule="auto"/>
        <w:rPr>
          <w:rFonts w:ascii="Arial" w:cs="Arial" w:eastAsia="Arial" w:hAnsi="Arial"/>
          <w:sz w:val="11"/>
          <w:szCs w:val="11"/>
          <w:b w:val="1"/>
          <w:bCs w:val="1"/>
          <w:color w:val="auto"/>
        </w:rPr>
      </w:pPr>
      <w:r>
        <w:rPr>
          <w:rFonts w:ascii="Arial" w:cs="Arial" w:eastAsia="Arial" w:hAnsi="Arial"/>
          <w:sz w:val="11"/>
          <w:szCs w:val="11"/>
          <w:color w:val="auto"/>
        </w:rPr>
        <w:t xml:space="preserve">If you would like to change your householding election, request that a single copy of the proxy materials be sent to your address, or request a separate copy of the proxy materials, please contact Broadridge Financial Solutions, Inc. using their contact information provided under </w:t>
      </w:r>
      <w:r>
        <w:rPr>
          <w:rFonts w:ascii="Arial" w:cs="Arial" w:eastAsia="Arial" w:hAnsi="Arial"/>
          <w:sz w:val="11"/>
          <w:szCs w:val="11"/>
          <w:b w:val="1"/>
          <w:bCs w:val="1"/>
          <w:color w:val="D60011"/>
        </w:rPr>
        <w:t>Helpful</w:t>
      </w:r>
      <w:r>
        <w:rPr>
          <w:rFonts w:ascii="Arial" w:cs="Arial" w:eastAsia="Arial" w:hAnsi="Arial"/>
          <w:sz w:val="11"/>
          <w:szCs w:val="11"/>
          <w:color w:val="auto"/>
        </w:rPr>
        <w:t xml:space="preserve"> </w:t>
      </w:r>
      <w:r>
        <w:rPr>
          <w:rFonts w:ascii="Arial" w:cs="Arial" w:eastAsia="Arial" w:hAnsi="Arial"/>
          <w:sz w:val="11"/>
          <w:szCs w:val="11"/>
          <w:b w:val="1"/>
          <w:bCs w:val="1"/>
          <w:color w:val="D60011"/>
        </w:rPr>
        <w:t xml:space="preserve">Resources </w:t>
      </w:r>
      <w:r>
        <w:rPr>
          <w:rFonts w:ascii="Arial" w:cs="Arial" w:eastAsia="Arial" w:hAnsi="Arial"/>
          <w:sz w:val="11"/>
          <w:szCs w:val="11"/>
          <w:color w:val="000000"/>
        </w:rPr>
        <w:t>on page 107. We will promptly deliver the proxy materials to you upon receipt of your request. If you hold your shares in street name,</w:t>
      </w:r>
      <w:r>
        <w:rPr>
          <w:rFonts w:ascii="Arial" w:cs="Arial" w:eastAsia="Arial" w:hAnsi="Arial"/>
          <w:sz w:val="11"/>
          <w:szCs w:val="11"/>
          <w:b w:val="1"/>
          <w:bCs w:val="1"/>
          <w:color w:val="D60011"/>
        </w:rPr>
        <w:t xml:space="preserve"> </w:t>
      </w:r>
      <w:r>
        <w:rPr>
          <w:rFonts w:ascii="Arial" w:cs="Arial" w:eastAsia="Arial" w:hAnsi="Arial"/>
          <w:sz w:val="11"/>
          <w:szCs w:val="11"/>
          <w:color w:val="000000"/>
        </w:rPr>
        <w:t>please contact your bank, broker, or other record holder to request information about householding.</w:t>
      </w:r>
    </w:p>
    <w:p>
      <w:pPr>
        <w:spacing w:after="0" w:line="102" w:lineRule="exact"/>
        <w:rPr>
          <w:sz w:val="20"/>
          <w:szCs w:val="20"/>
          <w:color w:val="auto"/>
        </w:rPr>
      </w:pPr>
    </w:p>
    <w:p>
      <w:pPr>
        <w:ind w:left="1540" w:hanging="408"/>
        <w:spacing w:after="0"/>
        <w:tabs>
          <w:tab w:leader="none" w:pos="1540" w:val="left"/>
        </w:tabs>
        <w:numPr>
          <w:ilvl w:val="0"/>
          <w:numId w:val="169"/>
        </w:numPr>
        <w:rPr>
          <w:rFonts w:ascii="Arial" w:cs="Arial" w:eastAsia="Arial" w:hAnsi="Arial"/>
          <w:sz w:val="22"/>
          <w:szCs w:val="22"/>
          <w:b w:val="1"/>
          <w:bCs w:val="1"/>
          <w:color w:val="FFFFFF"/>
          <w:vertAlign w:val="subscript"/>
        </w:rPr>
      </w:pPr>
      <w:r>
        <w:rPr>
          <w:rFonts w:ascii="Times New Roman" w:cs="Times New Roman" w:eastAsia="Times New Roman" w:hAnsi="Times New Roman"/>
          <w:sz w:val="11"/>
          <w:szCs w:val="11"/>
          <w:color w:val="auto"/>
        </w:rPr>
        <w:t>F</w:t>
      </w:r>
      <w:r>
        <w:rPr>
          <w:rFonts w:ascii="Times New Roman" w:cs="Times New Roman" w:eastAsia="Times New Roman" w:hAnsi="Times New Roman"/>
          <w:sz w:val="7"/>
          <w:szCs w:val="7"/>
          <w:color w:val="auto"/>
        </w:rPr>
        <w:t>OOT</w:t>
      </w:r>
      <w:r>
        <w:rPr>
          <w:rFonts w:ascii="Times New Roman" w:cs="Times New Roman" w:eastAsia="Times New Roman" w:hAnsi="Times New Roman"/>
          <w:sz w:val="11"/>
          <w:szCs w:val="11"/>
          <w:color w:val="auto"/>
        </w:rPr>
        <w:t xml:space="preserve"> L</w:t>
      </w:r>
      <w:r>
        <w:rPr>
          <w:rFonts w:ascii="Times New Roman" w:cs="Times New Roman" w:eastAsia="Times New Roman" w:hAnsi="Times New Roman"/>
          <w:sz w:val="7"/>
          <w:szCs w:val="7"/>
          <w:color w:val="auto"/>
        </w:rPr>
        <w:t>OCKER</w:t>
      </w:r>
      <w:r>
        <w:rPr>
          <w:rFonts w:ascii="Times New Roman" w:cs="Times New Roman" w:eastAsia="Times New Roman" w:hAnsi="Times New Roman"/>
          <w:sz w:val="11"/>
          <w:szCs w:val="11"/>
          <w:color w:val="auto"/>
        </w:rPr>
        <w:t>, I</w:t>
      </w:r>
      <w:r>
        <w:rPr>
          <w:rFonts w:ascii="Times New Roman" w:cs="Times New Roman" w:eastAsia="Times New Roman" w:hAnsi="Times New Roman"/>
          <w:sz w:val="7"/>
          <w:szCs w:val="7"/>
          <w:color w:val="auto"/>
        </w:rPr>
        <w:t>NC</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254000</wp:posOffset>
            </wp:positionV>
            <wp:extent cx="717804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-151130</wp:posOffset>
            </wp:positionV>
            <wp:extent cx="365760" cy="2171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5760" cy="217170"/>
                    </a:xfrm>
                    <a:prstGeom prst="rect">
                      <a:avLst/>
                    </a:prstGeom>
                    <a:noFill/>
                  </pic:spPr>
                </pic:pic>
              </a:graphicData>
            </a:graphic>
          </wp:anchor>
        </w:drawing>
      </w:r>
    </w:p>
    <w:p>
      <w:pPr>
        <w:sectPr>
          <w:pgSz w:w="11900" w:h="16838" w:orient="portrait"/>
          <w:cols w:equalWidth="0" w:num="1">
            <w:col w:w="9019"/>
          </w:cols>
          <w:pgMar w:left="1440" w:top="565" w:right="1440" w:bottom="1440" w:gutter="0" w:footer="0" w:header="0"/>
        </w:sectPr>
      </w:pPr>
    </w:p>
    <w:bookmarkStart w:id="107" w:name="page108"/>
    <w:bookmarkEnd w:id="107"/>
    <w:p>
      <w:pPr>
        <w:spacing w:after="0" w:line="200" w:lineRule="exact"/>
        <w:rPr>
          <w:sz w:val="20"/>
          <w:szCs w:val="20"/>
          <w:color w:val="auto"/>
        </w:rPr>
      </w:pPr>
    </w:p>
    <w:p>
      <w:pPr>
        <w:spacing w:after="0" w:line="332"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Annual Meeting</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Board of Directors</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Board</w:t>
      </w:r>
    </w:p>
    <w:p>
      <w:pPr>
        <w:ind w:left="980"/>
        <w:spacing w:after="0" w:line="234" w:lineRule="auto"/>
        <w:rPr>
          <w:sz w:val="20"/>
          <w:szCs w:val="20"/>
          <w:color w:val="auto"/>
        </w:rPr>
      </w:pPr>
      <w:r>
        <w:rPr>
          <w:rFonts w:ascii="Arial" w:cs="Arial" w:eastAsia="Arial" w:hAnsi="Arial"/>
          <w:sz w:val="12"/>
          <w:szCs w:val="12"/>
          <w:color w:val="231F20"/>
        </w:rPr>
        <w:t>Committees</w:t>
      </w:r>
    </w:p>
    <w:p>
      <w:pPr>
        <w:ind w:left="980"/>
        <w:spacing w:after="0" w:line="235" w:lineRule="auto"/>
        <w:rPr>
          <w:sz w:val="20"/>
          <w:szCs w:val="20"/>
          <w:color w:val="auto"/>
        </w:rPr>
      </w:pPr>
      <w:r>
        <w:rPr>
          <w:rFonts w:ascii="Arial" w:cs="Arial" w:eastAsia="Arial" w:hAnsi="Arial"/>
          <w:sz w:val="12"/>
          <w:szCs w:val="12"/>
          <w:color w:val="231F20"/>
        </w:rPr>
        <w:t>Committee Charters</w:t>
      </w:r>
    </w:p>
    <w:p>
      <w:pPr>
        <w:ind w:left="1060"/>
        <w:spacing w:after="0" w:line="235" w:lineRule="auto"/>
        <w:rPr>
          <w:sz w:val="20"/>
          <w:szCs w:val="20"/>
          <w:color w:val="auto"/>
        </w:rPr>
      </w:pPr>
      <w:r>
        <w:rPr>
          <w:rFonts w:ascii="Arial" w:cs="Arial" w:eastAsia="Arial" w:hAnsi="Arial"/>
          <w:sz w:val="12"/>
          <w:szCs w:val="12"/>
          <w:color w:val="231F20"/>
        </w:rPr>
        <w:t>Audit Committee</w:t>
      </w:r>
    </w:p>
    <w:p>
      <w:pPr>
        <w:ind w:left="1060"/>
        <w:spacing w:after="0" w:line="235" w:lineRule="auto"/>
        <w:rPr>
          <w:sz w:val="20"/>
          <w:szCs w:val="20"/>
          <w:color w:val="auto"/>
        </w:rPr>
      </w:pPr>
      <w:r>
        <w:rPr>
          <w:rFonts w:ascii="Arial" w:cs="Arial" w:eastAsia="Arial" w:hAnsi="Arial"/>
          <w:sz w:val="12"/>
          <w:szCs w:val="12"/>
          <w:color w:val="231F20"/>
        </w:rPr>
        <w:t>Finance Committee</w:t>
      </w:r>
    </w:p>
    <w:p>
      <w:pPr>
        <w:ind w:left="1060"/>
        <w:spacing w:after="0" w:line="234" w:lineRule="auto"/>
        <w:rPr>
          <w:sz w:val="20"/>
          <w:szCs w:val="20"/>
          <w:color w:val="auto"/>
        </w:rPr>
      </w:pPr>
      <w:r>
        <w:rPr>
          <w:rFonts w:ascii="Arial" w:cs="Arial" w:eastAsia="Arial" w:hAnsi="Arial"/>
          <w:sz w:val="12"/>
          <w:szCs w:val="12"/>
          <w:color w:val="231F20"/>
        </w:rPr>
        <w:t>Human Capital Committee</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2"/>
          <w:szCs w:val="12"/>
          <w:color w:val="231F20"/>
        </w:rPr>
        <w:t>Responsibility Committee</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ESG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Impact Report</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Financial Reporting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Annual Report</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Foot Locker, Inc.</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Corporate Website</w:t>
      </w:r>
    </w:p>
    <w:p>
      <w:pPr>
        <w:ind w:left="980"/>
        <w:spacing w:after="0" w:line="234" w:lineRule="auto"/>
        <w:rPr>
          <w:sz w:val="20"/>
          <w:szCs w:val="20"/>
          <w:color w:val="auto"/>
        </w:rPr>
      </w:pPr>
      <w:r>
        <w:rPr>
          <w:rFonts w:ascii="Arial" w:cs="Arial" w:eastAsia="Arial" w:hAnsi="Arial"/>
          <w:sz w:val="12"/>
          <w:szCs w:val="12"/>
          <w:color w:val="231F20"/>
        </w:rPr>
        <w:t>Leadership Team</w:t>
      </w:r>
    </w:p>
    <w:p>
      <w:pPr>
        <w:ind w:left="980"/>
        <w:spacing w:after="0"/>
        <w:rPr>
          <w:sz w:val="20"/>
          <w:szCs w:val="20"/>
          <w:color w:val="auto"/>
        </w:rPr>
      </w:pPr>
      <w:r>
        <w:rPr>
          <w:rFonts w:ascii="Arial" w:cs="Arial" w:eastAsia="Arial" w:hAnsi="Arial"/>
          <w:sz w:val="12"/>
          <w:szCs w:val="12"/>
          <w:color w:val="231F20"/>
        </w:rPr>
        <w:t>Investor Relations</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Governance Documents</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Anti-Corruption Policy</w:t>
      </w:r>
    </w:p>
    <w:p>
      <w:pPr>
        <w:ind w:left="980"/>
        <w:spacing w:after="0" w:line="234" w:lineRule="auto"/>
        <w:rPr>
          <w:sz w:val="20"/>
          <w:szCs w:val="20"/>
          <w:color w:val="auto"/>
        </w:rPr>
      </w:pPr>
      <w:r>
        <w:rPr>
          <w:rFonts w:ascii="Arial" w:cs="Arial" w:eastAsia="Arial" w:hAnsi="Arial"/>
          <w:sz w:val="12"/>
          <w:szCs w:val="12"/>
          <w:color w:val="231F20"/>
        </w:rPr>
        <w:t>By-Laws</w:t>
      </w:r>
    </w:p>
    <w:p>
      <w:pPr>
        <w:ind w:left="980"/>
        <w:spacing w:after="0" w:line="235" w:lineRule="auto"/>
        <w:rPr>
          <w:sz w:val="20"/>
          <w:szCs w:val="20"/>
          <w:color w:val="auto"/>
        </w:rPr>
      </w:pPr>
      <w:r>
        <w:rPr>
          <w:rFonts w:ascii="Arial" w:cs="Arial" w:eastAsia="Arial" w:hAnsi="Arial"/>
          <w:sz w:val="12"/>
          <w:szCs w:val="12"/>
          <w:color w:val="231F20"/>
        </w:rPr>
        <w:t>Certificate of Incorporation</w:t>
      </w:r>
    </w:p>
    <w:p>
      <w:pPr>
        <w:ind w:left="980"/>
        <w:spacing w:after="0" w:line="235" w:lineRule="auto"/>
        <w:rPr>
          <w:sz w:val="20"/>
          <w:szCs w:val="20"/>
          <w:color w:val="auto"/>
        </w:rPr>
      </w:pPr>
      <w:r>
        <w:rPr>
          <w:rFonts w:ascii="Arial" w:cs="Arial" w:eastAsia="Arial" w:hAnsi="Arial"/>
          <w:sz w:val="12"/>
          <w:szCs w:val="12"/>
          <w:color w:val="231F20"/>
        </w:rPr>
        <w:t>Code of Business Conduct</w:t>
      </w:r>
    </w:p>
    <w:p>
      <w:pPr>
        <w:ind w:left="980"/>
        <w:spacing w:after="0" w:line="235" w:lineRule="auto"/>
        <w:rPr>
          <w:sz w:val="20"/>
          <w:szCs w:val="20"/>
          <w:color w:val="auto"/>
        </w:rPr>
      </w:pPr>
      <w:r>
        <w:rPr>
          <w:rFonts w:ascii="Arial" w:cs="Arial" w:eastAsia="Arial" w:hAnsi="Arial"/>
          <w:sz w:val="12"/>
          <w:szCs w:val="12"/>
          <w:color w:val="231F20"/>
        </w:rPr>
        <w:t>Code of Business Conduct Waivers</w:t>
      </w:r>
    </w:p>
    <w:p>
      <w:pPr>
        <w:ind w:left="980"/>
        <w:spacing w:after="0" w:line="234" w:lineRule="auto"/>
        <w:rPr>
          <w:sz w:val="20"/>
          <w:szCs w:val="20"/>
          <w:color w:val="auto"/>
        </w:rPr>
      </w:pPr>
      <w:r>
        <w:rPr>
          <w:rFonts w:ascii="Arial" w:cs="Arial" w:eastAsia="Arial" w:hAnsi="Arial"/>
          <w:sz w:val="12"/>
          <w:szCs w:val="12"/>
          <w:color w:val="231F20"/>
        </w:rPr>
        <w:t>Conflict Minerals Policy</w:t>
      </w:r>
    </w:p>
    <w:p>
      <w:pPr>
        <w:ind w:left="980"/>
        <w:spacing w:after="0" w:line="235" w:lineRule="auto"/>
        <w:rPr>
          <w:sz w:val="20"/>
          <w:szCs w:val="20"/>
          <w:color w:val="auto"/>
        </w:rPr>
      </w:pPr>
      <w:r>
        <w:rPr>
          <w:rFonts w:ascii="Arial" w:cs="Arial" w:eastAsia="Arial" w:hAnsi="Arial"/>
          <w:sz w:val="12"/>
          <w:szCs w:val="12"/>
          <w:color w:val="231F20"/>
        </w:rPr>
        <w:t>Corporate Governance Guidelines</w:t>
      </w:r>
    </w:p>
    <w:p>
      <w:pPr>
        <w:ind w:left="980" w:right="140"/>
        <w:spacing w:after="0" w:line="234" w:lineRule="auto"/>
        <w:rPr>
          <w:sz w:val="20"/>
          <w:szCs w:val="20"/>
          <w:color w:val="auto"/>
        </w:rPr>
      </w:pPr>
      <w:r>
        <w:rPr>
          <w:rFonts w:ascii="Arial" w:cs="Arial" w:eastAsia="Arial" w:hAnsi="Arial"/>
          <w:sz w:val="12"/>
          <w:szCs w:val="12"/>
          <w:color w:val="231F20"/>
        </w:rPr>
        <w:t>Global Environmental and Climate Change Statement Global Human Rights Statement</w:t>
      </w:r>
    </w:p>
    <w:p>
      <w:pPr>
        <w:spacing w:after="0" w:line="1" w:lineRule="exact"/>
        <w:rPr>
          <w:sz w:val="20"/>
          <w:szCs w:val="20"/>
          <w:color w:val="auto"/>
        </w:rPr>
      </w:pPr>
    </w:p>
    <w:p>
      <w:pPr>
        <w:ind w:left="980" w:right="340"/>
        <w:spacing w:after="0" w:line="234" w:lineRule="auto"/>
        <w:rPr>
          <w:sz w:val="20"/>
          <w:szCs w:val="20"/>
          <w:color w:val="auto"/>
        </w:rPr>
      </w:pPr>
      <w:r>
        <w:rPr>
          <w:rFonts w:ascii="Arial" w:cs="Arial" w:eastAsia="Arial" w:hAnsi="Arial"/>
          <w:sz w:val="12"/>
          <w:szCs w:val="12"/>
          <w:color w:val="231F20"/>
        </w:rPr>
        <w:t>Global Occupational Health and Safety Statement Global Sourcing Guidelines</w:t>
      </w:r>
    </w:p>
    <w:p>
      <w:pPr>
        <w:spacing w:after="0" w:line="1" w:lineRule="exact"/>
        <w:rPr>
          <w:sz w:val="20"/>
          <w:szCs w:val="20"/>
          <w:color w:val="auto"/>
        </w:rPr>
      </w:pPr>
    </w:p>
    <w:p>
      <w:pPr>
        <w:ind w:left="980" w:right="480"/>
        <w:spacing w:after="0" w:line="294" w:lineRule="auto"/>
        <w:rPr>
          <w:sz w:val="20"/>
          <w:szCs w:val="20"/>
          <w:color w:val="auto"/>
        </w:rPr>
      </w:pPr>
      <w:r>
        <w:rPr>
          <w:rFonts w:ascii="Arial" w:cs="Arial" w:eastAsia="Arial" w:hAnsi="Arial"/>
          <w:sz w:val="11"/>
          <w:szCs w:val="11"/>
          <w:color w:val="231F20"/>
        </w:rPr>
        <w:t>Global Water Stewardship Statement Procedures for Communications with the Board</w:t>
      </w:r>
    </w:p>
    <w:p>
      <w:pPr>
        <w:spacing w:after="0" w:line="83"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Contacts</w:t>
      </w:r>
    </w:p>
    <w:p>
      <w:pPr>
        <w:spacing w:after="0" w:line="132" w:lineRule="exact"/>
        <w:rPr>
          <w:sz w:val="20"/>
          <w:szCs w:val="20"/>
          <w:color w:val="auto"/>
        </w:rPr>
      </w:pPr>
    </w:p>
    <w:p>
      <w:pPr>
        <w:ind w:left="980"/>
        <w:spacing w:after="0" w:line="281" w:lineRule="auto"/>
        <w:rPr>
          <w:sz w:val="20"/>
          <w:szCs w:val="20"/>
          <w:color w:val="auto"/>
        </w:rPr>
      </w:pPr>
      <w:r>
        <w:rPr>
          <w:rFonts w:ascii="Arial" w:cs="Arial" w:eastAsia="Arial" w:hAnsi="Arial"/>
          <w:sz w:val="12"/>
          <w:szCs w:val="12"/>
          <w:b w:val="1"/>
          <w:bCs w:val="1"/>
          <w:color w:val="CE2C2E"/>
        </w:rPr>
        <w:t>To Request Copies of our Annual Report, Committee Charters, or Governance Documents</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Company Contacts</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Board or General Counsel and Secretary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sclarke@footlocker.com</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Investor Relations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ir@footlocker.com</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or mail to our Corporate Headquarters,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attention to the applicable contact</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CE2C2E"/>
        </w:rPr>
        <w:t>Corporate Headquarters</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Foot Locker, Inc.</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2"/>
          <w:szCs w:val="12"/>
          <w:color w:val="231F20"/>
        </w:rPr>
        <w:t>330 West 34th Street</w:t>
      </w:r>
    </w:p>
    <w:p>
      <w:pPr>
        <w:ind w:left="980"/>
        <w:spacing w:after="0" w:line="234" w:lineRule="auto"/>
        <w:rPr>
          <w:sz w:val="20"/>
          <w:szCs w:val="20"/>
          <w:color w:val="auto"/>
        </w:rPr>
      </w:pPr>
      <w:r>
        <w:rPr>
          <w:rFonts w:ascii="Arial" w:cs="Arial" w:eastAsia="Arial" w:hAnsi="Arial"/>
          <w:sz w:val="12"/>
          <w:szCs w:val="12"/>
          <w:color w:val="231F20"/>
        </w:rPr>
        <w:t>New York, New York 10001</w:t>
      </w:r>
    </w:p>
    <w:p>
      <w:pPr>
        <w:ind w:left="980"/>
        <w:spacing w:after="0"/>
        <w:rPr>
          <w:sz w:val="20"/>
          <w:szCs w:val="20"/>
          <w:color w:val="auto"/>
        </w:rPr>
      </w:pPr>
      <w:r>
        <w:rPr>
          <w:rFonts w:ascii="Arial" w:cs="Arial" w:eastAsia="Arial" w:hAnsi="Arial"/>
          <w:sz w:val="12"/>
          <w:szCs w:val="12"/>
          <w:color w:val="231F20"/>
        </w:rPr>
        <w:t>212-720-3700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231F20"/>
        </w:rPr>
        <w:t>virtualshareholdermeeting.com/FL2022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-975995</wp:posOffset>
            </wp:positionV>
            <wp:extent cx="4457700" cy="800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457700" cy="80010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investors.footlocker-inc.com/board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investors.footlocker-inc.com/bcommittees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investors.footlocker-inc.com/audit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investors.footlocker-inc.com/finance</w:t>
      </w:r>
    </w:p>
    <w:p>
      <w:pPr>
        <w:spacing w:after="0" w:line="234" w:lineRule="auto"/>
        <w:rPr>
          <w:sz w:val="20"/>
          <w:szCs w:val="20"/>
          <w:color w:val="auto"/>
        </w:rPr>
      </w:pPr>
      <w:r>
        <w:rPr>
          <w:rFonts w:ascii="Arial" w:cs="Arial" w:eastAsia="Arial" w:hAnsi="Arial"/>
          <w:sz w:val="12"/>
          <w:szCs w:val="12"/>
          <w:color w:val="231F20"/>
        </w:rPr>
        <w:t>investors.footlocker-inc.com/comp</w:t>
      </w:r>
    </w:p>
    <w:p>
      <w:pPr>
        <w:spacing w:after="0"/>
        <w:rPr>
          <w:sz w:val="20"/>
          <w:szCs w:val="20"/>
          <w:color w:val="auto"/>
        </w:rPr>
      </w:pPr>
      <w:r>
        <w:rPr>
          <w:rFonts w:ascii="Arial" w:cs="Arial" w:eastAsia="Arial" w:hAnsi="Arial"/>
          <w:sz w:val="12"/>
          <w:szCs w:val="12"/>
          <w:color w:val="231F20"/>
        </w:rPr>
        <w:t>investors.footlocker-inc.com/gov</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investors.footlocker-inc.com/impactreport</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investors.footlocker-inc.com/ar</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231F20"/>
        </w:rPr>
        <w:t>footlocker.com/corp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investors.footlocker-inc.com/management</w:t>
      </w:r>
    </w:p>
    <w:p>
      <w:pPr>
        <w:spacing w:after="0"/>
        <w:rPr>
          <w:sz w:val="20"/>
          <w:szCs w:val="20"/>
          <w:color w:val="auto"/>
        </w:rPr>
      </w:pPr>
      <w:r>
        <w:rPr>
          <w:rFonts w:ascii="Arial" w:cs="Arial" w:eastAsia="Arial" w:hAnsi="Arial"/>
          <w:sz w:val="12"/>
          <w:szCs w:val="12"/>
          <w:color w:val="231F20"/>
        </w:rPr>
        <w:t>investors.footlocker-inc.com/ir</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investors.footlocker-inc.com/acp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investors.footlocker-inc.com/by-laws</w:t>
      </w:r>
    </w:p>
    <w:p>
      <w:pPr>
        <w:spacing w:after="0" w:line="234" w:lineRule="auto"/>
        <w:rPr>
          <w:sz w:val="20"/>
          <w:szCs w:val="20"/>
          <w:color w:val="auto"/>
        </w:rPr>
      </w:pPr>
      <w:r>
        <w:rPr>
          <w:rFonts w:ascii="Arial" w:cs="Arial" w:eastAsia="Arial" w:hAnsi="Arial"/>
          <w:sz w:val="12"/>
          <w:szCs w:val="12"/>
          <w:color w:val="231F20"/>
        </w:rPr>
        <w:t>investors.footlocker-inc.com/coi</w:t>
      </w:r>
    </w:p>
    <w:p>
      <w:pPr>
        <w:spacing w:after="0" w:line="235" w:lineRule="auto"/>
        <w:rPr>
          <w:sz w:val="20"/>
          <w:szCs w:val="20"/>
          <w:color w:val="auto"/>
        </w:rPr>
      </w:pPr>
      <w:r>
        <w:rPr>
          <w:rFonts w:ascii="Arial" w:cs="Arial" w:eastAsia="Arial" w:hAnsi="Arial"/>
          <w:sz w:val="12"/>
          <w:szCs w:val="12"/>
          <w:color w:val="231F20"/>
        </w:rPr>
        <w:t>investors.footlocker-inc.com/cobc</w:t>
      </w:r>
    </w:p>
    <w:p>
      <w:pPr>
        <w:spacing w:after="0" w:line="235" w:lineRule="auto"/>
        <w:rPr>
          <w:sz w:val="20"/>
          <w:szCs w:val="20"/>
          <w:color w:val="auto"/>
        </w:rPr>
      </w:pPr>
      <w:r>
        <w:rPr>
          <w:rFonts w:ascii="Arial" w:cs="Arial" w:eastAsia="Arial" w:hAnsi="Arial"/>
          <w:sz w:val="12"/>
          <w:szCs w:val="12"/>
          <w:color w:val="231F20"/>
        </w:rPr>
        <w:t>investors.footlocker-inc.com/cobcwaivers</w:t>
      </w:r>
    </w:p>
    <w:p>
      <w:pPr>
        <w:spacing w:after="0" w:line="235" w:lineRule="auto"/>
        <w:rPr>
          <w:sz w:val="20"/>
          <w:szCs w:val="20"/>
          <w:color w:val="auto"/>
        </w:rPr>
      </w:pPr>
      <w:r>
        <w:rPr>
          <w:rFonts w:ascii="Arial" w:cs="Arial" w:eastAsia="Arial" w:hAnsi="Arial"/>
          <w:sz w:val="12"/>
          <w:szCs w:val="12"/>
          <w:color w:val="231F20"/>
        </w:rPr>
        <w:t>investors.footlocker-inc.com/conflictminerals</w:t>
      </w:r>
    </w:p>
    <w:p>
      <w:pPr>
        <w:spacing w:after="0" w:line="234" w:lineRule="auto"/>
        <w:rPr>
          <w:sz w:val="20"/>
          <w:szCs w:val="20"/>
          <w:color w:val="auto"/>
        </w:rPr>
      </w:pPr>
      <w:r>
        <w:rPr>
          <w:rFonts w:ascii="Arial" w:cs="Arial" w:eastAsia="Arial" w:hAnsi="Arial"/>
          <w:sz w:val="12"/>
          <w:szCs w:val="12"/>
          <w:color w:val="231F20"/>
        </w:rPr>
        <w:t>investors.footlocker-inc.com/cgg</w:t>
      </w:r>
    </w:p>
    <w:p>
      <w:pPr>
        <w:spacing w:after="0" w:line="235" w:lineRule="auto"/>
        <w:rPr>
          <w:sz w:val="20"/>
          <w:szCs w:val="20"/>
          <w:color w:val="auto"/>
        </w:rPr>
      </w:pPr>
      <w:r>
        <w:rPr>
          <w:rFonts w:ascii="Arial" w:cs="Arial" w:eastAsia="Arial" w:hAnsi="Arial"/>
          <w:sz w:val="12"/>
          <w:szCs w:val="12"/>
          <w:color w:val="231F20"/>
        </w:rPr>
        <w:t>investors.footlocker-inc.com/climate</w:t>
      </w:r>
    </w:p>
    <w:p>
      <w:pPr>
        <w:spacing w:after="0" w:line="235" w:lineRule="auto"/>
        <w:rPr>
          <w:sz w:val="20"/>
          <w:szCs w:val="20"/>
          <w:color w:val="auto"/>
        </w:rPr>
      </w:pPr>
      <w:r>
        <w:rPr>
          <w:rFonts w:ascii="Arial" w:cs="Arial" w:eastAsia="Arial" w:hAnsi="Arial"/>
          <w:sz w:val="12"/>
          <w:szCs w:val="12"/>
          <w:color w:val="231F20"/>
        </w:rPr>
        <w:t>investors.footlocker-inc.com/humanrights</w:t>
      </w:r>
    </w:p>
    <w:p>
      <w:pPr>
        <w:spacing w:after="0" w:line="235" w:lineRule="auto"/>
        <w:rPr>
          <w:sz w:val="20"/>
          <w:szCs w:val="20"/>
          <w:color w:val="auto"/>
        </w:rPr>
      </w:pPr>
      <w:r>
        <w:rPr>
          <w:rFonts w:ascii="Arial" w:cs="Arial" w:eastAsia="Arial" w:hAnsi="Arial"/>
          <w:sz w:val="12"/>
          <w:szCs w:val="12"/>
          <w:color w:val="231F20"/>
        </w:rPr>
        <w:t>investors.footlocker-inc.com/safety</w:t>
      </w:r>
    </w:p>
    <w:p>
      <w:pPr>
        <w:spacing w:after="0" w:line="235" w:lineRule="auto"/>
        <w:rPr>
          <w:sz w:val="20"/>
          <w:szCs w:val="20"/>
          <w:color w:val="auto"/>
        </w:rPr>
      </w:pPr>
      <w:r>
        <w:rPr>
          <w:rFonts w:ascii="Arial" w:cs="Arial" w:eastAsia="Arial" w:hAnsi="Arial"/>
          <w:sz w:val="12"/>
          <w:szCs w:val="12"/>
          <w:color w:val="231F20"/>
        </w:rPr>
        <w:t>investors.footlocker-inc.com/gsg</w:t>
      </w:r>
    </w:p>
    <w:p>
      <w:pPr>
        <w:spacing w:after="0" w:line="234" w:lineRule="auto"/>
        <w:rPr>
          <w:sz w:val="20"/>
          <w:szCs w:val="20"/>
          <w:color w:val="auto"/>
        </w:rPr>
      </w:pPr>
      <w:r>
        <w:rPr>
          <w:rFonts w:ascii="Arial" w:cs="Arial" w:eastAsia="Arial" w:hAnsi="Arial"/>
          <w:sz w:val="12"/>
          <w:szCs w:val="12"/>
          <w:color w:val="231F20"/>
        </w:rPr>
        <w:t>investors.footlocker-inc.com/water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231F20"/>
        </w:rPr>
        <w:t>investors.footlocker-inc.com/boardcomms</w:t>
      </w: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b w:val="1"/>
          <w:bCs w:val="1"/>
          <w:color w:val="CE2C2E"/>
        </w:rPr>
        <w:t>To Request Copies of the Internet Notice or Proxy Materials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231F20"/>
        </w:rPr>
        <w:t>Broadridge Financial Solutions,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231F20"/>
        </w:rPr>
        <w:t>(Tabulator/Inspector of Election)</w:t>
      </w:r>
    </w:p>
    <w:p>
      <w:pPr>
        <w:spacing w:after="0" w:line="234" w:lineRule="auto"/>
        <w:rPr>
          <w:sz w:val="20"/>
          <w:szCs w:val="20"/>
          <w:color w:val="auto"/>
        </w:rPr>
      </w:pPr>
      <w:r>
        <w:rPr>
          <w:rFonts w:ascii="Arial" w:cs="Arial" w:eastAsia="Arial" w:hAnsi="Arial"/>
          <w:sz w:val="12"/>
          <w:szCs w:val="12"/>
          <w:color w:val="231F20"/>
        </w:rPr>
        <w:t>proxyvote.com</w:t>
      </w:r>
    </w:p>
    <w:p>
      <w:pPr>
        <w:spacing w:after="0" w:line="235" w:lineRule="auto"/>
        <w:rPr>
          <w:sz w:val="20"/>
          <w:szCs w:val="20"/>
          <w:color w:val="auto"/>
        </w:rPr>
      </w:pPr>
      <w:r>
        <w:rPr>
          <w:rFonts w:ascii="Arial" w:cs="Arial" w:eastAsia="Arial" w:hAnsi="Arial"/>
          <w:sz w:val="12"/>
          <w:szCs w:val="12"/>
          <w:color w:val="auto"/>
        </w:rPr>
        <w:t>sendmaterial@proxyvote.com</w:t>
      </w:r>
    </w:p>
    <w:p>
      <w:pPr>
        <w:spacing w:after="0"/>
        <w:rPr>
          <w:sz w:val="20"/>
          <w:szCs w:val="20"/>
          <w:color w:val="auto"/>
        </w:rPr>
      </w:pPr>
      <w:r>
        <w:rPr>
          <w:rFonts w:ascii="Arial" w:cs="Arial" w:eastAsia="Arial" w:hAnsi="Arial"/>
          <w:sz w:val="12"/>
          <w:szCs w:val="12"/>
          <w:color w:val="231F20"/>
        </w:rPr>
        <w:t>800-579-1639</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CE2C2E"/>
        </w:rPr>
        <w:t>To Change Your Householding Election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231F20"/>
        </w:rPr>
        <w:t>Broadridge Financial Solutions,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231F20"/>
        </w:rPr>
        <w:t>Householding Department</w:t>
      </w:r>
    </w:p>
    <w:p>
      <w:pPr>
        <w:spacing w:after="0" w:line="234" w:lineRule="auto"/>
        <w:rPr>
          <w:sz w:val="20"/>
          <w:szCs w:val="20"/>
          <w:color w:val="auto"/>
        </w:rPr>
      </w:pPr>
      <w:r>
        <w:rPr>
          <w:rFonts w:ascii="Arial" w:cs="Arial" w:eastAsia="Arial" w:hAnsi="Arial"/>
          <w:sz w:val="12"/>
          <w:szCs w:val="12"/>
          <w:color w:val="231F20"/>
        </w:rPr>
        <w:t>51 Mercedes Way</w:t>
      </w:r>
    </w:p>
    <w:p>
      <w:pPr>
        <w:spacing w:after="0"/>
        <w:rPr>
          <w:sz w:val="20"/>
          <w:szCs w:val="20"/>
          <w:color w:val="auto"/>
        </w:rPr>
      </w:pPr>
      <w:r>
        <w:rPr>
          <w:rFonts w:ascii="Arial" w:cs="Arial" w:eastAsia="Arial" w:hAnsi="Arial"/>
          <w:sz w:val="12"/>
          <w:szCs w:val="12"/>
          <w:color w:val="231F20"/>
        </w:rPr>
        <w:t>Edgewood, New York 11717</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CE2C2E"/>
        </w:rPr>
        <w:t>For Questions or Assistance Voting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231F20"/>
        </w:rPr>
        <w:t>Innisfree M&amp;A Incorporated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231F20"/>
        </w:rPr>
        <w:t>(Proxy Solicitor)</w:t>
      </w:r>
    </w:p>
    <w:p>
      <w:pPr>
        <w:spacing w:after="0" w:line="234" w:lineRule="auto"/>
        <w:rPr>
          <w:sz w:val="20"/>
          <w:szCs w:val="20"/>
          <w:color w:val="auto"/>
        </w:rPr>
      </w:pPr>
      <w:r>
        <w:rPr>
          <w:rFonts w:ascii="Arial" w:cs="Arial" w:eastAsia="Arial" w:hAnsi="Arial"/>
          <w:sz w:val="12"/>
          <w:szCs w:val="12"/>
          <w:color w:val="231F20"/>
        </w:rPr>
        <w:t>Shareholders in the United States and Canada: 877-750-2689</w:t>
      </w:r>
    </w:p>
    <w:p>
      <w:pPr>
        <w:spacing w:after="0" w:line="235" w:lineRule="auto"/>
        <w:rPr>
          <w:sz w:val="20"/>
          <w:szCs w:val="20"/>
          <w:color w:val="auto"/>
        </w:rPr>
      </w:pPr>
      <w:r>
        <w:rPr>
          <w:rFonts w:ascii="Arial" w:cs="Arial" w:eastAsia="Arial" w:hAnsi="Arial"/>
          <w:sz w:val="12"/>
          <w:szCs w:val="12"/>
          <w:color w:val="231F20"/>
        </w:rPr>
        <w:t>Shareholders in all other locations: 412-232-3651</w:t>
      </w:r>
    </w:p>
    <w:p>
      <w:pPr>
        <w:spacing w:after="0"/>
        <w:rPr>
          <w:sz w:val="20"/>
          <w:szCs w:val="20"/>
          <w:color w:val="auto"/>
        </w:rPr>
      </w:pPr>
      <w:r>
        <w:rPr>
          <w:rFonts w:ascii="Arial" w:cs="Arial" w:eastAsia="Arial" w:hAnsi="Arial"/>
          <w:sz w:val="12"/>
          <w:szCs w:val="12"/>
          <w:color w:val="231F20"/>
        </w:rPr>
        <w:t>Banks and brokers: 212-750-5833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473075</wp:posOffset>
            </wp:positionV>
            <wp:extent cx="365760" cy="2228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657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1300" w:type="dxa"/>
            <w:vAlign w:val="bottom"/>
          </w:tcPr>
          <w:p>
            <w:pPr>
              <w:spacing w:after="0"/>
              <w:rPr>
                <w:sz w:val="20"/>
                <w:szCs w:val="20"/>
                <w:color w:val="auto"/>
              </w:rPr>
            </w:pPr>
            <w:r>
              <w:rPr>
                <w:rFonts w:ascii="Arial" w:cs="Arial" w:eastAsia="Arial" w:hAnsi="Arial"/>
                <w:sz w:val="10"/>
                <w:szCs w:val="10"/>
                <w:b w:val="1"/>
                <w:bCs w:val="1"/>
                <w:color w:val="FF0000"/>
              </w:rPr>
              <w:t xml:space="preserve">2022 </w:t>
            </w:r>
            <w:r>
              <w:rPr>
                <w:rFonts w:ascii="Arial" w:cs="Arial" w:eastAsia="Arial" w:hAnsi="Arial"/>
                <w:sz w:val="10"/>
                <w:szCs w:val="10"/>
                <w:b w:val="1"/>
                <w:bCs w:val="1"/>
                <w:color w:val="000000"/>
              </w:rPr>
              <w:t>PROXY STATEMENT</w:t>
            </w:r>
          </w:p>
        </w:tc>
        <w:tc>
          <w:tcPr>
            <w:tcW w:w="320" w:type="dxa"/>
            <w:vAlign w:val="bottom"/>
          </w:tcPr>
          <w:p>
            <w:pPr>
              <w:jc w:val="right"/>
              <w:spacing w:after="0"/>
              <w:rPr>
                <w:sz w:val="20"/>
                <w:szCs w:val="20"/>
                <w:color w:val="auto"/>
              </w:rPr>
            </w:pPr>
            <w:r>
              <w:rPr>
                <w:rFonts w:ascii="Arial" w:cs="Arial" w:eastAsia="Arial" w:hAnsi="Arial"/>
                <w:sz w:val="11"/>
                <w:szCs w:val="11"/>
                <w:b w:val="1"/>
                <w:bCs w:val="1"/>
                <w:color w:val="FFFFFF"/>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220345</wp:posOffset>
            </wp:positionV>
            <wp:extent cx="717804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2">
            <w:col w:w="3960" w:space="620"/>
            <w:col w:w="4439"/>
          </w:cols>
          <w:pgMar w:left="1440" w:top="1440" w:right="1440"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2127250</wp:posOffset>
            </wp:positionV>
            <wp:extent cx="717804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363220</wp:posOffset>
            </wp:positionV>
            <wp:extent cx="7178040" cy="5857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6203950</wp:posOffset>
            </wp:positionV>
            <wp:extent cx="717804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wp:posOffset>
            </wp:positionH>
            <wp:positionV relativeFrom="page">
              <wp:posOffset>608965</wp:posOffset>
            </wp:positionV>
            <wp:extent cx="171450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18859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0"/>
          <w:szCs w:val="10"/>
          <w:b w:val="1"/>
          <w:bCs w:val="1"/>
          <w:i w:val="1"/>
          <w:iCs w:val="1"/>
          <w:color w:val="auto"/>
        </w:rPr>
        <w:t>330 WEST 34TH STREET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0"/>
          <w:szCs w:val="10"/>
          <w:b w:val="1"/>
          <w:bCs w:val="1"/>
          <w:i w:val="1"/>
          <w:iCs w:val="1"/>
          <w:color w:val="auto"/>
        </w:rPr>
        <w:t>NEW YORK, NEW YORK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8"/>
          <w:szCs w:val="8"/>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0"/>
          <w:szCs w:val="10"/>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-490855</wp:posOffset>
            </wp:positionV>
            <wp:extent cx="1428750" cy="3371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28750" cy="3371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0"/>
          <w:szCs w:val="10"/>
          <w:i w:val="1"/>
          <w:iCs w:val="1"/>
          <w:color w:val="auto"/>
        </w:rPr>
        <w:t xml:space="preserve">Before The Meeting </w:t>
      </w:r>
      <w:r>
        <w:rPr>
          <w:rFonts w:ascii="Arial" w:cs="Arial" w:eastAsia="Arial" w:hAnsi="Arial"/>
          <w:sz w:val="10"/>
          <w:szCs w:val="10"/>
          <w:color w:val="211D1E"/>
        </w:rPr>
        <w:t>- Go to</w:t>
      </w:r>
      <w:r>
        <w:rPr>
          <w:rFonts w:ascii="Arial" w:cs="Arial" w:eastAsia="Arial" w:hAnsi="Arial"/>
          <w:sz w:val="10"/>
          <w:szCs w:val="10"/>
          <w:i w:val="1"/>
          <w:iCs w:val="1"/>
          <w:color w:val="auto"/>
        </w:rPr>
        <w:t xml:space="preserve"> </w:t>
      </w:r>
      <w:r>
        <w:rPr>
          <w:rFonts w:ascii="Arial" w:cs="Arial" w:eastAsia="Arial" w:hAnsi="Arial"/>
          <w:sz w:val="10"/>
          <w:szCs w:val="10"/>
          <w:b w:val="1"/>
          <w:bCs w:val="1"/>
          <w:u w:val="single" w:color="auto"/>
          <w:color w:val="211D1E"/>
        </w:rPr>
        <w:t>www.proxyvote.com</w:t>
      </w:r>
      <w:r>
        <w:rPr>
          <w:rFonts w:ascii="Arial" w:cs="Arial" w:eastAsia="Arial" w:hAnsi="Arial"/>
          <w:sz w:val="10"/>
          <w:szCs w:val="10"/>
          <w:i w:val="1"/>
          <w:iCs w:val="1"/>
          <w:color w:val="auto"/>
        </w:rPr>
        <w:t xml:space="preserve"> </w:t>
      </w:r>
      <w:r>
        <w:rPr>
          <w:rFonts w:ascii="Arial" w:cs="Arial" w:eastAsia="Arial" w:hAnsi="Arial"/>
          <w:sz w:val="10"/>
          <w:szCs w:val="10"/>
          <w:b w:val="1"/>
          <w:bCs w:val="1"/>
          <w:color w:val="211D1E"/>
        </w:rPr>
        <w:t>or scan the QR Barcode above</w:t>
      </w:r>
    </w:p>
    <w:p>
      <w:pPr>
        <w:spacing w:after="0" w:line="93" w:lineRule="exact"/>
        <w:rPr>
          <w:sz w:val="20"/>
          <w:szCs w:val="20"/>
          <w:color w:val="auto"/>
        </w:rPr>
      </w:pPr>
    </w:p>
    <w:p>
      <w:pPr>
        <w:jc w:val="both"/>
        <w:ind w:left="1460" w:right="620"/>
        <w:spacing w:after="0" w:line="237" w:lineRule="auto"/>
        <w:rPr>
          <w:sz w:val="20"/>
          <w:szCs w:val="20"/>
          <w:color w:val="auto"/>
        </w:rPr>
      </w:pPr>
      <w:r>
        <w:rPr>
          <w:rFonts w:ascii="Arial" w:cs="Arial" w:eastAsia="Arial" w:hAnsi="Arial"/>
          <w:sz w:val="10"/>
          <w:szCs w:val="10"/>
          <w:color w:val="auto"/>
        </w:rPr>
        <w:t>Use the Internet to transmit your voting instructions and for electronic delivery of information up until 11:59 P.M. Eastern Time the day before the cut-off date or meeting date. Follow the instructions to obtain your records and to create an electronic voting instruction form.</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0"/>
          <w:szCs w:val="10"/>
          <w:i w:val="1"/>
          <w:iCs w:val="1"/>
          <w:color w:val="auto"/>
        </w:rPr>
        <w:t xml:space="preserve">During The Meeting </w:t>
      </w:r>
      <w:r>
        <w:rPr>
          <w:rFonts w:ascii="Arial" w:cs="Arial" w:eastAsia="Arial" w:hAnsi="Arial"/>
          <w:sz w:val="10"/>
          <w:szCs w:val="10"/>
          <w:color w:val="auto"/>
        </w:rPr>
        <w:t>- Go to</w:t>
      </w:r>
      <w:r>
        <w:rPr>
          <w:rFonts w:ascii="Arial" w:cs="Arial" w:eastAsia="Arial" w:hAnsi="Arial"/>
          <w:sz w:val="10"/>
          <w:szCs w:val="10"/>
          <w:i w:val="1"/>
          <w:iCs w:val="1"/>
          <w:color w:val="auto"/>
        </w:rPr>
        <w:t xml:space="preserve"> </w:t>
      </w:r>
      <w:r>
        <w:rPr>
          <w:rFonts w:ascii="Arial" w:cs="Arial" w:eastAsia="Arial" w:hAnsi="Arial"/>
          <w:sz w:val="10"/>
          <w:szCs w:val="10"/>
          <w:b w:val="1"/>
          <w:bCs w:val="1"/>
          <w:u w:val="single" w:color="auto"/>
          <w:color w:val="auto"/>
        </w:rPr>
        <w:t>www.virtualshareholdermeeting.com/FL2022</w:t>
      </w:r>
    </w:p>
    <w:p>
      <w:pPr>
        <w:spacing w:after="0" w:line="103" w:lineRule="exact"/>
        <w:rPr>
          <w:sz w:val="20"/>
          <w:szCs w:val="20"/>
          <w:color w:val="auto"/>
        </w:rPr>
      </w:pPr>
    </w:p>
    <w:p>
      <w:pPr>
        <w:jc w:val="both"/>
        <w:ind w:left="1460" w:right="620"/>
        <w:spacing w:after="0" w:line="245" w:lineRule="auto"/>
        <w:rPr>
          <w:sz w:val="20"/>
          <w:szCs w:val="20"/>
          <w:color w:val="auto"/>
        </w:rPr>
      </w:pPr>
      <w:r>
        <w:rPr>
          <w:rFonts w:ascii="Arial" w:cs="Arial" w:eastAsia="Arial" w:hAnsi="Arial"/>
          <w:sz w:val="10"/>
          <w:szCs w:val="10"/>
          <w:color w:val="auto"/>
        </w:rPr>
        <w:t>You may attend the meeting via the Internet and vote during the meeting. Have the information that is printed in the box marked by the arrow available and follow the instructions.</w:t>
      </w:r>
    </w:p>
    <w:p>
      <w:pPr>
        <w:spacing w:after="0" w:line="87" w:lineRule="exact"/>
        <w:rPr>
          <w:sz w:val="20"/>
          <w:szCs w:val="20"/>
          <w:color w:val="auto"/>
        </w:rPr>
      </w:pPr>
    </w:p>
    <w:p>
      <w:pPr>
        <w:ind w:left="1460"/>
        <w:spacing w:after="0"/>
        <w:rPr>
          <w:sz w:val="20"/>
          <w:szCs w:val="20"/>
          <w:color w:val="auto"/>
        </w:rPr>
      </w:pPr>
      <w:r>
        <w:rPr>
          <w:rFonts w:ascii="Arial" w:cs="Arial" w:eastAsia="Arial" w:hAnsi="Arial"/>
          <w:sz w:val="10"/>
          <w:szCs w:val="10"/>
          <w:b w:val="1"/>
          <w:bCs w:val="1"/>
          <w:color w:val="auto"/>
        </w:rPr>
        <w:t>VOTE BY PHONE - 1-800-690-6903</w:t>
      </w:r>
    </w:p>
    <w:p>
      <w:pPr>
        <w:spacing w:after="0" w:line="3" w:lineRule="exact"/>
        <w:rPr>
          <w:sz w:val="20"/>
          <w:szCs w:val="20"/>
          <w:color w:val="auto"/>
        </w:rPr>
      </w:pPr>
    </w:p>
    <w:p>
      <w:pPr>
        <w:jc w:val="both"/>
        <w:ind w:left="1460" w:right="620"/>
        <w:spacing w:after="0" w:line="234" w:lineRule="auto"/>
        <w:rPr>
          <w:sz w:val="20"/>
          <w:szCs w:val="20"/>
          <w:color w:val="auto"/>
        </w:rPr>
      </w:pPr>
      <w:r>
        <w:rPr>
          <w:rFonts w:ascii="Arial" w:cs="Arial" w:eastAsia="Arial" w:hAnsi="Arial"/>
          <w:sz w:val="10"/>
          <w:szCs w:val="10"/>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0"/>
          <w:szCs w:val="10"/>
          <w:b w:val="1"/>
          <w:bCs w:val="1"/>
          <w:color w:val="auto"/>
        </w:rPr>
        <w:t>VOTE BY MAIL</w:t>
      </w:r>
    </w:p>
    <w:p>
      <w:pPr>
        <w:ind w:left="1460"/>
        <w:spacing w:after="0" w:line="231"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w:t>
      </w:r>
    </w:p>
    <w:p>
      <w:pPr>
        <w:ind w:left="1460"/>
        <w:spacing w:after="0"/>
        <w:rPr>
          <w:sz w:val="20"/>
          <w:szCs w:val="20"/>
          <w:color w:val="auto"/>
        </w:rPr>
      </w:pPr>
      <w:r>
        <w:rPr>
          <w:rFonts w:ascii="Arial" w:cs="Arial" w:eastAsia="Arial" w:hAnsi="Arial"/>
          <w:sz w:val="10"/>
          <w:szCs w:val="10"/>
          <w:color w:val="auto"/>
        </w:rPr>
        <w:t>Processing, c/o Broadridge, 51 Mercedes Way, Edgewood, New York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left="1360" w:right="40"/>
        <w:spacing w:after="0" w:line="243" w:lineRule="auto"/>
        <w:rPr>
          <w:sz w:val="20"/>
          <w:szCs w:val="20"/>
          <w:color w:val="auto"/>
        </w:rPr>
      </w:pPr>
      <w:r>
        <w:rPr>
          <w:rFonts w:ascii="Arial" w:cs="Arial" w:eastAsia="Arial" w:hAnsi="Arial"/>
          <w:sz w:val="10"/>
          <w:szCs w:val="10"/>
          <w:color w:val="auto"/>
        </w:rPr>
        <w:t>D67373-P64618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-88265</wp:posOffset>
            </wp:positionV>
            <wp:extent cx="7203440" cy="311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03440" cy="311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b w:val="1"/>
          <w:bCs w:val="1"/>
          <w:color w:val="auto"/>
        </w:rPr>
        <w:t>THIS PROXY CARD IS VALID ONLY WHEN SIGNED AND DATED.</w:t>
      </w:r>
    </w:p>
    <w:p>
      <w:pPr>
        <w:spacing w:after="0" w:line="45" w:lineRule="exact"/>
        <w:rPr>
          <w:sz w:val="20"/>
          <w:szCs w:val="20"/>
          <w:color w:val="auto"/>
        </w:rPr>
      </w:pPr>
    </w:p>
    <w:p>
      <w:pPr>
        <w:sectPr>
          <w:pgSz w:w="11900" w:h="16838" w:orient="portrait"/>
          <w:cols w:equalWidth="0" w:num="2">
            <w:col w:w="3460" w:space="720"/>
            <w:col w:w="7160"/>
          </w:cols>
          <w:pgMar w:left="300" w:top="1440" w:right="259" w:bottom="1440" w:gutter="0" w:footer="0" w:header="0"/>
        </w:sectPr>
      </w:pPr>
    </w:p>
    <w:tbl>
      <w:tblPr>
        <w:tblLayout w:type="fixed"/>
        <w:tblInd w:w="10" w:type="dxa"/>
        <w:tblCellMar>
          <w:top w:w="0" w:type="dxa"/>
          <w:left w:w="0" w:type="dxa"/>
          <w:bottom w:w="0" w:type="dxa"/>
          <w:right w:w="0" w:type="dxa"/>
        </w:tblCellMar>
      </w:tblPr>
      <w:tr>
        <w:trPr>
          <w:trHeight w:val="273"/>
        </w:trPr>
        <w:tc>
          <w:tcPr>
            <w:tcW w:w="260" w:type="dxa"/>
            <w:vAlign w:val="bottom"/>
            <w:tcBorders>
              <w:top w:val="single" w:sz="8" w:color="808080"/>
              <w:left w:val="single" w:sz="8" w:color="808080"/>
            </w:tcBorders>
          </w:tcPr>
          <w:p>
            <w:pPr>
              <w:spacing w:after="0"/>
              <w:rPr>
                <w:sz w:val="23"/>
                <w:szCs w:val="23"/>
                <w:color w:val="auto"/>
              </w:rPr>
            </w:pPr>
          </w:p>
        </w:tc>
        <w:tc>
          <w:tcPr>
            <w:tcW w:w="2600" w:type="dxa"/>
            <w:vAlign w:val="bottom"/>
            <w:tcBorders>
              <w:top w:val="single" w:sz="8" w:color="808080"/>
            </w:tcBorders>
            <w:gridSpan w:val="6"/>
          </w:tcPr>
          <w:p>
            <w:pPr>
              <w:spacing w:after="0"/>
              <w:rPr>
                <w:sz w:val="20"/>
                <w:szCs w:val="20"/>
                <w:color w:val="auto"/>
              </w:rPr>
            </w:pPr>
            <w:r>
              <w:rPr>
                <w:rFonts w:ascii="Arial" w:cs="Arial" w:eastAsia="Arial" w:hAnsi="Arial"/>
                <w:sz w:val="10"/>
                <w:szCs w:val="10"/>
                <w:b w:val="1"/>
                <w:bCs w:val="1"/>
                <w:color w:val="auto"/>
              </w:rPr>
              <w:t>FOOT LOCKER, INC.</w:t>
            </w:r>
          </w:p>
        </w:tc>
        <w:tc>
          <w:tcPr>
            <w:tcW w:w="140" w:type="dxa"/>
            <w:vAlign w:val="bottom"/>
            <w:tcBorders>
              <w:top w:val="single" w:sz="8" w:color="808080"/>
            </w:tcBorders>
          </w:tcPr>
          <w:p>
            <w:pPr>
              <w:spacing w:after="0"/>
              <w:rPr>
                <w:sz w:val="23"/>
                <w:szCs w:val="23"/>
                <w:color w:val="auto"/>
              </w:rPr>
            </w:pPr>
          </w:p>
        </w:tc>
        <w:tc>
          <w:tcPr>
            <w:tcW w:w="80" w:type="dxa"/>
            <w:vAlign w:val="bottom"/>
            <w:tcBorders>
              <w:top w:val="single" w:sz="8" w:color="808080"/>
            </w:tcBorders>
          </w:tcPr>
          <w:p>
            <w:pPr>
              <w:spacing w:after="0"/>
              <w:rPr>
                <w:sz w:val="23"/>
                <w:szCs w:val="23"/>
                <w:color w:val="auto"/>
              </w:rPr>
            </w:pPr>
          </w:p>
        </w:tc>
        <w:tc>
          <w:tcPr>
            <w:tcW w:w="120" w:type="dxa"/>
            <w:vAlign w:val="bottom"/>
            <w:tcBorders>
              <w:top w:val="single" w:sz="8" w:color="808080"/>
            </w:tcBorders>
          </w:tcPr>
          <w:p>
            <w:pPr>
              <w:spacing w:after="0"/>
              <w:rPr>
                <w:sz w:val="23"/>
                <w:szCs w:val="23"/>
                <w:color w:val="auto"/>
              </w:rPr>
            </w:pPr>
          </w:p>
        </w:tc>
        <w:tc>
          <w:tcPr>
            <w:tcW w:w="420" w:type="dxa"/>
            <w:vAlign w:val="bottom"/>
            <w:tcBorders>
              <w:top w:val="single" w:sz="8" w:color="808080"/>
            </w:tcBorders>
          </w:tcPr>
          <w:p>
            <w:pPr>
              <w:spacing w:after="0"/>
              <w:rPr>
                <w:sz w:val="23"/>
                <w:szCs w:val="23"/>
                <w:color w:val="auto"/>
              </w:rPr>
            </w:pPr>
          </w:p>
        </w:tc>
        <w:tc>
          <w:tcPr>
            <w:tcW w:w="520" w:type="dxa"/>
            <w:vAlign w:val="bottom"/>
            <w:tcBorders>
              <w:top w:val="single" w:sz="8" w:color="808080"/>
            </w:tcBorders>
          </w:tcPr>
          <w:p>
            <w:pPr>
              <w:spacing w:after="0"/>
              <w:rPr>
                <w:sz w:val="23"/>
                <w:szCs w:val="23"/>
                <w:color w:val="auto"/>
              </w:rPr>
            </w:pPr>
          </w:p>
        </w:tc>
        <w:tc>
          <w:tcPr>
            <w:tcW w:w="680" w:type="dxa"/>
            <w:vAlign w:val="bottom"/>
            <w:tcBorders>
              <w:top w:val="single" w:sz="8" w:color="808080"/>
            </w:tcBorders>
          </w:tcPr>
          <w:p>
            <w:pPr>
              <w:spacing w:after="0"/>
              <w:rPr>
                <w:sz w:val="23"/>
                <w:szCs w:val="23"/>
                <w:color w:val="auto"/>
              </w:rPr>
            </w:pPr>
          </w:p>
        </w:tc>
        <w:tc>
          <w:tcPr>
            <w:tcW w:w="1080" w:type="dxa"/>
            <w:vAlign w:val="bottom"/>
            <w:tcBorders>
              <w:top w:val="single" w:sz="8" w:color="808080"/>
            </w:tcBorders>
          </w:tcPr>
          <w:p>
            <w:pPr>
              <w:spacing w:after="0"/>
              <w:rPr>
                <w:sz w:val="23"/>
                <w:szCs w:val="23"/>
                <w:color w:val="auto"/>
              </w:rPr>
            </w:pPr>
          </w:p>
        </w:tc>
        <w:tc>
          <w:tcPr>
            <w:tcW w:w="2860" w:type="dxa"/>
            <w:vAlign w:val="bottom"/>
            <w:tcBorders>
              <w:top w:val="single" w:sz="8" w:color="808080"/>
            </w:tcBorders>
          </w:tcPr>
          <w:p>
            <w:pPr>
              <w:spacing w:after="0"/>
              <w:rPr>
                <w:sz w:val="23"/>
                <w:szCs w:val="23"/>
                <w:color w:val="auto"/>
              </w:rPr>
            </w:pPr>
          </w:p>
        </w:tc>
        <w:tc>
          <w:tcPr>
            <w:tcW w:w="520" w:type="dxa"/>
            <w:vAlign w:val="bottom"/>
            <w:tcBorders>
              <w:top w:val="single" w:sz="8" w:color="808080"/>
            </w:tcBorders>
          </w:tcPr>
          <w:p>
            <w:pPr>
              <w:spacing w:after="0"/>
              <w:rPr>
                <w:sz w:val="23"/>
                <w:szCs w:val="23"/>
                <w:color w:val="auto"/>
              </w:rPr>
            </w:pPr>
          </w:p>
        </w:tc>
        <w:tc>
          <w:tcPr>
            <w:tcW w:w="220" w:type="dxa"/>
            <w:vAlign w:val="bottom"/>
            <w:tcBorders>
              <w:top w:val="single" w:sz="8" w:color="808080"/>
            </w:tcBorders>
          </w:tcPr>
          <w:p>
            <w:pPr>
              <w:spacing w:after="0"/>
              <w:rPr>
                <w:sz w:val="23"/>
                <w:szCs w:val="23"/>
                <w:color w:val="auto"/>
              </w:rPr>
            </w:pPr>
          </w:p>
        </w:tc>
        <w:tc>
          <w:tcPr>
            <w:tcW w:w="560" w:type="dxa"/>
            <w:vAlign w:val="bottom"/>
            <w:tcBorders>
              <w:top w:val="single" w:sz="8" w:color="808080"/>
            </w:tcBorders>
          </w:tcPr>
          <w:p>
            <w:pPr>
              <w:spacing w:after="0"/>
              <w:rPr>
                <w:sz w:val="23"/>
                <w:szCs w:val="23"/>
                <w:color w:val="auto"/>
              </w:rPr>
            </w:pPr>
          </w:p>
        </w:tc>
        <w:tc>
          <w:tcPr>
            <w:tcW w:w="460" w:type="dxa"/>
            <w:vAlign w:val="bottom"/>
            <w:tcBorders>
              <w:top w:val="single" w:sz="8" w:color="808080"/>
            </w:tcBorders>
          </w:tcPr>
          <w:p>
            <w:pPr>
              <w:spacing w:after="0"/>
              <w:rPr>
                <w:sz w:val="23"/>
                <w:szCs w:val="23"/>
                <w:color w:val="auto"/>
              </w:rPr>
            </w:pPr>
          </w:p>
        </w:tc>
        <w:tc>
          <w:tcPr>
            <w:tcW w:w="580" w:type="dxa"/>
            <w:vAlign w:val="bottom"/>
            <w:tcBorders>
              <w:top w:val="single" w:sz="8" w:color="808080"/>
            </w:tcBorders>
          </w:tcPr>
          <w:p>
            <w:pPr>
              <w:spacing w:after="0"/>
              <w:rPr>
                <w:sz w:val="23"/>
                <w:szCs w:val="23"/>
                <w:color w:val="auto"/>
              </w:rPr>
            </w:pPr>
          </w:p>
        </w:tc>
        <w:tc>
          <w:tcPr>
            <w:tcW w:w="200" w:type="dxa"/>
            <w:vAlign w:val="bottom"/>
            <w:tcBorders>
              <w:top w:val="single" w:sz="8" w:color="808080"/>
            </w:tcBorders>
          </w:tcPr>
          <w:p>
            <w:pPr>
              <w:spacing w:after="0"/>
              <w:rPr>
                <w:sz w:val="23"/>
                <w:szCs w:val="23"/>
                <w:color w:val="auto"/>
              </w:rPr>
            </w:pPr>
          </w:p>
        </w:tc>
        <w:tc>
          <w:tcPr>
            <w:tcW w:w="40" w:type="dxa"/>
            <w:vAlign w:val="bottom"/>
            <w:tcBorders>
              <w:top w:val="single" w:sz="8" w:color="808080"/>
              <w:right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808080"/>
            </w:tcBorders>
            <w:vMerge w:val="restart"/>
          </w:tcPr>
          <w:p>
            <w:pPr>
              <w:spacing w:after="0"/>
              <w:rPr>
                <w:sz w:val="8"/>
                <w:szCs w:val="8"/>
                <w:color w:val="auto"/>
              </w:rPr>
            </w:pPr>
          </w:p>
        </w:tc>
        <w:tc>
          <w:tcPr>
            <w:tcW w:w="3880" w:type="dxa"/>
            <w:vAlign w:val="bottom"/>
            <w:gridSpan w:val="11"/>
            <w:vMerge w:val="restart"/>
          </w:tcPr>
          <w:p>
            <w:pPr>
              <w:spacing w:after="0"/>
              <w:rPr>
                <w:sz w:val="20"/>
                <w:szCs w:val="20"/>
                <w:color w:val="auto"/>
              </w:rPr>
            </w:pPr>
            <w:r>
              <w:rPr>
                <w:rFonts w:ascii="Arial" w:cs="Arial" w:eastAsia="Arial" w:hAnsi="Arial"/>
                <w:sz w:val="10"/>
                <w:szCs w:val="10"/>
                <w:b w:val="1"/>
                <w:bCs w:val="1"/>
                <w:color w:val="auto"/>
              </w:rPr>
              <w:t>Proposals - The Board of Directors recommends a vote FOR each of</w:t>
            </w: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60" w:type="dxa"/>
            <w:vAlign w:val="bottom"/>
            <w:tcBorders>
              <w:left w:val="single" w:sz="8" w:color="808080"/>
            </w:tcBorders>
            <w:vMerge w:val="continue"/>
          </w:tcPr>
          <w:p>
            <w:pPr>
              <w:spacing w:after="0"/>
              <w:rPr>
                <w:sz w:val="6"/>
                <w:szCs w:val="6"/>
                <w:color w:val="auto"/>
              </w:rPr>
            </w:pPr>
          </w:p>
        </w:tc>
        <w:tc>
          <w:tcPr>
            <w:tcW w:w="3880" w:type="dxa"/>
            <w:vAlign w:val="bottom"/>
            <w:gridSpan w:val="11"/>
            <w:vMerge w:val="continue"/>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Borders>
              <w:righ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tcBorders>
              <w:left w:val="single" w:sz="8" w:color="808080"/>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60" w:type="dxa"/>
            <w:vAlign w:val="bottom"/>
            <w:tcBorders>
              <w:left w:val="single" w:sz="8" w:color="808080"/>
            </w:tcBorders>
          </w:tcPr>
          <w:p>
            <w:pPr>
              <w:spacing w:after="0"/>
              <w:rPr>
                <w:sz w:val="7"/>
                <w:szCs w:val="7"/>
                <w:color w:val="auto"/>
              </w:rPr>
            </w:pPr>
          </w:p>
        </w:tc>
        <w:tc>
          <w:tcPr>
            <w:tcW w:w="3880" w:type="dxa"/>
            <w:vAlign w:val="bottom"/>
            <w:gridSpan w:val="11"/>
          </w:tcPr>
          <w:p>
            <w:pPr>
              <w:spacing w:after="0" w:line="88" w:lineRule="exact"/>
              <w:rPr>
                <w:sz w:val="20"/>
                <w:szCs w:val="20"/>
                <w:color w:val="auto"/>
              </w:rPr>
            </w:pPr>
            <w:r>
              <w:rPr>
                <w:rFonts w:ascii="Arial" w:cs="Arial" w:eastAsia="Arial" w:hAnsi="Arial"/>
                <w:sz w:val="10"/>
                <w:szCs w:val="10"/>
                <w:b w:val="1"/>
                <w:bCs w:val="1"/>
                <w:color w:val="auto"/>
              </w:rPr>
              <w:t>the nominees, FOR Proposal 2, 1 Year for Proposal 3, and FOR</w:t>
            </w: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60" w:type="dxa"/>
            <w:vAlign w:val="bottom"/>
            <w:tcBorders>
              <w:left w:val="single" w:sz="8" w:color="808080"/>
            </w:tcBorders>
          </w:tcPr>
          <w:p>
            <w:pPr>
              <w:spacing w:after="0"/>
              <w:rPr>
                <w:sz w:val="9"/>
                <w:szCs w:val="9"/>
                <w:color w:val="auto"/>
              </w:rPr>
            </w:pPr>
          </w:p>
        </w:tc>
        <w:tc>
          <w:tcPr>
            <w:tcW w:w="560" w:type="dxa"/>
            <w:vAlign w:val="bottom"/>
          </w:tcPr>
          <w:p>
            <w:pPr>
              <w:spacing w:after="0" w:line="113" w:lineRule="exact"/>
              <w:rPr>
                <w:sz w:val="20"/>
                <w:szCs w:val="20"/>
                <w:color w:val="auto"/>
              </w:rPr>
            </w:pPr>
            <w:r>
              <w:rPr>
                <w:rFonts w:ascii="Arial" w:cs="Arial" w:eastAsia="Arial" w:hAnsi="Arial"/>
                <w:sz w:val="10"/>
                <w:szCs w:val="10"/>
                <w:b w:val="1"/>
                <w:bCs w:val="1"/>
                <w:color w:val="auto"/>
              </w:rPr>
              <w:t>Proposal 4.</w:t>
            </w: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0" w:type="dxa"/>
            <w:vAlign w:val="bottom"/>
            <w:tcBorders>
              <w:left w:val="single" w:sz="8" w:color="808080"/>
            </w:tcBorders>
            <w:vMerge w:val="restart"/>
          </w:tcPr>
          <w:p>
            <w:pPr>
              <w:spacing w:after="0"/>
              <w:rPr>
                <w:sz w:val="10"/>
                <w:szCs w:val="10"/>
                <w:color w:val="auto"/>
              </w:rPr>
            </w:pPr>
          </w:p>
        </w:tc>
        <w:tc>
          <w:tcPr>
            <w:tcW w:w="3880" w:type="dxa"/>
            <w:vAlign w:val="bottom"/>
            <w:gridSpan w:val="11"/>
            <w:vMerge w:val="restart"/>
          </w:tcPr>
          <w:p>
            <w:pPr>
              <w:spacing w:after="0"/>
              <w:rPr>
                <w:sz w:val="20"/>
                <w:szCs w:val="20"/>
                <w:color w:val="auto"/>
              </w:rPr>
            </w:pPr>
            <w:r>
              <w:rPr>
                <w:rFonts w:ascii="Arial" w:cs="Arial" w:eastAsia="Arial" w:hAnsi="Arial"/>
                <w:sz w:val="10"/>
                <w:szCs w:val="10"/>
                <w:color w:val="auto"/>
              </w:rPr>
              <w:t>1.   Elect Ten Directors to the Board to Serve for One-Year Terms.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60" w:type="dxa"/>
            <w:vAlign w:val="bottom"/>
            <w:tcBorders>
              <w:left w:val="single" w:sz="8" w:color="808080"/>
            </w:tcBorders>
            <w:vMerge w:val="continue"/>
          </w:tcPr>
          <w:p>
            <w:pPr>
              <w:spacing w:after="0"/>
              <w:rPr>
                <w:sz w:val="8"/>
                <w:szCs w:val="8"/>
                <w:color w:val="auto"/>
              </w:rPr>
            </w:pPr>
          </w:p>
        </w:tc>
        <w:tc>
          <w:tcPr>
            <w:tcW w:w="3880" w:type="dxa"/>
            <w:vAlign w:val="bottom"/>
            <w:gridSpan w:val="11"/>
            <w:vMerge w:val="continue"/>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86"/>
              </w:rPr>
              <w:t>For</w:t>
            </w:r>
          </w:p>
        </w:tc>
        <w:tc>
          <w:tcPr>
            <w:tcW w:w="46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98"/>
              </w:rPr>
              <w:t>Against</w:t>
            </w:r>
          </w:p>
        </w:tc>
        <w:tc>
          <w:tcPr>
            <w:tcW w:w="820" w:type="dxa"/>
            <w:vAlign w:val="bottom"/>
            <w:tcBorders>
              <w:right w:val="single" w:sz="8" w:color="808080"/>
            </w:tcBorders>
            <w:gridSpan w:val="3"/>
            <w:vMerge w:val="restart"/>
          </w:tcPr>
          <w:p>
            <w:pPr>
              <w:ind w:left="140"/>
              <w:spacing w:after="0"/>
              <w:rPr>
                <w:sz w:val="20"/>
                <w:szCs w:val="20"/>
                <w:color w:val="auto"/>
              </w:rPr>
            </w:pPr>
            <w:r>
              <w:rPr>
                <w:rFonts w:ascii="Arial" w:cs="Arial" w:eastAsia="Arial" w:hAnsi="Arial"/>
                <w:sz w:val="10"/>
                <w:szCs w:val="10"/>
                <w:b w:val="1"/>
                <w:bCs w:val="1"/>
                <w:color w:val="auto"/>
              </w:rPr>
              <w:t>Abstain</w:t>
            </w:r>
          </w:p>
        </w:tc>
        <w:tc>
          <w:tcPr>
            <w:tcW w:w="0" w:type="dxa"/>
            <w:vAlign w:val="bottom"/>
          </w:tcPr>
          <w:p>
            <w:pPr>
              <w:spacing w:after="0"/>
              <w:rPr>
                <w:sz w:val="1"/>
                <w:szCs w:val="1"/>
                <w:color w:val="auto"/>
              </w:rPr>
            </w:pPr>
          </w:p>
        </w:tc>
      </w:tr>
      <w:tr>
        <w:trPr>
          <w:trHeight w:val="220"/>
        </w:trPr>
        <w:tc>
          <w:tcPr>
            <w:tcW w:w="260" w:type="dxa"/>
            <w:vAlign w:val="bottom"/>
            <w:tcBorders>
              <w:left w:val="single" w:sz="8" w:color="808080"/>
            </w:tcBorders>
          </w:tcPr>
          <w:p>
            <w:pPr>
              <w:spacing w:after="0"/>
              <w:rPr>
                <w:sz w:val="19"/>
                <w:szCs w:val="19"/>
                <w:color w:val="auto"/>
              </w:rPr>
            </w:pPr>
          </w:p>
        </w:tc>
        <w:tc>
          <w:tcPr>
            <w:tcW w:w="2600" w:type="dxa"/>
            <w:vAlign w:val="bottom"/>
            <w:gridSpan w:val="6"/>
          </w:tcPr>
          <w:p>
            <w:pPr>
              <w:ind w:left="220"/>
              <w:spacing w:after="0"/>
              <w:rPr>
                <w:sz w:val="20"/>
                <w:szCs w:val="20"/>
                <w:color w:val="auto"/>
              </w:rPr>
            </w:pPr>
            <w:r>
              <w:rPr>
                <w:rFonts w:ascii="Arial" w:cs="Arial" w:eastAsia="Arial" w:hAnsi="Arial"/>
                <w:sz w:val="10"/>
                <w:szCs w:val="10"/>
                <w:b w:val="1"/>
                <w:bCs w:val="1"/>
                <w:color w:val="auto"/>
              </w:rPr>
              <w:t>Nominees: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ind w:left="200"/>
              <w:spacing w:after="0"/>
              <w:rPr>
                <w:sz w:val="20"/>
                <w:szCs w:val="20"/>
                <w:color w:val="auto"/>
              </w:rPr>
            </w:pPr>
            <w:r>
              <w:rPr>
                <w:rFonts w:ascii="Arial" w:cs="Arial" w:eastAsia="Arial" w:hAnsi="Arial"/>
                <w:sz w:val="10"/>
                <w:szCs w:val="10"/>
                <w:b w:val="1"/>
                <w:bCs w:val="1"/>
                <w:color w:val="auto"/>
              </w:rPr>
              <w:t>For</w:t>
            </w:r>
          </w:p>
        </w:tc>
        <w:tc>
          <w:tcPr>
            <w:tcW w:w="680" w:type="dxa"/>
            <w:vAlign w:val="bottom"/>
          </w:tcPr>
          <w:p>
            <w:pPr>
              <w:ind w:left="180"/>
              <w:spacing w:after="0"/>
              <w:rPr>
                <w:sz w:val="20"/>
                <w:szCs w:val="20"/>
                <w:color w:val="auto"/>
              </w:rPr>
            </w:pPr>
            <w:r>
              <w:rPr>
                <w:rFonts w:ascii="Arial" w:cs="Arial" w:eastAsia="Arial" w:hAnsi="Arial"/>
                <w:sz w:val="10"/>
                <w:szCs w:val="10"/>
                <w:b w:val="1"/>
                <w:bCs w:val="1"/>
                <w:color w:val="auto"/>
              </w:rPr>
              <w:t>Against</w:t>
            </w:r>
          </w:p>
        </w:tc>
        <w:tc>
          <w:tcPr>
            <w:tcW w:w="1080" w:type="dxa"/>
            <w:vAlign w:val="bottom"/>
          </w:tcPr>
          <w:p>
            <w:pPr>
              <w:ind w:left="140"/>
              <w:spacing w:after="0"/>
              <w:rPr>
                <w:sz w:val="20"/>
                <w:szCs w:val="20"/>
                <w:color w:val="auto"/>
              </w:rPr>
            </w:pPr>
            <w:r>
              <w:rPr>
                <w:rFonts w:ascii="Arial" w:cs="Arial" w:eastAsia="Arial" w:hAnsi="Arial"/>
                <w:sz w:val="10"/>
                <w:szCs w:val="10"/>
                <w:b w:val="1"/>
                <w:bCs w:val="1"/>
                <w:color w:val="auto"/>
              </w:rPr>
              <w:t>Abstain</w:t>
            </w:r>
          </w:p>
        </w:tc>
        <w:tc>
          <w:tcPr>
            <w:tcW w:w="2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20" w:type="dxa"/>
            <w:vAlign w:val="bottom"/>
            <w:tcBorders>
              <w:right w:val="single" w:sz="8" w:color="808080"/>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 w:type="dxa"/>
            <w:vAlign w:val="bottom"/>
            <w:tcBorders>
              <w:left w:val="single" w:sz="8" w:color="808080"/>
            </w:tcBorders>
          </w:tcPr>
          <w:p>
            <w:pPr>
              <w:spacing w:after="0"/>
              <w:rPr>
                <w:sz w:val="19"/>
                <w:szCs w:val="19"/>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1a.</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Virginia C. Drosos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0"/>
                <w:szCs w:val="10"/>
                <w:color w:val="auto"/>
              </w:rPr>
              <w:t>2.   Vote, on an Advisory Basis, to Approve the Company's Named</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60" w:type="dxa"/>
            <w:vAlign w:val="bottom"/>
            <w:tcBorders>
              <w:left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60" w:type="dxa"/>
            <w:vAlign w:val="bottom"/>
          </w:tcPr>
          <w:p>
            <w:pPr>
              <w:ind w:left="200"/>
              <w:spacing w:after="0"/>
              <w:rPr>
                <w:sz w:val="20"/>
                <w:szCs w:val="20"/>
                <w:color w:val="auto"/>
              </w:rPr>
            </w:pPr>
            <w:r>
              <w:rPr>
                <w:rFonts w:ascii="Arial" w:cs="Arial" w:eastAsia="Arial" w:hAnsi="Arial"/>
                <w:sz w:val="10"/>
                <w:szCs w:val="10"/>
                <w:color w:val="auto"/>
              </w:rPr>
              <w:t>Executive Officers' Compensation.</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808080"/>
            </w:tcBorders>
          </w:tcPr>
          <w:p>
            <w:pPr>
              <w:spacing w:after="0"/>
              <w:rPr>
                <w:sz w:val="13"/>
                <w:szCs w:val="13"/>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1b.</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Alan D. Feldman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4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rPr>
              <w:t>1 Year</w:t>
            </w:r>
          </w:p>
        </w:tc>
        <w:tc>
          <w:tcPr>
            <w:tcW w:w="56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95"/>
              </w:rPr>
              <w:t>2 Years</w:t>
            </w:r>
          </w:p>
        </w:tc>
        <w:tc>
          <w:tcPr>
            <w:tcW w:w="46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89"/>
              </w:rPr>
              <w:t>3 Years</w:t>
            </w:r>
          </w:p>
        </w:tc>
        <w:tc>
          <w:tcPr>
            <w:tcW w:w="820" w:type="dxa"/>
            <w:vAlign w:val="bottom"/>
            <w:tcBorders>
              <w:right w:val="single" w:sz="8" w:color="808080"/>
            </w:tcBorders>
            <w:gridSpan w:val="3"/>
            <w:vMerge w:val="restart"/>
          </w:tcPr>
          <w:p>
            <w:pPr>
              <w:ind w:left="140"/>
              <w:spacing w:after="0"/>
              <w:rPr>
                <w:sz w:val="20"/>
                <w:szCs w:val="20"/>
                <w:color w:val="auto"/>
              </w:rPr>
            </w:pPr>
            <w:r>
              <w:rPr>
                <w:rFonts w:ascii="Arial" w:cs="Arial" w:eastAsia="Arial" w:hAnsi="Arial"/>
                <w:sz w:val="10"/>
                <w:szCs w:val="10"/>
                <w:b w:val="1"/>
                <w:bCs w:val="1"/>
                <w:color w:val="auto"/>
              </w:rPr>
              <w:t>Abstain</w:t>
            </w:r>
          </w:p>
        </w:tc>
        <w:tc>
          <w:tcPr>
            <w:tcW w:w="0" w:type="dxa"/>
            <w:vAlign w:val="bottom"/>
          </w:tcPr>
          <w:p>
            <w:pPr>
              <w:spacing w:after="0"/>
              <w:rPr>
                <w:sz w:val="1"/>
                <w:szCs w:val="1"/>
                <w:color w:val="auto"/>
              </w:rPr>
            </w:pPr>
          </w:p>
        </w:tc>
      </w:tr>
      <w:tr>
        <w:trPr>
          <w:trHeight w:val="103"/>
        </w:trPr>
        <w:tc>
          <w:tcPr>
            <w:tcW w:w="260" w:type="dxa"/>
            <w:vAlign w:val="bottom"/>
            <w:tcBorders>
              <w:left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20" w:type="dxa"/>
            <w:vAlign w:val="bottom"/>
            <w:tcBorders>
              <w:right w:val="single" w:sz="8" w:color="808080"/>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0" w:type="dxa"/>
            <w:vAlign w:val="bottom"/>
            <w:tcBorders>
              <w:left w:val="single" w:sz="8" w:color="808080"/>
            </w:tcBorders>
          </w:tcPr>
          <w:p>
            <w:pPr>
              <w:spacing w:after="0"/>
              <w:rPr>
                <w:sz w:val="16"/>
                <w:szCs w:val="16"/>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1c.</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Richard A. Johnson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0" w:type="dxa"/>
            <w:vAlign w:val="bottom"/>
            <w:gridSpan w:val="3"/>
            <w:vMerge w:val="restart"/>
          </w:tcPr>
          <w:p>
            <w:pPr>
              <w:spacing w:after="0"/>
              <w:rPr>
                <w:sz w:val="20"/>
                <w:szCs w:val="20"/>
                <w:color w:val="auto"/>
              </w:rPr>
            </w:pPr>
            <w:r>
              <w:rPr>
                <w:rFonts w:ascii="Arial" w:cs="Arial" w:eastAsia="Arial" w:hAnsi="Arial"/>
                <w:sz w:val="19"/>
                <w:szCs w:val="19"/>
                <w:color w:val="auto"/>
                <w:vertAlign w:val="subscript"/>
              </w:rPr>
              <w:t>3</w:t>
            </w:r>
            <w:r>
              <w:rPr>
                <w:rFonts w:ascii="Times New Roman" w:cs="Times New Roman" w:eastAsia="Times New Roman" w:hAnsi="Times New Roman"/>
                <w:sz w:val="12"/>
                <w:szCs w:val="12"/>
                <w:color w:val="auto"/>
              </w:rPr>
              <w:t xml:space="preserve">.  </w:t>
            </w:r>
            <w:r>
              <w:rPr>
                <w:rFonts w:ascii="Arial" w:cs="Arial" w:eastAsia="Arial" w:hAnsi="Arial"/>
                <w:sz w:val="9"/>
                <w:szCs w:val="9"/>
                <w:color w:val="auto"/>
              </w:rPr>
              <w:t>Vote, on an Advisory Basis, on whether the Shareholder Vote to</w:t>
            </w: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60" w:type="dxa"/>
            <w:vAlign w:val="bottom"/>
            <w:tcBorders>
              <w:left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60" w:type="dxa"/>
            <w:vAlign w:val="bottom"/>
            <w:tcBorders>
              <w:left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0" w:type="dxa"/>
            <w:vAlign w:val="bottom"/>
            <w:gridSpan w:val="3"/>
          </w:tcPr>
          <w:p>
            <w:pPr>
              <w:ind w:left="200"/>
              <w:spacing w:after="0" w:line="104" w:lineRule="exact"/>
              <w:rPr>
                <w:sz w:val="20"/>
                <w:szCs w:val="20"/>
                <w:color w:val="auto"/>
              </w:rPr>
            </w:pPr>
            <w:r>
              <w:rPr>
                <w:rFonts w:ascii="Arial" w:cs="Arial" w:eastAsia="Arial" w:hAnsi="Arial"/>
                <w:sz w:val="10"/>
                <w:szCs w:val="10"/>
                <w:color w:val="auto"/>
              </w:rPr>
              <w:t>Approve the Company's Named Executive Officers' Compensation</w:t>
            </w: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60" w:type="dxa"/>
            <w:vAlign w:val="bottom"/>
            <w:tcBorders>
              <w:left w:val="single" w:sz="8" w:color="808080"/>
            </w:tcBorders>
          </w:tcPr>
          <w:p>
            <w:pPr>
              <w:spacing w:after="0"/>
              <w:rPr>
                <w:sz w:val="11"/>
                <w:szCs w:val="11"/>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1d.</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Guillermo G. Marmol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60" w:type="dxa"/>
            <w:vAlign w:val="bottom"/>
          </w:tcPr>
          <w:p>
            <w:pPr>
              <w:ind w:left="200"/>
              <w:spacing w:after="0"/>
              <w:rPr>
                <w:sz w:val="20"/>
                <w:szCs w:val="20"/>
                <w:color w:val="auto"/>
              </w:rPr>
            </w:pPr>
            <w:r>
              <w:rPr>
                <w:rFonts w:ascii="Arial" w:cs="Arial" w:eastAsia="Arial" w:hAnsi="Arial"/>
                <w:sz w:val="10"/>
                <w:szCs w:val="10"/>
                <w:color w:val="auto"/>
              </w:rPr>
              <w:t>Should Occur Every 1, 2, or 3 Years.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60" w:type="dxa"/>
            <w:vAlign w:val="bottom"/>
            <w:tcBorders>
              <w:left w:val="single" w:sz="8" w:color="808080"/>
            </w:tcBorders>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1e.</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Darlene Nicosia</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center"/>
              <w:ind w:left="12"/>
              <w:spacing w:after="0"/>
              <w:rPr>
                <w:sz w:val="20"/>
                <w:szCs w:val="20"/>
                <w:color w:val="auto"/>
              </w:rPr>
            </w:pPr>
            <w:r>
              <w:rPr>
                <w:rFonts w:ascii="Arial" w:cs="Arial" w:eastAsia="Arial" w:hAnsi="Arial"/>
                <w:sz w:val="10"/>
                <w:szCs w:val="10"/>
                <w:b w:val="1"/>
                <w:bCs w:val="1"/>
                <w:color w:val="auto"/>
                <w:w w:val="86"/>
              </w:rPr>
              <w:t>For</w:t>
            </w:r>
          </w:p>
        </w:tc>
        <w:tc>
          <w:tcPr>
            <w:tcW w:w="460" w:type="dxa"/>
            <w:vAlign w:val="bottom"/>
          </w:tcPr>
          <w:p>
            <w:pPr>
              <w:jc w:val="center"/>
              <w:ind w:left="12"/>
              <w:spacing w:after="0"/>
              <w:rPr>
                <w:sz w:val="20"/>
                <w:szCs w:val="20"/>
                <w:color w:val="auto"/>
              </w:rPr>
            </w:pPr>
            <w:r>
              <w:rPr>
                <w:rFonts w:ascii="Arial" w:cs="Arial" w:eastAsia="Arial" w:hAnsi="Arial"/>
                <w:sz w:val="10"/>
                <w:szCs w:val="10"/>
                <w:b w:val="1"/>
                <w:bCs w:val="1"/>
                <w:color w:val="auto"/>
                <w:w w:val="98"/>
              </w:rPr>
              <w:t>Against</w:t>
            </w:r>
          </w:p>
        </w:tc>
        <w:tc>
          <w:tcPr>
            <w:tcW w:w="820" w:type="dxa"/>
            <w:vAlign w:val="bottom"/>
            <w:tcBorders>
              <w:right w:val="single" w:sz="8" w:color="808080"/>
            </w:tcBorders>
            <w:gridSpan w:val="3"/>
          </w:tcPr>
          <w:p>
            <w:pPr>
              <w:ind w:left="140"/>
              <w:spacing w:after="0"/>
              <w:rPr>
                <w:sz w:val="20"/>
                <w:szCs w:val="20"/>
                <w:color w:val="auto"/>
              </w:rPr>
            </w:pPr>
            <w:r>
              <w:rPr>
                <w:rFonts w:ascii="Arial" w:cs="Arial" w:eastAsia="Arial" w:hAnsi="Arial"/>
                <w:sz w:val="10"/>
                <w:szCs w:val="10"/>
                <w:b w:val="1"/>
                <w:bCs w:val="1"/>
                <w:color w:val="auto"/>
              </w:rPr>
              <w:t>Abstain</w:t>
            </w:r>
          </w:p>
        </w:tc>
        <w:tc>
          <w:tcPr>
            <w:tcW w:w="0" w:type="dxa"/>
            <w:vAlign w:val="bottom"/>
          </w:tcPr>
          <w:p>
            <w:pPr>
              <w:spacing w:after="0"/>
              <w:rPr>
                <w:sz w:val="1"/>
                <w:szCs w:val="1"/>
                <w:color w:val="auto"/>
              </w:rPr>
            </w:pPr>
          </w:p>
        </w:tc>
      </w:tr>
      <w:tr>
        <w:trPr>
          <w:trHeight w:val="258"/>
        </w:trPr>
        <w:tc>
          <w:tcPr>
            <w:tcW w:w="260" w:type="dxa"/>
            <w:vAlign w:val="bottom"/>
            <w:tcBorders>
              <w:left w:val="single" w:sz="8" w:color="808080"/>
            </w:tcBorders>
          </w:tcPr>
          <w:p>
            <w:pPr>
              <w:spacing w:after="0"/>
              <w:rPr>
                <w:sz w:val="22"/>
                <w:szCs w:val="22"/>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1f.</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Steven Oakland</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xml:space="preserve">4.  </w:t>
            </w:r>
            <w:r>
              <w:rPr>
                <w:rFonts w:ascii="Arial" w:cs="Arial" w:eastAsia="Arial" w:hAnsi="Arial"/>
                <w:sz w:val="9"/>
                <w:szCs w:val="9"/>
                <w:color w:val="auto"/>
              </w:rPr>
              <w:t>Ratify the Appointment of KPMG LLP as the Company's Independent</w:t>
            </w: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Borders>
              <w:right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60" w:type="dxa"/>
            <w:vAlign w:val="bottom"/>
            <w:tcBorders>
              <w:left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60" w:type="dxa"/>
            <w:vAlign w:val="bottom"/>
          </w:tcPr>
          <w:p>
            <w:pPr>
              <w:ind w:left="200"/>
              <w:spacing w:after="0"/>
              <w:rPr>
                <w:sz w:val="20"/>
                <w:szCs w:val="20"/>
                <w:color w:val="auto"/>
              </w:rPr>
            </w:pPr>
            <w:r>
              <w:rPr>
                <w:rFonts w:ascii="Arial" w:cs="Arial" w:eastAsia="Arial" w:hAnsi="Arial"/>
                <w:sz w:val="10"/>
                <w:szCs w:val="10"/>
                <w:color w:val="auto"/>
                <w:w w:val="98"/>
              </w:rPr>
              <w:t>Registered Public Accounting Firm for the 2022 Fiscal Year.</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60" w:type="dxa"/>
            <w:vAlign w:val="bottom"/>
            <w:tcBorders>
              <w:left w:val="single" w:sz="8" w:color="808080"/>
            </w:tcBorders>
          </w:tcPr>
          <w:p>
            <w:pPr>
              <w:spacing w:after="0"/>
              <w:rPr>
                <w:sz w:val="17"/>
                <w:szCs w:val="17"/>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1g.</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Ulice Payne, Jr.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0" w:type="dxa"/>
            <w:vAlign w:val="bottom"/>
            <w:gridSpan w:val="3"/>
          </w:tcPr>
          <w:p>
            <w:pPr>
              <w:spacing w:after="0"/>
              <w:rPr>
                <w:sz w:val="20"/>
                <w:szCs w:val="20"/>
                <w:color w:val="auto"/>
              </w:rPr>
            </w:pPr>
            <w:r>
              <w:rPr>
                <w:rFonts w:ascii="Arial" w:cs="Arial" w:eastAsia="Arial" w:hAnsi="Arial"/>
                <w:sz w:val="10"/>
                <w:szCs w:val="10"/>
                <w:b w:val="1"/>
                <w:bCs w:val="1"/>
                <w:color w:val="auto"/>
              </w:rPr>
              <w:t xml:space="preserve">NOTE: </w:t>
            </w:r>
            <w:r>
              <w:rPr>
                <w:rFonts w:ascii="Arial" w:cs="Arial" w:eastAsia="Arial" w:hAnsi="Arial"/>
                <w:sz w:val="10"/>
                <w:szCs w:val="10"/>
                <w:color w:val="auto"/>
              </w:rPr>
              <w:t>Such other business as may properly come before the meeting or</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right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60" w:type="dxa"/>
            <w:vAlign w:val="bottom"/>
            <w:tcBorders>
              <w:left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60" w:type="dxa"/>
            <w:vAlign w:val="bottom"/>
          </w:tcPr>
          <w:p>
            <w:pPr>
              <w:spacing w:after="0"/>
              <w:rPr>
                <w:sz w:val="20"/>
                <w:szCs w:val="20"/>
                <w:color w:val="auto"/>
              </w:rPr>
            </w:pPr>
            <w:r>
              <w:rPr>
                <w:rFonts w:ascii="Arial" w:cs="Arial" w:eastAsia="Arial" w:hAnsi="Arial"/>
                <w:sz w:val="10"/>
                <w:szCs w:val="10"/>
                <w:color w:val="auto"/>
              </w:rPr>
              <w:t>any adjournment thereof.</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808080"/>
            </w:tcBorders>
          </w:tcPr>
          <w:p>
            <w:pPr>
              <w:spacing w:after="0"/>
              <w:rPr>
                <w:sz w:val="13"/>
                <w:szCs w:val="13"/>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1h.</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Kimberly Underhill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right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60" w:type="dxa"/>
            <w:vAlign w:val="bottom"/>
            <w:tcBorders>
              <w:left w:val="single" w:sz="8" w:color="808080"/>
            </w:tcBorders>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0"/>
                <w:szCs w:val="10"/>
                <w:color w:val="auto"/>
              </w:rPr>
              <w:t>1i.</w:t>
            </w:r>
          </w:p>
        </w:tc>
        <w:tc>
          <w:tcPr>
            <w:tcW w:w="2040" w:type="dxa"/>
            <w:vAlign w:val="bottom"/>
            <w:gridSpan w:val="5"/>
          </w:tcPr>
          <w:p>
            <w:pPr>
              <w:ind w:left="60"/>
              <w:spacing w:after="0"/>
              <w:rPr>
                <w:sz w:val="20"/>
                <w:szCs w:val="20"/>
                <w:color w:val="auto"/>
              </w:rPr>
            </w:pPr>
            <w:r>
              <w:rPr>
                <w:rFonts w:ascii="Arial" w:cs="Arial" w:eastAsia="Arial" w:hAnsi="Arial"/>
                <w:sz w:val="10"/>
                <w:szCs w:val="10"/>
                <w:color w:val="auto"/>
              </w:rPr>
              <w:t>Tristan Walker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 w:type="dxa"/>
            <w:vAlign w:val="bottom"/>
            <w:tcBorders>
              <w:left w:val="single" w:sz="8" w:color="808080"/>
            </w:tcBorders>
          </w:tcPr>
          <w:p>
            <w:pPr>
              <w:spacing w:after="0"/>
              <w:rPr>
                <w:sz w:val="21"/>
                <w:szCs w:val="21"/>
                <w:color w:val="auto"/>
              </w:rPr>
            </w:pPr>
          </w:p>
        </w:tc>
        <w:tc>
          <w:tcPr>
            <w:tcW w:w="560" w:type="dxa"/>
            <w:vAlign w:val="bottom"/>
            <w:vMerge w:val="restart"/>
          </w:tcPr>
          <w:p>
            <w:pPr>
              <w:ind w:left="220"/>
              <w:spacing w:after="0"/>
              <w:rPr>
                <w:sz w:val="20"/>
                <w:szCs w:val="20"/>
                <w:color w:val="auto"/>
              </w:rPr>
            </w:pPr>
            <w:r>
              <w:rPr>
                <w:rFonts w:ascii="Arial" w:cs="Arial" w:eastAsia="Arial" w:hAnsi="Arial"/>
                <w:sz w:val="10"/>
                <w:szCs w:val="10"/>
                <w:color w:val="auto"/>
              </w:rPr>
              <w:t>1j.</w:t>
            </w:r>
          </w:p>
        </w:tc>
        <w:tc>
          <w:tcPr>
            <w:tcW w:w="2040" w:type="dxa"/>
            <w:vAlign w:val="bottom"/>
            <w:gridSpan w:val="5"/>
            <w:vMerge w:val="restart"/>
          </w:tcPr>
          <w:p>
            <w:pPr>
              <w:ind w:left="60"/>
              <w:spacing w:after="0"/>
              <w:rPr>
                <w:sz w:val="20"/>
                <w:szCs w:val="20"/>
                <w:color w:val="auto"/>
              </w:rPr>
            </w:pPr>
            <w:r>
              <w:rPr>
                <w:rFonts w:ascii="Arial" w:cs="Arial" w:eastAsia="Arial" w:hAnsi="Arial"/>
                <w:sz w:val="10"/>
                <w:szCs w:val="10"/>
                <w:color w:val="auto"/>
              </w:rPr>
              <w:t>Dona D. Young</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10"/>
                <w:szCs w:val="10"/>
                <w:color w:val="auto"/>
              </w:rPr>
              <w:t>Please indicate if you plan to attend this meeting.</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260" w:type="dxa"/>
            <w:vAlign w:val="bottom"/>
            <w:tcBorders>
              <w:left w:val="single" w:sz="8" w:color="808080"/>
            </w:tcBorders>
          </w:tcPr>
          <w:p>
            <w:pPr>
              <w:spacing w:after="0"/>
              <w:rPr>
                <w:sz w:val="3"/>
                <w:szCs w:val="3"/>
                <w:color w:val="auto"/>
              </w:rPr>
            </w:pPr>
          </w:p>
        </w:tc>
        <w:tc>
          <w:tcPr>
            <w:tcW w:w="560" w:type="dxa"/>
            <w:vAlign w:val="bottom"/>
            <w:vMerge w:val="continue"/>
          </w:tcPr>
          <w:p>
            <w:pPr>
              <w:spacing w:after="0"/>
              <w:rPr>
                <w:sz w:val="3"/>
                <w:szCs w:val="3"/>
                <w:color w:val="auto"/>
              </w:rPr>
            </w:pPr>
          </w:p>
        </w:tc>
        <w:tc>
          <w:tcPr>
            <w:tcW w:w="2040" w:type="dxa"/>
            <w:vAlign w:val="bottom"/>
            <w:gridSpan w:val="5"/>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60" w:type="dxa"/>
            <w:vAlign w:val="bottom"/>
            <w:tcBorders>
              <w:left w:val="single" w:sz="8" w:color="808080"/>
            </w:tcBorders>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center"/>
              <w:ind w:left="12"/>
              <w:spacing w:after="0"/>
              <w:rPr>
                <w:sz w:val="20"/>
                <w:szCs w:val="20"/>
                <w:color w:val="auto"/>
              </w:rPr>
            </w:pPr>
            <w:r>
              <w:rPr>
                <w:rFonts w:ascii="Arial" w:cs="Arial" w:eastAsia="Arial" w:hAnsi="Arial"/>
                <w:sz w:val="10"/>
                <w:szCs w:val="10"/>
                <w:b w:val="1"/>
                <w:bCs w:val="1"/>
                <w:color w:val="auto"/>
              </w:rPr>
              <w:t>Yes</w:t>
            </w:r>
          </w:p>
        </w:tc>
        <w:tc>
          <w:tcPr>
            <w:tcW w:w="460" w:type="dxa"/>
            <w:vAlign w:val="bottom"/>
          </w:tcPr>
          <w:p>
            <w:pPr>
              <w:jc w:val="center"/>
              <w:ind w:left="12"/>
              <w:spacing w:after="0"/>
              <w:rPr>
                <w:sz w:val="20"/>
                <w:szCs w:val="20"/>
                <w:color w:val="auto"/>
              </w:rPr>
            </w:pPr>
            <w:r>
              <w:rPr>
                <w:rFonts w:ascii="Arial" w:cs="Arial" w:eastAsia="Arial" w:hAnsi="Arial"/>
                <w:sz w:val="10"/>
                <w:szCs w:val="10"/>
                <w:b w:val="1"/>
                <w:bCs w:val="1"/>
                <w:color w:val="auto"/>
                <w:w w:val="89"/>
              </w:rPr>
              <w:t>No</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Borders>
              <w:right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260" w:type="dxa"/>
            <w:vAlign w:val="bottom"/>
            <w:tcBorders>
              <w:left w:val="single" w:sz="8" w:color="808080"/>
            </w:tcBorders>
          </w:tcPr>
          <w:p>
            <w:pPr>
              <w:spacing w:after="0"/>
              <w:rPr>
                <w:sz w:val="10"/>
                <w:szCs w:val="10"/>
                <w:color w:val="auto"/>
              </w:rPr>
            </w:pPr>
          </w:p>
        </w:tc>
        <w:tc>
          <w:tcPr>
            <w:tcW w:w="9800" w:type="dxa"/>
            <w:vAlign w:val="bottom"/>
            <w:gridSpan w:val="17"/>
          </w:tcPr>
          <w:p>
            <w:pPr>
              <w:spacing w:after="0"/>
              <w:rPr>
                <w:sz w:val="20"/>
                <w:szCs w:val="20"/>
                <w:color w:val="auto"/>
              </w:rPr>
            </w:pPr>
            <w:r>
              <w:rPr>
                <w:rFonts w:ascii="Arial" w:cs="Arial" w:eastAsia="Arial" w:hAnsi="Arial"/>
                <w:sz w:val="10"/>
                <w:szCs w:val="10"/>
                <w:color w:val="auto"/>
                <w:w w:val="99"/>
              </w:rPr>
              <w:t>Please sign exactly as your name(s) appear(s) hereon. When signing as attorney, executor, administrator, or other fiduciary, please give full title as such. Joint owners should each sign personally. All holders must sign. If a</w:t>
            </w: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0" w:type="dxa"/>
            <w:vAlign w:val="bottom"/>
            <w:tcBorders>
              <w:left w:val="single" w:sz="8" w:color="808080"/>
            </w:tcBorders>
          </w:tcPr>
          <w:p>
            <w:pPr>
              <w:spacing w:after="0"/>
              <w:rPr>
                <w:sz w:val="10"/>
                <w:szCs w:val="10"/>
                <w:color w:val="auto"/>
              </w:rPr>
            </w:pPr>
          </w:p>
        </w:tc>
        <w:tc>
          <w:tcPr>
            <w:tcW w:w="4560" w:type="dxa"/>
            <w:vAlign w:val="bottom"/>
            <w:gridSpan w:val="12"/>
          </w:tcPr>
          <w:p>
            <w:pPr>
              <w:spacing w:after="0"/>
              <w:rPr>
                <w:sz w:val="20"/>
                <w:szCs w:val="20"/>
                <w:color w:val="auto"/>
              </w:rPr>
            </w:pPr>
            <w:r>
              <w:rPr>
                <w:rFonts w:ascii="Arial" w:cs="Arial" w:eastAsia="Arial" w:hAnsi="Arial"/>
                <w:sz w:val="10"/>
                <w:szCs w:val="10"/>
                <w:color w:val="auto"/>
              </w:rPr>
              <w:t>corporation or partnership, please sign in full corporate or partnership name by authorized officer.</w:t>
            </w:r>
          </w:p>
        </w:tc>
        <w:tc>
          <w:tcPr>
            <w:tcW w:w="10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60" w:type="dxa"/>
            <w:vAlign w:val="bottom"/>
            <w:tcBorders>
              <w:left w:val="single" w:sz="8" w:color="808080"/>
            </w:tcBorders>
          </w:tcPr>
          <w:p>
            <w:pPr>
              <w:spacing w:after="0"/>
              <w:rPr>
                <w:sz w:val="13"/>
                <w:szCs w:val="13"/>
                <w:color w:val="auto"/>
              </w:rPr>
            </w:pPr>
          </w:p>
        </w:tc>
        <w:tc>
          <w:tcPr>
            <w:tcW w:w="260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right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60" w:type="dxa"/>
            <w:vAlign w:val="bottom"/>
            <w:tcBorders>
              <w:left w:val="single" w:sz="8" w:color="808080"/>
              <w:right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left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860" w:type="dxa"/>
            <w:vAlign w:val="bottom"/>
            <w:tcBorders>
              <w:top w:val="single" w:sz="8" w:color="auto"/>
              <w:bottom w:val="single" w:sz="8" w:color="auto"/>
              <w:right w:val="single" w:sz="8" w:color="auto"/>
            </w:tcBorders>
          </w:tcPr>
          <w:p>
            <w:pPr>
              <w:spacing w:after="0"/>
              <w:rPr>
                <w:sz w:val="18"/>
                <w:szCs w:val="18"/>
                <w:color w:val="auto"/>
              </w:rPr>
            </w:pPr>
          </w:p>
        </w:tc>
        <w:tc>
          <w:tcPr>
            <w:tcW w:w="520" w:type="dxa"/>
            <w:vAlign w:val="bottom"/>
            <w:tcBorders>
              <w:top w:val="single" w:sz="8" w:color="auto"/>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808080"/>
              <w:bottom w:val="single" w:sz="8" w:color="808080"/>
            </w:tcBorders>
          </w:tcPr>
          <w:p>
            <w:pPr>
              <w:spacing w:after="0"/>
              <w:rPr>
                <w:sz w:val="9"/>
                <w:szCs w:val="9"/>
                <w:color w:val="auto"/>
              </w:rPr>
            </w:pPr>
          </w:p>
        </w:tc>
        <w:tc>
          <w:tcPr>
            <w:tcW w:w="2600" w:type="dxa"/>
            <w:vAlign w:val="bottom"/>
            <w:tcBorders>
              <w:bottom w:val="single" w:sz="8" w:color="808080"/>
            </w:tcBorders>
            <w:gridSpan w:val="6"/>
          </w:tcPr>
          <w:p>
            <w:pPr>
              <w:spacing w:after="0" w:line="110" w:lineRule="exact"/>
              <w:rPr>
                <w:sz w:val="20"/>
                <w:szCs w:val="20"/>
                <w:color w:val="auto"/>
              </w:rPr>
            </w:pPr>
            <w:r>
              <w:rPr>
                <w:rFonts w:ascii="Arial" w:cs="Arial" w:eastAsia="Arial" w:hAnsi="Arial"/>
                <w:sz w:val="10"/>
                <w:szCs w:val="10"/>
                <w:color w:val="auto"/>
              </w:rPr>
              <w:t>Signature [PLEASE SIGN WITHIN BOX]</w:t>
            </w: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ind w:left="20"/>
              <w:spacing w:after="0" w:line="110" w:lineRule="exact"/>
              <w:rPr>
                <w:sz w:val="20"/>
                <w:szCs w:val="20"/>
                <w:color w:val="auto"/>
              </w:rPr>
            </w:pPr>
            <w:r>
              <w:rPr>
                <w:rFonts w:ascii="Arial" w:cs="Arial" w:eastAsia="Arial" w:hAnsi="Arial"/>
                <w:sz w:val="10"/>
                <w:szCs w:val="10"/>
                <w:color w:val="auto"/>
              </w:rPr>
              <w:t>Date</w:t>
            </w: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line="110" w:lineRule="exact"/>
              <w:rPr>
                <w:sz w:val="20"/>
                <w:szCs w:val="20"/>
                <w:color w:val="auto"/>
              </w:rPr>
            </w:pPr>
            <w:r>
              <w:rPr>
                <w:rFonts w:ascii="Arial" w:cs="Arial" w:eastAsia="Arial" w:hAnsi="Arial"/>
                <w:sz w:val="10"/>
                <w:szCs w:val="10"/>
                <w:color w:val="auto"/>
              </w:rPr>
              <w:t>Signature (Joint Owners)</w:t>
            </w:r>
          </w:p>
        </w:tc>
        <w:tc>
          <w:tcPr>
            <w:tcW w:w="520" w:type="dxa"/>
            <w:vAlign w:val="bottom"/>
            <w:tcBorders>
              <w:bottom w:val="single" w:sz="8" w:color="808080"/>
            </w:tcBorders>
          </w:tcPr>
          <w:p>
            <w:pPr>
              <w:spacing w:after="0" w:line="110" w:lineRule="exact"/>
              <w:rPr>
                <w:sz w:val="20"/>
                <w:szCs w:val="20"/>
                <w:color w:val="auto"/>
              </w:rPr>
            </w:pPr>
            <w:r>
              <w:rPr>
                <w:rFonts w:ascii="Arial" w:cs="Arial" w:eastAsia="Arial" w:hAnsi="Arial"/>
                <w:sz w:val="10"/>
                <w:szCs w:val="10"/>
                <w:color w:val="auto"/>
              </w:rPr>
              <w:t>Date</w:t>
            </w: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60" w:type="dxa"/>
            <w:vAlign w:val="bottom"/>
            <w:tcBorders>
              <w:bottom w:val="single" w:sz="8" w:color="221E1F"/>
            </w:tcBorders>
          </w:tcPr>
          <w:p>
            <w:pPr>
              <w:spacing w:after="0"/>
              <w:rPr>
                <w:sz w:val="24"/>
                <w:szCs w:val="24"/>
                <w:color w:val="auto"/>
              </w:rPr>
            </w:pPr>
          </w:p>
        </w:tc>
        <w:tc>
          <w:tcPr>
            <w:tcW w:w="560" w:type="dxa"/>
            <w:vAlign w:val="bottom"/>
            <w:tcBorders>
              <w:bottom w:val="single" w:sz="8" w:color="221E1F"/>
            </w:tcBorders>
          </w:tcPr>
          <w:p>
            <w:pPr>
              <w:spacing w:after="0"/>
              <w:rPr>
                <w:sz w:val="24"/>
                <w:szCs w:val="24"/>
                <w:color w:val="auto"/>
              </w:rPr>
            </w:pPr>
          </w:p>
        </w:tc>
        <w:tc>
          <w:tcPr>
            <w:tcW w:w="120" w:type="dxa"/>
            <w:vAlign w:val="bottom"/>
            <w:tcBorders>
              <w:bottom w:val="single" w:sz="8" w:color="221E1F"/>
            </w:tcBorders>
          </w:tcPr>
          <w:p>
            <w:pPr>
              <w:spacing w:after="0"/>
              <w:rPr>
                <w:sz w:val="24"/>
                <w:szCs w:val="24"/>
                <w:color w:val="auto"/>
              </w:rPr>
            </w:pPr>
          </w:p>
        </w:tc>
        <w:tc>
          <w:tcPr>
            <w:tcW w:w="200" w:type="dxa"/>
            <w:vAlign w:val="bottom"/>
            <w:tcBorders>
              <w:bottom w:val="single" w:sz="8" w:color="221E1F"/>
            </w:tcBorders>
          </w:tcPr>
          <w:p>
            <w:pPr>
              <w:spacing w:after="0"/>
              <w:rPr>
                <w:sz w:val="24"/>
                <w:szCs w:val="24"/>
                <w:color w:val="auto"/>
              </w:rPr>
            </w:pPr>
          </w:p>
        </w:tc>
        <w:tc>
          <w:tcPr>
            <w:tcW w:w="600" w:type="dxa"/>
            <w:vAlign w:val="bottom"/>
            <w:tcBorders>
              <w:bottom w:val="single" w:sz="8" w:color="221E1F"/>
            </w:tcBorders>
          </w:tcPr>
          <w:p>
            <w:pPr>
              <w:spacing w:after="0"/>
              <w:rPr>
                <w:sz w:val="24"/>
                <w:szCs w:val="24"/>
                <w:color w:val="auto"/>
              </w:rPr>
            </w:pPr>
          </w:p>
        </w:tc>
        <w:tc>
          <w:tcPr>
            <w:tcW w:w="280" w:type="dxa"/>
            <w:vAlign w:val="bottom"/>
            <w:tcBorders>
              <w:bottom w:val="single" w:sz="8" w:color="221E1F"/>
            </w:tcBorders>
          </w:tcPr>
          <w:p>
            <w:pPr>
              <w:spacing w:after="0"/>
              <w:rPr>
                <w:sz w:val="24"/>
                <w:szCs w:val="24"/>
                <w:color w:val="auto"/>
              </w:rPr>
            </w:pPr>
          </w:p>
        </w:tc>
        <w:tc>
          <w:tcPr>
            <w:tcW w:w="840" w:type="dxa"/>
            <w:vAlign w:val="bottom"/>
            <w:tcBorders>
              <w:bottom w:val="single" w:sz="8" w:color="221E1F"/>
            </w:tcBorders>
          </w:tcPr>
          <w:p>
            <w:pPr>
              <w:spacing w:after="0"/>
              <w:rPr>
                <w:sz w:val="24"/>
                <w:szCs w:val="24"/>
                <w:color w:val="auto"/>
              </w:rPr>
            </w:pPr>
          </w:p>
        </w:tc>
        <w:tc>
          <w:tcPr>
            <w:tcW w:w="140" w:type="dxa"/>
            <w:vAlign w:val="bottom"/>
            <w:tcBorders>
              <w:bottom w:val="single" w:sz="8" w:color="221E1F"/>
            </w:tcBorders>
          </w:tcPr>
          <w:p>
            <w:pPr>
              <w:spacing w:after="0"/>
              <w:rPr>
                <w:sz w:val="24"/>
                <w:szCs w:val="24"/>
                <w:color w:val="auto"/>
              </w:rPr>
            </w:pPr>
          </w:p>
        </w:tc>
        <w:tc>
          <w:tcPr>
            <w:tcW w:w="80" w:type="dxa"/>
            <w:vAlign w:val="bottom"/>
            <w:tcBorders>
              <w:bottom w:val="single" w:sz="8" w:color="221E1F"/>
            </w:tcBorders>
          </w:tcPr>
          <w:p>
            <w:pPr>
              <w:spacing w:after="0"/>
              <w:rPr>
                <w:sz w:val="24"/>
                <w:szCs w:val="24"/>
                <w:color w:val="auto"/>
              </w:rPr>
            </w:pPr>
          </w:p>
        </w:tc>
        <w:tc>
          <w:tcPr>
            <w:tcW w:w="120" w:type="dxa"/>
            <w:vAlign w:val="bottom"/>
            <w:tcBorders>
              <w:bottom w:val="single" w:sz="8" w:color="221E1F"/>
            </w:tcBorders>
          </w:tcPr>
          <w:p>
            <w:pPr>
              <w:spacing w:after="0"/>
              <w:rPr>
                <w:sz w:val="24"/>
                <w:szCs w:val="24"/>
                <w:color w:val="auto"/>
              </w:rPr>
            </w:pPr>
          </w:p>
        </w:tc>
        <w:tc>
          <w:tcPr>
            <w:tcW w:w="420" w:type="dxa"/>
            <w:vAlign w:val="bottom"/>
            <w:tcBorders>
              <w:bottom w:val="single" w:sz="8" w:color="221E1F"/>
            </w:tcBorders>
          </w:tcPr>
          <w:p>
            <w:pPr>
              <w:spacing w:after="0"/>
              <w:rPr>
                <w:sz w:val="24"/>
                <w:szCs w:val="24"/>
                <w:color w:val="auto"/>
              </w:rPr>
            </w:pPr>
          </w:p>
        </w:tc>
        <w:tc>
          <w:tcPr>
            <w:tcW w:w="520" w:type="dxa"/>
            <w:vAlign w:val="bottom"/>
            <w:tcBorders>
              <w:bottom w:val="single" w:sz="8" w:color="221E1F"/>
            </w:tcBorders>
          </w:tcPr>
          <w:p>
            <w:pPr>
              <w:spacing w:after="0"/>
              <w:rPr>
                <w:sz w:val="24"/>
                <w:szCs w:val="24"/>
                <w:color w:val="auto"/>
              </w:rPr>
            </w:pPr>
          </w:p>
        </w:tc>
        <w:tc>
          <w:tcPr>
            <w:tcW w:w="680" w:type="dxa"/>
            <w:vAlign w:val="bottom"/>
            <w:tcBorders>
              <w:bottom w:val="single" w:sz="8" w:color="221E1F"/>
            </w:tcBorders>
          </w:tcPr>
          <w:p>
            <w:pPr>
              <w:spacing w:after="0"/>
              <w:rPr>
                <w:sz w:val="24"/>
                <w:szCs w:val="24"/>
                <w:color w:val="auto"/>
              </w:rPr>
            </w:pPr>
          </w:p>
        </w:tc>
        <w:tc>
          <w:tcPr>
            <w:tcW w:w="1080" w:type="dxa"/>
            <w:vAlign w:val="bottom"/>
            <w:tcBorders>
              <w:bottom w:val="single" w:sz="8" w:color="221E1F"/>
            </w:tcBorders>
          </w:tcPr>
          <w:p>
            <w:pPr>
              <w:spacing w:after="0"/>
              <w:rPr>
                <w:sz w:val="24"/>
                <w:szCs w:val="24"/>
                <w:color w:val="auto"/>
              </w:rPr>
            </w:pPr>
          </w:p>
        </w:tc>
        <w:tc>
          <w:tcPr>
            <w:tcW w:w="2860" w:type="dxa"/>
            <w:vAlign w:val="bottom"/>
            <w:tcBorders>
              <w:bottom w:val="single" w:sz="8" w:color="221E1F"/>
            </w:tcBorders>
          </w:tcPr>
          <w:p>
            <w:pPr>
              <w:spacing w:after="0"/>
              <w:rPr>
                <w:sz w:val="24"/>
                <w:szCs w:val="24"/>
                <w:color w:val="auto"/>
              </w:rPr>
            </w:pPr>
          </w:p>
        </w:tc>
        <w:tc>
          <w:tcPr>
            <w:tcW w:w="520" w:type="dxa"/>
            <w:vAlign w:val="bottom"/>
            <w:tcBorders>
              <w:bottom w:val="single" w:sz="8" w:color="221E1F"/>
            </w:tcBorders>
          </w:tcPr>
          <w:p>
            <w:pPr>
              <w:spacing w:after="0"/>
              <w:rPr>
                <w:sz w:val="24"/>
                <w:szCs w:val="24"/>
                <w:color w:val="auto"/>
              </w:rPr>
            </w:pPr>
          </w:p>
        </w:tc>
        <w:tc>
          <w:tcPr>
            <w:tcW w:w="220" w:type="dxa"/>
            <w:vAlign w:val="bottom"/>
            <w:tcBorders>
              <w:bottom w:val="single" w:sz="8" w:color="221E1F"/>
            </w:tcBorders>
          </w:tcPr>
          <w:p>
            <w:pPr>
              <w:spacing w:after="0"/>
              <w:rPr>
                <w:sz w:val="24"/>
                <w:szCs w:val="24"/>
                <w:color w:val="auto"/>
              </w:rPr>
            </w:pPr>
          </w:p>
        </w:tc>
        <w:tc>
          <w:tcPr>
            <w:tcW w:w="560" w:type="dxa"/>
            <w:vAlign w:val="bottom"/>
            <w:tcBorders>
              <w:bottom w:val="single" w:sz="8" w:color="221E1F"/>
            </w:tcBorders>
          </w:tcPr>
          <w:p>
            <w:pPr>
              <w:spacing w:after="0"/>
              <w:rPr>
                <w:sz w:val="24"/>
                <w:szCs w:val="24"/>
                <w:color w:val="auto"/>
              </w:rPr>
            </w:pPr>
          </w:p>
        </w:tc>
        <w:tc>
          <w:tcPr>
            <w:tcW w:w="460" w:type="dxa"/>
            <w:vAlign w:val="bottom"/>
            <w:tcBorders>
              <w:bottom w:val="single" w:sz="8" w:color="221E1F"/>
            </w:tcBorders>
          </w:tcPr>
          <w:p>
            <w:pPr>
              <w:spacing w:after="0"/>
              <w:rPr>
                <w:sz w:val="24"/>
                <w:szCs w:val="24"/>
                <w:color w:val="auto"/>
              </w:rPr>
            </w:pPr>
          </w:p>
        </w:tc>
        <w:tc>
          <w:tcPr>
            <w:tcW w:w="580" w:type="dxa"/>
            <w:vAlign w:val="bottom"/>
            <w:tcBorders>
              <w:bottom w:val="single" w:sz="8" w:color="221E1F"/>
            </w:tcBorders>
          </w:tcPr>
          <w:p>
            <w:pPr>
              <w:spacing w:after="0"/>
              <w:rPr>
                <w:sz w:val="24"/>
                <w:szCs w:val="24"/>
                <w:color w:val="auto"/>
              </w:rPr>
            </w:pPr>
          </w:p>
        </w:tc>
        <w:tc>
          <w:tcPr>
            <w:tcW w:w="200" w:type="dxa"/>
            <w:vAlign w:val="bottom"/>
            <w:tcBorders>
              <w:bottom w:val="single" w:sz="8" w:color="221E1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-2645410</wp:posOffset>
            </wp:positionV>
            <wp:extent cx="91440" cy="971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-2645410</wp:posOffset>
            </wp:positionV>
            <wp:extent cx="91440" cy="971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-2645410</wp:posOffset>
            </wp:positionV>
            <wp:extent cx="91440" cy="971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-2462530</wp:posOffset>
            </wp:positionV>
            <wp:extent cx="91440" cy="971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-2462530</wp:posOffset>
            </wp:positionV>
            <wp:extent cx="91440" cy="971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-2462530</wp:posOffset>
            </wp:positionV>
            <wp:extent cx="91440" cy="971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-2279650</wp:posOffset>
            </wp:positionV>
            <wp:extent cx="91440" cy="971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-2279650</wp:posOffset>
            </wp:positionV>
            <wp:extent cx="91440" cy="971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-2279650</wp:posOffset>
            </wp:positionV>
            <wp:extent cx="91440" cy="971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-2096770</wp:posOffset>
            </wp:positionV>
            <wp:extent cx="91440" cy="971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-2096770</wp:posOffset>
            </wp:positionV>
            <wp:extent cx="91440" cy="971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-2096770</wp:posOffset>
            </wp:positionV>
            <wp:extent cx="91440" cy="971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-1913890</wp:posOffset>
            </wp:positionV>
            <wp:extent cx="91440" cy="971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-1913890</wp:posOffset>
            </wp:positionV>
            <wp:extent cx="91440" cy="971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-1913890</wp:posOffset>
            </wp:positionV>
            <wp:extent cx="91440" cy="971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-1731010</wp:posOffset>
            </wp:positionV>
            <wp:extent cx="91440" cy="971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-1731010</wp:posOffset>
            </wp:positionV>
            <wp:extent cx="91440" cy="971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-1731010</wp:posOffset>
            </wp:positionV>
            <wp:extent cx="91440" cy="971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-1548130</wp:posOffset>
            </wp:positionV>
            <wp:extent cx="91440" cy="971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-1548130</wp:posOffset>
            </wp:positionV>
            <wp:extent cx="91440" cy="971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-1548130</wp:posOffset>
            </wp:positionV>
            <wp:extent cx="91440" cy="971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-1365250</wp:posOffset>
            </wp:positionV>
            <wp:extent cx="91440" cy="971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-1365250</wp:posOffset>
            </wp:positionV>
            <wp:extent cx="91440" cy="971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-1365250</wp:posOffset>
            </wp:positionV>
            <wp:extent cx="91440" cy="971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-1182370</wp:posOffset>
            </wp:positionV>
            <wp:extent cx="91440" cy="971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-1182370</wp:posOffset>
            </wp:positionV>
            <wp:extent cx="91440" cy="971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-1182370</wp:posOffset>
            </wp:positionV>
            <wp:extent cx="91440" cy="971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-999490</wp:posOffset>
            </wp:positionV>
            <wp:extent cx="91440" cy="971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-999490</wp:posOffset>
            </wp:positionV>
            <wp:extent cx="91440" cy="971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-999490</wp:posOffset>
            </wp:positionV>
            <wp:extent cx="91440" cy="971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-2628265</wp:posOffset>
            </wp:positionV>
            <wp:extent cx="91440" cy="971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-2628265</wp:posOffset>
            </wp:positionV>
            <wp:extent cx="91440" cy="971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6835775</wp:posOffset>
            </wp:positionH>
            <wp:positionV relativeFrom="paragraph">
              <wp:posOffset>-2628265</wp:posOffset>
            </wp:positionV>
            <wp:extent cx="91440" cy="971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-2239645</wp:posOffset>
            </wp:positionV>
            <wp:extent cx="91440" cy="971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-2239645</wp:posOffset>
            </wp:positionV>
            <wp:extent cx="91440" cy="971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-2239645</wp:posOffset>
            </wp:positionV>
            <wp:extent cx="91440" cy="971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6835775</wp:posOffset>
            </wp:positionH>
            <wp:positionV relativeFrom="paragraph">
              <wp:posOffset>-2239645</wp:posOffset>
            </wp:positionV>
            <wp:extent cx="91440" cy="971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-1759585</wp:posOffset>
            </wp:positionV>
            <wp:extent cx="91440" cy="971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-1759585</wp:posOffset>
            </wp:positionV>
            <wp:extent cx="91440" cy="971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6835775</wp:posOffset>
            </wp:positionH>
            <wp:positionV relativeFrom="paragraph">
              <wp:posOffset>-1759585</wp:posOffset>
            </wp:positionV>
            <wp:extent cx="91440" cy="971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-1028065</wp:posOffset>
            </wp:positionV>
            <wp:extent cx="91440" cy="971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1440" cy="97155"/>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-1028065</wp:posOffset>
            </wp:positionV>
            <wp:extent cx="91440" cy="971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1440" cy="97155"/>
                    </a:xfrm>
                    <a:prstGeom prst="rect">
                      <a:avLst/>
                    </a:prstGeom>
                    <a:noFill/>
                  </pic:spPr>
                </pic:pic>
              </a:graphicData>
            </a:graphic>
          </wp:anchor>
        </w:drawing>
      </w:r>
    </w:p>
    <w:p>
      <w:pPr>
        <w:sectPr>
          <w:pgSz w:w="11900" w:h="16838" w:orient="portrait"/>
          <w:cols w:equalWidth="0" w:num="1">
            <w:col w:w="11340"/>
          </w:cols>
          <w:pgMar w:left="300" w:top="1440" w:right="259" w:bottom="1440" w:gutter="0" w:footer="0" w:header="0"/>
          <w:type w:val="continuous"/>
        </w:sectPr>
      </w:pPr>
    </w:p>
    <w:bookmarkStart w:id="112" w:name="page113"/>
    <w:bookmarkEnd w:id="112"/>
    <w:p>
      <w:pPr>
        <w:spacing w:after="0" w:line="200" w:lineRule="exact"/>
        <w:rPr>
          <w:sz w:val="20"/>
          <w:szCs w:val="20"/>
          <w:color w:val="auto"/>
        </w:rPr>
      </w:pPr>
    </w:p>
    <w:p>
      <w:pPr>
        <w:spacing w:after="0" w:line="305" w:lineRule="exact"/>
        <w:rPr>
          <w:sz w:val="20"/>
          <w:szCs w:val="20"/>
          <w:color w:val="auto"/>
        </w:rPr>
      </w:pPr>
    </w:p>
    <w:p>
      <w:pPr>
        <w:jc w:val="center"/>
        <w:ind w:right="260"/>
        <w:spacing w:after="0"/>
        <w:rPr>
          <w:sz w:val="20"/>
          <w:szCs w:val="20"/>
          <w:color w:val="auto"/>
        </w:rPr>
      </w:pPr>
      <w:r>
        <w:rPr>
          <w:rFonts w:ascii="Arial" w:cs="Arial" w:eastAsia="Arial" w:hAnsi="Arial"/>
          <w:sz w:val="12"/>
          <w:szCs w:val="12"/>
          <w:b w:val="1"/>
          <w:bCs w:val="1"/>
          <w:color w:val="auto"/>
        </w:rPr>
        <w:t>Important Notice Regarding the Availability of Proxy Materials for the Annual Meeting:</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 xml:space="preserve">The Notice and Proxy Statement and Annual Report with Form 10-K are available at </w:t>
      </w:r>
      <w:r>
        <w:rPr>
          <w:rFonts w:ascii="Arial" w:cs="Arial" w:eastAsia="Arial" w:hAnsi="Arial"/>
          <w:sz w:val="12"/>
          <w:szCs w:val="12"/>
          <w:u w:val="single" w:color="auto"/>
          <w:color w:val="auto"/>
        </w:rPr>
        <w:t>www.proxyvote.com</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D67374-P64618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21590</wp:posOffset>
            </wp:positionV>
            <wp:extent cx="7178040" cy="2823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2823210"/>
                    </a:xfrm>
                    <a:prstGeom prst="rect">
                      <a:avLst/>
                    </a:prstGeom>
                    <a:noFill/>
                  </pic:spPr>
                </pic:pic>
              </a:graphicData>
            </a:graphic>
          </wp:anchor>
        </w:drawing>
      </w:r>
    </w:p>
    <w:p>
      <w:pPr>
        <w:spacing w:after="0" w:line="266"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FOOT LOCKER, INC.</w:t>
      </w:r>
    </w:p>
    <w:p>
      <w:pPr>
        <w:spacing w:after="0" w:line="15"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Annual Meeting of Shareholders</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May 18, 2022 at 9:00 A.M. Eastern Daylight Time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This proxy is solicited by the Board of Directors of Foot Locker, Inc.</w:t>
      </w:r>
    </w:p>
    <w:p>
      <w:pPr>
        <w:spacing w:after="0" w:line="101" w:lineRule="exact"/>
        <w:rPr>
          <w:sz w:val="20"/>
          <w:szCs w:val="20"/>
          <w:color w:val="auto"/>
        </w:rPr>
      </w:pPr>
    </w:p>
    <w:p>
      <w:pPr>
        <w:jc w:val="both"/>
        <w:ind w:right="240"/>
        <w:spacing w:after="0" w:line="243" w:lineRule="auto"/>
        <w:rPr>
          <w:sz w:val="20"/>
          <w:szCs w:val="20"/>
          <w:color w:val="auto"/>
        </w:rPr>
      </w:pPr>
      <w:r>
        <w:rPr>
          <w:rFonts w:ascii="Arial" w:cs="Arial" w:eastAsia="Arial" w:hAnsi="Arial"/>
          <w:sz w:val="12"/>
          <w:szCs w:val="12"/>
          <w:color w:val="auto"/>
        </w:rPr>
        <w:t>Andrew E. Page, Sheilagh M. Clarke, and John A. Maurer, or any of them, each with the power of substitution, are hereby authorized to vote the shares of the undersigned at the Annual Meeting of Shareholders of Foot Locker, Inc., to be held on May 18, 2022, at 9:00 A.M., local time, virtually at www.virtualshareholdermeeting.com/FL2022, and at any adjournment or postponement thereof, upon the matters set forth in Foot Locker, Inc.'s 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111" w:lineRule="exact"/>
        <w:rPr>
          <w:sz w:val="20"/>
          <w:szCs w:val="20"/>
          <w:color w:val="auto"/>
        </w:rPr>
      </w:pPr>
    </w:p>
    <w:p>
      <w:pPr>
        <w:jc w:val="both"/>
        <w:ind w:right="240"/>
        <w:spacing w:after="0" w:line="250" w:lineRule="auto"/>
        <w:rPr>
          <w:sz w:val="20"/>
          <w:szCs w:val="20"/>
          <w:color w:val="auto"/>
        </w:rPr>
      </w:pPr>
      <w:r>
        <w:rPr>
          <w:rFonts w:ascii="Arial" w:cs="Arial" w:eastAsia="Arial" w:hAnsi="Arial"/>
          <w:sz w:val="12"/>
          <w:szCs w:val="12"/>
          <w:b w:val="1"/>
          <w:bCs w:val="1"/>
          <w:color w:val="auto"/>
        </w:rPr>
        <w:t>IF YOU ARE NOT VOTING BY TELEPHONE OR INTERNET, PLEASE SIGN AND DATE THE REVERSE SIDE OF THIS PROXY CARD AND PROMPTLY RETURN IT IN THE ENCLOSED ENVELOPE. THE PERSONS NAMED ABOVE AS PROXIES CANNOT VOTE THE SHARES UNLESS YOU SIGN AND RETURN THIS CARD OR VOTE BY TELEPHONE OR INTERNET. YOU MAY SPECIFY YOUR CHOICES BY MARKING THE APPROPRIATE BOXES, BUT YOU NEED NOT MARK ANY BOX IF YOU WISH TO VOTE IN ACCORDANCE WITH THE BOARD OF DIRECTORS' RECOMMENDATIONS.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PLANS</w:t>
      </w:r>
    </w:p>
    <w:p>
      <w:pPr>
        <w:spacing w:after="0" w:line="18" w:lineRule="exact"/>
        <w:rPr>
          <w:sz w:val="20"/>
          <w:szCs w:val="20"/>
          <w:color w:val="auto"/>
        </w:rPr>
      </w:pPr>
    </w:p>
    <w:p>
      <w:pPr>
        <w:jc w:val="both"/>
        <w:ind w:right="260"/>
        <w:spacing w:after="0" w:line="249" w:lineRule="auto"/>
        <w:rPr>
          <w:sz w:val="20"/>
          <w:szCs w:val="20"/>
          <w:color w:val="auto"/>
        </w:rPr>
      </w:pPr>
      <w:r>
        <w:rPr>
          <w:rFonts w:ascii="Arial" w:cs="Arial" w:eastAsia="Arial" w:hAnsi="Arial"/>
          <w:sz w:val="12"/>
          <w:szCs w:val="12"/>
          <w:color w:val="auto"/>
        </w:rPr>
        <w:t>IF YOU ARE A PARTICIPANT IN THE FOOT LOCKER 401(k) PLAN OR THE FOOT LOCKER PUERTO RICO 1165(e) PLAN, BY SIGNING AND RETURNING THIS PROXY CARD (OR VOTING BY TELEPHONE OR INTERNET), YOU WILL AUTHORIZE THE PLAN TRUSTEES TO VOTE THOSE SHARES ALLOCATED TO YOUR ACCOUNT AS YOU HAVE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303530</wp:posOffset>
            </wp:positionV>
            <wp:extent cx="717804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sectPr>
      <w:pgSz w:w="11900" w:h="16838" w:orient="portrait"/>
      <w:cols w:equalWidth="0" w:num="1">
        <w:col w:w="10620"/>
      </w:cols>
      <w:pgMar w:left="76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lvl w:ilvl="1">
      <w:lvlJc w:val="left"/>
      <w:lvlText w:val="(%2)"/>
      <w:numFmt w:val="decimal"/>
      <w:start w:val="1"/>
    </w:lvl>
  </w:abstractNum>
  <w:abstractNum w:abstractNumId="5">
    <w:nsid w:val="4C04A8AF"/>
    <w:multiLevelType w:val="hybridMultilevel"/>
    <w:lvl w:ilvl="0">
      <w:lvlJc w:val="left"/>
      <w:lvlText w:val="%1"/>
      <w:numFmt w:val="lowerRoman"/>
      <w:start w:val="2"/>
    </w:lvl>
  </w:abstractNum>
  <w:abstractNum w:abstractNumId="6">
    <w:nsid w:val="1716703B"/>
    <w:multiLevelType w:val="hybridMultilevel"/>
    <w:lvl w:ilvl="0">
      <w:lvlJc w:val="left"/>
      <w:lvlText w:val="2"/>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6"/>
      <w:numFmt w:val="bullet"/>
      <w:start w:val="1"/>
    </w:lvl>
  </w:abstractNum>
  <w:abstractNum w:abstractNumId="10">
    <w:nsid w:val="68EBC550"/>
    <w:multiLevelType w:val="hybridMultilevel"/>
    <w:lvl w:ilvl="0">
      <w:lvlJc w:val="left"/>
      <w:lvlText w:val="(%1)"/>
      <w:numFmt w:val="decimal"/>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8"/>
      <w:numFmt w:val="bullet"/>
      <w:start w:val="1"/>
    </w:lvl>
  </w:abstractNum>
  <w:abstractNum w:abstractNumId="15">
    <w:nsid w:val="57FC4FBB"/>
    <w:multiLevelType w:val="hybridMultilevel"/>
    <w:lvl w:ilvl="0">
      <w:lvlJc w:val="left"/>
      <w:lvlText w:val="(%1)"/>
      <w:numFmt w:val="decimal"/>
      <w:start w:val="1"/>
    </w:lvl>
  </w:abstractNum>
  <w:abstractNum w:abstractNumId="16">
    <w:nsid w:val="CC1016F"/>
    <w:multiLevelType w:val="hybridMultilevel"/>
    <w:lvl w:ilvl="0">
      <w:lvlJc w:val="left"/>
      <w:lvlText w:val="%1"/>
      <w:numFmt w:val="decimal"/>
      <w:start w:val="10"/>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1"/>
      <w:numFmt w:val="decimal"/>
      <w:start w:val="18"/>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
      <w:numFmt w:val="bullet"/>
      <w:start w:val="1"/>
    </w:lvl>
  </w:abstractNum>
  <w:abstractNum w:abstractNumId="28">
    <w:nsid w:val="7672BD23"/>
    <w:multiLevelType w:val="hybridMultilevel"/>
    <w:lvl w:ilvl="0">
      <w:lvlJc w:val="left"/>
      <w:lvlText w:val="%1"/>
      <w:numFmt w:val="decimal"/>
      <w:start w:val="20"/>
    </w:lvl>
  </w:abstractNum>
  <w:abstractNum w:abstractNumId="29">
    <w:nsid w:val="6FC75AF8"/>
    <w:multiLevelType w:val="hybridMultilevel"/>
    <w:lvl w:ilvl="0">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
      <w:numFmt w:val="bullet"/>
      <w:start w:val="1"/>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
      <w:numFmt w:val="bullet"/>
      <w:start w:val="1"/>
    </w:lvl>
  </w:abstractNum>
  <w:abstractNum w:abstractNumId="37">
    <w:nsid w:val="14FCE74E"/>
    <w:multiLevelType w:val="hybridMultilevel"/>
    <w:lvl w:ilvl="0">
      <w:lvlJc w:val="left"/>
      <w:lvlText w:val="►"/>
      <w:numFmt w:val="bullet"/>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
      <w:numFmt w:val="bullet"/>
      <w:start w:val="1"/>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1"/>
      <w:numFmt w:val="decimal"/>
      <w:start w:val="22"/>
    </w:lvl>
  </w:abstractNum>
  <w:abstractNum w:abstractNumId="43">
    <w:nsid w:val="5092CA79"/>
    <w:multiLevelType w:val="hybridMultilevel"/>
    <w:lvl w:ilvl="0">
      <w:lvlJc w:val="left"/>
      <w:lvlText w:val="%1"/>
      <w:numFmt w:val="decimal"/>
      <w:start w:val="24"/>
    </w:lvl>
  </w:abstractNum>
  <w:abstractNum w:abstractNumId="44">
    <w:nsid w:val="1D545C4D"/>
    <w:multiLevelType w:val="hybridMultilevel"/>
    <w:lvl w:ilvl="0">
      <w:lvlJc w:val="left"/>
      <w:lvlText w:val="%1"/>
      <w:numFmt w:val="decimal"/>
      <w:start w:val="26"/>
    </w:lvl>
  </w:abstractNum>
  <w:abstractNum w:abstractNumId="45">
    <w:nsid w:val="59ADEA3D"/>
    <w:multiLevelType w:val="hybridMultilevel"/>
    <w:lvl w:ilvl="0">
      <w:lvlJc w:val="left"/>
      <w:lvlText w:val="►"/>
      <w:numFmt w:val="bullet"/>
      <w:start w:val="1"/>
    </w:lvl>
  </w:abstractNum>
  <w:abstractNum w:abstractNumId="46">
    <w:nsid w:val="288F1A34"/>
    <w:multiLevelType w:val="hybridMultilevel"/>
    <w:lvl w:ilvl="0">
      <w:lvlJc w:val="left"/>
      <w:lvlText w:val="%1"/>
      <w:numFmt w:val="decimal"/>
      <w:start w:val="28"/>
    </w:lvl>
  </w:abstractNum>
  <w:abstractNum w:abstractNumId="47">
    <w:nsid w:val="2A155DBC"/>
    <w:multiLevelType w:val="hybridMultilevel"/>
    <w:lvl w:ilvl="0">
      <w:lvlJc w:val="left"/>
      <w:lvlText w:val="►"/>
      <w:numFmt w:val="bullet"/>
      <w:start w:val="1"/>
    </w:lvl>
  </w:abstractNum>
  <w:abstractNum w:abstractNumId="48">
    <w:nsid w:val="1D9F6E5F"/>
    <w:multiLevelType w:val="hybridMultilevel"/>
    <w:lvl w:ilvl="0">
      <w:lvlJc w:val="left"/>
      <w:lvlText w:val="%1"/>
      <w:numFmt w:val="decimal"/>
      <w:start w:val="30"/>
    </w:lvl>
  </w:abstractNum>
  <w:abstractNum w:abstractNumId="49">
    <w:nsid w:val="97E1B4E"/>
    <w:multiLevelType w:val="hybridMultilevel"/>
    <w:lvl w:ilvl="0">
      <w:lvlJc w:val="left"/>
      <w:lvlText w:val="►"/>
      <w:numFmt w:val="bullet"/>
      <w:start w:val="1"/>
    </w:lvl>
  </w:abstractNum>
  <w:abstractNum w:abstractNumId="50">
    <w:nsid w:val="51088277"/>
    <w:multiLevelType w:val="hybridMultilevel"/>
    <w:lvl w:ilvl="0">
      <w:lvlJc w:val="left"/>
      <w:lvlText w:val="►"/>
      <w:numFmt w:val="bullet"/>
      <w:start w:val="1"/>
    </w:lvl>
  </w:abstractNum>
  <w:abstractNum w:abstractNumId="51">
    <w:nsid w:val="1CA0C5FA"/>
    <w:multiLevelType w:val="hybridMultilevel"/>
    <w:lvl w:ilvl="0">
      <w:lvlJc w:val="left"/>
      <w:lvlText w:val="%1"/>
      <w:numFmt w:val="decimal"/>
      <w:start w:val="32"/>
    </w:lvl>
  </w:abstractNum>
  <w:abstractNum w:abstractNumId="52">
    <w:nsid w:val="53584BCB"/>
    <w:multiLevelType w:val="hybridMultilevel"/>
    <w:lvl w:ilvl="0">
      <w:lvlJc w:val="left"/>
      <w:lvlText w:val="►"/>
      <w:numFmt w:val="bullet"/>
      <w:start w:val="1"/>
    </w:lvl>
  </w:abstractNum>
  <w:abstractNum w:abstractNumId="53">
    <w:nsid w:val="415E286C"/>
    <w:multiLevelType w:val="hybridMultilevel"/>
    <w:lvl w:ilvl="0">
      <w:lvlJc w:val="left"/>
      <w:lvlText w:val="%1"/>
      <w:numFmt w:val="decimal"/>
      <w:start w:val="34"/>
    </w:lvl>
  </w:abstractNum>
  <w:abstractNum w:abstractNumId="54">
    <w:nsid w:val="7C58FD05"/>
    <w:multiLevelType w:val="hybridMultilevel"/>
    <w:lvl w:ilvl="0">
      <w:lvlJc w:val="left"/>
      <w:lvlText w:val="%1"/>
      <w:numFmt w:val="decimal"/>
      <w:start w:val="36"/>
    </w:lvl>
  </w:abstractNum>
  <w:abstractNum w:abstractNumId="55">
    <w:nsid w:val="23D86AAC"/>
    <w:multiLevelType w:val="hybridMultilevel"/>
    <w:lvl w:ilvl="0">
      <w:lvlJc w:val="left"/>
      <w:lvlText w:val="►"/>
      <w:numFmt w:val="bullet"/>
      <w:start w:val="1"/>
    </w:lvl>
  </w:abstractNum>
  <w:abstractNum w:abstractNumId="56">
    <w:nsid w:val="45E6D486"/>
    <w:multiLevelType w:val="hybridMultilevel"/>
    <w:lvl w:ilvl="0">
      <w:lvlJc w:val="left"/>
      <w:lvlText w:val="%1"/>
      <w:numFmt w:val="decimal"/>
      <w:start w:val="38"/>
    </w:lvl>
  </w:abstractNum>
  <w:abstractNum w:abstractNumId="57">
    <w:nsid w:val="5C10FE21"/>
    <w:multiLevelType w:val="hybridMultilevel"/>
    <w:lvl w:ilvl="0">
      <w:lvlJc w:val="left"/>
      <w:lvlText w:val="%1"/>
      <w:numFmt w:val="decimal"/>
      <w:start w:val="40"/>
    </w:lvl>
  </w:abstractNum>
  <w:abstractNum w:abstractNumId="58">
    <w:nsid w:val="E7FFA2B"/>
    <w:multiLevelType w:val="hybridMultilevel"/>
    <w:lvl w:ilvl="0">
      <w:lvlJc w:val="left"/>
      <w:lvlText w:val="►"/>
      <w:numFmt w:val="bullet"/>
      <w:start w:val="1"/>
    </w:lvl>
    <w:lvl w:ilvl="1">
      <w:lvlJc w:val="left"/>
      <w:lvlText w:val="►"/>
      <w:numFmt w:val="bullet"/>
      <w:start w:val="1"/>
    </w:lvl>
  </w:abstractNum>
  <w:abstractNum w:abstractNumId="59">
    <w:nsid w:val="3C5991AA"/>
    <w:multiLevelType w:val="hybridMultilevel"/>
    <w:lvl w:ilvl="0">
      <w:lvlJc w:val="left"/>
      <w:lvlText w:val="►"/>
      <w:numFmt w:val="bullet"/>
      <w:start w:val="1"/>
    </w:lvl>
    <w:lvl w:ilvl="1">
      <w:lvlJc w:val="left"/>
      <w:lvlText w:val="►"/>
      <w:numFmt w:val="bullet"/>
      <w:start w:val="1"/>
    </w:lvl>
  </w:abstractNum>
  <w:abstractNum w:abstractNumId="60">
    <w:nsid w:val="4BD8591A"/>
    <w:multiLevelType w:val="hybridMultilevel"/>
    <w:lvl w:ilvl="0">
      <w:lvlJc w:val="left"/>
      <w:lvlText w:val="►"/>
      <w:numFmt w:val="bullet"/>
      <w:start w:val="1"/>
    </w:lvl>
  </w:abstractNum>
  <w:abstractNum w:abstractNumId="61">
    <w:nsid w:val="78DF6A55"/>
    <w:multiLevelType w:val="hybridMultilevel"/>
    <w:lvl w:ilvl="0">
      <w:lvlJc w:val="left"/>
      <w:lvlText w:val="►"/>
      <w:numFmt w:val="bullet"/>
      <w:start w:val="1"/>
    </w:lvl>
  </w:abstractNum>
  <w:abstractNum w:abstractNumId="62">
    <w:nsid w:val="39B7AAA2"/>
    <w:multiLevelType w:val="hybridMultilevel"/>
    <w:lvl w:ilvl="0">
      <w:lvlJc w:val="left"/>
      <w:lvlText w:val="►"/>
      <w:numFmt w:val="bullet"/>
      <w:start w:val="1"/>
    </w:lvl>
  </w:abstractNum>
  <w:abstractNum w:abstractNumId="63">
    <w:nsid w:val="2B0D8DBE"/>
    <w:multiLevelType w:val="hybridMultilevel"/>
    <w:lvl w:ilvl="0">
      <w:lvlJc w:val="left"/>
      <w:lvlText w:val="►"/>
      <w:numFmt w:val="bullet"/>
      <w:start w:val="1"/>
    </w:lvl>
  </w:abstractNum>
  <w:abstractNum w:abstractNumId="64">
    <w:nsid w:val="6C80EC70"/>
    <w:multiLevelType w:val="hybridMultilevel"/>
    <w:lvl w:ilvl="0">
      <w:lvlJc w:val="left"/>
      <w:lvlText w:val="►"/>
      <w:numFmt w:val="bullet"/>
      <w:start w:val="1"/>
    </w:lvl>
  </w:abstractNum>
  <w:abstractNum w:abstractNumId="65">
    <w:nsid w:val="379E21B5"/>
    <w:multiLevelType w:val="hybridMultilevel"/>
    <w:lvl w:ilvl="0">
      <w:lvlJc w:val="left"/>
      <w:lvlText w:val="►"/>
      <w:numFmt w:val="bullet"/>
      <w:start w:val="1"/>
    </w:lvl>
  </w:abstractNum>
  <w:abstractNum w:abstractNumId="66">
    <w:nsid w:val="69E373"/>
    <w:multiLevelType w:val="hybridMultilevel"/>
    <w:lvl w:ilvl="0">
      <w:lvlJc w:val="left"/>
      <w:lvlText w:val="►"/>
      <w:numFmt w:val="bullet"/>
      <w:start w:val="1"/>
    </w:lvl>
  </w:abstractNum>
  <w:abstractNum w:abstractNumId="67">
    <w:nsid w:val="2C27173B"/>
    <w:multiLevelType w:val="hybridMultilevel"/>
    <w:lvl w:ilvl="0">
      <w:lvlJc w:val="left"/>
      <w:lvlText w:val="%1"/>
      <w:numFmt w:val="decimal"/>
      <w:start w:val="42"/>
    </w:lvl>
  </w:abstractNum>
  <w:abstractNum w:abstractNumId="68">
    <w:nsid w:val="4C9B0904"/>
    <w:multiLevelType w:val="hybridMultilevel"/>
    <w:lvl w:ilvl="0">
      <w:lvlJc w:val="left"/>
      <w:lvlText w:val="(%1)"/>
      <w:numFmt w:val="decimal"/>
      <w:start w:val="1"/>
    </w:lvl>
  </w:abstractNum>
  <w:abstractNum w:abstractNumId="69">
    <w:nsid w:val="6AA7B75C"/>
    <w:multiLevelType w:val="hybridMultilevel"/>
    <w:lvl w:ilvl="0">
      <w:lvlJc w:val="left"/>
      <w:lvlText w:val="%1"/>
      <w:numFmt w:val="decimal"/>
      <w:start w:val="44"/>
    </w:lvl>
  </w:abstractNum>
  <w:abstractNum w:abstractNumId="70">
    <w:nsid w:val="1DF029D3"/>
    <w:multiLevelType w:val="hybridMultilevel"/>
    <w:lvl w:ilvl="0">
      <w:lvlJc w:val="left"/>
      <w:lvlText w:val="(%1)"/>
      <w:numFmt w:val="decimal"/>
      <w:start w:val="1"/>
    </w:lvl>
    <w:lvl w:ilvl="1">
      <w:lvlJc w:val="left"/>
      <w:lvlText w:val="(%2)"/>
      <w:numFmt w:val="upperLetter"/>
      <w:start w:val="1"/>
    </w:lvl>
  </w:abstractNum>
  <w:abstractNum w:abstractNumId="71">
    <w:nsid w:val="5675FF36"/>
    <w:multiLevelType w:val="hybridMultilevel"/>
    <w:lvl w:ilvl="0">
      <w:lvlJc w:val="left"/>
      <w:lvlText w:val="(%1)"/>
      <w:numFmt w:val="decimal"/>
      <w:start w:val="2"/>
    </w:lvl>
  </w:abstractNum>
  <w:abstractNum w:abstractNumId="72">
    <w:nsid w:val="3DD15094"/>
    <w:multiLevelType w:val="hybridMultilevel"/>
    <w:lvl w:ilvl="0">
      <w:lvlJc w:val="left"/>
      <w:lvlText w:val="(%1)"/>
      <w:numFmt w:val="decimal"/>
      <w:start w:val="1"/>
    </w:lvl>
  </w:abstractNum>
  <w:abstractNum w:abstractNumId="73">
    <w:nsid w:val="3DB012B3"/>
    <w:multiLevelType w:val="hybridMultilevel"/>
    <w:lvl w:ilvl="0">
      <w:lvlJc w:val="left"/>
      <w:lvlText w:val="(%1)"/>
      <w:numFmt w:val="decimal"/>
      <w:start w:val="4"/>
    </w:lvl>
  </w:abstractNum>
  <w:abstractNum w:abstractNumId="74">
    <w:nsid w:val="2708C9AF"/>
    <w:multiLevelType w:val="hybridMultilevel"/>
    <w:lvl w:ilvl="0">
      <w:lvlJc w:val="left"/>
      <w:lvlText w:val="%1"/>
      <w:numFmt w:val="decimal"/>
      <w:start w:val="51"/>
    </w:lvl>
  </w:abstractNum>
  <w:abstractNum w:abstractNumId="75">
    <w:nsid w:val="5B25ACE2"/>
    <w:multiLevelType w:val="hybridMultilevel"/>
    <w:lvl w:ilvl="0">
      <w:lvlJc w:val="left"/>
      <w:lvlText w:val="%1"/>
      <w:numFmt w:val="decimal"/>
      <w:start w:val="51"/>
    </w:lvl>
  </w:abstractNum>
  <w:abstractNum w:abstractNumId="76">
    <w:nsid w:val="175DFCF0"/>
    <w:multiLevelType w:val="hybridMultilevel"/>
    <w:lvl w:ilvl="0">
      <w:lvlJc w:val="left"/>
      <w:lvlText w:val="%1"/>
      <w:numFmt w:val="decimal"/>
      <w:start w:val="51"/>
    </w:lvl>
  </w:abstractNum>
  <w:abstractNum w:abstractNumId="77">
    <w:nsid w:val="4F97E3E4"/>
    <w:multiLevelType w:val="hybridMultilevel"/>
    <w:lvl w:ilvl="0">
      <w:lvlJc w:val="left"/>
      <w:lvlText w:val="%1"/>
      <w:numFmt w:val="decimal"/>
      <w:start w:val="52"/>
    </w:lvl>
  </w:abstractNum>
  <w:abstractNum w:abstractNumId="78">
    <w:nsid w:val="53B0A9E"/>
    <w:multiLevelType w:val="hybridMultilevel"/>
    <w:lvl w:ilvl="0">
      <w:lvlJc w:val="left"/>
      <w:lvlText w:val="%1"/>
      <w:numFmt w:val="decimal"/>
      <w:start w:val="54"/>
    </w:lvl>
  </w:abstractNum>
  <w:abstractNum w:abstractNumId="79">
    <w:nsid w:val="34FD6B4F"/>
    <w:multiLevelType w:val="hybridMultilevel"/>
    <w:lvl w:ilvl="0">
      <w:lvlJc w:val="left"/>
      <w:lvlText w:val="%1"/>
      <w:numFmt w:val="decimal"/>
      <w:start w:val="63"/>
    </w:lvl>
  </w:abstractNum>
  <w:abstractNum w:abstractNumId="80">
    <w:nsid w:val="5915FF32"/>
    <w:multiLevelType w:val="hybridMultilevel"/>
    <w:lvl w:ilvl="0">
      <w:lvlJc w:val="left"/>
      <w:lvlText w:val="%1"/>
      <w:numFmt w:val="decimal"/>
      <w:start w:val="63"/>
    </w:lvl>
  </w:abstractNum>
  <w:abstractNum w:abstractNumId="81">
    <w:nsid w:val="56438D15"/>
    <w:multiLevelType w:val="hybridMultilevel"/>
    <w:lvl w:ilvl="0">
      <w:lvlJc w:val="left"/>
      <w:lvlText w:val="%1"/>
      <w:numFmt w:val="decimal"/>
      <w:start w:val="63"/>
    </w:lvl>
  </w:abstractNum>
  <w:abstractNum w:abstractNumId="82">
    <w:nsid w:val="519E3149"/>
    <w:multiLevelType w:val="hybridMultilevel"/>
    <w:lvl w:ilvl="0">
      <w:lvlJc w:val="left"/>
      <w:lvlText w:val="%1"/>
      <w:numFmt w:val="decimal"/>
      <w:start w:val="63"/>
    </w:lvl>
  </w:abstractNum>
  <w:abstractNum w:abstractNumId="83">
    <w:nsid w:val="2C6E4AFD"/>
    <w:multiLevelType w:val="hybridMultilevel"/>
    <w:lvl w:ilvl="0">
      <w:lvlJc w:val="left"/>
      <w:lvlText w:val="%1"/>
      <w:numFmt w:val="decimal"/>
      <w:start w:val="64"/>
    </w:lvl>
  </w:abstractNum>
  <w:abstractNum w:abstractNumId="84">
    <w:nsid w:val="17A1B582"/>
    <w:multiLevelType w:val="hybridMultilevel"/>
    <w:lvl w:ilvl="0">
      <w:lvlJc w:val="left"/>
      <w:lvlText w:val="%1"/>
      <w:numFmt w:val="decimal"/>
      <w:start w:val="64"/>
    </w:lvl>
  </w:abstractNum>
  <w:abstractNum w:abstractNumId="85">
    <w:nsid w:val="4DF72E4E"/>
    <w:multiLevelType w:val="hybridMultilevel"/>
    <w:lvl w:ilvl="0">
      <w:lvlJc w:val="left"/>
      <w:lvlText w:val="%1"/>
      <w:numFmt w:val="decimal"/>
      <w:start w:val="64"/>
    </w:lvl>
  </w:abstractNum>
  <w:abstractNum w:abstractNumId="86">
    <w:nsid w:val="5046B5A9"/>
    <w:multiLevelType w:val="hybridMultilevel"/>
    <w:lvl w:ilvl="0">
      <w:lvlJc w:val="left"/>
      <w:lvlText w:val="%1"/>
      <w:numFmt w:val="decimal"/>
      <w:start w:val="66"/>
    </w:lvl>
  </w:abstractNum>
  <w:abstractNum w:abstractNumId="87">
    <w:nsid w:val="5D888A08"/>
    <w:multiLevelType w:val="hybridMultilevel"/>
    <w:lvl w:ilvl="0">
      <w:lvlJc w:val="left"/>
      <w:lvlText w:val="%1"/>
      <w:numFmt w:val="decimal"/>
      <w:start w:val="67"/>
    </w:lvl>
  </w:abstractNum>
  <w:abstractNum w:abstractNumId="88">
    <w:nsid w:val="2A082C70"/>
    <w:multiLevelType w:val="hybridMultilevel"/>
    <w:lvl w:ilvl="0">
      <w:lvlJc w:val="left"/>
      <w:lvlText w:val="%1"/>
      <w:numFmt w:val="decimal"/>
      <w:start w:val="67"/>
    </w:lvl>
  </w:abstractNum>
  <w:abstractNum w:abstractNumId="89">
    <w:nsid w:val="5EC6AFD4"/>
    <w:multiLevelType w:val="hybridMultilevel"/>
    <w:lvl w:ilvl="0">
      <w:lvlJc w:val="left"/>
      <w:lvlText w:val="%1"/>
      <w:numFmt w:val="decimal"/>
      <w:start w:val="68"/>
    </w:lvl>
  </w:abstractNum>
  <w:abstractNum w:abstractNumId="90">
    <w:nsid w:val="19E21BB2"/>
    <w:multiLevelType w:val="hybridMultilevel"/>
    <w:lvl w:ilvl="0">
      <w:lvlJc w:val="left"/>
      <w:lvlText w:val="%1"/>
      <w:numFmt w:val="decimal"/>
      <w:start w:val="50"/>
    </w:lvl>
  </w:abstractNum>
  <w:abstractNum w:abstractNumId="91">
    <w:nsid w:val="75E0858A"/>
    <w:multiLevelType w:val="hybridMultilevel"/>
    <w:lvl w:ilvl="0">
      <w:lvlJc w:val="left"/>
      <w:lvlText w:val="(%1)"/>
      <w:numFmt w:val="decimal"/>
      <w:start w:val="1"/>
    </w:lvl>
  </w:abstractNum>
  <w:abstractNum w:abstractNumId="92">
    <w:nsid w:val="57A61A29"/>
    <w:multiLevelType w:val="hybridMultilevel"/>
    <w:lvl w:ilvl="0">
      <w:lvlJc w:val="left"/>
      <w:lvlText w:val="(%1)"/>
      <w:numFmt w:val="decimal"/>
      <w:start w:val="1"/>
    </w:lvl>
  </w:abstractNum>
  <w:abstractNum w:abstractNumId="93">
    <w:nsid w:val="5399C654"/>
    <w:multiLevelType w:val="hybridMultilevel"/>
    <w:lvl w:ilvl="0">
      <w:lvlJc w:val="left"/>
      <w:lvlText w:val="%1"/>
      <w:numFmt w:val="decimal"/>
      <w:start w:val="54"/>
    </w:lvl>
  </w:abstractNum>
  <w:abstractNum w:abstractNumId="94">
    <w:nsid w:val="20EE1348"/>
    <w:multiLevelType w:val="hybridMultilevel"/>
    <w:lvl w:ilvl="0">
      <w:lvlJc w:val="left"/>
      <w:lvlText w:val="(%1)"/>
      <w:numFmt w:val="decimal"/>
      <w:start w:val="1"/>
    </w:lvl>
  </w:abstractNum>
  <w:abstractNum w:abstractNumId="95">
    <w:nsid w:val="4427069A"/>
    <w:multiLevelType w:val="hybridMultilevel"/>
    <w:lvl w:ilvl="0">
      <w:lvlJc w:val="left"/>
      <w:lvlText w:val="%1"/>
      <w:numFmt w:val="decimal"/>
      <w:start w:val="56"/>
    </w:lvl>
  </w:abstractNum>
  <w:abstractNum w:abstractNumId="96">
    <w:nsid w:val="B37E80A"/>
    <w:multiLevelType w:val="hybridMultilevel"/>
    <w:lvl w:ilvl="0">
      <w:lvlJc w:val="left"/>
      <w:lvlText w:val="(%1)"/>
      <w:numFmt w:val="decimal"/>
      <w:start w:val="1"/>
    </w:lvl>
  </w:abstractNum>
  <w:abstractNum w:abstractNumId="97">
    <w:nsid w:val="2157F6BC"/>
    <w:multiLevelType w:val="hybridMultilevel"/>
    <w:lvl w:ilvl="0">
      <w:lvlJc w:val="left"/>
      <w:lvlText w:val="►"/>
      <w:numFmt w:val="bullet"/>
      <w:start w:val="1"/>
    </w:lvl>
  </w:abstractNum>
  <w:abstractNum w:abstractNumId="98">
    <w:nsid w:val="704E1DD5"/>
    <w:multiLevelType w:val="hybridMultilevel"/>
    <w:lvl w:ilvl="0">
      <w:lvlJc w:val="left"/>
      <w:lvlText w:val="(%1)"/>
      <w:numFmt w:val="decimal"/>
      <w:start w:val="1"/>
    </w:lvl>
  </w:abstractNum>
  <w:abstractNum w:abstractNumId="99">
    <w:nsid w:val="57D2F10E"/>
    <w:multiLevelType w:val="hybridMultilevel"/>
    <w:lvl w:ilvl="0">
      <w:lvlJc w:val="left"/>
      <w:lvlText w:val="%1"/>
      <w:numFmt w:val="decimal"/>
      <w:start w:val="58"/>
    </w:lvl>
  </w:abstractNum>
  <w:abstractNum w:abstractNumId="100">
    <w:nsid w:val="BFFAE18"/>
    <w:multiLevelType w:val="hybridMultilevel"/>
    <w:lvl w:ilvl="0">
      <w:lvlJc w:val="left"/>
      <w:lvlText w:val="(%1)"/>
      <w:numFmt w:val="decimal"/>
      <w:start w:val="1"/>
    </w:lvl>
  </w:abstractNum>
  <w:abstractNum w:abstractNumId="101">
    <w:nsid w:val="E3E47A8"/>
    <w:multiLevelType w:val="hybridMultilevel"/>
    <w:lvl w:ilvl="0">
      <w:lvlJc w:val="left"/>
      <w:lvlText w:val="%1"/>
      <w:numFmt w:val="decimal"/>
      <w:start w:val="60"/>
    </w:lvl>
  </w:abstractNum>
  <w:abstractNum w:abstractNumId="102">
    <w:nsid w:val="2E48F044"/>
    <w:multiLevelType w:val="hybridMultilevel"/>
    <w:lvl w:ilvl="0">
      <w:lvlJc w:val="left"/>
      <w:lvlText w:val="(%1)"/>
      <w:numFmt w:val="decimal"/>
      <w:start w:val="1"/>
    </w:lvl>
  </w:abstractNum>
  <w:abstractNum w:abstractNumId="103">
    <w:nsid w:val="49D0FEAC"/>
    <w:multiLevelType w:val="hybridMultilevel"/>
    <w:lvl w:ilvl="0">
      <w:lvlJc w:val="left"/>
      <w:lvlText w:val="(%1)"/>
      <w:numFmt w:val="decimal"/>
      <w:start w:val="1"/>
    </w:lvl>
  </w:abstractNum>
  <w:abstractNum w:abstractNumId="104">
    <w:nsid w:val="4BEE5A5B"/>
    <w:multiLevelType w:val="hybridMultilevel"/>
    <w:lvl w:ilvl="0">
      <w:lvlJc w:val="left"/>
      <w:lvlText w:val="(%1)"/>
      <w:numFmt w:val="decimal"/>
      <w:start w:val="1"/>
    </w:lvl>
  </w:abstractNum>
  <w:abstractNum w:abstractNumId="105">
    <w:nsid w:val="5551B9F3"/>
    <w:multiLevelType w:val="hybridMultilevel"/>
    <w:lvl w:ilvl="0">
      <w:lvlJc w:val="left"/>
      <w:lvlText w:val="%1"/>
      <w:numFmt w:val="decimal"/>
      <w:start w:val="62"/>
    </w:lvl>
  </w:abstractNum>
  <w:abstractNum w:abstractNumId="106">
    <w:nsid w:val="24F6AB8E"/>
    <w:multiLevelType w:val="hybridMultilevel"/>
    <w:lvl w:ilvl="0">
      <w:lvlJc w:val="left"/>
      <w:lvlText w:val="%1"/>
      <w:numFmt w:val="decimal"/>
      <w:start w:val="64"/>
    </w:lvl>
  </w:abstractNum>
  <w:abstractNum w:abstractNumId="107">
    <w:nsid w:val="634C574C"/>
    <w:multiLevelType w:val="hybridMultilevel"/>
    <w:lvl w:ilvl="0">
      <w:lvlJc w:val="left"/>
      <w:lvlText w:val="%1"/>
      <w:numFmt w:val="decimal"/>
      <w:start w:val="66"/>
    </w:lvl>
  </w:abstractNum>
  <w:abstractNum w:abstractNumId="108">
    <w:nsid w:val="24E99DD7"/>
    <w:multiLevelType w:val="hybridMultilevel"/>
    <w:lvl w:ilvl="0">
      <w:lvlJc w:val="left"/>
      <w:lvlText w:val="(%1)"/>
      <w:numFmt w:val="lowerLetter"/>
      <w:start w:val="2"/>
    </w:lvl>
  </w:abstractNum>
  <w:abstractNum w:abstractNumId="109">
    <w:nsid w:val="2A31B62D"/>
    <w:multiLevelType w:val="hybridMultilevel"/>
    <w:lvl w:ilvl="0">
      <w:lvlJc w:val="left"/>
      <w:lvlText w:val="%1"/>
      <w:numFmt w:val="decimal"/>
      <w:start w:val="68"/>
    </w:lvl>
  </w:abstractNum>
  <w:abstractNum w:abstractNumId="110">
    <w:nsid w:val="1849C29B"/>
    <w:multiLevelType w:val="hybridMultilevel"/>
    <w:lvl w:ilvl="0">
      <w:lvlJc w:val="left"/>
      <w:lvlText w:val="(%1)"/>
      <w:numFmt w:val="decimal"/>
      <w:start w:val="1"/>
    </w:lvl>
  </w:abstractNum>
  <w:abstractNum w:abstractNumId="111">
    <w:nsid w:val="7DFF9D09"/>
    <w:multiLevelType w:val="hybridMultilevel"/>
    <w:lvl w:ilvl="0">
      <w:lvlJc w:val="left"/>
      <w:lvlText w:val="(%1)"/>
      <w:numFmt w:val="decimal"/>
      <w:start w:val="5"/>
    </w:lvl>
  </w:abstractNum>
  <w:abstractNum w:abstractNumId="112">
    <w:nsid w:val="754342"/>
    <w:multiLevelType w:val="hybridMultilevel"/>
    <w:lvl w:ilvl="0">
      <w:lvlJc w:val="left"/>
      <w:lvlText w:val="(%1)"/>
      <w:numFmt w:val="upperLetter"/>
      <w:start w:val="1"/>
    </w:lvl>
  </w:abstractNum>
  <w:abstractNum w:abstractNumId="113">
    <w:nsid w:val="69E7F3E5"/>
    <w:multiLevelType w:val="hybridMultilevel"/>
    <w:lvl w:ilvl="0">
      <w:lvlJc w:val="left"/>
      <w:lvlText w:val="%1"/>
      <w:numFmt w:val="decimal"/>
      <w:start w:val="1"/>
    </w:lvl>
    <w:lvl w:ilvl="1">
      <w:lvlJc w:val="left"/>
      <w:lvlText w:val="(%2)"/>
      <w:numFmt w:val="upperLetter"/>
      <w:start w:val="2"/>
    </w:lvl>
  </w:abstractNum>
  <w:abstractNum w:abstractNumId="114">
    <w:nsid w:val="2A6DE806"/>
    <w:multiLevelType w:val="hybridMultilevel"/>
    <w:lvl w:ilvl="0">
      <w:lvlJc w:val="left"/>
      <w:lvlText w:val="(%1)"/>
      <w:numFmt w:val="decimal"/>
      <w:start w:val="8"/>
    </w:lvl>
    <w:lvl w:ilvl="1">
      <w:lvlJc w:val="left"/>
      <w:lvlText w:val="%2"/>
      <w:numFmt w:val="upperLetter"/>
      <w:start w:val="1"/>
    </w:lvl>
  </w:abstractNum>
  <w:abstractNum w:abstractNumId="115">
    <w:nsid w:val="1816F8C4"/>
    <w:multiLevelType w:val="hybridMultilevel"/>
    <w:lvl w:ilvl="0">
      <w:lvlJc w:val="left"/>
      <w:lvlText w:val="(%1)"/>
      <w:numFmt w:val="decimal"/>
      <w:start w:val="1"/>
    </w:lvl>
  </w:abstractNum>
  <w:abstractNum w:abstractNumId="116">
    <w:nsid w:val="37DF2233"/>
    <w:multiLevelType w:val="hybridMultilevel"/>
    <w:lvl w:ilvl="0">
      <w:lvlJc w:val="left"/>
      <w:lvlText w:val="%1"/>
      <w:numFmt w:val="decimal"/>
      <w:start w:val="72"/>
    </w:lvl>
  </w:abstractNum>
  <w:abstractNum w:abstractNumId="117">
    <w:nsid w:val="7AB49DAF"/>
    <w:multiLevelType w:val="hybridMultilevel"/>
    <w:lvl w:ilvl="0">
      <w:lvlJc w:val="left"/>
      <w:lvlText w:val="(%1)"/>
      <w:numFmt w:val="decimal"/>
      <w:start w:val="4"/>
    </w:lvl>
  </w:abstractNum>
  <w:abstractNum w:abstractNumId="118">
    <w:nsid w:val="759F82CD"/>
    <w:multiLevelType w:val="hybridMultilevel"/>
    <w:lvl w:ilvl="0">
      <w:lvlJc w:val="left"/>
      <w:lvlText w:val="(%1)"/>
      <w:numFmt w:val="decimal"/>
      <w:start w:val="1"/>
    </w:lvl>
  </w:abstractNum>
  <w:abstractNum w:abstractNumId="119">
    <w:nsid w:val="61E74EA3"/>
    <w:multiLevelType w:val="hybridMultilevel"/>
    <w:lvl w:ilvl="0">
      <w:lvlJc w:val="left"/>
      <w:lvlText w:val="(%1)"/>
      <w:numFmt w:val="upperLetter"/>
      <w:start w:val="1"/>
    </w:lvl>
  </w:abstractNum>
  <w:abstractNum w:abstractNumId="120">
    <w:nsid w:val="597B4D84"/>
    <w:multiLevelType w:val="hybridMultilevel"/>
    <w:lvl w:ilvl="0">
      <w:lvlJc w:val="left"/>
      <w:lvlText w:val="(%1)"/>
      <w:numFmt w:val="decimal"/>
      <w:start w:val="2"/>
    </w:lvl>
  </w:abstractNum>
  <w:abstractNum w:abstractNumId="121">
    <w:nsid w:val="F819E7F"/>
    <w:multiLevelType w:val="hybridMultilevel"/>
    <w:lvl w:ilvl="0">
      <w:lvlJc w:val="left"/>
      <w:lvlText w:val="(%1)"/>
      <w:numFmt w:val="upperLetter"/>
      <w:start w:val="1"/>
    </w:lvl>
  </w:abstractNum>
  <w:abstractNum w:abstractNumId="122">
    <w:nsid w:val="57C7D42D"/>
    <w:multiLevelType w:val="hybridMultilevel"/>
    <w:lvl w:ilvl="0">
      <w:lvlJc w:val="left"/>
      <w:lvlText w:val="(%1)"/>
      <w:numFmt w:val="upperLetter"/>
      <w:start w:val="1"/>
    </w:lvl>
  </w:abstractNum>
  <w:abstractNum w:abstractNumId="123">
    <w:nsid w:val="312167AD"/>
    <w:multiLevelType w:val="hybridMultilevel"/>
    <w:lvl w:ilvl="0">
      <w:lvlJc w:val="left"/>
      <w:lvlText w:val="%1"/>
      <w:numFmt w:val="decimal"/>
      <w:start w:val="76"/>
    </w:lvl>
  </w:abstractNum>
  <w:abstractNum w:abstractNumId="124">
    <w:nsid w:val="631B64D4"/>
    <w:multiLevelType w:val="hybridMultilevel"/>
    <w:lvl w:ilvl="0">
      <w:lvlJc w:val="left"/>
      <w:lvlText w:val="(%1)"/>
      <w:numFmt w:val="decimal"/>
      <w:start w:val="3"/>
    </w:lvl>
  </w:abstractNum>
  <w:abstractNum w:abstractNumId="125">
    <w:nsid w:val="78B5E776"/>
    <w:multiLevelType w:val="hybridMultilevel"/>
    <w:lvl w:ilvl="0">
      <w:lvlJc w:val="left"/>
      <w:lvlText w:val="(%1)"/>
      <w:numFmt w:val="decimal"/>
      <w:start w:val="4"/>
    </w:lvl>
  </w:abstractNum>
  <w:abstractNum w:abstractNumId="126">
    <w:nsid w:val="75486E47"/>
    <w:multiLevelType w:val="hybridMultilevel"/>
    <w:lvl w:ilvl="0">
      <w:lvlJc w:val="left"/>
      <w:lvlText w:val="(%1)"/>
      <w:numFmt w:val="decimal"/>
      <w:start w:val="5"/>
    </w:lvl>
  </w:abstractNum>
  <w:abstractNum w:abstractNumId="127">
    <w:nsid w:val="6E534CDE"/>
    <w:multiLevelType w:val="hybridMultilevel"/>
    <w:lvl w:ilvl="0">
      <w:lvlJc w:val="left"/>
      <w:lvlText w:val="(%1)"/>
      <w:numFmt w:val="decimal"/>
      <w:start w:val="1"/>
    </w:lvl>
  </w:abstractNum>
  <w:abstractNum w:abstractNumId="128">
    <w:nsid w:val="1A0DDE32"/>
    <w:multiLevelType w:val="hybridMultilevel"/>
    <w:lvl w:ilvl="0">
      <w:lvlJc w:val="left"/>
      <w:lvlText w:val="%1"/>
      <w:numFmt w:val="decimal"/>
      <w:start w:val="84"/>
    </w:lvl>
  </w:abstractNum>
  <w:abstractNum w:abstractNumId="129">
    <w:nsid w:val="65968C1C"/>
    <w:multiLevelType w:val="hybridMultilevel"/>
    <w:lvl w:ilvl="0">
      <w:lvlJc w:val="left"/>
      <w:lvlText w:val="(%1)"/>
      <w:numFmt w:val="decimal"/>
      <w:start w:val="2"/>
    </w:lvl>
  </w:abstractNum>
  <w:abstractNum w:abstractNumId="130">
    <w:nsid w:val="46263DEC"/>
    <w:multiLevelType w:val="hybridMultilevel"/>
    <w:lvl w:ilvl="0">
      <w:lvlJc w:val="left"/>
      <w:lvlText w:val="(%1)"/>
      <w:numFmt w:val="decimal"/>
      <w:start w:val="2"/>
    </w:lvl>
    <w:lvl w:ilvl="1">
      <w:lvlJc w:val="left"/>
      <w:lvlText w:val="*"/>
      <w:numFmt w:val="bullet"/>
      <w:start w:val="1"/>
    </w:lvl>
  </w:abstractNum>
  <w:abstractNum w:abstractNumId="131">
    <w:nsid w:val="260D8C4A"/>
    <w:multiLevelType w:val="hybridMultilevel"/>
    <w:lvl w:ilvl="0">
      <w:lvlJc w:val="left"/>
      <w:lvlText w:val="%1"/>
      <w:numFmt w:val="decimal"/>
      <w:start w:val="86"/>
    </w:lvl>
  </w:abstractNum>
  <w:abstractNum w:abstractNumId="132">
    <w:nsid w:val="73D4D3C4"/>
    <w:multiLevelType w:val="hybridMultilevel"/>
    <w:lvl w:ilvl="0">
      <w:lvlJc w:val="left"/>
      <w:lvlText w:val="(%1)"/>
      <w:numFmt w:val="decimal"/>
      <w:start w:val="1"/>
    </w:lvl>
  </w:abstractNum>
  <w:abstractNum w:abstractNumId="133">
    <w:nsid w:val="746F2E30"/>
    <w:multiLevelType w:val="hybridMultilevel"/>
    <w:lvl w:ilvl="0">
      <w:lvlJc w:val="left"/>
      <w:lvlText w:val="(%1)"/>
      <w:numFmt w:val="decimal"/>
      <w:start w:val="1"/>
    </w:lvl>
    <w:lvl w:ilvl="1">
      <w:lvlJc w:val="left"/>
      <w:lvlText w:val="►"/>
      <w:numFmt w:val="bullet"/>
      <w:start w:val="1"/>
    </w:lvl>
  </w:abstractNum>
  <w:abstractNum w:abstractNumId="134">
    <w:nsid w:val="6FDE8AF6"/>
    <w:multiLevelType w:val="hybridMultilevel"/>
    <w:lvl w:ilvl="0">
      <w:lvlJc w:val="left"/>
      <w:lvlText w:val="%1"/>
      <w:numFmt w:val="decimal"/>
      <w:start w:val="88"/>
    </w:lvl>
  </w:abstractNum>
  <w:abstractNum w:abstractNumId="135">
    <w:nsid w:val="3FC32E20"/>
    <w:multiLevelType w:val="hybridMultilevel"/>
    <w:lvl w:ilvl="0">
      <w:lvlJc w:val="left"/>
      <w:lvlText w:val="%1"/>
      <w:numFmt w:val="decimal"/>
      <w:start w:val="90"/>
    </w:lvl>
  </w:abstractNum>
  <w:abstractNum w:abstractNumId="136">
    <w:nsid w:val="49C0E823"/>
    <w:multiLevelType w:val="hybridMultilevel"/>
    <w:lvl w:ilvl="0">
      <w:lvlJc w:val="left"/>
      <w:lvlText w:val="(%1)"/>
      <w:numFmt w:val="decimal"/>
      <w:start w:val="1"/>
    </w:lvl>
  </w:abstractNum>
  <w:abstractNum w:abstractNumId="137">
    <w:nsid w:val="14D53685"/>
    <w:multiLevelType w:val="hybridMultilevel"/>
    <w:lvl w:ilvl="0">
      <w:lvlJc w:val="left"/>
      <w:lvlText w:val="%1"/>
      <w:numFmt w:val="decimal"/>
      <w:start w:val="92"/>
    </w:lvl>
  </w:abstractNum>
  <w:abstractNum w:abstractNumId="138">
    <w:nsid w:val="230F856C"/>
    <w:multiLevelType w:val="hybridMultilevel"/>
    <w:lvl w:ilvl="0">
      <w:lvlJc w:val="left"/>
      <w:lvlText w:val="(%1)"/>
      <w:numFmt w:val="decimal"/>
      <w:start w:val="1"/>
    </w:lvl>
  </w:abstractNum>
  <w:abstractNum w:abstractNumId="139">
    <w:nsid w:val="6EAA85FB"/>
    <w:multiLevelType w:val="hybridMultilevel"/>
    <w:lvl w:ilvl="0">
      <w:lvlJc w:val="left"/>
      <w:lvlText w:val="(%1)"/>
      <w:numFmt w:val="decimal"/>
      <w:start w:val="11"/>
    </w:lvl>
  </w:abstractNum>
  <w:abstractNum w:abstractNumId="140">
    <w:nsid w:val="3F06ECB2"/>
    <w:multiLevelType w:val="hybridMultilevel"/>
    <w:lvl w:ilvl="0">
      <w:lvlJc w:val="left"/>
      <w:lvlText w:val="(%1)"/>
      <w:numFmt w:val="decimal"/>
      <w:start w:val="12"/>
    </w:lvl>
  </w:abstractNum>
  <w:abstractNum w:abstractNumId="141">
    <w:nsid w:val="3B594807"/>
    <w:multiLevelType w:val="hybridMultilevel"/>
    <w:lvl w:ilvl="0">
      <w:lvlJc w:val="left"/>
      <w:lvlText w:val="(%1)"/>
      <w:numFmt w:val="decimal"/>
      <w:start w:val="13"/>
    </w:lvl>
  </w:abstractNum>
  <w:abstractNum w:abstractNumId="142">
    <w:nsid w:val="6CAA2304"/>
    <w:multiLevelType w:val="hybridMultilevel"/>
    <w:lvl w:ilvl="0">
      <w:lvlJc w:val="left"/>
      <w:lvlText w:val="(%1)"/>
      <w:numFmt w:val="decimal"/>
      <w:start w:val="15"/>
    </w:lvl>
  </w:abstractNum>
  <w:abstractNum w:abstractNumId="143">
    <w:nsid w:val="3F7C2FF4"/>
    <w:multiLevelType w:val="hybridMultilevel"/>
    <w:lvl w:ilvl="0">
      <w:lvlJc w:val="left"/>
      <w:lvlText w:val="%1"/>
      <w:numFmt w:val="decimal"/>
      <w:start w:val="94"/>
    </w:lvl>
  </w:abstractNum>
  <w:abstractNum w:abstractNumId="144">
    <w:nsid w:val="25413BEC"/>
    <w:multiLevelType w:val="hybridMultilevel"/>
    <w:lvl w:ilvl="0">
      <w:lvlJc w:val="left"/>
      <w:lvlText w:val="(%1)"/>
      <w:numFmt w:val="decimal"/>
      <w:start w:val="17"/>
    </w:lvl>
  </w:abstractNum>
  <w:abstractNum w:abstractNumId="145">
    <w:nsid w:val="17180B0B"/>
    <w:multiLevelType w:val="hybridMultilevel"/>
    <w:lvl w:ilvl="0">
      <w:lvlJc w:val="left"/>
      <w:lvlText w:val="►"/>
      <w:numFmt w:val="bullet"/>
      <w:start w:val="1"/>
    </w:lvl>
  </w:abstractNum>
  <w:abstractNum w:abstractNumId="146">
    <w:nsid w:val="579328B9"/>
    <w:multiLevelType w:val="hybridMultilevel"/>
    <w:lvl w:ilvl="0">
      <w:lvlJc w:val="left"/>
      <w:lvlText w:val="%1"/>
      <w:numFmt w:val="decimal"/>
      <w:start w:val="96"/>
    </w:lvl>
  </w:abstractNum>
  <w:abstractNum w:abstractNumId="147">
    <w:nsid w:val="5D205E20"/>
    <w:multiLevelType w:val="hybridMultilevel"/>
    <w:lvl w:ilvl="0">
      <w:lvlJc w:val="left"/>
      <w:lvlText w:val="%1"/>
      <w:numFmt w:val="decimal"/>
      <w:start w:val="98"/>
    </w:lvl>
  </w:abstractNum>
  <w:abstractNum w:abstractNumId="148">
    <w:nsid w:val="11CCA8BA"/>
    <w:multiLevelType w:val="hybridMultilevel"/>
    <w:lvl w:ilvl="0">
      <w:lvlJc w:val="left"/>
      <w:lvlText w:val="(%1)"/>
      <w:numFmt w:val="decimal"/>
      <w:start w:val="1"/>
    </w:lvl>
  </w:abstractNum>
  <w:abstractNum w:abstractNumId="149">
    <w:nsid w:val="4D32AB86"/>
    <w:multiLevelType w:val="hybridMultilevel"/>
    <w:lvl w:ilvl="0">
      <w:lvlJc w:val="left"/>
      <w:lvlText w:val="%1"/>
      <w:numFmt w:val="decimal"/>
      <w:start w:val="100"/>
    </w:lvl>
  </w:abstractNum>
  <w:abstractNum w:abstractNumId="150">
    <w:nsid w:val="3F07ACC3"/>
    <w:multiLevelType w:val="hybridMultilevel"/>
    <w:lvl w:ilvl="0">
      <w:lvlJc w:val="left"/>
      <w:lvlText w:val="►"/>
      <w:numFmt w:val="bullet"/>
      <w:start w:val="1"/>
    </w:lvl>
  </w:abstractNum>
  <w:abstractNum w:abstractNumId="151">
    <w:nsid w:val="6B47F63E"/>
    <w:multiLevelType w:val="hybridMultilevel"/>
    <w:lvl w:ilvl="0">
      <w:lvlJc w:val="left"/>
      <w:lvlText w:val="(%1)"/>
      <w:numFmt w:val="decimal"/>
      <w:start w:val="1"/>
    </w:lvl>
  </w:abstractNum>
  <w:abstractNum w:abstractNumId="152">
    <w:nsid w:val="5CB44A05"/>
    <w:multiLevelType w:val="hybridMultilevel"/>
    <w:lvl w:ilvl="0">
      <w:lvlJc w:val="left"/>
      <w:lvlText w:val="%1"/>
      <w:numFmt w:val="decimal"/>
      <w:start w:val="102"/>
    </w:lvl>
  </w:abstractNum>
  <w:abstractNum w:abstractNumId="153">
    <w:nsid w:val="16CF80F1"/>
    <w:multiLevelType w:val="hybridMultilevel"/>
    <w:lvl w:ilvl="0">
      <w:lvlJc w:val="left"/>
      <w:lvlText w:val="(%1)"/>
      <w:numFmt w:val="lowerLetter"/>
      <w:start w:val="1"/>
    </w:lvl>
  </w:abstractNum>
  <w:abstractNum w:abstractNumId="154">
    <w:nsid w:val="1C695DEC"/>
    <w:multiLevelType w:val="hybridMultilevel"/>
    <w:lvl w:ilvl="0">
      <w:lvlJc w:val="left"/>
      <w:lvlText w:val="%1"/>
      <w:numFmt w:val="decimal"/>
      <w:start w:val="104"/>
    </w:lvl>
  </w:abstractNum>
  <w:abstractNum w:abstractNumId="155">
    <w:nsid w:val="3FCFAED9"/>
    <w:multiLevelType w:val="hybridMultilevel"/>
    <w:lvl w:ilvl="0">
      <w:lvlJc w:val="left"/>
      <w:lvlText w:val="%1:"/>
      <w:numFmt w:val="upperLetter"/>
      <w:start w:val="1"/>
    </w:lvl>
  </w:abstractNum>
  <w:abstractNum w:abstractNumId="156">
    <w:nsid w:val="F856867"/>
    <w:multiLevelType w:val="hybridMultilevel"/>
    <w:lvl w:ilvl="0">
      <w:lvlJc w:val="left"/>
      <w:lvlText w:val="%1:"/>
      <w:numFmt w:val="upperLetter"/>
      <w:start w:val="1"/>
    </w:lvl>
  </w:abstractNum>
  <w:abstractNum w:abstractNumId="157">
    <w:nsid w:val="11B1CC33"/>
    <w:multiLevelType w:val="hybridMultilevel"/>
    <w:lvl w:ilvl="0">
      <w:lvlJc w:val="left"/>
      <w:lvlText w:val="%1:"/>
      <w:numFmt w:val="upperLetter"/>
      <w:start w:val="1"/>
    </w:lvl>
  </w:abstractNum>
  <w:abstractNum w:abstractNumId="158">
    <w:nsid w:val="2E22FBB7"/>
    <w:multiLevelType w:val="hybridMultilevel"/>
    <w:lvl w:ilvl="0">
      <w:lvlJc w:val="left"/>
      <w:lvlText w:val="%1:"/>
      <w:numFmt w:val="upperLetter"/>
      <w:start w:val="1"/>
    </w:lvl>
  </w:abstractNum>
  <w:abstractNum w:abstractNumId="159">
    <w:nsid w:val="29934699"/>
    <w:multiLevelType w:val="hybridMultilevel"/>
    <w:lvl w:ilvl="0">
      <w:lvlJc w:val="left"/>
      <w:lvlText w:val="%1:"/>
      <w:numFmt w:val="upperLetter"/>
      <w:start w:val="1"/>
    </w:lvl>
  </w:abstractNum>
  <w:abstractNum w:abstractNumId="160">
    <w:nsid w:val="77485850"/>
    <w:multiLevelType w:val="hybridMultilevel"/>
    <w:lvl w:ilvl="0">
      <w:lvlJc w:val="left"/>
      <w:lvlText w:val="%1:"/>
      <w:numFmt w:val="upperLetter"/>
      <w:start w:val="1"/>
    </w:lvl>
  </w:abstractNum>
  <w:abstractNum w:abstractNumId="161">
    <w:nsid w:val="744939A3"/>
    <w:multiLevelType w:val="hybridMultilevel"/>
    <w:lvl w:ilvl="0">
      <w:lvlJc w:val="left"/>
      <w:lvlText w:val="%1:"/>
      <w:numFmt w:val="upperLetter"/>
      <w:start w:val="1"/>
    </w:lvl>
    <w:lvl w:ilvl="1">
      <w:lvlJc w:val="left"/>
      <w:lvlText w:val="►"/>
      <w:numFmt w:val="bullet"/>
      <w:start w:val="1"/>
    </w:lvl>
  </w:abstractNum>
  <w:abstractNum w:abstractNumId="162">
    <w:nsid w:val="4FA0D2E3"/>
    <w:multiLevelType w:val="hybridMultilevel"/>
    <w:lvl w:ilvl="0">
      <w:lvlJc w:val="left"/>
      <w:lvlText w:val="%1:"/>
      <w:numFmt w:val="upperLetter"/>
      <w:start w:val="1"/>
    </w:lvl>
  </w:abstractNum>
  <w:abstractNum w:abstractNumId="163">
    <w:nsid w:val="6B1D2C14"/>
    <w:multiLevelType w:val="hybridMultilevel"/>
    <w:lvl w:ilvl="0">
      <w:lvlJc w:val="left"/>
      <w:lvlText w:val="%1:"/>
      <w:numFmt w:val="upperLetter"/>
      <w:start w:val="1"/>
    </w:lvl>
  </w:abstractNum>
  <w:abstractNum w:abstractNumId="164">
    <w:nsid w:val="68B867D3"/>
    <w:multiLevelType w:val="hybridMultilevel"/>
    <w:lvl w:ilvl="0">
      <w:lvlJc w:val="left"/>
      <w:lvlText w:val="%1:"/>
      <w:numFmt w:val="upperLetter"/>
      <w:start w:val="1"/>
    </w:lvl>
  </w:abstractNum>
  <w:abstractNum w:abstractNumId="165">
    <w:nsid w:val="3F7F5DD9"/>
    <w:multiLevelType w:val="hybridMultilevel"/>
    <w:lvl w:ilvl="0">
      <w:lvlJc w:val="left"/>
      <w:lvlText w:val="%1:"/>
      <w:numFmt w:val="upperLetter"/>
      <w:start w:val="1"/>
    </w:lvl>
  </w:abstractNum>
  <w:abstractNum w:abstractNumId="166">
    <w:nsid w:val="2AE05A34"/>
    <w:multiLevelType w:val="hybridMultilevel"/>
    <w:lvl w:ilvl="0">
      <w:lvlJc w:val="left"/>
      <w:lvlText w:val="%1:"/>
      <w:numFmt w:val="upperLetter"/>
      <w:start w:val="1"/>
    </w:lvl>
  </w:abstractNum>
  <w:abstractNum w:abstractNumId="167">
    <w:nsid w:val="32794FF7"/>
    <w:multiLevelType w:val="hybridMultilevel"/>
    <w:lvl w:ilvl="0">
      <w:lvlJc w:val="left"/>
      <w:lvlText w:val="%1:"/>
      <w:numFmt w:val="upperLetter"/>
      <w:start w:val="1"/>
    </w:lvl>
  </w:abstractNum>
  <w:abstractNum w:abstractNumId="168">
    <w:nsid w:val="5454945E"/>
    <w:multiLevelType w:val="hybridMultilevel"/>
    <w:lvl w:ilvl="0">
      <w:lvlJc w:val="left"/>
      <w:lvlText w:val="%1"/>
      <w:numFmt w:val="decimal"/>
      <w:start w:val="10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2022-04-08T06:09:40Z</dcterms:created>
  <dcterms:modified xsi:type="dcterms:W3CDTF">2022-04-08T06:09:40Z</dcterms:modified>
</cp:coreProperties>
</file>