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39508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9508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3950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950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UNITED STATES</w:t>
      </w:r>
    </w:p>
    <w:p>
      <w:pPr>
        <w:spacing w:after="0" w:line="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2508885</wp:posOffset>
            </wp:positionH>
            <wp:positionV relativeFrom="paragraph">
              <wp:posOffset>83820</wp:posOffset>
            </wp:positionV>
            <wp:extent cx="15944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35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FORM 10-Q</w:t>
      </w:r>
    </w:p>
    <w:p>
      <w:pPr>
        <w:spacing w:after="0" w:line="23" w:lineRule="exact"/>
        <w:rPr>
          <w:sz w:val="24"/>
          <w:szCs w:val="24"/>
          <w:color w:val="auto"/>
        </w:rPr>
      </w:pPr>
    </w:p>
    <w:p>
      <w:pPr>
        <w:ind w:left="180"/>
        <w:spacing w:after="0"/>
        <w:rPr>
          <w:sz w:val="20"/>
          <w:szCs w:val="20"/>
          <w:color w:val="auto"/>
        </w:rPr>
      </w:pPr>
      <w:r>
        <w:rPr>
          <w:rFonts w:ascii="Arial" w:cs="Arial" w:eastAsia="Arial" w:hAnsi="Arial"/>
          <w:sz w:val="14"/>
          <w:szCs w:val="14"/>
          <w:color w:val="auto"/>
        </w:rPr>
        <w:t>(Mark One)</w:t>
      </w:r>
    </w:p>
    <w:p>
      <w:pPr>
        <w:spacing w:after="0" w:line="311" w:lineRule="exact"/>
        <w:rPr>
          <w:sz w:val="24"/>
          <w:szCs w:val="24"/>
          <w:color w:val="auto"/>
        </w:rPr>
      </w:pPr>
    </w:p>
    <w:p>
      <w:pPr>
        <w:ind w:left="700" w:hanging="409"/>
        <w:spacing w:after="0"/>
        <w:tabs>
          <w:tab w:leader="none" w:pos="70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204" w:lineRule="exact"/>
        <w:rPr>
          <w:sz w:val="24"/>
          <w:szCs w:val="24"/>
          <w:color w:val="auto"/>
        </w:rPr>
      </w:pPr>
    </w:p>
    <w:p>
      <w:pPr>
        <w:jc w:val="center"/>
        <w:ind w:right="-159"/>
        <w:spacing w:after="0"/>
        <w:rPr>
          <w:sz w:val="20"/>
          <w:szCs w:val="20"/>
          <w:color w:val="auto"/>
        </w:rPr>
      </w:pPr>
      <w:r>
        <w:rPr>
          <w:rFonts w:ascii="Arial" w:cs="Arial" w:eastAsia="Arial" w:hAnsi="Arial"/>
          <w:sz w:val="14"/>
          <w:szCs w:val="14"/>
          <w:color w:val="auto"/>
        </w:rPr>
        <w:t>For the quarterly period ended: October 29, 2022</w:t>
      </w:r>
    </w:p>
    <w:p>
      <w:pPr>
        <w:spacing w:after="0" w:line="150" w:lineRule="exact"/>
        <w:rPr>
          <w:sz w:val="24"/>
          <w:szCs w:val="24"/>
          <w:color w:val="auto"/>
        </w:rPr>
      </w:pPr>
    </w:p>
    <w:p>
      <w:pPr>
        <w:jc w:val="center"/>
        <w:ind w:right="-159"/>
        <w:spacing w:after="0"/>
        <w:rPr>
          <w:sz w:val="20"/>
          <w:szCs w:val="20"/>
          <w:color w:val="auto"/>
        </w:rPr>
      </w:pPr>
      <w:r>
        <w:rPr>
          <w:rFonts w:ascii="Arial" w:cs="Arial" w:eastAsia="Arial" w:hAnsi="Arial"/>
          <w:sz w:val="14"/>
          <w:szCs w:val="14"/>
          <w:color w:val="auto"/>
        </w:rPr>
        <w:t>OR</w:t>
      </w:r>
    </w:p>
    <w:p>
      <w:pPr>
        <w:spacing w:after="0" w:line="339" w:lineRule="exact"/>
        <w:rPr>
          <w:sz w:val="24"/>
          <w:szCs w:val="24"/>
          <w:color w:val="auto"/>
        </w:rPr>
      </w:pPr>
    </w:p>
    <w:p>
      <w:pPr>
        <w:ind w:left="3280" w:right="2000" w:hanging="2989"/>
        <w:spacing w:after="0" w:line="432" w:lineRule="auto"/>
        <w:tabs>
          <w:tab w:leader="none" w:pos="702"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 xml:space="preserve">TRANSITION REPORT PURSUANT TO SECTION 13 OR 15(d) OF THE SECURITIES EXCHANGE ACT OF 1934 </w:t>
      </w:r>
      <w:r>
        <w:rPr>
          <w:rFonts w:ascii="Arial" w:cs="Arial" w:eastAsia="Arial" w:hAnsi="Arial"/>
          <w:sz w:val="14"/>
          <w:szCs w:val="14"/>
          <w:color w:val="auto"/>
        </w:rPr>
        <w:t>For the transition period from __________ to __________</w:t>
      </w:r>
    </w:p>
    <w:p>
      <w:pPr>
        <w:ind w:left="4020"/>
        <w:spacing w:after="0"/>
        <w:rPr>
          <w:rFonts w:ascii="MS PGothic" w:cs="MS PGothic" w:eastAsia="MS PGothic" w:hAnsi="MS PGothic"/>
          <w:sz w:val="14"/>
          <w:szCs w:val="14"/>
          <w:color w:val="auto"/>
          <w:highlight w:val="black"/>
        </w:rPr>
      </w:pPr>
      <w:r>
        <w:rPr>
          <w:rFonts w:ascii="Arial" w:cs="Arial" w:eastAsia="Arial" w:hAnsi="Arial"/>
          <w:sz w:val="14"/>
          <w:szCs w:val="14"/>
          <w:color w:val="auto"/>
        </w:rPr>
        <w:t>Commission File Number: 1-10299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2037715</wp:posOffset>
            </wp:positionH>
            <wp:positionV relativeFrom="paragraph">
              <wp:posOffset>255270</wp:posOffset>
            </wp:positionV>
            <wp:extent cx="2425700" cy="282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5700" cy="282575"/>
                    </a:xfrm>
                    <a:prstGeom prst="rect">
                      <a:avLst/>
                    </a:prstGeom>
                    <a:noFill/>
                  </pic:spPr>
                </pic:pic>
              </a:graphicData>
            </a:graphic>
          </wp:anchor>
        </w:drawing>
        <w:drawing>
          <wp:anchor simplePos="0" relativeHeight="251657728" behindDoc="1" locked="0" layoutInCell="0" allowOverlap="1">
            <wp:simplePos x="0" y="0"/>
            <wp:positionH relativeFrom="column">
              <wp:posOffset>2508885</wp:posOffset>
            </wp:positionH>
            <wp:positionV relativeFrom="paragraph">
              <wp:posOffset>109220</wp:posOffset>
            </wp:positionV>
            <wp:extent cx="15944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2508885</wp:posOffset>
            </wp:positionH>
            <wp:positionV relativeFrom="paragraph">
              <wp:posOffset>109220</wp:posOffset>
            </wp:positionV>
            <wp:extent cx="15944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ectPr>
          <w:pgSz w:w="11900" w:h="16838" w:orient="portrait"/>
          <w:cols w:equalWidth="0" w:num="1">
            <w:col w:w="10080"/>
          </w:cols>
          <w:pgMar w:left="980" w:top="661" w:right="839" w:bottom="1440" w:gutter="0" w:footer="0" w:header="0"/>
        </w:sectPr>
      </w:pPr>
    </w:p>
    <w:p>
      <w:pPr>
        <w:spacing w:after="0" w:line="200" w:lineRule="exact"/>
        <w:rPr>
          <w:sz w:val="24"/>
          <w:szCs w:val="24"/>
          <w:color w:val="auto"/>
        </w:rPr>
      </w:pPr>
    </w:p>
    <w:p>
      <w:pPr>
        <w:spacing w:after="0" w:line="368" w:lineRule="exact"/>
        <w:rPr>
          <w:sz w:val="24"/>
          <w:szCs w:val="24"/>
          <w:color w:val="auto"/>
        </w:rPr>
      </w:pPr>
    </w:p>
    <w:p>
      <w:pPr>
        <w:jc w:val="center"/>
        <w:ind w:right="600"/>
        <w:spacing w:after="0"/>
        <w:rPr>
          <w:sz w:val="20"/>
          <w:szCs w:val="20"/>
          <w:color w:val="auto"/>
        </w:rPr>
      </w:pPr>
      <w:r>
        <w:rPr>
          <w:rFonts w:ascii="Arial" w:cs="Arial" w:eastAsia="Arial" w:hAnsi="Arial"/>
          <w:sz w:val="14"/>
          <w:szCs w:val="14"/>
          <w:b w:val="1"/>
          <w:bCs w:val="1"/>
          <w:color w:val="auto"/>
        </w:rPr>
        <w:t>New York</w:t>
      </w:r>
    </w:p>
    <w:p>
      <w:pPr>
        <w:spacing w:after="0" w:line="15" w:lineRule="exact"/>
        <w:rPr>
          <w:sz w:val="24"/>
          <w:szCs w:val="24"/>
          <w:color w:val="auto"/>
        </w:rPr>
      </w:pPr>
    </w:p>
    <w:p>
      <w:pPr>
        <w:jc w:val="center"/>
        <w:ind w:right="60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8" w:lineRule="exact"/>
        <w:rPr>
          <w:sz w:val="24"/>
          <w:szCs w:val="24"/>
          <w:color w:val="auto"/>
        </w:rPr>
      </w:pPr>
    </w:p>
    <w:p>
      <w:pPr>
        <w:jc w:val="center"/>
        <w:ind w:right="1340"/>
        <w:spacing w:after="0"/>
        <w:rPr>
          <w:sz w:val="20"/>
          <w:szCs w:val="20"/>
          <w:color w:val="auto"/>
        </w:rPr>
      </w:pPr>
      <w:r>
        <w:rPr>
          <w:rFonts w:ascii="Arial" w:cs="Arial" w:eastAsia="Arial" w:hAnsi="Arial"/>
          <w:sz w:val="14"/>
          <w:szCs w:val="14"/>
          <w:b w:val="1"/>
          <w:bCs w:val="1"/>
          <w:color w:val="auto"/>
        </w:rPr>
        <w:t>13-3513936</w:t>
      </w:r>
    </w:p>
    <w:p>
      <w:pPr>
        <w:spacing w:after="0" w:line="15" w:lineRule="exact"/>
        <w:rPr>
          <w:sz w:val="24"/>
          <w:szCs w:val="24"/>
          <w:color w:val="auto"/>
        </w:rPr>
      </w:pPr>
    </w:p>
    <w:p>
      <w:pPr>
        <w:jc w:val="center"/>
        <w:ind w:right="1340"/>
        <w:spacing w:after="0"/>
        <w:rPr>
          <w:sz w:val="20"/>
          <w:szCs w:val="20"/>
          <w:color w:val="auto"/>
        </w:rPr>
      </w:pPr>
      <w:r>
        <w:rPr>
          <w:rFonts w:ascii="Arial" w:cs="Arial" w:eastAsia="Arial" w:hAnsi="Arial"/>
          <w:sz w:val="14"/>
          <w:szCs w:val="14"/>
          <w:color w:val="auto"/>
        </w:rPr>
        <w:t>(I.R.S. Employer Identification No.)</w:t>
      </w:r>
    </w:p>
    <w:p>
      <w:pPr>
        <w:spacing w:after="0" w:line="3" w:lineRule="exact"/>
        <w:rPr>
          <w:sz w:val="24"/>
          <w:szCs w:val="24"/>
          <w:color w:val="auto"/>
        </w:rPr>
      </w:pPr>
    </w:p>
    <w:p>
      <w:pPr>
        <w:sectPr>
          <w:pgSz w:w="11900" w:h="16838" w:orient="portrait"/>
          <w:cols w:equalWidth="0" w:num="2">
            <w:col w:w="5820" w:space="720"/>
            <w:col w:w="3540"/>
          </w:cols>
          <w:pgMar w:left="980" w:top="661" w:right="839" w:bottom="1440" w:gutter="0" w:footer="0" w:header="0"/>
          <w:type w:val="continuous"/>
        </w:sectPr>
      </w:pPr>
    </w:p>
    <w:p>
      <w:pPr>
        <w:jc w:val="center"/>
        <w:ind w:right="-179"/>
        <w:spacing w:after="0"/>
        <w:rPr>
          <w:sz w:val="20"/>
          <w:szCs w:val="20"/>
          <w:color w:val="auto"/>
        </w:rPr>
      </w:pPr>
      <w:r>
        <w:rPr>
          <w:rFonts w:ascii="Arial" w:cs="Arial" w:eastAsia="Arial" w:hAnsi="Arial"/>
          <w:sz w:val="14"/>
          <w:szCs w:val="14"/>
          <w:b w:val="1"/>
          <w:bCs w:val="1"/>
          <w:color w:val="auto"/>
        </w:rPr>
        <w:t>330 West 34</w:t>
      </w:r>
      <w:r>
        <w:rPr>
          <w:rFonts w:ascii="Arial" w:cs="Arial" w:eastAsia="Arial" w:hAnsi="Arial"/>
          <w:sz w:val="21"/>
          <w:szCs w:val="21"/>
          <w:b w:val="1"/>
          <w:bCs w:val="1"/>
          <w:color w:val="auto"/>
          <w:vertAlign w:val="superscript"/>
        </w:rPr>
        <w:t>th</w:t>
      </w:r>
      <w:r>
        <w:rPr>
          <w:rFonts w:ascii="Arial" w:cs="Arial" w:eastAsia="Arial" w:hAnsi="Arial"/>
          <w:sz w:val="14"/>
          <w:szCs w:val="14"/>
          <w:b w:val="1"/>
          <w:bCs w:val="1"/>
          <w:color w:val="auto"/>
        </w:rPr>
        <w:t xml:space="preserve"> Street, New York, New York 10001</w:t>
      </w:r>
    </w:p>
    <w:p>
      <w:pPr>
        <w:jc w:val="center"/>
        <w:ind w:right="-179"/>
        <w:spacing w:after="0"/>
        <w:rPr>
          <w:sz w:val="20"/>
          <w:szCs w:val="20"/>
          <w:color w:val="auto"/>
        </w:rPr>
      </w:pPr>
      <w:r>
        <w:rPr>
          <w:rFonts w:ascii="Arial" w:cs="Arial" w:eastAsia="Arial" w:hAnsi="Arial"/>
          <w:sz w:val="14"/>
          <w:szCs w:val="14"/>
          <w:color w:val="auto"/>
        </w:rPr>
        <w:t>(Address of principal executive offices, Zip Code)</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(212-720-3700)</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(Registrant’s telephone number, including area code)</w:t>
      </w:r>
    </w:p>
    <w:p>
      <w:pPr>
        <w:spacing w:after="0" w:line="125" w:lineRule="exact"/>
        <w:rPr>
          <w:sz w:val="24"/>
          <w:szCs w:val="24"/>
          <w:color w:val="auto"/>
        </w:rPr>
      </w:pPr>
    </w:p>
    <w:tbl>
      <w:tblPr>
        <w:tblLayout w:type="fixed"/>
        <w:tblInd w:w="1350" w:type="dxa"/>
        <w:tblCellMar>
          <w:top w:w="0" w:type="dxa"/>
          <w:left w:w="0" w:type="dxa"/>
          <w:bottom w:w="0" w:type="dxa"/>
          <w:right w:w="0" w:type="dxa"/>
        </w:tblCellMar>
      </w:tblPr>
      <w:tr>
        <w:trPr>
          <w:trHeight w:val="166"/>
        </w:trPr>
        <w:tc>
          <w:tcPr>
            <w:tcW w:w="3060" w:type="dxa"/>
            <w:vAlign w:val="bottom"/>
            <w:tcBorders>
              <w:top w:val="single" w:sz="8" w:color="auto"/>
              <w:left w:val="single" w:sz="8" w:color="auto"/>
              <w:right w:val="single" w:sz="8" w:color="auto"/>
            </w:tcBorders>
          </w:tcPr>
          <w:p>
            <w:pPr>
              <w:jc w:val="center"/>
              <w:ind w:left="68"/>
              <w:spacing w:after="0"/>
              <w:rPr>
                <w:sz w:val="20"/>
                <w:szCs w:val="20"/>
                <w:color w:val="auto"/>
              </w:rPr>
            </w:pPr>
            <w:r>
              <w:rPr>
                <w:rFonts w:ascii="Arial" w:cs="Arial" w:eastAsia="Arial" w:hAnsi="Arial"/>
                <w:sz w:val="14"/>
                <w:szCs w:val="14"/>
                <w:b w:val="1"/>
                <w:bCs w:val="1"/>
                <w:color w:val="auto"/>
              </w:rPr>
              <w:t>Title of each class</w:t>
            </w:r>
          </w:p>
        </w:tc>
        <w:tc>
          <w:tcPr>
            <w:tcW w:w="1320" w:type="dxa"/>
            <w:vAlign w:val="bottom"/>
            <w:tcBorders>
              <w:top w:val="single" w:sz="8" w:color="auto"/>
              <w:right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Trading</w:t>
            </w:r>
          </w:p>
        </w:tc>
        <w:tc>
          <w:tcPr>
            <w:tcW w:w="3060" w:type="dxa"/>
            <w:vAlign w:val="bottom"/>
            <w:tcBorders>
              <w:top w:val="single" w:sz="8" w:color="auto"/>
              <w:right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Name of each exchange on which</w:t>
            </w:r>
          </w:p>
        </w:tc>
      </w:tr>
      <w:tr>
        <w:trPr>
          <w:trHeight w:val="196"/>
        </w:trPr>
        <w:tc>
          <w:tcPr>
            <w:tcW w:w="3060" w:type="dxa"/>
            <w:vAlign w:val="bottom"/>
            <w:tcBorders>
              <w:left w:val="single" w:sz="8" w:color="auto"/>
              <w:right w:val="single" w:sz="8" w:color="auto"/>
            </w:tcBorders>
          </w:tcPr>
          <w:p>
            <w:pPr>
              <w:spacing w:after="0"/>
              <w:rPr>
                <w:sz w:val="17"/>
                <w:szCs w:val="17"/>
                <w:color w:val="auto"/>
              </w:rPr>
            </w:pPr>
          </w:p>
        </w:tc>
        <w:tc>
          <w:tcPr>
            <w:tcW w:w="1320" w:type="dxa"/>
            <w:vAlign w:val="bottom"/>
            <w:tcBorders>
              <w:right w:val="single" w:sz="8" w:color="auto"/>
            </w:tcBorders>
          </w:tcPr>
          <w:p>
            <w:pPr>
              <w:jc w:val="center"/>
              <w:ind w:left="68"/>
              <w:spacing w:after="0"/>
              <w:rPr>
                <w:sz w:val="20"/>
                <w:szCs w:val="20"/>
                <w:color w:val="auto"/>
              </w:rPr>
            </w:pPr>
            <w:r>
              <w:rPr>
                <w:rFonts w:ascii="Arial" w:cs="Arial" w:eastAsia="Arial" w:hAnsi="Arial"/>
                <w:sz w:val="14"/>
                <w:szCs w:val="14"/>
                <w:b w:val="1"/>
                <w:bCs w:val="1"/>
                <w:color w:val="auto"/>
              </w:rPr>
              <w:t>Symbol(s)</w:t>
            </w:r>
          </w:p>
        </w:tc>
        <w:tc>
          <w:tcPr>
            <w:tcW w:w="3060" w:type="dxa"/>
            <w:vAlign w:val="bottom"/>
            <w:tcBorders>
              <w:right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registered</w:t>
            </w:r>
          </w:p>
        </w:tc>
      </w:tr>
      <w:tr>
        <w:trPr>
          <w:trHeight w:val="123"/>
        </w:trPr>
        <w:tc>
          <w:tcPr>
            <w:tcW w:w="3060" w:type="dxa"/>
            <w:vAlign w:val="bottom"/>
            <w:tcBorders>
              <w:left w:val="single" w:sz="8" w:color="auto"/>
              <w:bottom w:val="single" w:sz="8" w:color="auto"/>
              <w:right w:val="single" w:sz="8" w:color="auto"/>
            </w:tcBorders>
          </w:tcPr>
          <w:p>
            <w:pPr>
              <w:spacing w:after="0"/>
              <w:rPr>
                <w:sz w:val="10"/>
                <w:szCs w:val="10"/>
                <w:color w:val="auto"/>
              </w:rPr>
            </w:pPr>
          </w:p>
        </w:tc>
        <w:tc>
          <w:tcPr>
            <w:tcW w:w="1320" w:type="dxa"/>
            <w:vAlign w:val="bottom"/>
            <w:tcBorders>
              <w:bottom w:val="single" w:sz="8" w:color="auto"/>
              <w:right w:val="single" w:sz="8" w:color="auto"/>
            </w:tcBorders>
          </w:tcPr>
          <w:p>
            <w:pPr>
              <w:spacing w:after="0"/>
              <w:rPr>
                <w:sz w:val="10"/>
                <w:szCs w:val="10"/>
                <w:color w:val="auto"/>
              </w:rPr>
            </w:pPr>
          </w:p>
        </w:tc>
        <w:tc>
          <w:tcPr>
            <w:tcW w:w="3060" w:type="dxa"/>
            <w:vAlign w:val="bottom"/>
            <w:tcBorders>
              <w:bottom w:val="single" w:sz="8" w:color="auto"/>
              <w:right w:val="single" w:sz="8" w:color="auto"/>
            </w:tcBorders>
          </w:tcPr>
          <w:p>
            <w:pPr>
              <w:spacing w:after="0"/>
              <w:rPr>
                <w:sz w:val="10"/>
                <w:szCs w:val="10"/>
                <w:color w:val="auto"/>
              </w:rPr>
            </w:pPr>
          </w:p>
        </w:tc>
      </w:tr>
      <w:tr>
        <w:trPr>
          <w:trHeight w:val="184"/>
        </w:trPr>
        <w:tc>
          <w:tcPr>
            <w:tcW w:w="3060" w:type="dxa"/>
            <w:vAlign w:val="bottom"/>
            <w:tcBorders>
              <w:left w:val="single" w:sz="8" w:color="auto"/>
              <w:right w:val="single" w:sz="8" w:color="auto"/>
            </w:tcBorders>
          </w:tcPr>
          <w:p>
            <w:pPr>
              <w:jc w:val="center"/>
              <w:ind w:left="88"/>
              <w:spacing w:after="0"/>
              <w:rPr>
                <w:sz w:val="20"/>
                <w:szCs w:val="20"/>
                <w:color w:val="auto"/>
              </w:rPr>
            </w:pPr>
            <w:r>
              <w:rPr>
                <w:rFonts w:ascii="Arial" w:cs="Arial" w:eastAsia="Arial" w:hAnsi="Arial"/>
                <w:sz w:val="14"/>
                <w:szCs w:val="14"/>
                <w:color w:val="auto"/>
              </w:rPr>
              <w:t>Common Stock, par value $0.01</w:t>
            </w:r>
          </w:p>
        </w:tc>
        <w:tc>
          <w:tcPr>
            <w:tcW w:w="1320" w:type="dxa"/>
            <w:vAlign w:val="bottom"/>
            <w:tcBorders>
              <w:right w:val="single" w:sz="8" w:color="auto"/>
            </w:tcBorders>
          </w:tcPr>
          <w:p>
            <w:pPr>
              <w:jc w:val="center"/>
              <w:ind w:left="48"/>
              <w:spacing w:after="0"/>
              <w:rPr>
                <w:sz w:val="20"/>
                <w:szCs w:val="20"/>
                <w:color w:val="auto"/>
              </w:rPr>
            </w:pPr>
            <w:r>
              <w:rPr>
                <w:rFonts w:ascii="Arial" w:cs="Arial" w:eastAsia="Arial" w:hAnsi="Arial"/>
                <w:sz w:val="14"/>
                <w:szCs w:val="14"/>
                <w:color w:val="auto"/>
                <w:w w:val="97"/>
              </w:rPr>
              <w:t>FL</w:t>
            </w:r>
          </w:p>
        </w:tc>
        <w:tc>
          <w:tcPr>
            <w:tcW w:w="3060" w:type="dxa"/>
            <w:vAlign w:val="bottom"/>
            <w:tcBorders>
              <w:right w:val="single" w:sz="8" w:color="auto"/>
            </w:tcBorders>
          </w:tcPr>
          <w:p>
            <w:pPr>
              <w:jc w:val="center"/>
              <w:ind w:left="48"/>
              <w:spacing w:after="0"/>
              <w:rPr>
                <w:sz w:val="20"/>
                <w:szCs w:val="20"/>
                <w:color w:val="auto"/>
              </w:rPr>
            </w:pPr>
            <w:r>
              <w:rPr>
                <w:rFonts w:ascii="Arial" w:cs="Arial" w:eastAsia="Arial" w:hAnsi="Arial"/>
                <w:sz w:val="14"/>
                <w:szCs w:val="14"/>
                <w:color w:val="auto"/>
              </w:rPr>
              <w:t>New York Stock Exchange</w:t>
            </w:r>
          </w:p>
        </w:tc>
      </w:tr>
      <w:tr>
        <w:trPr>
          <w:trHeight w:val="134"/>
        </w:trPr>
        <w:tc>
          <w:tcPr>
            <w:tcW w:w="3060" w:type="dxa"/>
            <w:vAlign w:val="bottom"/>
            <w:tcBorders>
              <w:left w:val="single" w:sz="8" w:color="auto"/>
              <w:bottom w:val="single" w:sz="8" w:color="auto"/>
              <w:right w:val="single" w:sz="8" w:color="auto"/>
            </w:tcBorders>
          </w:tcPr>
          <w:p>
            <w:pPr>
              <w:spacing w:after="0"/>
              <w:rPr>
                <w:sz w:val="11"/>
                <w:szCs w:val="11"/>
                <w:color w:val="auto"/>
              </w:rPr>
            </w:pPr>
          </w:p>
        </w:tc>
        <w:tc>
          <w:tcPr>
            <w:tcW w:w="1320" w:type="dxa"/>
            <w:vAlign w:val="bottom"/>
            <w:tcBorders>
              <w:bottom w:val="single" w:sz="8" w:color="auto"/>
              <w:right w:val="single" w:sz="8" w:color="auto"/>
            </w:tcBorders>
          </w:tcPr>
          <w:p>
            <w:pPr>
              <w:spacing w:after="0"/>
              <w:rPr>
                <w:sz w:val="11"/>
                <w:szCs w:val="11"/>
                <w:color w:val="auto"/>
              </w:rPr>
            </w:pPr>
          </w:p>
        </w:tc>
        <w:tc>
          <w:tcPr>
            <w:tcW w:w="3060" w:type="dxa"/>
            <w:vAlign w:val="bottom"/>
            <w:tcBorders>
              <w:bottom w:val="single" w:sz="8" w:color="auto"/>
              <w:right w:val="single" w:sz="8" w:color="auto"/>
            </w:tcBorders>
          </w:tcPr>
          <w:p>
            <w:pPr>
              <w:spacing w:after="0"/>
              <w:rPr>
                <w:sz w:val="11"/>
                <w:szCs w:val="11"/>
                <w:color w:val="auto"/>
              </w:rPr>
            </w:pPr>
          </w:p>
        </w:tc>
      </w:tr>
    </w:tbl>
    <w:p>
      <w:pPr>
        <w:spacing w:after="0" w:line="153" w:lineRule="exact"/>
        <w:rPr>
          <w:sz w:val="24"/>
          <w:szCs w:val="24"/>
          <w:color w:val="auto"/>
        </w:rPr>
      </w:pPr>
    </w:p>
    <w:p>
      <w:pPr>
        <w:jc w:val="both"/>
        <w:ind w:left="180"/>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jc w:val="both"/>
        <w:ind w:left="180"/>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jc w:val="both"/>
        <w:ind w:left="180"/>
        <w:spacing w:after="0" w:line="26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p>
      <w:pPr>
        <w:ind w:left="180" w:right="480"/>
        <w:spacing w:after="0" w:line="200"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Emerging growth company </w:t>
      </w:r>
      <w:r>
        <w:rPr>
          <w:rFonts w:ascii="MS PGothic" w:cs="MS PGothic" w:eastAsia="MS PGothic" w:hAnsi="MS PGothic"/>
          <w:sz w:val="14"/>
          <w:szCs w:val="14"/>
          <w:color w:val="auto"/>
        </w:rPr>
        <w:t>☐</w:t>
      </w:r>
    </w:p>
    <w:p>
      <w:pPr>
        <w:spacing w:after="0" w:line="336" w:lineRule="exact"/>
        <w:rPr>
          <w:sz w:val="24"/>
          <w:szCs w:val="24"/>
          <w:color w:val="auto"/>
        </w:rPr>
      </w:pPr>
    </w:p>
    <w:p>
      <w:pPr>
        <w:ind w:left="180"/>
        <w:spacing w:after="0" w:line="18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ind w:left="180" w:right="1880" w:firstLine="6"/>
        <w:spacing w:after="0" w:line="249"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Number of shares of Common Stock outstanding as of November 25, 2022: 93,320,427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434340</wp:posOffset>
            </wp:positionV>
            <wp:extent cx="639508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9508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13970</wp:posOffset>
            </wp:positionV>
            <wp:extent cx="63950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9508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57150</wp:posOffset>
            </wp:positionV>
            <wp:extent cx="639508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95085" cy="34290"/>
                    </a:xfrm>
                    <a:prstGeom prst="rect">
                      <a:avLst/>
                    </a:prstGeom>
                    <a:noFill/>
                  </pic:spPr>
                </pic:pic>
              </a:graphicData>
            </a:graphic>
          </wp:anchor>
        </w:drawing>
      </w:r>
    </w:p>
    <w:p>
      <w:pPr>
        <w:sectPr>
          <w:pgSz w:w="11900" w:h="16838" w:orient="portrait"/>
          <w:cols w:equalWidth="0" w:num="1">
            <w:col w:w="10080"/>
          </w:cols>
          <w:pgMar w:left="980" w:top="661" w:right="839" w:bottom="1440" w:gutter="0" w:footer="0" w:header="0"/>
          <w:type w:val="continuous"/>
        </w:sectPr>
      </w:pPr>
    </w:p>
    <w:bookmarkStart w:id="1" w:name="page2"/>
    <w:bookmarkEnd w:id="1"/>
    <w:p>
      <w:pPr>
        <w:ind w:left="8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694690</wp:posOffset>
            </wp:positionV>
            <wp:extent cx="1834515" cy="2146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12" w:lineRule="exact"/>
        <w:rPr>
          <w:sz w:val="20"/>
          <w:szCs w:val="20"/>
          <w:color w:val="auto"/>
        </w:rPr>
      </w:pPr>
    </w:p>
    <w:tbl>
      <w:tblPr>
        <w:tblLayout w:type="fixed"/>
        <w:tblInd w:w="80" w:type="dxa"/>
        <w:tblCellMar>
          <w:top w:w="0" w:type="dxa"/>
          <w:left w:w="0" w:type="dxa"/>
          <w:bottom w:w="0" w:type="dxa"/>
          <w:right w:w="0" w:type="dxa"/>
        </w:tblCellMar>
      </w:tblPr>
      <w:tr>
        <w:trPr>
          <w:trHeight w:val="221"/>
        </w:trPr>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gridSpan w:val="2"/>
          </w:tcPr>
          <w:p>
            <w:pPr>
              <w:ind w:left="120"/>
              <w:spacing w:after="0"/>
              <w:rPr>
                <w:sz w:val="20"/>
                <w:szCs w:val="20"/>
                <w:color w:val="auto"/>
              </w:rPr>
            </w:pPr>
            <w:r>
              <w:rPr>
                <w:rFonts w:ascii="Arial" w:cs="Arial" w:eastAsia="Arial" w:hAnsi="Arial"/>
                <w:sz w:val="18"/>
                <w:szCs w:val="18"/>
                <w:color w:val="auto"/>
              </w:rPr>
              <w:t>Page</w:t>
            </w:r>
          </w:p>
        </w:tc>
      </w:tr>
      <w:tr>
        <w:trPr>
          <w:trHeight w:val="169"/>
        </w:trPr>
        <w:tc>
          <w:tcPr>
            <w:tcW w:w="8100" w:type="dxa"/>
            <w:vAlign w:val="bottom"/>
            <w:tcBorders>
              <w:top w:val="single" w:sz="8" w:color="auto"/>
            </w:tcBorders>
            <w:gridSpan w:val="24"/>
            <w:shd w:val="clear" w:color="auto" w:fill="CCEEFF"/>
          </w:tcPr>
          <w:p>
            <w:pPr>
              <w:spacing w:after="0" w:line="169" w:lineRule="exact"/>
              <w:rPr>
                <w:sz w:val="20"/>
                <w:szCs w:val="20"/>
                <w:color w:val="auto"/>
              </w:rPr>
            </w:pPr>
            <w:r>
              <w:rPr>
                <w:rFonts w:ascii="Arial" w:cs="Arial" w:eastAsia="Arial" w:hAnsi="Arial"/>
                <w:sz w:val="18"/>
                <w:szCs w:val="18"/>
                <w:color w:val="0000EE"/>
              </w:rPr>
              <w:t>PART I FINANCIAL INFORMATION</w:t>
            </w:r>
          </w:p>
        </w:tc>
        <w:tc>
          <w:tcPr>
            <w:tcW w:w="720" w:type="dxa"/>
            <w:vAlign w:val="bottom"/>
            <w:tcBorders>
              <w:top w:val="single" w:sz="8" w:color="auto"/>
            </w:tcBorders>
            <w:shd w:val="clear" w:color="auto" w:fill="CCEEFF"/>
          </w:tcPr>
          <w:p>
            <w:pPr>
              <w:jc w:val="center"/>
              <w:spacing w:after="0" w:line="169" w:lineRule="exact"/>
              <w:rPr>
                <w:sz w:val="20"/>
                <w:szCs w:val="20"/>
                <w:color w:val="auto"/>
              </w:rPr>
            </w:pPr>
            <w:r>
              <w:rPr>
                <w:rFonts w:ascii="Arial" w:cs="Arial" w:eastAsia="Arial" w:hAnsi="Arial"/>
                <w:sz w:val="18"/>
                <w:szCs w:val="18"/>
                <w:color w:val="auto"/>
                <w:w w:val="99"/>
              </w:rPr>
              <w:t>1</w:t>
            </w:r>
          </w:p>
        </w:tc>
        <w:tc>
          <w:tcPr>
            <w:tcW w:w="20" w:type="dxa"/>
            <w:vAlign w:val="bottom"/>
          </w:tcPr>
          <w:p>
            <w:pPr>
              <w:spacing w:after="0"/>
              <w:rPr>
                <w:sz w:val="14"/>
                <w:szCs w:val="14"/>
                <w:color w:val="auto"/>
              </w:rPr>
            </w:pPr>
          </w:p>
        </w:tc>
      </w:tr>
      <w:tr>
        <w:trPr>
          <w:trHeight w:val="48"/>
        </w:trPr>
        <w:tc>
          <w:tcPr>
            <w:tcW w:w="5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r>
      <w:tr>
        <w:trPr>
          <w:trHeight w:val="176"/>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40" w:type="dxa"/>
            <w:vAlign w:val="bottom"/>
            <w:gridSpan w:val="21"/>
          </w:tcPr>
          <w:p>
            <w:pPr>
              <w:spacing w:after="0" w:line="176" w:lineRule="exact"/>
              <w:rPr>
                <w:sz w:val="20"/>
                <w:szCs w:val="20"/>
                <w:color w:val="auto"/>
              </w:rPr>
            </w:pPr>
            <w:r>
              <w:rPr>
                <w:rFonts w:ascii="Arial" w:cs="Arial" w:eastAsia="Arial" w:hAnsi="Arial"/>
                <w:sz w:val="18"/>
                <w:szCs w:val="18"/>
                <w:color w:val="0000EE"/>
              </w:rPr>
              <w:t xml:space="preserve">Item 1.  Financial Statements </w:t>
            </w:r>
            <w:r>
              <w:rPr>
                <w:rFonts w:ascii="Arial" w:cs="Arial" w:eastAsia="Arial" w:hAnsi="Arial"/>
                <w:sz w:val="18"/>
                <w:szCs w:val="18"/>
                <w:color w:val="000000"/>
              </w:rPr>
              <w:t>(Unaudited)</w:t>
            </w:r>
          </w:p>
        </w:tc>
        <w:tc>
          <w:tcPr>
            <w:tcW w:w="720" w:type="dxa"/>
            <w:vAlign w:val="bottom"/>
          </w:tcPr>
          <w:p>
            <w:pPr>
              <w:jc w:val="center"/>
              <w:spacing w:after="0" w:line="176" w:lineRule="exact"/>
              <w:rPr>
                <w:sz w:val="20"/>
                <w:szCs w:val="20"/>
                <w:color w:val="auto"/>
              </w:rPr>
            </w:pPr>
            <w:r>
              <w:rPr>
                <w:rFonts w:ascii="Arial" w:cs="Arial" w:eastAsia="Arial" w:hAnsi="Arial"/>
                <w:sz w:val="18"/>
                <w:szCs w:val="18"/>
                <w:color w:val="auto"/>
                <w:w w:val="99"/>
              </w:rPr>
              <w:t>1</w:t>
            </w:r>
          </w:p>
        </w:tc>
        <w:tc>
          <w:tcPr>
            <w:tcW w:w="20" w:type="dxa"/>
            <w:vAlign w:val="bottom"/>
          </w:tcPr>
          <w:p>
            <w:pPr>
              <w:spacing w:after="0"/>
              <w:rPr>
                <w:sz w:val="15"/>
                <w:szCs w:val="15"/>
                <w:color w:val="auto"/>
              </w:rPr>
            </w:pPr>
          </w:p>
        </w:tc>
      </w:tr>
      <w:tr>
        <w:trPr>
          <w:trHeight w:val="48"/>
        </w:trPr>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5"/>
        </w:trPr>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76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 xml:space="preserve">Condensed Consolidated Balance Sheets </w:t>
            </w:r>
            <w:r>
              <w:rPr>
                <w:rFonts w:ascii="Arial" w:cs="Arial" w:eastAsia="Arial" w:hAnsi="Arial"/>
                <w:sz w:val="18"/>
                <w:szCs w:val="18"/>
                <w:color w:val="000000"/>
              </w:rPr>
              <w:t>(Unaudited)</w:t>
            </w:r>
          </w:p>
        </w:tc>
        <w:tc>
          <w:tcPr>
            <w:tcW w:w="7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c>
          <w:tcPr>
            <w:tcW w:w="20" w:type="dxa"/>
            <w:vAlign w:val="bottom"/>
          </w:tcPr>
          <w:p>
            <w:pPr>
              <w:spacing w:after="0"/>
              <w:rPr>
                <w:sz w:val="15"/>
                <w:szCs w:val="15"/>
                <w:color w:val="auto"/>
              </w:rPr>
            </w:pPr>
          </w:p>
        </w:tc>
      </w:tr>
      <w:tr>
        <w:trPr>
          <w:trHeight w:val="48"/>
        </w:trPr>
        <w:tc>
          <w:tcPr>
            <w:tcW w:w="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36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r>
      <w:tr>
        <w:trPr>
          <w:trHeight w:val="176"/>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760" w:type="dxa"/>
            <w:vAlign w:val="bottom"/>
            <w:gridSpan w:val="17"/>
          </w:tcPr>
          <w:p>
            <w:pPr>
              <w:spacing w:after="0" w:line="176" w:lineRule="exact"/>
              <w:rPr>
                <w:sz w:val="20"/>
                <w:szCs w:val="20"/>
                <w:color w:val="auto"/>
              </w:rPr>
            </w:pPr>
            <w:r>
              <w:rPr>
                <w:rFonts w:ascii="Arial" w:cs="Arial" w:eastAsia="Arial" w:hAnsi="Arial"/>
                <w:sz w:val="18"/>
                <w:szCs w:val="18"/>
                <w:color w:val="0000EE"/>
              </w:rPr>
              <w:t xml:space="preserve">Condensed Consolidated Statements of Operations </w:t>
            </w:r>
            <w:r>
              <w:rPr>
                <w:rFonts w:ascii="Arial" w:cs="Arial" w:eastAsia="Arial" w:hAnsi="Arial"/>
                <w:sz w:val="18"/>
                <w:szCs w:val="18"/>
                <w:color w:val="000000"/>
              </w:rPr>
              <w:t>(Unaudited)</w:t>
            </w:r>
          </w:p>
        </w:tc>
        <w:tc>
          <w:tcPr>
            <w:tcW w:w="720" w:type="dxa"/>
            <w:vAlign w:val="bottom"/>
          </w:tcPr>
          <w:p>
            <w:pPr>
              <w:jc w:val="center"/>
              <w:spacing w:after="0" w:line="176" w:lineRule="exact"/>
              <w:rPr>
                <w:sz w:val="20"/>
                <w:szCs w:val="20"/>
                <w:color w:val="auto"/>
              </w:rPr>
            </w:pPr>
            <w:r>
              <w:rPr>
                <w:rFonts w:ascii="Arial" w:cs="Arial" w:eastAsia="Arial" w:hAnsi="Arial"/>
                <w:sz w:val="18"/>
                <w:szCs w:val="18"/>
                <w:color w:val="auto"/>
                <w:w w:val="99"/>
              </w:rPr>
              <w:t>2</w:t>
            </w:r>
          </w:p>
        </w:tc>
        <w:tc>
          <w:tcPr>
            <w:tcW w:w="20" w:type="dxa"/>
            <w:vAlign w:val="bottom"/>
          </w:tcPr>
          <w:p>
            <w:pPr>
              <w:spacing w:after="0"/>
              <w:rPr>
                <w:sz w:val="15"/>
                <w:szCs w:val="15"/>
                <w:color w:val="auto"/>
              </w:rPr>
            </w:pPr>
          </w:p>
        </w:tc>
      </w:tr>
      <w:tr>
        <w:trPr>
          <w:trHeight w:val="48"/>
        </w:trPr>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36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5"/>
        </w:trPr>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76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 xml:space="preserve">Condensed Consolidated Statements of Comprehensive Income </w:t>
            </w:r>
            <w:r>
              <w:rPr>
                <w:rFonts w:ascii="Arial" w:cs="Arial" w:eastAsia="Arial" w:hAnsi="Arial"/>
                <w:sz w:val="18"/>
                <w:szCs w:val="18"/>
                <w:color w:val="000000"/>
              </w:rPr>
              <w:t>(Unaudited)</w:t>
            </w:r>
          </w:p>
        </w:tc>
        <w:tc>
          <w:tcPr>
            <w:tcW w:w="7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w:t>
            </w:r>
          </w:p>
        </w:tc>
        <w:tc>
          <w:tcPr>
            <w:tcW w:w="20" w:type="dxa"/>
            <w:vAlign w:val="bottom"/>
          </w:tcPr>
          <w:p>
            <w:pPr>
              <w:spacing w:after="0"/>
              <w:rPr>
                <w:sz w:val="15"/>
                <w:szCs w:val="15"/>
                <w:color w:val="auto"/>
              </w:rPr>
            </w:pPr>
          </w:p>
        </w:tc>
      </w:tr>
      <w:tr>
        <w:trPr>
          <w:trHeight w:val="48"/>
        </w:trPr>
        <w:tc>
          <w:tcPr>
            <w:tcW w:w="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36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r>
      <w:tr>
        <w:trPr>
          <w:trHeight w:val="176"/>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760" w:type="dxa"/>
            <w:vAlign w:val="bottom"/>
            <w:gridSpan w:val="17"/>
          </w:tcPr>
          <w:p>
            <w:pPr>
              <w:spacing w:after="0" w:line="176" w:lineRule="exact"/>
              <w:rPr>
                <w:sz w:val="20"/>
                <w:szCs w:val="20"/>
                <w:color w:val="auto"/>
              </w:rPr>
            </w:pPr>
            <w:r>
              <w:rPr>
                <w:rFonts w:ascii="Arial" w:cs="Arial" w:eastAsia="Arial" w:hAnsi="Arial"/>
                <w:sz w:val="18"/>
                <w:szCs w:val="18"/>
                <w:color w:val="0000EE"/>
              </w:rPr>
              <w:t>Condensed Consolidated Statements of Changes in Shareholders’ Equity</w:t>
            </w:r>
          </w:p>
        </w:tc>
        <w:tc>
          <w:tcPr>
            <w:tcW w:w="720" w:type="dxa"/>
            <w:vAlign w:val="bottom"/>
          </w:tcPr>
          <w:p>
            <w:pPr>
              <w:jc w:val="center"/>
              <w:spacing w:after="0" w:line="176" w:lineRule="exact"/>
              <w:rPr>
                <w:sz w:val="20"/>
                <w:szCs w:val="20"/>
                <w:color w:val="auto"/>
              </w:rPr>
            </w:pPr>
            <w:r>
              <w:rPr>
                <w:rFonts w:ascii="Arial" w:cs="Arial" w:eastAsia="Arial" w:hAnsi="Arial"/>
                <w:sz w:val="18"/>
                <w:szCs w:val="18"/>
                <w:color w:val="auto"/>
                <w:w w:val="99"/>
              </w:rPr>
              <w:t>4</w:t>
            </w:r>
          </w:p>
        </w:tc>
        <w:tc>
          <w:tcPr>
            <w:tcW w:w="20" w:type="dxa"/>
            <w:vAlign w:val="bottom"/>
          </w:tcPr>
          <w:p>
            <w:pPr>
              <w:spacing w:after="0"/>
              <w:rPr>
                <w:sz w:val="15"/>
                <w:szCs w:val="15"/>
                <w:color w:val="auto"/>
              </w:rPr>
            </w:pPr>
          </w:p>
        </w:tc>
      </w:tr>
      <w:tr>
        <w:trPr>
          <w:trHeight w:val="241"/>
        </w:trPr>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60" w:type="dxa"/>
            <w:vAlign w:val="bottom"/>
            <w:tcBorders>
              <w:top w:val="single" w:sz="8" w:color="0000EE"/>
            </w:tcBorders>
            <w:gridSpan w:val="15"/>
          </w:tcPr>
          <w:p>
            <w:pPr>
              <w:ind w:left="160"/>
              <w:spacing w:after="0"/>
              <w:rPr>
                <w:sz w:val="20"/>
                <w:szCs w:val="20"/>
                <w:color w:val="auto"/>
              </w:rPr>
            </w:pPr>
            <w:r>
              <w:rPr>
                <w:rFonts w:ascii="Arial" w:cs="Arial" w:eastAsia="Arial" w:hAnsi="Arial"/>
                <w:sz w:val="18"/>
                <w:szCs w:val="18"/>
                <w:color w:val="auto"/>
              </w:rPr>
              <w:t>(Unaudited)</w:t>
            </w: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4"/>
        </w:trPr>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760" w:type="dxa"/>
            <w:vAlign w:val="bottom"/>
            <w:gridSpan w:val="17"/>
            <w:shd w:val="clear" w:color="auto" w:fill="CCEEFF"/>
          </w:tcPr>
          <w:p>
            <w:pPr>
              <w:spacing w:after="0" w:line="184" w:lineRule="exact"/>
              <w:rPr>
                <w:sz w:val="20"/>
                <w:szCs w:val="20"/>
                <w:color w:val="auto"/>
              </w:rPr>
            </w:pPr>
            <w:r>
              <w:rPr>
                <w:rFonts w:ascii="Arial" w:cs="Arial" w:eastAsia="Arial" w:hAnsi="Arial"/>
                <w:sz w:val="18"/>
                <w:szCs w:val="18"/>
                <w:color w:val="0000EE"/>
              </w:rPr>
              <w:t xml:space="preserve">Condensed Consolidated Statements of Cash Flows </w:t>
            </w:r>
            <w:r>
              <w:rPr>
                <w:rFonts w:ascii="Arial" w:cs="Arial" w:eastAsia="Arial" w:hAnsi="Arial"/>
                <w:sz w:val="18"/>
                <w:szCs w:val="18"/>
                <w:color w:val="000000"/>
              </w:rPr>
              <w:t>(Unaudited)</w:t>
            </w:r>
          </w:p>
        </w:tc>
        <w:tc>
          <w:tcPr>
            <w:tcW w:w="720" w:type="dxa"/>
            <w:vAlign w:val="bottom"/>
            <w:shd w:val="clear" w:color="auto" w:fill="CCEEFF"/>
          </w:tcPr>
          <w:p>
            <w:pPr>
              <w:jc w:val="center"/>
              <w:spacing w:after="0" w:line="184" w:lineRule="exact"/>
              <w:rPr>
                <w:sz w:val="20"/>
                <w:szCs w:val="20"/>
                <w:color w:val="auto"/>
              </w:rPr>
            </w:pPr>
            <w:r>
              <w:rPr>
                <w:rFonts w:ascii="Arial" w:cs="Arial" w:eastAsia="Arial" w:hAnsi="Arial"/>
                <w:sz w:val="18"/>
                <w:szCs w:val="18"/>
                <w:color w:val="auto"/>
                <w:w w:val="99"/>
              </w:rPr>
              <w:t>5</w:t>
            </w:r>
          </w:p>
        </w:tc>
        <w:tc>
          <w:tcPr>
            <w:tcW w:w="20" w:type="dxa"/>
            <w:vAlign w:val="bottom"/>
          </w:tcPr>
          <w:p>
            <w:pPr>
              <w:spacing w:after="0"/>
              <w:rPr>
                <w:sz w:val="16"/>
                <w:szCs w:val="16"/>
                <w:color w:val="auto"/>
              </w:rPr>
            </w:pPr>
          </w:p>
        </w:tc>
      </w:tr>
      <w:tr>
        <w:trPr>
          <w:trHeight w:val="48"/>
        </w:trPr>
        <w:tc>
          <w:tcPr>
            <w:tcW w:w="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36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r>
      <w:tr>
        <w:trPr>
          <w:trHeight w:val="175"/>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760" w:type="dxa"/>
            <w:vAlign w:val="bottom"/>
            <w:gridSpan w:val="17"/>
          </w:tcPr>
          <w:p>
            <w:pPr>
              <w:spacing w:after="0" w:line="176" w:lineRule="exact"/>
              <w:rPr>
                <w:sz w:val="20"/>
                <w:szCs w:val="20"/>
                <w:color w:val="auto"/>
              </w:rPr>
            </w:pPr>
            <w:r>
              <w:rPr>
                <w:rFonts w:ascii="Arial" w:cs="Arial" w:eastAsia="Arial" w:hAnsi="Arial"/>
                <w:sz w:val="18"/>
                <w:szCs w:val="18"/>
                <w:color w:val="0000EE"/>
              </w:rPr>
              <w:t xml:space="preserve">Notes to the Unaudited Condensed Consolidated Financial Statements </w:t>
            </w:r>
            <w:r>
              <w:rPr>
                <w:rFonts w:ascii="Arial" w:cs="Arial" w:eastAsia="Arial" w:hAnsi="Arial"/>
                <w:sz w:val="18"/>
                <w:szCs w:val="18"/>
                <w:color w:val="000000"/>
              </w:rPr>
              <w:t>(Unaudited)</w:t>
            </w:r>
          </w:p>
        </w:tc>
        <w:tc>
          <w:tcPr>
            <w:tcW w:w="720" w:type="dxa"/>
            <w:vAlign w:val="bottom"/>
          </w:tcPr>
          <w:p>
            <w:pPr>
              <w:jc w:val="center"/>
              <w:spacing w:after="0" w:line="176" w:lineRule="exact"/>
              <w:rPr>
                <w:sz w:val="20"/>
                <w:szCs w:val="20"/>
                <w:color w:val="auto"/>
              </w:rPr>
            </w:pPr>
            <w:r>
              <w:rPr>
                <w:rFonts w:ascii="Arial" w:cs="Arial" w:eastAsia="Arial" w:hAnsi="Arial"/>
                <w:sz w:val="18"/>
                <w:szCs w:val="18"/>
                <w:color w:val="auto"/>
                <w:w w:val="99"/>
              </w:rPr>
              <w:t>6</w:t>
            </w:r>
          </w:p>
        </w:tc>
        <w:tc>
          <w:tcPr>
            <w:tcW w:w="20" w:type="dxa"/>
            <w:vAlign w:val="bottom"/>
          </w:tcPr>
          <w:p>
            <w:pPr>
              <w:spacing w:after="0"/>
              <w:rPr>
                <w:sz w:val="15"/>
                <w:szCs w:val="15"/>
                <w:color w:val="auto"/>
              </w:rPr>
            </w:pPr>
          </w:p>
        </w:tc>
      </w:tr>
      <w:tr>
        <w:trPr>
          <w:trHeight w:val="48"/>
        </w:trPr>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36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6"/>
        </w:trPr>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44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Item 2.  Management’s Discussion and Analysis of Financial Condition and Results of</w:t>
            </w:r>
          </w:p>
        </w:tc>
        <w:tc>
          <w:tcPr>
            <w:tcW w:w="7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20</w:t>
            </w:r>
          </w:p>
        </w:tc>
        <w:tc>
          <w:tcPr>
            <w:tcW w:w="20" w:type="dxa"/>
            <w:vAlign w:val="bottom"/>
          </w:tcPr>
          <w:p>
            <w:pPr>
              <w:spacing w:after="0"/>
              <w:rPr>
                <w:sz w:val="15"/>
                <w:szCs w:val="15"/>
                <w:color w:val="auto"/>
              </w:rPr>
            </w:pPr>
          </w:p>
        </w:tc>
      </w:tr>
      <w:tr>
        <w:trPr>
          <w:trHeight w:val="230"/>
        </w:trPr>
        <w:tc>
          <w:tcPr>
            <w:tcW w:w="56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0000EE"/>
              <w:bottom w:val="single" w:sz="8" w:color="CCEEFF"/>
            </w:tcBorders>
            <w:shd w:val="clear" w:color="auto" w:fill="CCEEFF"/>
          </w:tcPr>
          <w:p>
            <w:pPr>
              <w:spacing w:after="0"/>
              <w:rPr>
                <w:sz w:val="20"/>
                <w:szCs w:val="20"/>
                <w:color w:val="auto"/>
              </w:rPr>
            </w:pPr>
          </w:p>
        </w:tc>
        <w:tc>
          <w:tcPr>
            <w:tcW w:w="160" w:type="dxa"/>
            <w:vAlign w:val="bottom"/>
            <w:tcBorders>
              <w:top w:val="single" w:sz="8" w:color="0000EE"/>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0000EE"/>
              <w:bottom w:val="single" w:sz="8" w:color="0000EE"/>
            </w:tcBorders>
            <w:gridSpan w:val="2"/>
            <w:shd w:val="clear" w:color="auto" w:fill="CCEEFF"/>
          </w:tcPr>
          <w:p>
            <w:pPr>
              <w:spacing w:after="0" w:line="182" w:lineRule="exact"/>
              <w:rPr>
                <w:sz w:val="20"/>
                <w:szCs w:val="20"/>
                <w:color w:val="auto"/>
              </w:rPr>
            </w:pPr>
            <w:r>
              <w:rPr>
                <w:rFonts w:ascii="Arial" w:cs="Arial" w:eastAsia="Arial" w:hAnsi="Arial"/>
                <w:sz w:val="18"/>
                <w:szCs w:val="18"/>
                <w:color w:val="0000EE"/>
                <w:w w:val="97"/>
              </w:rPr>
              <w:t>Operations</w:t>
            </w:r>
          </w:p>
        </w:tc>
        <w:tc>
          <w:tcPr>
            <w:tcW w:w="5260" w:type="dxa"/>
            <w:vAlign w:val="bottom"/>
            <w:tcBorders>
              <w:top w:val="single" w:sz="8" w:color="0000EE"/>
              <w:bottom w:val="single" w:sz="8" w:color="CCEEFF"/>
            </w:tcBorders>
            <w:gridSpan w:val="14"/>
            <w:shd w:val="clear" w:color="auto" w:fill="CCEEFF"/>
          </w:tcPr>
          <w:p>
            <w:pPr>
              <w:spacing w:after="0"/>
              <w:rPr>
                <w:sz w:val="20"/>
                <w:szCs w:val="20"/>
                <w:color w:val="auto"/>
              </w:rPr>
            </w:pPr>
          </w:p>
        </w:tc>
        <w:tc>
          <w:tcPr>
            <w:tcW w:w="62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175"/>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40" w:type="dxa"/>
            <w:vAlign w:val="bottom"/>
            <w:gridSpan w:val="21"/>
          </w:tcPr>
          <w:p>
            <w:pPr>
              <w:spacing w:after="0" w:line="176" w:lineRule="exact"/>
              <w:rPr>
                <w:sz w:val="20"/>
                <w:szCs w:val="20"/>
                <w:color w:val="auto"/>
              </w:rPr>
            </w:pPr>
            <w:r>
              <w:rPr>
                <w:rFonts w:ascii="Arial" w:cs="Arial" w:eastAsia="Arial" w:hAnsi="Arial"/>
                <w:sz w:val="18"/>
                <w:szCs w:val="18"/>
                <w:color w:val="0000EE"/>
              </w:rPr>
              <w:t>Item 4.  Controls and Procedures</w:t>
            </w:r>
          </w:p>
        </w:tc>
        <w:tc>
          <w:tcPr>
            <w:tcW w:w="720" w:type="dxa"/>
            <w:vAlign w:val="bottom"/>
          </w:tcPr>
          <w:p>
            <w:pPr>
              <w:jc w:val="center"/>
              <w:spacing w:after="0" w:line="176" w:lineRule="exact"/>
              <w:rPr>
                <w:sz w:val="20"/>
                <w:szCs w:val="20"/>
                <w:color w:val="auto"/>
              </w:rPr>
            </w:pPr>
            <w:r>
              <w:rPr>
                <w:rFonts w:ascii="Arial" w:cs="Arial" w:eastAsia="Arial" w:hAnsi="Arial"/>
                <w:sz w:val="18"/>
                <w:szCs w:val="18"/>
                <w:color w:val="auto"/>
                <w:w w:val="99"/>
              </w:rPr>
              <w:t>31</w:t>
            </w:r>
          </w:p>
        </w:tc>
        <w:tc>
          <w:tcPr>
            <w:tcW w:w="20" w:type="dxa"/>
            <w:vAlign w:val="bottom"/>
          </w:tcPr>
          <w:p>
            <w:pPr>
              <w:spacing w:after="0"/>
              <w:rPr>
                <w:sz w:val="15"/>
                <w:szCs w:val="15"/>
                <w:color w:val="auto"/>
              </w:rPr>
            </w:pPr>
          </w:p>
        </w:tc>
      </w:tr>
      <w:tr>
        <w:trPr>
          <w:trHeight w:val="48"/>
        </w:trPr>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76"/>
        </w:trPr>
        <w:tc>
          <w:tcPr>
            <w:tcW w:w="8100" w:type="dxa"/>
            <w:vAlign w:val="bottom"/>
            <w:gridSpan w:val="24"/>
          </w:tcPr>
          <w:p>
            <w:pPr>
              <w:spacing w:after="0" w:line="176" w:lineRule="exact"/>
              <w:rPr>
                <w:sz w:val="20"/>
                <w:szCs w:val="20"/>
                <w:color w:val="auto"/>
              </w:rPr>
            </w:pPr>
            <w:r>
              <w:rPr>
                <w:rFonts w:ascii="Arial" w:cs="Arial" w:eastAsia="Arial" w:hAnsi="Arial"/>
                <w:sz w:val="18"/>
                <w:szCs w:val="18"/>
                <w:color w:val="0000EE"/>
              </w:rPr>
              <w:t>PART II OTHER INFORMATION</w:t>
            </w:r>
          </w:p>
        </w:tc>
        <w:tc>
          <w:tcPr>
            <w:tcW w:w="720" w:type="dxa"/>
            <w:vAlign w:val="bottom"/>
          </w:tcPr>
          <w:p>
            <w:pPr>
              <w:jc w:val="center"/>
              <w:spacing w:after="0" w:line="176" w:lineRule="exact"/>
              <w:rPr>
                <w:sz w:val="20"/>
                <w:szCs w:val="20"/>
                <w:color w:val="auto"/>
              </w:rPr>
            </w:pPr>
            <w:r>
              <w:rPr>
                <w:rFonts w:ascii="Arial" w:cs="Arial" w:eastAsia="Arial" w:hAnsi="Arial"/>
                <w:sz w:val="18"/>
                <w:szCs w:val="18"/>
                <w:color w:val="auto"/>
                <w:w w:val="99"/>
              </w:rPr>
              <w:t>31</w:t>
            </w:r>
          </w:p>
        </w:tc>
        <w:tc>
          <w:tcPr>
            <w:tcW w:w="20" w:type="dxa"/>
            <w:vAlign w:val="bottom"/>
          </w:tcPr>
          <w:p>
            <w:pPr>
              <w:spacing w:after="0"/>
              <w:rPr>
                <w:sz w:val="15"/>
                <w:szCs w:val="15"/>
                <w:color w:val="auto"/>
              </w:rPr>
            </w:pPr>
          </w:p>
        </w:tc>
      </w:tr>
      <w:tr>
        <w:trPr>
          <w:trHeight w:val="48"/>
        </w:trPr>
        <w:tc>
          <w:tcPr>
            <w:tcW w:w="5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5"/>
        </w:trPr>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44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Item 1.  Legal Proceedings</w:t>
            </w:r>
          </w:p>
        </w:tc>
        <w:tc>
          <w:tcPr>
            <w:tcW w:w="7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31</w:t>
            </w:r>
          </w:p>
        </w:tc>
        <w:tc>
          <w:tcPr>
            <w:tcW w:w="20" w:type="dxa"/>
            <w:vAlign w:val="bottom"/>
          </w:tcPr>
          <w:p>
            <w:pPr>
              <w:spacing w:after="0"/>
              <w:rPr>
                <w:sz w:val="15"/>
                <w:szCs w:val="15"/>
                <w:color w:val="auto"/>
              </w:rPr>
            </w:pPr>
          </w:p>
        </w:tc>
      </w:tr>
      <w:tr>
        <w:trPr>
          <w:trHeight w:val="48"/>
        </w:trPr>
        <w:tc>
          <w:tcPr>
            <w:tcW w:w="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r>
      <w:tr>
        <w:trPr>
          <w:trHeight w:val="176"/>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40" w:type="dxa"/>
            <w:vAlign w:val="bottom"/>
            <w:gridSpan w:val="21"/>
          </w:tcPr>
          <w:p>
            <w:pPr>
              <w:spacing w:after="0" w:line="176" w:lineRule="exact"/>
              <w:rPr>
                <w:sz w:val="20"/>
                <w:szCs w:val="20"/>
                <w:color w:val="auto"/>
              </w:rPr>
            </w:pPr>
            <w:r>
              <w:rPr>
                <w:rFonts w:ascii="Arial" w:cs="Arial" w:eastAsia="Arial" w:hAnsi="Arial"/>
                <w:sz w:val="18"/>
                <w:szCs w:val="18"/>
                <w:color w:val="0000EE"/>
              </w:rPr>
              <w:t>Item 1A.Risk Factors</w:t>
            </w:r>
          </w:p>
        </w:tc>
        <w:tc>
          <w:tcPr>
            <w:tcW w:w="720" w:type="dxa"/>
            <w:vAlign w:val="bottom"/>
          </w:tcPr>
          <w:p>
            <w:pPr>
              <w:jc w:val="center"/>
              <w:spacing w:after="0" w:line="176" w:lineRule="exact"/>
              <w:rPr>
                <w:sz w:val="20"/>
                <w:szCs w:val="20"/>
                <w:color w:val="auto"/>
              </w:rPr>
            </w:pPr>
            <w:r>
              <w:rPr>
                <w:rFonts w:ascii="Arial" w:cs="Arial" w:eastAsia="Arial" w:hAnsi="Arial"/>
                <w:sz w:val="18"/>
                <w:szCs w:val="18"/>
                <w:color w:val="auto"/>
                <w:w w:val="99"/>
              </w:rPr>
              <w:t>31</w:t>
            </w:r>
          </w:p>
        </w:tc>
        <w:tc>
          <w:tcPr>
            <w:tcW w:w="20" w:type="dxa"/>
            <w:vAlign w:val="bottom"/>
          </w:tcPr>
          <w:p>
            <w:pPr>
              <w:spacing w:after="0"/>
              <w:rPr>
                <w:sz w:val="15"/>
                <w:szCs w:val="15"/>
                <w:color w:val="auto"/>
              </w:rPr>
            </w:pPr>
          </w:p>
        </w:tc>
      </w:tr>
      <w:tr>
        <w:trPr>
          <w:trHeight w:val="48"/>
        </w:trPr>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5"/>
        </w:trPr>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44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Item 2.  Unregistered Sales of Equity Securities and Use of Proceeds</w:t>
            </w:r>
          </w:p>
        </w:tc>
        <w:tc>
          <w:tcPr>
            <w:tcW w:w="7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32</w:t>
            </w:r>
          </w:p>
        </w:tc>
        <w:tc>
          <w:tcPr>
            <w:tcW w:w="20" w:type="dxa"/>
            <w:vAlign w:val="bottom"/>
          </w:tcPr>
          <w:p>
            <w:pPr>
              <w:spacing w:after="0"/>
              <w:rPr>
                <w:sz w:val="15"/>
                <w:szCs w:val="15"/>
                <w:color w:val="auto"/>
              </w:rPr>
            </w:pPr>
          </w:p>
        </w:tc>
      </w:tr>
      <w:tr>
        <w:trPr>
          <w:trHeight w:val="48"/>
        </w:trPr>
        <w:tc>
          <w:tcPr>
            <w:tcW w:w="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36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r>
      <w:tr>
        <w:trPr>
          <w:trHeight w:val="175"/>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40" w:type="dxa"/>
            <w:vAlign w:val="bottom"/>
            <w:gridSpan w:val="21"/>
          </w:tcPr>
          <w:p>
            <w:pPr>
              <w:spacing w:after="0" w:line="176" w:lineRule="exact"/>
              <w:rPr>
                <w:sz w:val="20"/>
                <w:szCs w:val="20"/>
                <w:color w:val="auto"/>
              </w:rPr>
            </w:pPr>
            <w:r>
              <w:rPr>
                <w:rFonts w:ascii="Arial" w:cs="Arial" w:eastAsia="Arial" w:hAnsi="Arial"/>
                <w:sz w:val="18"/>
                <w:szCs w:val="18"/>
                <w:color w:val="0000EE"/>
              </w:rPr>
              <w:t>Item 6.  Exhibits</w:t>
            </w:r>
          </w:p>
        </w:tc>
        <w:tc>
          <w:tcPr>
            <w:tcW w:w="720" w:type="dxa"/>
            <w:vAlign w:val="bottom"/>
          </w:tcPr>
          <w:p>
            <w:pPr>
              <w:jc w:val="center"/>
              <w:spacing w:after="0" w:line="176" w:lineRule="exact"/>
              <w:rPr>
                <w:sz w:val="20"/>
                <w:szCs w:val="20"/>
                <w:color w:val="auto"/>
              </w:rPr>
            </w:pPr>
            <w:r>
              <w:rPr>
                <w:rFonts w:ascii="Arial" w:cs="Arial" w:eastAsia="Arial" w:hAnsi="Arial"/>
                <w:sz w:val="18"/>
                <w:szCs w:val="18"/>
                <w:color w:val="auto"/>
                <w:w w:val="99"/>
              </w:rPr>
              <w:t>33</w:t>
            </w:r>
          </w:p>
        </w:tc>
        <w:tc>
          <w:tcPr>
            <w:tcW w:w="20" w:type="dxa"/>
            <w:vAlign w:val="bottom"/>
          </w:tcPr>
          <w:p>
            <w:pPr>
              <w:spacing w:after="0"/>
              <w:rPr>
                <w:sz w:val="15"/>
                <w:szCs w:val="15"/>
                <w:color w:val="auto"/>
              </w:rPr>
            </w:pPr>
          </w:p>
        </w:tc>
      </w:tr>
      <w:tr>
        <w:trPr>
          <w:trHeight w:val="48"/>
        </w:trPr>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75"/>
        </w:trPr>
        <w:tc>
          <w:tcPr>
            <w:tcW w:w="8100" w:type="dxa"/>
            <w:vAlign w:val="bottom"/>
            <w:gridSpan w:val="24"/>
          </w:tcPr>
          <w:p>
            <w:pPr>
              <w:spacing w:after="0" w:line="176" w:lineRule="exact"/>
              <w:rPr>
                <w:sz w:val="20"/>
                <w:szCs w:val="20"/>
                <w:color w:val="auto"/>
              </w:rPr>
            </w:pPr>
            <w:r>
              <w:rPr>
                <w:rFonts w:ascii="Arial" w:cs="Arial" w:eastAsia="Arial" w:hAnsi="Arial"/>
                <w:sz w:val="18"/>
                <w:szCs w:val="18"/>
                <w:color w:val="0000EE"/>
              </w:rPr>
              <w:t>SIGNATURE</w:t>
            </w:r>
          </w:p>
        </w:tc>
        <w:tc>
          <w:tcPr>
            <w:tcW w:w="720" w:type="dxa"/>
            <w:vAlign w:val="bottom"/>
          </w:tcPr>
          <w:p>
            <w:pPr>
              <w:jc w:val="center"/>
              <w:spacing w:after="0" w:line="176" w:lineRule="exact"/>
              <w:rPr>
                <w:sz w:val="20"/>
                <w:szCs w:val="20"/>
                <w:color w:val="auto"/>
              </w:rPr>
            </w:pPr>
            <w:r>
              <w:rPr>
                <w:rFonts w:ascii="Arial" w:cs="Arial" w:eastAsia="Arial" w:hAnsi="Arial"/>
                <w:sz w:val="18"/>
                <w:szCs w:val="18"/>
                <w:color w:val="auto"/>
                <w:w w:val="99"/>
              </w:rPr>
              <w:t>34</w:t>
            </w:r>
          </w:p>
        </w:tc>
        <w:tc>
          <w:tcPr>
            <w:tcW w:w="20" w:type="dxa"/>
            <w:vAlign w:val="bottom"/>
          </w:tcPr>
          <w:p>
            <w:pPr>
              <w:spacing w:after="0"/>
              <w:rPr>
                <w:sz w:val="15"/>
                <w:szCs w:val="15"/>
                <w:color w:val="auto"/>
              </w:rPr>
            </w:pPr>
          </w:p>
        </w:tc>
      </w:tr>
      <w:tr>
        <w:trPr>
          <w:trHeight w:val="48"/>
        </w:trPr>
        <w:tc>
          <w:tcPr>
            <w:tcW w:w="56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380" w:type="dxa"/>
            <w:vAlign w:val="bottom"/>
            <w:tcBorders>
              <w:top w:val="single" w:sz="8" w:color="0000EE"/>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1215"/>
        </w:trPr>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8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03" w:lineRule="exact"/>
        <w:rPr>
          <w:sz w:val="20"/>
          <w:szCs w:val="20"/>
          <w:color w:val="auto"/>
        </w:rPr>
      </w:pPr>
    </w:p>
    <w:p>
      <w:pPr>
        <w:jc w:val="both"/>
        <w:ind w:left="80" w:right="99"/>
        <w:spacing w:after="0" w:line="254" w:lineRule="auto"/>
        <w:rPr>
          <w:sz w:val="20"/>
          <w:szCs w:val="20"/>
          <w:color w:val="auto"/>
        </w:rPr>
      </w:pPr>
      <w:r>
        <w:rPr>
          <w:rFonts w:ascii="Arial" w:cs="Arial" w:eastAsia="Arial" w:hAnsi="Arial"/>
          <w:sz w:val="16"/>
          <w:szCs w:val="16"/>
          <w:color w:val="auto"/>
        </w:rPr>
        <w:t>This Quarterly Report on Form 10-Q includes “forward-looking” statements within the meaning of the Private Securities Litigation Reform Act of 1995. Forward-looking statements can be identified by the fact that they do not relate strictly to historical or current facts. They often include words such as “believes,” “expects,” “anticipates,” “estimates,” “intends,” “plans,” “seeks,” “continues,” “feels,” “forecasts,” or words of similar meaning, or future or conditional verbs, such as “will,” “should,” “could,” “may,” “aims,” “intends,” or “projects.” Statements may be forward looking even in the absence of these particular words.</w:t>
      </w:r>
    </w:p>
    <w:p>
      <w:pPr>
        <w:spacing w:after="0" w:line="141" w:lineRule="exact"/>
        <w:rPr>
          <w:sz w:val="20"/>
          <w:szCs w:val="20"/>
          <w:color w:val="auto"/>
        </w:rPr>
      </w:pPr>
    </w:p>
    <w:p>
      <w:pPr>
        <w:jc w:val="both"/>
        <w:ind w:left="80" w:right="99"/>
        <w:spacing w:after="0" w:line="251" w:lineRule="auto"/>
        <w:rPr>
          <w:sz w:val="20"/>
          <w:szCs w:val="20"/>
          <w:color w:val="auto"/>
        </w:rPr>
      </w:pPr>
      <w:r>
        <w:rPr>
          <w:rFonts w:ascii="Arial" w:cs="Arial" w:eastAsia="Arial" w:hAnsi="Arial"/>
          <w:sz w:val="16"/>
          <w:szCs w:val="16"/>
          <w:color w:val="auto"/>
        </w:rPr>
        <w:t>Examples of forward-looking statements include, but are not limited to, statements regarding our financial position, business strategy, and other plans and objectives for our future operations, and generation of free cash flow. These forward-looking statements are based on our current expectations and beliefs concerning future developments and their potential effect on us. The forward-looking statements contained herein are largely based on our expectations for the future, which reflect certain estimates and assumptions made by our management. These estimates and assumptions reflect our best judgment based on currently known market conditions, operating trends, and other factors. Although we believe such estimates and assumptions to be reasonable, they are inherently uncertain and involve a number of risks and uncertainties that are beyond our control. As such, management’s assumptions about future events may prove to be inaccurate.</w:t>
      </w:r>
    </w:p>
    <w:p>
      <w:pPr>
        <w:spacing w:after="0" w:line="337" w:lineRule="exact"/>
        <w:rPr>
          <w:sz w:val="20"/>
          <w:szCs w:val="20"/>
          <w:color w:val="auto"/>
        </w:rPr>
      </w:pPr>
    </w:p>
    <w:p>
      <w:pPr>
        <w:jc w:val="both"/>
        <w:ind w:left="80" w:right="99"/>
        <w:spacing w:after="0" w:line="248" w:lineRule="auto"/>
        <w:rPr>
          <w:sz w:val="20"/>
          <w:szCs w:val="20"/>
          <w:color w:val="auto"/>
        </w:rPr>
      </w:pPr>
      <w:r>
        <w:rPr>
          <w:rFonts w:ascii="Arial" w:cs="Arial" w:eastAsia="Arial" w:hAnsi="Arial"/>
          <w:sz w:val="16"/>
          <w:szCs w:val="16"/>
          <w:color w:val="auto"/>
        </w:rPr>
        <w:t>We do not intend to publicly update or revise any forward-looking statements as a result of new information, future events, changes in circumstances, or otherwise. These cautionary statements qualify all forward-looking statements attributable to us, or persons acting on our behalf. Management cautions you that the forward-looking statements contained herein are not guarantees of future performance, and we cannot assure you that such statements will be realized or that the events and circumstances they describe will occur. Factors that could cause actual results to differ materially from those anticipated or implied in the forward-looking statements herein include, but are not limited to, a change in the relationship with any of our key suppliers, including the unavailability of premium products at competitive prices, volume discounts, cooperative advertising, markdown allowances, or ability to cancel orders and return merchandise; our ability to fund our planned capital investments; volatility in the financial markets or other global economic factors; difficulties in appropriately allocating capital and resources among our strategic opportunities; our ability to realize the expected benefits from acquisitions; business opportunities and expansion; investments; expenses; dividends; share repurchases; liquidity; cash flow from operations; use of cash and cash requirements; borrowing capacity; repatriation of cash to the United States; supply chain issues, including delays in merchandise receipts and increasing cost pressure caused by higher oceanic shipping and freight costs; labor shortages; expectations regarding increased wages; inflation; consumer spending levels; the effect of governmental assistance programs; social unrest; continuing risks relating to the effects of the COVID-19 pandemic, including vaccines and safety protocols; expectations regarding increasing global taxes; the effect of increased government regulation and changes in law; the effect of the adverse outcome of any material litigation against us or judicial decisions that affect us or our industry generally; the effects of weather; climate change; ESG risks; increased competition; geopolitical events; the financial effect of accounting regulations and critical accounting policies; credit risk relating to the risk of loss as a result of non-performance by our counterparties; and any other factors set forth in the section entitled “Risk Factors” of our most recent Annual Report on Form 10-K.</w:t>
      </w:r>
    </w:p>
    <w:p>
      <w:pPr>
        <w:spacing w:after="0" w:line="139" w:lineRule="exact"/>
        <w:rPr>
          <w:sz w:val="20"/>
          <w:szCs w:val="20"/>
          <w:color w:val="auto"/>
        </w:rPr>
      </w:pPr>
    </w:p>
    <w:p>
      <w:pPr>
        <w:jc w:val="both"/>
        <w:ind w:left="80" w:right="99"/>
        <w:spacing w:after="0" w:line="256" w:lineRule="auto"/>
        <w:rPr>
          <w:sz w:val="20"/>
          <w:szCs w:val="20"/>
          <w:color w:val="auto"/>
        </w:rPr>
      </w:pPr>
      <w:r>
        <w:rPr>
          <w:rFonts w:ascii="Arial" w:cs="Arial" w:eastAsia="Arial" w:hAnsi="Arial"/>
          <w:sz w:val="16"/>
          <w:szCs w:val="16"/>
          <w:color w:val="auto"/>
        </w:rPr>
        <w:t>All written and oral forward-looking statements attributable to us are expressly qualified in their entirety by this cautionary statement. A forward-looking statement is neither a prediction nor a guarantee of future events or circumstances, and those future events or circumstances may not occur. You should not place undue reliance on forward-looking statements, which speak to our views only as of the date of this filing. Additional risks and uncertainties that we do not presently know about or that we currently consider to be insignificant may also affect our business operations and financial performance.</w:t>
      </w:r>
    </w:p>
    <w:p>
      <w:pPr>
        <w:spacing w:after="0" w:line="180" w:lineRule="exact"/>
        <w:rPr>
          <w:sz w:val="20"/>
          <w:szCs w:val="20"/>
          <w:color w:val="auto"/>
        </w:rPr>
      </w:pPr>
    </w:p>
    <w:p>
      <w:pPr>
        <w:jc w:val="both"/>
        <w:ind w:left="80" w:right="99"/>
        <w:spacing w:after="0" w:line="252" w:lineRule="auto"/>
        <w:rPr>
          <w:sz w:val="20"/>
          <w:szCs w:val="20"/>
          <w:color w:val="auto"/>
        </w:rPr>
      </w:pPr>
      <w:r>
        <w:rPr>
          <w:rFonts w:ascii="Arial" w:cs="Arial" w:eastAsia="Arial" w:hAnsi="Arial"/>
          <w:sz w:val="16"/>
          <w:szCs w:val="16"/>
          <w:color w:val="auto"/>
        </w:rPr>
        <w:t>Please refer to “Item 1A. Risk Factors” of our most recent Annual Report on Form 10-K filed with the U.S. Securities and Exchange Commission for a discussion of certain risks relating to our business and any investment in our securities. Given these risks and uncertainties, you should not rely on forward-looking statements as predictions of actual results. Any or all of the forward-looking statements contained in this report, or any other public statement made by us, including by our management, may turn out to be incorrect. We are including this cautionary note to make applicable and take advantage of the safe harbor provisions of the Private Securities Litigation Reform Act of 1995 for forward-looking statements. We expressly disclaim any obligation to update or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742315</wp:posOffset>
            </wp:positionV>
            <wp:extent cx="56064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 FINANCIAL INFORMATION</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76200</wp:posOffset>
            </wp:positionV>
            <wp:extent cx="1834515" cy="2146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6"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199"/>
              <w:spacing w:after="0"/>
              <w:rPr>
                <w:sz w:val="20"/>
                <w:szCs w:val="20"/>
                <w:color w:val="auto"/>
              </w:rPr>
            </w:pPr>
            <w:r>
              <w:rPr>
                <w:rFonts w:ascii="Arial" w:cs="Arial" w:eastAsia="Arial" w:hAnsi="Arial"/>
                <w:sz w:val="16"/>
                <w:szCs w:val="16"/>
                <w:b w:val="1"/>
                <w:bCs w:val="1"/>
                <w:color w:val="auto"/>
              </w:rPr>
              <w:t>October 29,</w:t>
            </w:r>
          </w:p>
        </w:tc>
        <w:tc>
          <w:tcPr>
            <w:tcW w:w="240" w:type="dxa"/>
            <w:vAlign w:val="bottom"/>
          </w:tcPr>
          <w:p>
            <w:pPr>
              <w:spacing w:after="0"/>
              <w:rPr>
                <w:sz w:val="16"/>
                <w:szCs w:val="16"/>
                <w:color w:val="auto"/>
              </w:rPr>
            </w:pPr>
          </w:p>
        </w:tc>
        <w:tc>
          <w:tcPr>
            <w:tcW w:w="1220" w:type="dxa"/>
            <w:vAlign w:val="bottom"/>
          </w:tcPr>
          <w:p>
            <w:pPr>
              <w:jc w:val="right"/>
              <w:ind w:right="199"/>
              <w:spacing w:after="0"/>
              <w:rPr>
                <w:sz w:val="20"/>
                <w:szCs w:val="20"/>
                <w:color w:val="auto"/>
              </w:rPr>
            </w:pPr>
            <w:r>
              <w:rPr>
                <w:rFonts w:ascii="Arial" w:cs="Arial" w:eastAsia="Arial" w:hAnsi="Arial"/>
                <w:sz w:val="16"/>
                <w:szCs w:val="16"/>
                <w:b w:val="1"/>
                <w:bCs w:val="1"/>
                <w:color w:val="auto"/>
              </w:rPr>
              <w:t>October 30,</w:t>
            </w:r>
          </w:p>
        </w:tc>
        <w:tc>
          <w:tcPr>
            <w:tcW w:w="240" w:type="dxa"/>
            <w:vAlign w:val="bottom"/>
          </w:tcPr>
          <w:p>
            <w:pPr>
              <w:spacing w:after="0"/>
              <w:rPr>
                <w:sz w:val="16"/>
                <w:szCs w:val="16"/>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b w:val="1"/>
                <w:bCs w:val="1"/>
                <w:color w:val="auto"/>
              </w:rPr>
              <w:t>January 29,</w:t>
            </w:r>
          </w:p>
        </w:tc>
        <w:tc>
          <w:tcPr>
            <w:tcW w:w="0" w:type="dxa"/>
            <w:vAlign w:val="bottom"/>
          </w:tcPr>
          <w:p>
            <w:pPr>
              <w:spacing w:after="0"/>
              <w:rPr>
                <w:sz w:val="1"/>
                <w:szCs w:val="1"/>
                <w:color w:val="auto"/>
              </w:rPr>
            </w:pPr>
          </w:p>
        </w:tc>
      </w:tr>
      <w:tr>
        <w:trPr>
          <w:trHeight w:val="203"/>
        </w:trPr>
        <w:tc>
          <w:tcPr>
            <w:tcW w:w="4600" w:type="dxa"/>
            <w:vAlign w:val="bottom"/>
            <w:gridSpan w:val="2"/>
          </w:tcPr>
          <w:p>
            <w:pPr>
              <w:spacing w:after="0"/>
              <w:rPr>
                <w:sz w:val="20"/>
                <w:szCs w:val="20"/>
                <w:color w:val="auto"/>
              </w:rPr>
            </w:pPr>
            <w:r>
              <w:rPr>
                <w:rFonts w:ascii="Arial" w:cs="Arial" w:eastAsia="Arial" w:hAnsi="Arial"/>
                <w:sz w:val="16"/>
                <w:szCs w:val="16"/>
                <w:color w:val="auto"/>
              </w:rPr>
              <w:t>($ in millions, except share amounts)</w:t>
            </w:r>
          </w:p>
        </w:tc>
        <w:tc>
          <w:tcPr>
            <w:tcW w:w="260" w:type="dxa"/>
            <w:vAlign w:val="bottom"/>
          </w:tcPr>
          <w:p>
            <w:pPr>
              <w:spacing w:after="0"/>
              <w:rPr>
                <w:sz w:val="17"/>
                <w:szCs w:val="17"/>
                <w:color w:val="auto"/>
              </w:rPr>
            </w:pPr>
          </w:p>
        </w:tc>
        <w:tc>
          <w:tcPr>
            <w:tcW w:w="1220" w:type="dxa"/>
            <w:vAlign w:val="bottom"/>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7"/>
                <w:szCs w:val="17"/>
                <w:color w:val="auto"/>
              </w:rPr>
            </w:pPr>
          </w:p>
        </w:tc>
        <w:tc>
          <w:tcPr>
            <w:tcW w:w="1220" w:type="dxa"/>
            <w:vAlign w:val="bottom"/>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7"/>
                <w:szCs w:val="17"/>
                <w:color w:val="auto"/>
              </w:rPr>
            </w:pPr>
          </w:p>
        </w:tc>
        <w:tc>
          <w:tcPr>
            <w:tcW w:w="1120" w:type="dxa"/>
            <w:vAlign w:val="bottom"/>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Current assets:</w:t>
            </w: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tcPr>
          <w:p>
            <w:pPr>
              <w:ind w:left="8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351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1,339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804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Merchandise inventories</w:t>
            </w: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1,685</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1,301</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Other current assets</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302</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253</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59"/>
              <w:spacing w:after="0" w:line="183" w:lineRule="exact"/>
              <w:rPr>
                <w:sz w:val="20"/>
                <w:szCs w:val="20"/>
                <w:color w:val="auto"/>
              </w:rPr>
            </w:pPr>
            <w:r>
              <w:rPr>
                <w:rFonts w:ascii="Arial" w:cs="Arial" w:eastAsia="Arial" w:hAnsi="Arial"/>
                <w:sz w:val="16"/>
                <w:szCs w:val="16"/>
                <w:b w:val="1"/>
                <w:bCs w:val="1"/>
                <w:color w:val="auto"/>
              </w:rPr>
              <w:t>2,338</w:t>
            </w: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59"/>
              <w:spacing w:after="0" w:line="183" w:lineRule="exact"/>
              <w:rPr>
                <w:sz w:val="20"/>
                <w:szCs w:val="20"/>
                <w:color w:val="auto"/>
              </w:rPr>
            </w:pPr>
            <w:r>
              <w:rPr>
                <w:rFonts w:ascii="Arial" w:cs="Arial" w:eastAsia="Arial" w:hAnsi="Arial"/>
                <w:sz w:val="16"/>
                <w:szCs w:val="16"/>
                <w:color w:val="auto"/>
              </w:rPr>
              <w:t>2,893</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2,363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26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897</w:t>
            </w:r>
          </w:p>
        </w:tc>
        <w:tc>
          <w:tcPr>
            <w:tcW w:w="24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860</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917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right-of-use assets</w:t>
            </w: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2,449</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2,619</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tcPr>
          <w:p>
            <w:pPr>
              <w:spacing w:after="0"/>
              <w:rPr>
                <w:sz w:val="20"/>
                <w:szCs w:val="20"/>
                <w:color w:val="auto"/>
              </w:rPr>
            </w:pPr>
            <w:r>
              <w:rPr>
                <w:rFonts w:ascii="Arial" w:cs="Arial" w:eastAsia="Arial" w:hAnsi="Arial"/>
                <w:sz w:val="16"/>
                <w:szCs w:val="16"/>
                <w:color w:val="auto"/>
              </w:rPr>
              <w:t>Deferred taxes</w:t>
            </w:r>
          </w:p>
        </w:tc>
        <w:tc>
          <w:tcPr>
            <w:tcW w:w="26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65</w:t>
            </w:r>
          </w:p>
        </w:tc>
        <w:tc>
          <w:tcPr>
            <w:tcW w:w="24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95</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764</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651</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26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424</w:t>
            </w:r>
          </w:p>
        </w:tc>
        <w:tc>
          <w:tcPr>
            <w:tcW w:w="24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235</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Minority investments</w:t>
            </w: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722</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762</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103</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96</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8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shd w:val="clear" w:color="auto" w:fill="CCEEFF"/>
          </w:tcPr>
          <w:p>
            <w:pPr>
              <w:jc w:val="right"/>
              <w:ind w:right="59"/>
              <w:spacing w:after="0" w:line="183" w:lineRule="exact"/>
              <w:rPr>
                <w:sz w:val="20"/>
                <w:szCs w:val="20"/>
                <w:color w:val="auto"/>
              </w:rPr>
            </w:pPr>
            <w:r>
              <w:rPr>
                <w:rFonts w:ascii="Arial" w:cs="Arial" w:eastAsia="Arial" w:hAnsi="Arial"/>
                <w:sz w:val="16"/>
                <w:szCs w:val="16"/>
                <w:b w:val="1"/>
                <w:bCs w:val="1"/>
                <w:color w:val="auto"/>
              </w:rPr>
              <w:t>7,762</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59"/>
              <w:spacing w:after="0" w:line="183" w:lineRule="exact"/>
              <w:rPr>
                <w:sz w:val="20"/>
                <w:szCs w:val="20"/>
                <w:color w:val="auto"/>
              </w:rPr>
            </w:pPr>
            <w:r>
              <w:rPr>
                <w:rFonts w:ascii="Arial" w:cs="Arial" w:eastAsia="Arial" w:hAnsi="Arial"/>
                <w:sz w:val="16"/>
                <w:szCs w:val="16"/>
                <w:color w:val="auto"/>
              </w:rPr>
              <w:t>8,211</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4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tcPr>
          <w:p>
            <w:pPr>
              <w:ind w:left="80"/>
              <w:spacing w:after="0"/>
              <w:rPr>
                <w:sz w:val="20"/>
                <w:szCs w:val="20"/>
                <w:color w:val="auto"/>
              </w:rPr>
            </w:pPr>
            <w:r>
              <w:rPr>
                <w:rFonts w:ascii="Arial" w:cs="Arial" w:eastAsia="Arial" w:hAnsi="Arial"/>
                <w:sz w:val="16"/>
                <w:szCs w:val="16"/>
                <w:color w:val="auto"/>
              </w:rPr>
              <w:t>Accounts payable</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522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578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596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Accrued and other liabilities</w:t>
            </w: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455</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498</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tcPr>
          <w:p>
            <w:pPr>
              <w:ind w:left="80"/>
              <w:spacing w:after="0"/>
              <w:rPr>
                <w:sz w:val="20"/>
                <w:szCs w:val="20"/>
                <w:color w:val="auto"/>
              </w:rPr>
            </w:pPr>
            <w:r>
              <w:rPr>
                <w:rFonts w:ascii="Arial" w:cs="Arial" w:eastAsia="Arial" w:hAnsi="Arial"/>
                <w:sz w:val="16"/>
                <w:szCs w:val="16"/>
                <w:color w:val="auto"/>
              </w:rPr>
              <w:t>Current portion of debt and obligations under finance leases</w:t>
            </w:r>
          </w:p>
        </w:tc>
        <w:tc>
          <w:tcPr>
            <w:tcW w:w="26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6</w:t>
            </w:r>
          </w:p>
        </w:tc>
        <w:tc>
          <w:tcPr>
            <w:tcW w:w="24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104</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Current portion of lease obligations</w:t>
            </w:r>
          </w:p>
        </w:tc>
        <w:tc>
          <w:tcPr>
            <w:tcW w:w="2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539</w:t>
            </w:r>
          </w:p>
        </w:tc>
        <w:tc>
          <w:tcPr>
            <w:tcW w:w="2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577</w:t>
            </w:r>
          </w:p>
        </w:tc>
        <w:tc>
          <w:tcPr>
            <w:tcW w:w="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59"/>
              <w:spacing w:after="0" w:line="183" w:lineRule="exact"/>
              <w:rPr>
                <w:sz w:val="20"/>
                <w:szCs w:val="20"/>
                <w:color w:val="auto"/>
              </w:rPr>
            </w:pPr>
            <w:r>
              <w:rPr>
                <w:rFonts w:ascii="Arial" w:cs="Arial" w:eastAsia="Arial" w:hAnsi="Arial"/>
                <w:sz w:val="16"/>
                <w:szCs w:val="16"/>
                <w:b w:val="1"/>
                <w:bCs w:val="1"/>
                <w:color w:val="auto"/>
              </w:rPr>
              <w:t>1,522</w:t>
            </w:r>
          </w:p>
        </w:tc>
        <w:tc>
          <w:tcPr>
            <w:tcW w:w="240" w:type="dxa"/>
            <w:vAlign w:val="bottom"/>
          </w:tcPr>
          <w:p>
            <w:pPr>
              <w:spacing w:after="0"/>
              <w:rPr>
                <w:sz w:val="15"/>
                <w:szCs w:val="15"/>
                <w:color w:val="auto"/>
              </w:rPr>
            </w:pPr>
          </w:p>
        </w:tc>
        <w:tc>
          <w:tcPr>
            <w:tcW w:w="1220" w:type="dxa"/>
            <w:vAlign w:val="bottom"/>
          </w:tcPr>
          <w:p>
            <w:pPr>
              <w:jc w:val="right"/>
              <w:ind w:right="59"/>
              <w:spacing w:after="0" w:line="183" w:lineRule="exact"/>
              <w:rPr>
                <w:sz w:val="20"/>
                <w:szCs w:val="20"/>
                <w:color w:val="auto"/>
              </w:rPr>
            </w:pPr>
            <w:r>
              <w:rPr>
                <w:rFonts w:ascii="Arial" w:cs="Arial" w:eastAsia="Arial" w:hAnsi="Arial"/>
                <w:sz w:val="16"/>
                <w:szCs w:val="16"/>
                <w:color w:val="auto"/>
              </w:rPr>
              <w:t>1,757</w:t>
            </w:r>
          </w:p>
        </w:tc>
        <w:tc>
          <w:tcPr>
            <w:tcW w:w="240" w:type="dxa"/>
            <w:vAlign w:val="bottom"/>
          </w:tcPr>
          <w:p>
            <w:pPr>
              <w:spacing w:after="0"/>
              <w:rPr>
                <w:sz w:val="15"/>
                <w:szCs w:val="15"/>
                <w:color w:val="auto"/>
              </w:rPr>
            </w:pPr>
          </w:p>
        </w:tc>
        <w:tc>
          <w:tcPr>
            <w:tcW w:w="1120" w:type="dxa"/>
            <w:vAlign w:val="bottom"/>
          </w:tcPr>
          <w:p>
            <w:pPr>
              <w:jc w:val="right"/>
              <w:spacing w:after="0" w:line="183" w:lineRule="exact"/>
              <w:rPr>
                <w:sz w:val="20"/>
                <w:szCs w:val="20"/>
                <w:color w:val="auto"/>
              </w:rPr>
            </w:pPr>
            <w:r>
              <w:rPr>
                <w:rFonts w:ascii="Arial" w:cs="Arial" w:eastAsia="Arial" w:hAnsi="Arial"/>
                <w:sz w:val="16"/>
                <w:szCs w:val="16"/>
                <w:color w:val="auto"/>
              </w:rPr>
              <w:t>1,735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Long-term debt and obligations under finance leases</w:t>
            </w: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448</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456</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tcPr>
          <w:p>
            <w:pPr>
              <w:spacing w:after="0"/>
              <w:rPr>
                <w:sz w:val="20"/>
                <w:szCs w:val="20"/>
                <w:color w:val="auto"/>
              </w:rPr>
            </w:pPr>
            <w:r>
              <w:rPr>
                <w:rFonts w:ascii="Arial" w:cs="Arial" w:eastAsia="Arial" w:hAnsi="Arial"/>
                <w:sz w:val="16"/>
                <w:szCs w:val="16"/>
                <w:color w:val="auto"/>
              </w:rPr>
              <w:t>Long-term lease obligations</w:t>
            </w:r>
          </w:p>
        </w:tc>
        <w:tc>
          <w:tcPr>
            <w:tcW w:w="26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2,212</w:t>
            </w:r>
          </w:p>
        </w:tc>
        <w:tc>
          <w:tcPr>
            <w:tcW w:w="24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2,421</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2,363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2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321</w:t>
            </w:r>
          </w:p>
        </w:tc>
        <w:tc>
          <w:tcPr>
            <w:tcW w:w="2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235</w:t>
            </w:r>
          </w:p>
        </w:tc>
        <w:tc>
          <w:tcPr>
            <w:tcW w:w="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80" w:type="dxa"/>
            <w:vAlign w:val="bottom"/>
          </w:tcPr>
          <w:p>
            <w:pPr>
              <w:spacing w:after="0" w:line="183" w:lineRule="exact"/>
              <w:rPr>
                <w:sz w:val="20"/>
                <w:szCs w:val="20"/>
                <w:color w:val="auto"/>
              </w:rPr>
            </w:pPr>
            <w:r>
              <w:rPr>
                <w:rFonts w:ascii="Arial" w:cs="Arial" w:eastAsia="Arial" w:hAnsi="Arial"/>
                <w:sz w:val="16"/>
                <w:szCs w:val="16"/>
                <w:color w:val="auto"/>
              </w:rPr>
              <w:t>Total liabilities</w:t>
            </w:r>
          </w:p>
        </w:tc>
        <w:tc>
          <w:tcPr>
            <w:tcW w:w="260" w:type="dxa"/>
            <w:vAlign w:val="bottom"/>
          </w:tcPr>
          <w:p>
            <w:pPr>
              <w:spacing w:after="0"/>
              <w:rPr>
                <w:sz w:val="15"/>
                <w:szCs w:val="15"/>
                <w:color w:val="auto"/>
              </w:rPr>
            </w:pPr>
          </w:p>
        </w:tc>
        <w:tc>
          <w:tcPr>
            <w:tcW w:w="1220" w:type="dxa"/>
            <w:vAlign w:val="bottom"/>
          </w:tcPr>
          <w:p>
            <w:pPr>
              <w:jc w:val="right"/>
              <w:ind w:right="59"/>
              <w:spacing w:after="0" w:line="183" w:lineRule="exact"/>
              <w:rPr>
                <w:sz w:val="20"/>
                <w:szCs w:val="20"/>
                <w:color w:val="auto"/>
              </w:rPr>
            </w:pPr>
            <w:r>
              <w:rPr>
                <w:rFonts w:ascii="Arial" w:cs="Arial" w:eastAsia="Arial" w:hAnsi="Arial"/>
                <w:sz w:val="16"/>
                <w:szCs w:val="16"/>
                <w:b w:val="1"/>
                <w:bCs w:val="1"/>
                <w:color w:val="auto"/>
              </w:rPr>
              <w:t>4,503</w:t>
            </w:r>
          </w:p>
        </w:tc>
        <w:tc>
          <w:tcPr>
            <w:tcW w:w="240" w:type="dxa"/>
            <w:vAlign w:val="bottom"/>
          </w:tcPr>
          <w:p>
            <w:pPr>
              <w:spacing w:after="0"/>
              <w:rPr>
                <w:sz w:val="15"/>
                <w:szCs w:val="15"/>
                <w:color w:val="auto"/>
              </w:rPr>
            </w:pPr>
          </w:p>
        </w:tc>
        <w:tc>
          <w:tcPr>
            <w:tcW w:w="1220" w:type="dxa"/>
            <w:vAlign w:val="bottom"/>
          </w:tcPr>
          <w:p>
            <w:pPr>
              <w:jc w:val="right"/>
              <w:ind w:right="59"/>
              <w:spacing w:after="0" w:line="183" w:lineRule="exact"/>
              <w:rPr>
                <w:sz w:val="20"/>
                <w:szCs w:val="20"/>
                <w:color w:val="auto"/>
              </w:rPr>
            </w:pPr>
            <w:r>
              <w:rPr>
                <w:rFonts w:ascii="Arial" w:cs="Arial" w:eastAsia="Arial" w:hAnsi="Arial"/>
                <w:sz w:val="16"/>
                <w:szCs w:val="16"/>
                <w:color w:val="auto"/>
              </w:rPr>
              <w:t>4,869</w:t>
            </w:r>
          </w:p>
        </w:tc>
        <w:tc>
          <w:tcPr>
            <w:tcW w:w="240" w:type="dxa"/>
            <w:vAlign w:val="bottom"/>
          </w:tcPr>
          <w:p>
            <w:pPr>
              <w:spacing w:after="0"/>
              <w:rPr>
                <w:sz w:val="15"/>
                <w:szCs w:val="15"/>
                <w:color w:val="auto"/>
              </w:rPr>
            </w:pPr>
          </w:p>
        </w:tc>
        <w:tc>
          <w:tcPr>
            <w:tcW w:w="1120" w:type="dxa"/>
            <w:vAlign w:val="bottom"/>
          </w:tcPr>
          <w:p>
            <w:pPr>
              <w:jc w:val="right"/>
              <w:spacing w:after="0" w:line="183" w:lineRule="exact"/>
              <w:rPr>
                <w:sz w:val="20"/>
                <w:szCs w:val="20"/>
                <w:color w:val="auto"/>
              </w:rPr>
            </w:pPr>
            <w:r>
              <w:rPr>
                <w:rFonts w:ascii="Arial" w:cs="Arial" w:eastAsia="Arial" w:hAnsi="Arial"/>
                <w:sz w:val="16"/>
                <w:szCs w:val="16"/>
                <w:color w:val="auto"/>
              </w:rPr>
              <w:t>4,892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w:t>
            </w: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tcPr>
          <w:p>
            <w:pPr>
              <w:spacing w:after="0"/>
              <w:rPr>
                <w:sz w:val="20"/>
                <w:szCs w:val="20"/>
                <w:color w:val="auto"/>
              </w:rPr>
            </w:pPr>
            <w:r>
              <w:rPr>
                <w:rFonts w:ascii="Arial" w:cs="Arial" w:eastAsia="Arial" w:hAnsi="Arial"/>
                <w:sz w:val="16"/>
                <w:szCs w:val="16"/>
                <w:color w:val="auto"/>
              </w:rPr>
              <w:t>Shareholders’ equity:</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80" w:type="dxa"/>
            <w:vAlign w:val="bottom"/>
            <w:shd w:val="clear" w:color="auto" w:fill="CCEEFF"/>
          </w:tcPr>
          <w:p>
            <w:pPr>
              <w:ind w:left="80"/>
              <w:spacing w:after="0" w:line="175" w:lineRule="exact"/>
              <w:rPr>
                <w:sz w:val="20"/>
                <w:szCs w:val="20"/>
                <w:color w:val="auto"/>
              </w:rPr>
            </w:pPr>
            <w:r>
              <w:rPr>
                <w:rFonts w:ascii="Arial" w:cs="Arial" w:eastAsia="Arial" w:hAnsi="Arial"/>
                <w:sz w:val="16"/>
                <w:szCs w:val="16"/>
                <w:color w:val="auto"/>
              </w:rPr>
              <w:t>Common stock and paid-in capital: 99,338,704; 104,541,760;</w:t>
            </w: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and 99,070,796 shares issued, respectively</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798</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806</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tcPr>
          <w:p>
            <w:pPr>
              <w:ind w:left="80"/>
              <w:spacing w:after="0"/>
              <w:rPr>
                <w:sz w:val="20"/>
                <w:szCs w:val="20"/>
                <w:color w:val="auto"/>
              </w:rPr>
            </w:pPr>
            <w:r>
              <w:rPr>
                <w:rFonts w:ascii="Arial" w:cs="Arial" w:eastAsia="Arial" w:hAnsi="Arial"/>
                <w:sz w:val="16"/>
                <w:szCs w:val="16"/>
                <w:color w:val="auto"/>
              </w:rPr>
              <w:t>Retained earnings</w:t>
            </w:r>
          </w:p>
        </w:tc>
        <w:tc>
          <w:tcPr>
            <w:tcW w:w="26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3,110</w:t>
            </w:r>
          </w:p>
        </w:tc>
        <w:tc>
          <w:tcPr>
            <w:tcW w:w="24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3,044</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(443)</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(343)</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80" w:type="dxa"/>
            <w:vAlign w:val="bottom"/>
          </w:tcPr>
          <w:p>
            <w:pPr>
              <w:ind w:left="80"/>
              <w:spacing w:after="0" w:line="175" w:lineRule="exact"/>
              <w:rPr>
                <w:sz w:val="20"/>
                <w:szCs w:val="20"/>
                <w:color w:val="auto"/>
              </w:rPr>
            </w:pPr>
            <w:r>
              <w:rPr>
                <w:rFonts w:ascii="Arial" w:cs="Arial" w:eastAsia="Arial" w:hAnsi="Arial"/>
                <w:sz w:val="16"/>
                <w:szCs w:val="16"/>
                <w:color w:val="auto"/>
              </w:rPr>
              <w:t>Less: Treasury stock at cost: 6,018,983; 3,473,932; and</w:t>
            </w: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tcPr>
          <w:p>
            <w:pPr>
              <w:ind w:left="220"/>
              <w:spacing w:after="0"/>
              <w:rPr>
                <w:sz w:val="20"/>
                <w:szCs w:val="20"/>
                <w:color w:val="auto"/>
              </w:rPr>
            </w:pPr>
            <w:r>
              <w:rPr>
                <w:rFonts w:ascii="Arial" w:cs="Arial" w:eastAsia="Arial" w:hAnsi="Arial"/>
                <w:sz w:val="16"/>
                <w:szCs w:val="16"/>
                <w:color w:val="auto"/>
              </w:rPr>
              <w:t>2,050,000 shares, respectively</w:t>
            </w:r>
          </w:p>
        </w:tc>
        <w:tc>
          <w:tcPr>
            <w:tcW w:w="26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(213)</w:t>
            </w:r>
          </w:p>
        </w:tc>
        <w:tc>
          <w:tcPr>
            <w:tcW w:w="24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(170)</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Noncontrolling interest</w:t>
            </w:r>
          </w:p>
        </w:tc>
        <w:tc>
          <w:tcPr>
            <w:tcW w:w="2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7</w:t>
            </w:r>
          </w:p>
        </w:tc>
        <w:tc>
          <w:tcPr>
            <w:tcW w:w="2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w:t>
            </w:r>
          </w:p>
        </w:tc>
        <w:tc>
          <w:tcPr>
            <w:tcW w:w="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 shareholders' equity</w:t>
            </w: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b w:val="1"/>
                <w:bCs w:val="1"/>
                <w:color w:val="auto"/>
              </w:rPr>
              <w:t>3,259</w:t>
            </w: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3,342</w:t>
            </w: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3,243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8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shd w:val="clear" w:color="auto" w:fill="CCEEFF"/>
          </w:tcPr>
          <w:p>
            <w:pPr>
              <w:jc w:val="right"/>
              <w:ind w:right="59"/>
              <w:spacing w:after="0" w:line="183" w:lineRule="exact"/>
              <w:rPr>
                <w:sz w:val="20"/>
                <w:szCs w:val="20"/>
                <w:color w:val="auto"/>
              </w:rPr>
            </w:pPr>
            <w:r>
              <w:rPr>
                <w:rFonts w:ascii="Arial" w:cs="Arial" w:eastAsia="Arial" w:hAnsi="Arial"/>
                <w:sz w:val="16"/>
                <w:szCs w:val="16"/>
                <w:b w:val="1"/>
                <w:bCs w:val="1"/>
                <w:color w:val="auto"/>
              </w:rPr>
              <w:t>7,762</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59"/>
              <w:spacing w:after="0" w:line="183" w:lineRule="exact"/>
              <w:rPr>
                <w:sz w:val="20"/>
                <w:szCs w:val="20"/>
                <w:color w:val="auto"/>
              </w:rPr>
            </w:pPr>
            <w:r>
              <w:rPr>
                <w:rFonts w:ascii="Arial" w:cs="Arial" w:eastAsia="Arial" w:hAnsi="Arial"/>
                <w:sz w:val="16"/>
                <w:szCs w:val="16"/>
                <w:color w:val="auto"/>
              </w:rPr>
              <w:t>8,211</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8,135</w:t>
            </w:r>
          </w:p>
        </w:tc>
        <w:tc>
          <w:tcPr>
            <w:tcW w:w="0" w:type="dxa"/>
            <w:vAlign w:val="bottom"/>
          </w:tcPr>
          <w:p>
            <w:pPr>
              <w:spacing w:after="0"/>
              <w:rPr>
                <w:sz w:val="1"/>
                <w:szCs w:val="1"/>
                <w:color w:val="auto"/>
              </w:rPr>
            </w:pPr>
          </w:p>
        </w:tc>
      </w:tr>
    </w:tbl>
    <w:p>
      <w:pPr>
        <w:spacing w:after="0" w:line="9" w:lineRule="exact"/>
        <w:rPr>
          <w:sz w:val="20"/>
          <w:szCs w:val="20"/>
          <w:color w:val="auto"/>
        </w:rPr>
      </w:pPr>
    </w:p>
    <w:p>
      <w:pPr>
        <w:jc w:val="both"/>
        <w:ind w:left="380" w:right="79" w:hanging="330"/>
        <w:spacing w:after="0" w:line="180" w:lineRule="auto"/>
        <w:tabs>
          <w:tab w:leader="none" w:pos="380" w:val="left"/>
        </w:tabs>
        <w:numPr>
          <w:ilvl w:val="0"/>
          <w:numId w:val="3"/>
        </w:numPr>
        <w:rPr>
          <w:rFonts w:ascii="Arial" w:cs="Arial" w:eastAsia="Arial" w:hAnsi="Arial"/>
          <w:sz w:val="30"/>
          <w:szCs w:val="30"/>
          <w:color w:val="auto"/>
          <w:vertAlign w:val="subscript"/>
        </w:rPr>
      </w:pPr>
      <w:r>
        <w:rPr>
          <w:rFonts w:ascii="Arial" w:cs="Arial" w:eastAsia="Arial" w:hAnsi="Arial"/>
          <w:sz w:val="12"/>
          <w:szCs w:val="12"/>
          <w:color w:val="auto"/>
        </w:rPr>
        <w:t>The balance sheet at January 29, 2022 has been derived from the previously reported audited consolidated financial statements at that date, but does not include all of the information and footnotes required by U.S. generally accepted accounting principles for complete financial statements. For further information, refer to the consolidated financial statements and footnotes thereto included in Foot Locker, Inc.’s Annual Report on Form 10-K for the year ended January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-358140</wp:posOffset>
            </wp:positionV>
            <wp:extent cx="56489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Unaudited Condensed Consolidated Financial Statements.</w:t>
      </w:r>
    </w:p>
    <w:p>
      <w:pPr>
        <w:spacing w:after="0" w:line="200" w:lineRule="exact"/>
        <w:rPr>
          <w:sz w:val="20"/>
          <w:szCs w:val="20"/>
          <w:color w:val="auto"/>
        </w:rPr>
      </w:pPr>
    </w:p>
    <w:p>
      <w:pPr>
        <w:spacing w:after="0" w:line="232"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Third Quarter 2022 Form 10-Q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694690</wp:posOffset>
            </wp:positionV>
            <wp:extent cx="1834515" cy="214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39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3"/>
          </w:tcPr>
          <w:p>
            <w:pPr>
              <w:jc w:val="right"/>
              <w:ind w:right="275"/>
              <w:spacing w:after="0"/>
              <w:rPr>
                <w:sz w:val="20"/>
                <w:szCs w:val="20"/>
                <w:color w:val="auto"/>
              </w:rPr>
            </w:pPr>
            <w:r>
              <w:rPr>
                <w:rFonts w:ascii="Arial" w:cs="Arial" w:eastAsia="Arial" w:hAnsi="Arial"/>
                <w:sz w:val="17"/>
                <w:szCs w:val="17"/>
                <w:b w:val="1"/>
                <w:bCs w:val="1"/>
                <w:color w:val="auto"/>
              </w:rPr>
              <w:t>Thirteen weeks ended</w:t>
            </w:r>
          </w:p>
        </w:tc>
        <w:tc>
          <w:tcPr>
            <w:tcW w:w="2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ind w:right="75"/>
              <w:spacing w:after="0"/>
              <w:rPr>
                <w:sz w:val="20"/>
                <w:szCs w:val="20"/>
                <w:color w:val="auto"/>
              </w:rPr>
            </w:pPr>
            <w:r>
              <w:rPr>
                <w:rFonts w:ascii="Arial" w:cs="Arial" w:eastAsia="Arial" w:hAnsi="Arial"/>
                <w:sz w:val="17"/>
                <w:szCs w:val="17"/>
                <w:b w:val="1"/>
                <w:bCs w:val="1"/>
                <w:color w:val="auto"/>
              </w:rPr>
              <w:t>Thirty-nine weeks ended</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300" w:type="dxa"/>
            <w:vAlign w:val="bottom"/>
            <w:gridSpan w:val="2"/>
          </w:tcPr>
          <w:p>
            <w:pPr>
              <w:jc w:val="right"/>
              <w:ind w:right="75"/>
              <w:spacing w:after="0" w:line="160" w:lineRule="exact"/>
              <w:rPr>
                <w:sz w:val="20"/>
                <w:szCs w:val="20"/>
                <w:color w:val="auto"/>
              </w:rPr>
            </w:pPr>
            <w:r>
              <w:rPr>
                <w:rFonts w:ascii="Arial" w:cs="Arial" w:eastAsia="Arial" w:hAnsi="Arial"/>
                <w:sz w:val="17"/>
                <w:szCs w:val="17"/>
                <w:b w:val="1"/>
                <w:bCs w:val="1"/>
                <w:color w:val="auto"/>
              </w:rPr>
              <w:t>October 29,</w:t>
            </w:r>
          </w:p>
        </w:tc>
        <w:tc>
          <w:tcPr>
            <w:tcW w:w="1240" w:type="dxa"/>
            <w:vAlign w:val="bottom"/>
            <w:gridSpan w:val="2"/>
          </w:tcPr>
          <w:p>
            <w:pPr>
              <w:jc w:val="right"/>
              <w:ind w:right="75"/>
              <w:spacing w:after="0" w:line="160" w:lineRule="exact"/>
              <w:rPr>
                <w:sz w:val="20"/>
                <w:szCs w:val="20"/>
                <w:color w:val="auto"/>
              </w:rPr>
            </w:pPr>
            <w:r>
              <w:rPr>
                <w:rFonts w:ascii="Arial" w:cs="Arial" w:eastAsia="Arial" w:hAnsi="Arial"/>
                <w:sz w:val="17"/>
                <w:szCs w:val="17"/>
                <w:b w:val="1"/>
                <w:bCs w:val="1"/>
                <w:color w:val="auto"/>
              </w:rPr>
              <w:t>October 30,</w:t>
            </w:r>
          </w:p>
        </w:tc>
        <w:tc>
          <w:tcPr>
            <w:tcW w:w="1240" w:type="dxa"/>
            <w:vAlign w:val="bottom"/>
            <w:gridSpan w:val="2"/>
          </w:tcPr>
          <w:p>
            <w:pPr>
              <w:jc w:val="right"/>
              <w:ind w:right="75"/>
              <w:spacing w:after="0" w:line="160" w:lineRule="exact"/>
              <w:rPr>
                <w:sz w:val="20"/>
                <w:szCs w:val="20"/>
                <w:color w:val="auto"/>
              </w:rPr>
            </w:pPr>
            <w:r>
              <w:rPr>
                <w:rFonts w:ascii="Arial" w:cs="Arial" w:eastAsia="Arial" w:hAnsi="Arial"/>
                <w:sz w:val="17"/>
                <w:szCs w:val="17"/>
                <w:b w:val="1"/>
                <w:bCs w:val="1"/>
                <w:color w:val="auto"/>
              </w:rPr>
              <w:t>October 29,</w:t>
            </w:r>
          </w:p>
        </w:tc>
        <w:tc>
          <w:tcPr>
            <w:tcW w:w="1160" w:type="dxa"/>
            <w:vAlign w:val="bottom"/>
            <w:gridSpan w:val="2"/>
          </w:tcPr>
          <w:p>
            <w:pPr>
              <w:jc w:val="right"/>
              <w:spacing w:after="0" w:line="160" w:lineRule="exact"/>
              <w:rPr>
                <w:sz w:val="20"/>
                <w:szCs w:val="20"/>
                <w:color w:val="auto"/>
              </w:rPr>
            </w:pPr>
            <w:r>
              <w:rPr>
                <w:rFonts w:ascii="Arial" w:cs="Arial" w:eastAsia="Arial" w:hAnsi="Arial"/>
                <w:sz w:val="17"/>
                <w:szCs w:val="17"/>
                <w:b w:val="1"/>
                <w:bCs w:val="1"/>
                <w:color w:val="auto"/>
              </w:rPr>
              <w:t>October 30,</w:t>
            </w:r>
          </w:p>
        </w:tc>
        <w:tc>
          <w:tcPr>
            <w:tcW w:w="0" w:type="dxa"/>
            <w:vAlign w:val="bottom"/>
          </w:tcPr>
          <w:p>
            <w:pPr>
              <w:spacing w:after="0"/>
              <w:rPr>
                <w:sz w:val="1"/>
                <w:szCs w:val="1"/>
                <w:color w:val="auto"/>
              </w:rPr>
            </w:pPr>
          </w:p>
        </w:tc>
      </w:tr>
      <w:tr>
        <w:trPr>
          <w:trHeight w:val="211"/>
        </w:trPr>
        <w:tc>
          <w:tcPr>
            <w:tcW w:w="3960" w:type="dxa"/>
            <w:vAlign w:val="bottom"/>
            <w:gridSpan w:val="2"/>
          </w:tcPr>
          <w:p>
            <w:pPr>
              <w:spacing w:after="0"/>
              <w:rPr>
                <w:sz w:val="20"/>
                <w:szCs w:val="20"/>
                <w:color w:val="auto"/>
              </w:rPr>
            </w:pPr>
            <w:r>
              <w:rPr>
                <w:rFonts w:ascii="Arial" w:cs="Arial" w:eastAsia="Arial" w:hAnsi="Arial"/>
                <w:sz w:val="17"/>
                <w:szCs w:val="17"/>
                <w:color w:val="auto"/>
              </w:rPr>
              <w:t>($ in millions, except per share amounts)</w:t>
            </w:r>
          </w:p>
        </w:tc>
        <w:tc>
          <w:tcPr>
            <w:tcW w:w="320" w:type="dxa"/>
            <w:vAlign w:val="bottom"/>
          </w:tcPr>
          <w:p>
            <w:pPr>
              <w:spacing w:after="0"/>
              <w:rPr>
                <w:sz w:val="18"/>
                <w:szCs w:val="18"/>
                <w:color w:val="auto"/>
              </w:rPr>
            </w:pPr>
          </w:p>
        </w:tc>
        <w:tc>
          <w:tcPr>
            <w:tcW w:w="980" w:type="dxa"/>
            <w:vAlign w:val="bottom"/>
          </w:tcPr>
          <w:p>
            <w:pPr>
              <w:jc w:val="right"/>
              <w:ind w:right="355"/>
              <w:spacing w:after="0"/>
              <w:rPr>
                <w:sz w:val="20"/>
                <w:szCs w:val="20"/>
                <w:color w:val="auto"/>
              </w:rPr>
            </w:pPr>
            <w:r>
              <w:rPr>
                <w:rFonts w:ascii="Arial" w:cs="Arial" w:eastAsia="Arial" w:hAnsi="Arial"/>
                <w:sz w:val="17"/>
                <w:szCs w:val="17"/>
                <w:b w:val="1"/>
                <w:bCs w:val="1"/>
                <w:color w:val="auto"/>
              </w:rPr>
              <w:t>2022</w:t>
            </w:r>
          </w:p>
        </w:tc>
        <w:tc>
          <w:tcPr>
            <w:tcW w:w="300" w:type="dxa"/>
            <w:vAlign w:val="bottom"/>
          </w:tcPr>
          <w:p>
            <w:pPr>
              <w:spacing w:after="0"/>
              <w:rPr>
                <w:sz w:val="18"/>
                <w:szCs w:val="18"/>
                <w:color w:val="auto"/>
              </w:rPr>
            </w:pPr>
          </w:p>
        </w:tc>
        <w:tc>
          <w:tcPr>
            <w:tcW w:w="940" w:type="dxa"/>
            <w:vAlign w:val="bottom"/>
          </w:tcPr>
          <w:p>
            <w:pPr>
              <w:jc w:val="right"/>
              <w:ind w:right="355"/>
              <w:spacing w:after="0"/>
              <w:rPr>
                <w:sz w:val="20"/>
                <w:szCs w:val="20"/>
                <w:color w:val="auto"/>
              </w:rPr>
            </w:pPr>
            <w:r>
              <w:rPr>
                <w:rFonts w:ascii="Arial" w:cs="Arial" w:eastAsia="Arial" w:hAnsi="Arial"/>
                <w:sz w:val="17"/>
                <w:szCs w:val="17"/>
                <w:b w:val="1"/>
                <w:bCs w:val="1"/>
                <w:color w:val="auto"/>
              </w:rPr>
              <w:t>2021</w:t>
            </w:r>
          </w:p>
        </w:tc>
        <w:tc>
          <w:tcPr>
            <w:tcW w:w="220" w:type="dxa"/>
            <w:vAlign w:val="bottom"/>
          </w:tcPr>
          <w:p>
            <w:pPr>
              <w:spacing w:after="0"/>
              <w:rPr>
                <w:sz w:val="18"/>
                <w:szCs w:val="18"/>
                <w:color w:val="auto"/>
              </w:rPr>
            </w:pPr>
          </w:p>
        </w:tc>
        <w:tc>
          <w:tcPr>
            <w:tcW w:w="1020" w:type="dxa"/>
            <w:vAlign w:val="bottom"/>
          </w:tcPr>
          <w:p>
            <w:pPr>
              <w:jc w:val="right"/>
              <w:ind w:right="355"/>
              <w:spacing w:after="0"/>
              <w:rPr>
                <w:sz w:val="20"/>
                <w:szCs w:val="20"/>
                <w:color w:val="auto"/>
              </w:rPr>
            </w:pPr>
            <w:r>
              <w:rPr>
                <w:rFonts w:ascii="Arial" w:cs="Arial" w:eastAsia="Arial" w:hAnsi="Arial"/>
                <w:sz w:val="17"/>
                <w:szCs w:val="17"/>
                <w:b w:val="1"/>
                <w:bCs w:val="1"/>
                <w:color w:val="auto"/>
              </w:rPr>
              <w:t>2022</w:t>
            </w:r>
          </w:p>
        </w:tc>
        <w:tc>
          <w:tcPr>
            <w:tcW w:w="320" w:type="dxa"/>
            <w:vAlign w:val="bottom"/>
          </w:tcPr>
          <w:p>
            <w:pPr>
              <w:spacing w:after="0"/>
              <w:rPr>
                <w:sz w:val="18"/>
                <w:szCs w:val="18"/>
                <w:color w:val="auto"/>
              </w:rPr>
            </w:pPr>
          </w:p>
        </w:tc>
        <w:tc>
          <w:tcPr>
            <w:tcW w:w="840" w:type="dxa"/>
            <w:vAlign w:val="bottom"/>
          </w:tcPr>
          <w:p>
            <w:pPr>
              <w:jc w:val="right"/>
              <w:ind w:right="255"/>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Sales</w:t>
            </w:r>
          </w:p>
        </w:tc>
        <w:tc>
          <w:tcPr>
            <w:tcW w:w="3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98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2,173</w:t>
            </w:r>
          </w:p>
        </w:tc>
        <w:tc>
          <w:tcPr>
            <w:tcW w:w="300" w:type="dxa"/>
            <w:vAlign w:val="bottom"/>
            <w:tcBorders>
              <w:top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2,189</w:t>
            </w:r>
          </w:p>
        </w:tc>
        <w:tc>
          <w:tcPr>
            <w:tcW w:w="2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2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6,413</w:t>
            </w:r>
          </w:p>
        </w:tc>
        <w:tc>
          <w:tcPr>
            <w:tcW w:w="320" w:type="dxa"/>
            <w:vAlign w:val="bottom"/>
            <w:tcBorders>
              <w:top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6,617</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Cost of sales</w:t>
            </w: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1,477</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1,429</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4,323</w:t>
            </w: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4,310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tcPr>
          <w:p>
            <w:pPr>
              <w:spacing w:after="0" w:line="189" w:lineRule="exact"/>
              <w:rPr>
                <w:sz w:val="20"/>
                <w:szCs w:val="20"/>
                <w:color w:val="auto"/>
              </w:rPr>
            </w:pPr>
            <w:r>
              <w:rPr>
                <w:rFonts w:ascii="Arial" w:cs="Arial" w:eastAsia="Arial" w:hAnsi="Arial"/>
                <w:sz w:val="17"/>
                <w:szCs w:val="17"/>
                <w:color w:val="auto"/>
              </w:rPr>
              <w:t>Selling, general and administrative expenses</w:t>
            </w:r>
          </w:p>
        </w:tc>
        <w:tc>
          <w:tcPr>
            <w:tcW w:w="320" w:type="dxa"/>
            <w:vAlign w:val="bottom"/>
          </w:tcPr>
          <w:p>
            <w:pPr>
              <w:spacing w:after="0"/>
              <w:rPr>
                <w:sz w:val="16"/>
                <w:szCs w:val="16"/>
                <w:color w:val="auto"/>
              </w:rPr>
            </w:pPr>
          </w:p>
        </w:tc>
        <w:tc>
          <w:tcPr>
            <w:tcW w:w="98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467</w:t>
            </w:r>
          </w:p>
        </w:tc>
        <w:tc>
          <w:tcPr>
            <w:tcW w:w="300" w:type="dxa"/>
            <w:vAlign w:val="bottom"/>
          </w:tcPr>
          <w:p>
            <w:pPr>
              <w:spacing w:after="0"/>
              <w:rPr>
                <w:sz w:val="16"/>
                <w:szCs w:val="16"/>
                <w:color w:val="auto"/>
              </w:rPr>
            </w:pPr>
          </w:p>
        </w:tc>
        <w:tc>
          <w:tcPr>
            <w:tcW w:w="940" w:type="dxa"/>
            <w:vAlign w:val="bottom"/>
          </w:tcPr>
          <w:p>
            <w:pPr>
              <w:jc w:val="right"/>
              <w:ind w:right="75"/>
              <w:spacing w:after="0" w:line="189" w:lineRule="exact"/>
              <w:rPr>
                <w:sz w:val="20"/>
                <w:szCs w:val="20"/>
                <w:color w:val="auto"/>
              </w:rPr>
            </w:pPr>
            <w:r>
              <w:rPr>
                <w:rFonts w:ascii="Arial" w:cs="Arial" w:eastAsia="Arial" w:hAnsi="Arial"/>
                <w:sz w:val="17"/>
                <w:szCs w:val="17"/>
                <w:color w:val="auto"/>
              </w:rPr>
              <w:t>458</w:t>
            </w:r>
          </w:p>
        </w:tc>
        <w:tc>
          <w:tcPr>
            <w:tcW w:w="220" w:type="dxa"/>
            <w:vAlign w:val="bottom"/>
          </w:tcPr>
          <w:p>
            <w:pPr>
              <w:spacing w:after="0"/>
              <w:rPr>
                <w:sz w:val="16"/>
                <w:szCs w:val="16"/>
                <w:color w:val="auto"/>
              </w:rPr>
            </w:pPr>
          </w:p>
        </w:tc>
        <w:tc>
          <w:tcPr>
            <w:tcW w:w="102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1,382</w:t>
            </w:r>
          </w:p>
        </w:tc>
        <w:tc>
          <w:tcPr>
            <w:tcW w:w="3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1,326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Depreciation and amortization</w:t>
            </w: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52</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49</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157</w:t>
            </w: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142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Impairment and other charges</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20</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57</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38</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Income from operations</w:t>
            </w: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157</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196</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513</w:t>
            </w: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742</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Interest expense, net</w:t>
            </w: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(3)</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(4)</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(13)</w:t>
            </w: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Other income / (expense), net</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b w:val="1"/>
                <w:bCs w:val="1"/>
                <w:color w:val="auto"/>
              </w:rPr>
              <w:t>(11)</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30</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b w:val="1"/>
                <w:bCs w:val="1"/>
                <w:color w:val="auto"/>
              </w:rPr>
              <w:t>(24)</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359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9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Income before income taxes</w:t>
            </w: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143</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222</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476</w:t>
            </w: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1,093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Income tax expense</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47</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64</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154</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303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income</w:t>
            </w: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96</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158</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322</w:t>
            </w: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790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Net loss attributable to noncontrolling interests</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1</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4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Net income attributable to Foot Locker, Inc.</w:t>
            </w:r>
          </w:p>
        </w:tc>
        <w:tc>
          <w:tcPr>
            <w:tcW w:w="3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96</w:t>
            </w:r>
          </w:p>
        </w:tc>
        <w:tc>
          <w:tcPr>
            <w:tcW w:w="30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158</w:t>
            </w:r>
          </w:p>
        </w:tc>
        <w:tc>
          <w:tcPr>
            <w:tcW w:w="2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323</w:t>
            </w:r>
          </w:p>
        </w:tc>
        <w:tc>
          <w:tcPr>
            <w:tcW w:w="32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790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Basic earnings per share</w:t>
            </w:r>
          </w:p>
        </w:tc>
        <w:tc>
          <w:tcPr>
            <w:tcW w:w="3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9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1.02</w:t>
            </w:r>
          </w:p>
        </w:tc>
        <w:tc>
          <w:tcPr>
            <w:tcW w:w="3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1.53</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3.41</w:t>
            </w:r>
          </w:p>
        </w:tc>
        <w:tc>
          <w:tcPr>
            <w:tcW w:w="3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7.63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tcPr>
          <w:p>
            <w:pPr>
              <w:ind w:left="80"/>
              <w:spacing w:after="0" w:line="189" w:lineRule="exact"/>
              <w:rPr>
                <w:sz w:val="20"/>
                <w:szCs w:val="20"/>
                <w:color w:val="auto"/>
              </w:rPr>
            </w:pPr>
            <w:r>
              <w:rPr>
                <w:rFonts w:ascii="Arial" w:cs="Arial" w:eastAsia="Arial" w:hAnsi="Arial"/>
                <w:sz w:val="17"/>
                <w:szCs w:val="17"/>
                <w:color w:val="auto"/>
              </w:rPr>
              <w:t>Weighted-average shares outstanding</w:t>
            </w:r>
          </w:p>
        </w:tc>
        <w:tc>
          <w:tcPr>
            <w:tcW w:w="320" w:type="dxa"/>
            <w:vAlign w:val="bottom"/>
          </w:tcPr>
          <w:p>
            <w:pPr>
              <w:spacing w:after="0"/>
              <w:rPr>
                <w:sz w:val="16"/>
                <w:szCs w:val="16"/>
                <w:color w:val="auto"/>
              </w:rPr>
            </w:pPr>
          </w:p>
        </w:tc>
        <w:tc>
          <w:tcPr>
            <w:tcW w:w="98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93.4</w:t>
            </w:r>
          </w:p>
        </w:tc>
        <w:tc>
          <w:tcPr>
            <w:tcW w:w="300" w:type="dxa"/>
            <w:vAlign w:val="bottom"/>
          </w:tcPr>
          <w:p>
            <w:pPr>
              <w:spacing w:after="0"/>
              <w:rPr>
                <w:sz w:val="16"/>
                <w:szCs w:val="16"/>
                <w:color w:val="auto"/>
              </w:rPr>
            </w:pPr>
          </w:p>
        </w:tc>
        <w:tc>
          <w:tcPr>
            <w:tcW w:w="940" w:type="dxa"/>
            <w:vAlign w:val="bottom"/>
          </w:tcPr>
          <w:p>
            <w:pPr>
              <w:jc w:val="right"/>
              <w:ind w:right="75"/>
              <w:spacing w:after="0" w:line="189" w:lineRule="exact"/>
              <w:rPr>
                <w:sz w:val="20"/>
                <w:szCs w:val="20"/>
                <w:color w:val="auto"/>
              </w:rPr>
            </w:pPr>
            <w:r>
              <w:rPr>
                <w:rFonts w:ascii="Arial" w:cs="Arial" w:eastAsia="Arial" w:hAnsi="Arial"/>
                <w:sz w:val="17"/>
                <w:szCs w:val="17"/>
                <w:color w:val="auto"/>
              </w:rPr>
              <w:t>103.2</w:t>
            </w:r>
          </w:p>
        </w:tc>
        <w:tc>
          <w:tcPr>
            <w:tcW w:w="220" w:type="dxa"/>
            <w:vAlign w:val="bottom"/>
          </w:tcPr>
          <w:p>
            <w:pPr>
              <w:spacing w:after="0"/>
              <w:rPr>
                <w:sz w:val="16"/>
                <w:szCs w:val="16"/>
                <w:color w:val="auto"/>
              </w:rPr>
            </w:pPr>
          </w:p>
        </w:tc>
        <w:tc>
          <w:tcPr>
            <w:tcW w:w="102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94.6</w:t>
            </w:r>
          </w:p>
        </w:tc>
        <w:tc>
          <w:tcPr>
            <w:tcW w:w="3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103.5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tcPr>
          <w:p>
            <w:pPr>
              <w:ind w:left="80"/>
              <w:spacing w:after="0" w:line="189" w:lineRule="exact"/>
              <w:rPr>
                <w:sz w:val="20"/>
                <w:szCs w:val="20"/>
                <w:color w:val="auto"/>
              </w:rPr>
            </w:pPr>
            <w:r>
              <w:rPr>
                <w:rFonts w:ascii="Arial" w:cs="Arial" w:eastAsia="Arial" w:hAnsi="Arial"/>
                <w:sz w:val="17"/>
                <w:szCs w:val="17"/>
                <w:color w:val="auto"/>
              </w:rPr>
              <w:t>Diluted earnings per share</w:t>
            </w:r>
          </w:p>
        </w:tc>
        <w:tc>
          <w:tcPr>
            <w:tcW w:w="3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98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1.01</w:t>
            </w:r>
          </w:p>
        </w:tc>
        <w:tc>
          <w:tcPr>
            <w:tcW w:w="300" w:type="dxa"/>
            <w:vAlign w:val="bottom"/>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940" w:type="dxa"/>
            <w:vAlign w:val="bottom"/>
          </w:tcPr>
          <w:p>
            <w:pPr>
              <w:jc w:val="right"/>
              <w:ind w:right="75"/>
              <w:spacing w:after="0" w:line="189" w:lineRule="exact"/>
              <w:rPr>
                <w:sz w:val="20"/>
                <w:szCs w:val="20"/>
                <w:color w:val="auto"/>
              </w:rPr>
            </w:pPr>
            <w:r>
              <w:rPr>
                <w:rFonts w:ascii="Arial" w:cs="Arial" w:eastAsia="Arial" w:hAnsi="Arial"/>
                <w:sz w:val="17"/>
                <w:szCs w:val="17"/>
                <w:color w:val="auto"/>
              </w:rPr>
              <w:t>1.52</w:t>
            </w:r>
          </w:p>
        </w:tc>
        <w:tc>
          <w:tcPr>
            <w:tcW w:w="2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2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3.38</w:t>
            </w:r>
          </w:p>
        </w:tc>
        <w:tc>
          <w:tcPr>
            <w:tcW w:w="320" w:type="dxa"/>
            <w:vAlign w:val="bottom"/>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7.54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40" w:type="dxa"/>
            <w:vAlign w:val="bottom"/>
            <w:shd w:val="clear" w:color="auto" w:fill="CCEEFF"/>
          </w:tcPr>
          <w:p>
            <w:pPr>
              <w:ind w:left="80"/>
              <w:spacing w:after="0" w:line="167" w:lineRule="exact"/>
              <w:rPr>
                <w:sz w:val="20"/>
                <w:szCs w:val="20"/>
                <w:color w:val="auto"/>
              </w:rPr>
            </w:pPr>
            <w:r>
              <w:rPr>
                <w:rFonts w:ascii="Arial" w:cs="Arial" w:eastAsia="Arial" w:hAnsi="Arial"/>
                <w:sz w:val="17"/>
                <w:szCs w:val="17"/>
                <w:color w:val="auto"/>
              </w:rPr>
              <w:t>Weighted-average shares outstanding, assuming</w:t>
            </w: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9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dilution</w:t>
            </w: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94.7</w:t>
            </w: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104.4</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95.7</w:t>
            </w: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104.9</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Third Quarter 2022 Form 10-Q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694690</wp:posOffset>
            </wp:positionV>
            <wp:extent cx="1834515" cy="214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4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gridSpan w:val="3"/>
          </w:tcPr>
          <w:p>
            <w:pPr>
              <w:jc w:val="right"/>
              <w:ind w:right="95"/>
              <w:spacing w:after="0"/>
              <w:rPr>
                <w:sz w:val="20"/>
                <w:szCs w:val="20"/>
                <w:color w:val="auto"/>
              </w:rPr>
            </w:pPr>
            <w:r>
              <w:rPr>
                <w:rFonts w:ascii="Arial" w:cs="Arial" w:eastAsia="Arial" w:hAnsi="Arial"/>
                <w:sz w:val="17"/>
                <w:szCs w:val="17"/>
                <w:b w:val="1"/>
                <w:bCs w:val="1"/>
                <w:color w:val="auto"/>
              </w:rPr>
              <w:t>Thirteen weeks ended</w:t>
            </w:r>
          </w:p>
        </w:tc>
        <w:tc>
          <w:tcPr>
            <w:tcW w:w="240" w:type="dxa"/>
            <w:vAlign w:val="bottom"/>
          </w:tcPr>
          <w:p>
            <w:pPr>
              <w:spacing w:after="0"/>
              <w:rPr>
                <w:sz w:val="18"/>
                <w:szCs w:val="18"/>
                <w:color w:val="auto"/>
              </w:rPr>
            </w:pPr>
          </w:p>
        </w:tc>
        <w:tc>
          <w:tcPr>
            <w:tcW w:w="2100" w:type="dxa"/>
            <w:vAlign w:val="bottom"/>
            <w:gridSpan w:val="4"/>
          </w:tcPr>
          <w:p>
            <w:pPr>
              <w:jc w:val="right"/>
              <w:ind w:right="40"/>
              <w:spacing w:after="0"/>
              <w:rPr>
                <w:sz w:val="20"/>
                <w:szCs w:val="20"/>
                <w:color w:val="auto"/>
              </w:rPr>
            </w:pPr>
            <w:r>
              <w:rPr>
                <w:rFonts w:ascii="Arial" w:cs="Arial" w:eastAsia="Arial" w:hAnsi="Arial"/>
                <w:sz w:val="17"/>
                <w:szCs w:val="17"/>
                <w:b w:val="1"/>
                <w:bCs w:val="1"/>
                <w:color w:val="auto"/>
              </w:rPr>
              <w:t>Thirty-nine weeks ended</w:t>
            </w:r>
          </w:p>
        </w:tc>
      </w:tr>
      <w:tr>
        <w:trPr>
          <w:trHeight w:val="160"/>
        </w:trPr>
        <w:tc>
          <w:tcPr>
            <w:tcW w:w="42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ind w:left="120"/>
              <w:spacing w:after="0" w:line="160" w:lineRule="exact"/>
              <w:rPr>
                <w:sz w:val="20"/>
                <w:szCs w:val="20"/>
                <w:color w:val="auto"/>
              </w:rPr>
            </w:pPr>
            <w:r>
              <w:rPr>
                <w:rFonts w:ascii="Arial" w:cs="Arial" w:eastAsia="Arial" w:hAnsi="Arial"/>
                <w:sz w:val="17"/>
                <w:szCs w:val="17"/>
                <w:b w:val="1"/>
                <w:bCs w:val="1"/>
                <w:color w:val="auto"/>
              </w:rPr>
              <w:t>October 29,</w:t>
            </w:r>
          </w:p>
        </w:tc>
        <w:tc>
          <w:tcPr>
            <w:tcW w:w="1140" w:type="dxa"/>
            <w:vAlign w:val="bottom"/>
            <w:tcBorders>
              <w:top w:val="single" w:sz="8" w:color="auto"/>
            </w:tcBorders>
            <w:gridSpan w:val="2"/>
          </w:tcPr>
          <w:p>
            <w:pPr>
              <w:ind w:left="100"/>
              <w:spacing w:after="0" w:line="160" w:lineRule="exact"/>
              <w:rPr>
                <w:sz w:val="20"/>
                <w:szCs w:val="20"/>
                <w:color w:val="auto"/>
              </w:rPr>
            </w:pPr>
            <w:r>
              <w:rPr>
                <w:rFonts w:ascii="Arial" w:cs="Arial" w:eastAsia="Arial" w:hAnsi="Arial"/>
                <w:sz w:val="17"/>
                <w:szCs w:val="17"/>
                <w:b w:val="1"/>
                <w:bCs w:val="1"/>
                <w:color w:val="auto"/>
              </w:rPr>
              <w:t>October 30,</w:t>
            </w:r>
          </w:p>
        </w:tc>
        <w:tc>
          <w:tcPr>
            <w:tcW w:w="1200" w:type="dxa"/>
            <w:vAlign w:val="bottom"/>
            <w:tcBorders>
              <w:top w:val="single" w:sz="8" w:color="auto"/>
            </w:tcBorders>
            <w:gridSpan w:val="2"/>
          </w:tcPr>
          <w:p>
            <w:pPr>
              <w:jc w:val="right"/>
              <w:ind w:right="55"/>
              <w:spacing w:after="0" w:line="160" w:lineRule="exact"/>
              <w:rPr>
                <w:sz w:val="20"/>
                <w:szCs w:val="20"/>
                <w:color w:val="auto"/>
              </w:rPr>
            </w:pPr>
            <w:r>
              <w:rPr>
                <w:rFonts w:ascii="Arial" w:cs="Arial" w:eastAsia="Arial" w:hAnsi="Arial"/>
                <w:sz w:val="17"/>
                <w:szCs w:val="17"/>
                <w:b w:val="1"/>
                <w:bCs w:val="1"/>
                <w:color w:val="auto"/>
              </w:rPr>
              <w:t>October 29,</w:t>
            </w:r>
          </w:p>
        </w:tc>
        <w:tc>
          <w:tcPr>
            <w:tcW w:w="1120" w:type="dxa"/>
            <w:vAlign w:val="bottom"/>
            <w:tcBorders>
              <w:top w:val="single" w:sz="8" w:color="auto"/>
            </w:tcBorders>
            <w:gridSpan w:val="2"/>
          </w:tcPr>
          <w:p>
            <w:pPr>
              <w:jc w:val="right"/>
              <w:spacing w:after="0" w:line="160" w:lineRule="exact"/>
              <w:rPr>
                <w:sz w:val="20"/>
                <w:szCs w:val="20"/>
                <w:color w:val="auto"/>
              </w:rPr>
            </w:pPr>
            <w:r>
              <w:rPr>
                <w:rFonts w:ascii="Arial" w:cs="Arial" w:eastAsia="Arial" w:hAnsi="Arial"/>
                <w:sz w:val="17"/>
                <w:szCs w:val="17"/>
                <w:b w:val="1"/>
                <w:bCs w:val="1"/>
                <w:color w:val="auto"/>
              </w:rPr>
              <w:t>October 30,</w:t>
            </w:r>
          </w:p>
        </w:tc>
        <w:tc>
          <w:tcPr>
            <w:tcW w:w="20" w:type="dxa"/>
            <w:vAlign w:val="bottom"/>
          </w:tcPr>
          <w:p>
            <w:pPr>
              <w:spacing w:after="0"/>
              <w:rPr>
                <w:sz w:val="13"/>
                <w:szCs w:val="13"/>
                <w:color w:val="auto"/>
              </w:rPr>
            </w:pPr>
          </w:p>
        </w:tc>
      </w:tr>
      <w:tr>
        <w:trPr>
          <w:trHeight w:val="211"/>
        </w:trPr>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2022</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2021</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2022</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2021</w:t>
            </w:r>
          </w:p>
        </w:tc>
        <w:tc>
          <w:tcPr>
            <w:tcW w:w="20" w:type="dxa"/>
            <w:vAlign w:val="bottom"/>
          </w:tcPr>
          <w:p>
            <w:pPr>
              <w:spacing w:after="0"/>
              <w:rPr>
                <w:sz w:val="18"/>
                <w:szCs w:val="18"/>
                <w:color w:val="auto"/>
              </w:rPr>
            </w:pPr>
          </w:p>
        </w:tc>
      </w:tr>
      <w:tr>
        <w:trPr>
          <w:trHeight w:val="183"/>
        </w:trPr>
        <w:tc>
          <w:tcPr>
            <w:tcW w:w="426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Net income attributable to Foot Locker, Inc.</w:t>
            </w:r>
          </w:p>
        </w:tc>
        <w:tc>
          <w:tcPr>
            <w:tcW w:w="280" w:type="dxa"/>
            <w:vAlign w:val="bottom"/>
            <w:shd w:val="clear" w:color="auto" w:fill="CCEEFF"/>
          </w:tcPr>
          <w:p>
            <w:pPr>
              <w:ind w:left="120"/>
              <w:spacing w:after="0" w:line="183" w:lineRule="exact"/>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96</w:t>
            </w:r>
          </w:p>
        </w:tc>
        <w:tc>
          <w:tcPr>
            <w:tcW w:w="280" w:type="dxa"/>
            <w:vAlign w:val="bottom"/>
            <w:shd w:val="clear" w:color="auto" w:fill="CCEEFF"/>
          </w:tcPr>
          <w:p>
            <w:pPr>
              <w:ind w:left="100"/>
              <w:spacing w:after="0" w:line="183" w:lineRule="exact"/>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158</w:t>
            </w:r>
          </w:p>
        </w:tc>
        <w:tc>
          <w:tcPr>
            <w:tcW w:w="2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323</w:t>
            </w:r>
          </w:p>
        </w:tc>
        <w:tc>
          <w:tcPr>
            <w:tcW w:w="32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790</w:t>
            </w:r>
          </w:p>
        </w:tc>
        <w:tc>
          <w:tcPr>
            <w:tcW w:w="20" w:type="dxa"/>
            <w:vAlign w:val="bottom"/>
          </w:tcPr>
          <w:p>
            <w:pPr>
              <w:spacing w:after="0"/>
              <w:rPr>
                <w:sz w:val="15"/>
                <w:szCs w:val="15"/>
                <w:color w:val="auto"/>
              </w:rPr>
            </w:pPr>
          </w:p>
        </w:tc>
      </w:tr>
      <w:tr>
        <w:trPr>
          <w:trHeight w:val="189"/>
        </w:trPr>
        <w:tc>
          <w:tcPr>
            <w:tcW w:w="4260" w:type="dxa"/>
            <w:vAlign w:val="bottom"/>
          </w:tcPr>
          <w:p>
            <w:pPr>
              <w:ind w:left="20"/>
              <w:spacing w:after="0" w:line="189" w:lineRule="exact"/>
              <w:rPr>
                <w:sz w:val="20"/>
                <w:szCs w:val="20"/>
                <w:color w:val="auto"/>
              </w:rPr>
            </w:pPr>
            <w:r>
              <w:rPr>
                <w:rFonts w:ascii="Arial" w:cs="Arial" w:eastAsia="Arial" w:hAnsi="Arial"/>
                <w:sz w:val="17"/>
                <w:szCs w:val="17"/>
                <w:color w:val="auto"/>
              </w:rPr>
              <w:t>Other comprehensive income (loss), net of income tax</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4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4260" w:type="dxa"/>
            <w:vAlign w:val="bottom"/>
          </w:tcPr>
          <w:p>
            <w:pPr>
              <w:ind w:left="20"/>
              <w:spacing w:after="0" w:line="189" w:lineRule="exact"/>
              <w:rPr>
                <w:sz w:val="20"/>
                <w:szCs w:val="20"/>
                <w:color w:val="auto"/>
              </w:rPr>
            </w:pPr>
            <w:r>
              <w:rPr>
                <w:rFonts w:ascii="Arial" w:cs="Arial" w:eastAsia="Arial" w:hAnsi="Arial"/>
                <w:sz w:val="17"/>
                <w:szCs w:val="17"/>
                <w:i w:val="1"/>
                <w:iCs w:val="1"/>
                <w:color w:val="auto"/>
              </w:rPr>
              <w:t>Foreign currency translation adjustment:</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7"/>
        </w:trPr>
        <w:tc>
          <w:tcPr>
            <w:tcW w:w="4260" w:type="dxa"/>
            <w:vAlign w:val="bottom"/>
            <w:shd w:val="clear" w:color="auto" w:fill="CCEEFF"/>
          </w:tcPr>
          <w:p>
            <w:pPr>
              <w:ind w:left="120"/>
              <w:spacing w:after="0" w:line="167" w:lineRule="exact"/>
              <w:rPr>
                <w:sz w:val="20"/>
                <w:szCs w:val="20"/>
                <w:color w:val="auto"/>
              </w:rPr>
            </w:pPr>
            <w:r>
              <w:rPr>
                <w:rFonts w:ascii="Arial" w:cs="Arial" w:eastAsia="Arial" w:hAnsi="Arial"/>
                <w:sz w:val="17"/>
                <w:szCs w:val="17"/>
                <w:color w:val="auto"/>
              </w:rPr>
              <w:t>Translation adjustment arising during the period, net</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89"/>
        </w:trPr>
        <w:tc>
          <w:tcPr>
            <w:tcW w:w="4260" w:type="dxa"/>
            <w:vAlign w:val="bottom"/>
            <w:shd w:val="clear" w:color="auto" w:fill="CCEEFF"/>
          </w:tcPr>
          <w:p>
            <w:pPr>
              <w:ind w:left="120"/>
              <w:spacing w:after="0" w:line="189" w:lineRule="exact"/>
              <w:rPr>
                <w:sz w:val="20"/>
                <w:szCs w:val="20"/>
                <w:color w:val="auto"/>
              </w:rPr>
            </w:pPr>
            <w:r>
              <w:rPr>
                <w:rFonts w:ascii="Arial" w:cs="Arial" w:eastAsia="Arial" w:hAnsi="Arial"/>
                <w:sz w:val="17"/>
                <w:szCs w:val="17"/>
                <w:color w:val="auto"/>
              </w:rPr>
              <w:t>of income tax (benefit)/expense of $-, $(2), $(1) and</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1"/>
        </w:trPr>
        <w:tc>
          <w:tcPr>
            <w:tcW w:w="42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$(1), respectively</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(29)</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(7)</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(104)</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20" w:type="dxa"/>
            <w:vAlign w:val="bottom"/>
          </w:tcPr>
          <w:p>
            <w:pPr>
              <w:spacing w:after="0"/>
              <w:rPr>
                <w:sz w:val="18"/>
                <w:szCs w:val="18"/>
                <w:color w:val="auto"/>
              </w:rPr>
            </w:pPr>
          </w:p>
        </w:tc>
      </w:tr>
      <w:tr>
        <w:trPr>
          <w:trHeight w:val="189"/>
        </w:trPr>
        <w:tc>
          <w:tcPr>
            <w:tcW w:w="4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42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i w:val="1"/>
                <w:iCs w:val="1"/>
                <w:color w:val="auto"/>
              </w:rPr>
              <w:t>Hedges contracts:</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67"/>
        </w:trPr>
        <w:tc>
          <w:tcPr>
            <w:tcW w:w="4260" w:type="dxa"/>
            <w:vAlign w:val="bottom"/>
          </w:tcPr>
          <w:p>
            <w:pPr>
              <w:ind w:left="120"/>
              <w:spacing w:after="0" w:line="167" w:lineRule="exact"/>
              <w:rPr>
                <w:sz w:val="20"/>
                <w:szCs w:val="20"/>
                <w:color w:val="auto"/>
              </w:rPr>
            </w:pPr>
            <w:r>
              <w:rPr>
                <w:rFonts w:ascii="Arial" w:cs="Arial" w:eastAsia="Arial" w:hAnsi="Arial"/>
                <w:sz w:val="17"/>
                <w:szCs w:val="17"/>
                <w:color w:val="auto"/>
              </w:rPr>
              <w:t>Change in fair value of derivatives, net of income tax</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1"/>
        </w:trPr>
        <w:tc>
          <w:tcPr>
            <w:tcW w:w="4260" w:type="dxa"/>
            <w:vAlign w:val="bottom"/>
          </w:tcPr>
          <w:p>
            <w:pPr>
              <w:ind w:left="120"/>
              <w:spacing w:after="0"/>
              <w:rPr>
                <w:sz w:val="20"/>
                <w:szCs w:val="20"/>
                <w:color w:val="auto"/>
              </w:rPr>
            </w:pPr>
            <w:r>
              <w:rPr>
                <w:rFonts w:ascii="Arial" w:cs="Arial" w:eastAsia="Arial" w:hAnsi="Arial"/>
                <w:sz w:val="17"/>
                <w:szCs w:val="17"/>
                <w:color w:val="auto"/>
              </w:rPr>
              <w:t>benefit of $(1), $-, $(1), and $-, respectively</w:t>
            </w:r>
          </w:p>
        </w:tc>
        <w:tc>
          <w:tcPr>
            <w:tcW w:w="280" w:type="dxa"/>
            <w:vAlign w:val="bottom"/>
          </w:tcPr>
          <w:p>
            <w:pPr>
              <w:spacing w:after="0"/>
              <w:rPr>
                <w:sz w:val="18"/>
                <w:szCs w:val="18"/>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auto"/>
              </w:rPr>
              <w:t>(1)</w:t>
            </w:r>
          </w:p>
        </w:tc>
        <w:tc>
          <w:tcPr>
            <w:tcW w:w="280" w:type="dxa"/>
            <w:vAlign w:val="bottom"/>
          </w:tcPr>
          <w:p>
            <w:pPr>
              <w:spacing w:after="0"/>
              <w:rPr>
                <w:sz w:val="18"/>
                <w:szCs w:val="18"/>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1</w:t>
            </w:r>
          </w:p>
        </w:tc>
        <w:tc>
          <w:tcPr>
            <w:tcW w:w="24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b w:val="1"/>
                <w:bCs w:val="1"/>
                <w:color w:val="auto"/>
              </w:rPr>
              <w:t>(3)</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8"/>
                <w:szCs w:val="18"/>
                <w:color w:val="auto"/>
              </w:rPr>
            </w:pPr>
          </w:p>
        </w:tc>
      </w:tr>
      <w:tr>
        <w:trPr>
          <w:trHeight w:val="189"/>
        </w:trPr>
        <w:tc>
          <w:tcPr>
            <w:tcW w:w="4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4260" w:type="dxa"/>
            <w:vAlign w:val="bottom"/>
          </w:tcPr>
          <w:p>
            <w:pPr>
              <w:ind w:left="20"/>
              <w:spacing w:after="0" w:line="189" w:lineRule="exact"/>
              <w:rPr>
                <w:sz w:val="20"/>
                <w:szCs w:val="20"/>
                <w:color w:val="auto"/>
              </w:rPr>
            </w:pPr>
            <w:r>
              <w:rPr>
                <w:rFonts w:ascii="Arial" w:cs="Arial" w:eastAsia="Arial" w:hAnsi="Arial"/>
                <w:sz w:val="17"/>
                <w:szCs w:val="17"/>
                <w:i w:val="1"/>
                <w:iCs w:val="1"/>
                <w:color w:val="auto"/>
              </w:rPr>
              <w:t>Pension and postretirement adjustments:</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7"/>
        </w:trPr>
        <w:tc>
          <w:tcPr>
            <w:tcW w:w="4260" w:type="dxa"/>
            <w:vAlign w:val="bottom"/>
            <w:shd w:val="clear" w:color="auto" w:fill="CCEEFF"/>
          </w:tcPr>
          <w:p>
            <w:pPr>
              <w:ind w:left="120"/>
              <w:spacing w:after="0" w:line="167" w:lineRule="exact"/>
              <w:rPr>
                <w:sz w:val="20"/>
                <w:szCs w:val="20"/>
                <w:color w:val="auto"/>
              </w:rPr>
            </w:pPr>
            <w:r>
              <w:rPr>
                <w:rFonts w:ascii="Arial" w:cs="Arial" w:eastAsia="Arial" w:hAnsi="Arial"/>
                <w:sz w:val="17"/>
                <w:szCs w:val="17"/>
                <w:color w:val="auto"/>
              </w:rPr>
              <w:t>Amortization of net actuarial gain/loss and prior</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89"/>
        </w:trPr>
        <w:tc>
          <w:tcPr>
            <w:tcW w:w="4260" w:type="dxa"/>
            <w:vAlign w:val="bottom"/>
            <w:shd w:val="clear" w:color="auto" w:fill="CCEEFF"/>
          </w:tcPr>
          <w:p>
            <w:pPr>
              <w:ind w:left="120"/>
              <w:spacing w:after="0" w:line="189" w:lineRule="exact"/>
              <w:rPr>
                <w:sz w:val="20"/>
                <w:szCs w:val="20"/>
                <w:color w:val="auto"/>
              </w:rPr>
            </w:pPr>
            <w:r>
              <w:rPr>
                <w:rFonts w:ascii="Arial" w:cs="Arial" w:eastAsia="Arial" w:hAnsi="Arial"/>
                <w:sz w:val="17"/>
                <w:szCs w:val="17"/>
                <w:color w:val="auto"/>
              </w:rPr>
              <w:t>service cost included in net periodic benefit costs, net</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4260" w:type="dxa"/>
            <w:vAlign w:val="bottom"/>
            <w:shd w:val="clear" w:color="auto" w:fill="CCEEFF"/>
          </w:tcPr>
          <w:p>
            <w:pPr>
              <w:ind w:left="120"/>
              <w:spacing w:after="0" w:line="189" w:lineRule="exact"/>
              <w:rPr>
                <w:sz w:val="20"/>
                <w:szCs w:val="20"/>
                <w:color w:val="auto"/>
              </w:rPr>
            </w:pPr>
            <w:r>
              <w:rPr>
                <w:rFonts w:ascii="Arial" w:cs="Arial" w:eastAsia="Arial" w:hAnsi="Arial"/>
                <w:sz w:val="17"/>
                <w:szCs w:val="17"/>
                <w:color w:val="auto"/>
              </w:rPr>
              <w:t>of income tax expense of $1, $1, $2 and $2,</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1"/>
        </w:trPr>
        <w:tc>
          <w:tcPr>
            <w:tcW w:w="42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respectively</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3</w:t>
            </w: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w:t>
            </w: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7</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8"/>
                <w:szCs w:val="18"/>
                <w:color w:val="auto"/>
              </w:rPr>
            </w:pPr>
          </w:p>
        </w:tc>
      </w:tr>
      <w:tr>
        <w:trPr>
          <w:trHeight w:val="183"/>
        </w:trPr>
        <w:tc>
          <w:tcPr>
            <w:tcW w:w="426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b w:val="1"/>
                <w:bCs w:val="1"/>
                <w:color w:val="auto"/>
              </w:rPr>
              <w:t>Comprehensive income</w:t>
            </w:r>
          </w:p>
        </w:tc>
        <w:tc>
          <w:tcPr>
            <w:tcW w:w="280" w:type="dxa"/>
            <w:vAlign w:val="bottom"/>
            <w:tcBorders>
              <w:bottom w:val="single" w:sz="8" w:color="auto"/>
            </w:tcBorders>
          </w:tcPr>
          <w:p>
            <w:pPr>
              <w:ind w:left="120"/>
              <w:spacing w:after="0" w:line="183" w:lineRule="exact"/>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69</w:t>
            </w:r>
          </w:p>
        </w:tc>
        <w:tc>
          <w:tcPr>
            <w:tcW w:w="28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153</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223</w:t>
            </w:r>
          </w:p>
        </w:tc>
        <w:tc>
          <w:tcPr>
            <w:tcW w:w="32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778</w:t>
            </w:r>
          </w:p>
        </w:tc>
        <w:tc>
          <w:tcPr>
            <w:tcW w:w="20" w:type="dxa"/>
            <w:vAlign w:val="bottom"/>
          </w:tcPr>
          <w:p>
            <w:pPr>
              <w:spacing w:after="0"/>
              <w:rPr>
                <w:sz w:val="15"/>
                <w:szCs w:val="15"/>
                <w:color w:val="auto"/>
              </w:rPr>
            </w:pPr>
          </w:p>
        </w:tc>
      </w:tr>
      <w:tr>
        <w:trPr>
          <w:trHeight w:val="20"/>
        </w:trPr>
        <w:tc>
          <w:tcPr>
            <w:tcW w:w="4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2022 Form 10-Q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694690</wp:posOffset>
            </wp:positionV>
            <wp:extent cx="1834515" cy="2146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left="40" w:right="59"/>
        <w:spacing w:after="0" w:line="271" w:lineRule="auto"/>
        <w:rPr>
          <w:sz w:val="20"/>
          <w:szCs w:val="20"/>
          <w:color w:val="auto"/>
        </w:rPr>
      </w:pPr>
      <w:r>
        <w:rPr>
          <w:rFonts w:ascii="Arial" w:cs="Arial" w:eastAsia="Arial" w:hAnsi="Arial"/>
          <w:sz w:val="18"/>
          <w:szCs w:val="18"/>
          <w:b w:val="1"/>
          <w:bCs w:val="1"/>
          <w:color w:val="auto"/>
        </w:rPr>
        <w:t xml:space="preserve">CONDENSED CONSOLIDATED STATEMENTS OF CHANGES IN SHAREHOLDERS’ EQUITY </w:t>
      </w:r>
      <w:r>
        <w:rPr>
          <w:rFonts w:ascii="Arial" w:cs="Arial" w:eastAsia="Arial" w:hAnsi="Arial"/>
          <w:sz w:val="18"/>
          <w:szCs w:val="18"/>
          <w:color w:val="auto"/>
        </w:rPr>
        <w:t>(Unaudited)</w:t>
      </w:r>
    </w:p>
    <w:p>
      <w:pPr>
        <w:spacing w:after="0" w:line="52"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3220" w:type="dxa"/>
            <w:vAlign w:val="bottom"/>
          </w:tcPr>
          <w:p>
            <w:pPr>
              <w:spacing w:after="0"/>
              <w:rPr>
                <w:sz w:val="12"/>
                <w:szCs w:val="12"/>
                <w:color w:val="auto"/>
              </w:rPr>
            </w:pPr>
          </w:p>
        </w:tc>
        <w:tc>
          <w:tcPr>
            <w:tcW w:w="118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w w:val="97"/>
              </w:rPr>
              <w:t>Additional Paid-In</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0" w:type="dxa"/>
            <w:vAlign w:val="bottom"/>
            <w:gridSpan w:val="2"/>
          </w:tcPr>
          <w:p>
            <w:pPr>
              <w:ind w:left="120"/>
              <w:spacing w:after="0"/>
              <w:rPr>
                <w:sz w:val="20"/>
                <w:szCs w:val="20"/>
                <w:color w:val="auto"/>
              </w:rPr>
            </w:pPr>
            <w:r>
              <w:rPr>
                <w:rFonts w:ascii="Arial" w:cs="Arial" w:eastAsia="Arial" w:hAnsi="Arial"/>
                <w:sz w:val="12"/>
                <w:szCs w:val="12"/>
                <w:b w:val="1"/>
                <w:bCs w:val="1"/>
                <w:color w:val="auto"/>
              </w:rPr>
              <w:t>Accumulated</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35"/>
        </w:trPr>
        <w:tc>
          <w:tcPr>
            <w:tcW w:w="3220" w:type="dxa"/>
            <w:vAlign w:val="bottom"/>
          </w:tcPr>
          <w:p>
            <w:pPr>
              <w:spacing w:after="0"/>
              <w:rPr>
                <w:sz w:val="11"/>
                <w:szCs w:val="11"/>
                <w:color w:val="auto"/>
              </w:rPr>
            </w:pPr>
          </w:p>
        </w:tc>
        <w:tc>
          <w:tcPr>
            <w:tcW w:w="820" w:type="dxa"/>
            <w:vAlign w:val="bottom"/>
            <w:gridSpan w:val="2"/>
          </w:tcPr>
          <w:p>
            <w:pPr>
              <w:jc w:val="center"/>
              <w:ind w:left="219"/>
              <w:spacing w:after="0" w:line="135" w:lineRule="exact"/>
              <w:rPr>
                <w:sz w:val="20"/>
                <w:szCs w:val="20"/>
                <w:color w:val="auto"/>
              </w:rPr>
            </w:pPr>
            <w:r>
              <w:rPr>
                <w:rFonts w:ascii="Arial" w:cs="Arial" w:eastAsia="Arial" w:hAnsi="Arial"/>
                <w:sz w:val="12"/>
                <w:szCs w:val="12"/>
                <w:b w:val="1"/>
                <w:bCs w:val="1"/>
                <w:color w:val="auto"/>
                <w:w w:val="96"/>
              </w:rPr>
              <w:t>Capital &amp;</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jc w:val="center"/>
              <w:ind w:right="218"/>
              <w:spacing w:after="0" w:line="135" w:lineRule="exact"/>
              <w:rPr>
                <w:sz w:val="20"/>
                <w:szCs w:val="20"/>
                <w:color w:val="auto"/>
              </w:rPr>
            </w:pPr>
            <w:r>
              <w:rPr>
                <w:rFonts w:ascii="Arial" w:cs="Arial" w:eastAsia="Arial" w:hAnsi="Arial"/>
                <w:sz w:val="12"/>
                <w:szCs w:val="12"/>
                <w:b w:val="1"/>
                <w:bCs w:val="1"/>
                <w:color w:val="auto"/>
                <w:w w:val="99"/>
              </w:rPr>
              <w:t>Other</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center"/>
              <w:ind w:right="97"/>
              <w:spacing w:after="0" w:line="135" w:lineRule="exact"/>
              <w:rPr>
                <w:sz w:val="20"/>
                <w:szCs w:val="20"/>
                <w:color w:val="auto"/>
              </w:rPr>
            </w:pPr>
            <w:r>
              <w:rPr>
                <w:rFonts w:ascii="Arial" w:cs="Arial" w:eastAsia="Arial" w:hAnsi="Arial"/>
                <w:sz w:val="12"/>
                <w:szCs w:val="12"/>
                <w:b w:val="1"/>
                <w:bCs w:val="1"/>
                <w:color w:val="auto"/>
                <w:w w:val="90"/>
              </w:rPr>
              <w:t>Total</w:t>
            </w:r>
          </w:p>
        </w:tc>
      </w:tr>
      <w:tr>
        <w:trPr>
          <w:trHeight w:val="145"/>
        </w:trPr>
        <w:tc>
          <w:tcPr>
            <w:tcW w:w="3220" w:type="dxa"/>
            <w:vAlign w:val="bottom"/>
          </w:tcPr>
          <w:p>
            <w:pPr>
              <w:ind w:left="20"/>
              <w:spacing w:after="0"/>
              <w:rPr>
                <w:sz w:val="20"/>
                <w:szCs w:val="20"/>
                <w:color w:val="auto"/>
              </w:rPr>
            </w:pPr>
            <w:r>
              <w:rPr>
                <w:rFonts w:ascii="Arial" w:cs="Arial" w:eastAsia="Arial" w:hAnsi="Arial"/>
                <w:sz w:val="12"/>
                <w:szCs w:val="12"/>
                <w:color w:val="auto"/>
              </w:rPr>
              <w:t>Thirteen weeks ended</w:t>
            </w:r>
          </w:p>
        </w:tc>
        <w:tc>
          <w:tcPr>
            <w:tcW w:w="118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w w:val="97"/>
              </w:rPr>
              <w:t>Common Stock</w:t>
            </w:r>
          </w:p>
        </w:tc>
        <w:tc>
          <w:tcPr>
            <w:tcW w:w="1140" w:type="dxa"/>
            <w:vAlign w:val="bottom"/>
            <w:gridSpan w:val="4"/>
          </w:tcPr>
          <w:p>
            <w:pPr>
              <w:ind w:left="120"/>
              <w:spacing w:after="0"/>
              <w:rPr>
                <w:sz w:val="20"/>
                <w:szCs w:val="20"/>
                <w:color w:val="auto"/>
              </w:rPr>
            </w:pPr>
            <w:r>
              <w:rPr>
                <w:rFonts w:ascii="Arial" w:cs="Arial" w:eastAsia="Arial" w:hAnsi="Arial"/>
                <w:sz w:val="12"/>
                <w:szCs w:val="12"/>
                <w:b w:val="1"/>
                <w:bCs w:val="1"/>
                <w:color w:val="auto"/>
              </w:rPr>
              <w:t>Treasury Stock</w:t>
            </w:r>
          </w:p>
        </w:tc>
        <w:tc>
          <w:tcPr>
            <w:tcW w:w="580" w:type="dxa"/>
            <w:vAlign w:val="bottom"/>
          </w:tcPr>
          <w:p>
            <w:pPr>
              <w:jc w:val="right"/>
              <w:spacing w:after="0"/>
              <w:rPr>
                <w:sz w:val="20"/>
                <w:szCs w:val="20"/>
                <w:color w:val="auto"/>
              </w:rPr>
            </w:pPr>
            <w:r>
              <w:rPr>
                <w:rFonts w:ascii="Arial" w:cs="Arial" w:eastAsia="Arial" w:hAnsi="Arial"/>
                <w:sz w:val="12"/>
                <w:szCs w:val="12"/>
                <w:b w:val="1"/>
                <w:bCs w:val="1"/>
                <w:color w:val="auto"/>
              </w:rPr>
              <w:t>Retained</w:t>
            </w:r>
          </w:p>
        </w:tc>
        <w:tc>
          <w:tcPr>
            <w:tcW w:w="10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Comprehensive</w:t>
            </w:r>
          </w:p>
        </w:tc>
        <w:tc>
          <w:tcPr>
            <w:tcW w:w="9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8"/>
              </w:rPr>
              <w:t>Noncontrolling</w:t>
            </w:r>
          </w:p>
        </w:tc>
        <w:tc>
          <w:tcPr>
            <w:tcW w:w="8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Shareholders'</w:t>
            </w:r>
          </w:p>
        </w:tc>
      </w:tr>
      <w:tr>
        <w:trPr>
          <w:trHeight w:val="128"/>
        </w:trPr>
        <w:tc>
          <w:tcPr>
            <w:tcW w:w="322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2"/>
                <w:szCs w:val="12"/>
                <w:color w:val="auto"/>
              </w:rPr>
              <w:t>(shares in thousands, amounts in millions)</w:t>
            </w:r>
          </w:p>
        </w:tc>
        <w:tc>
          <w:tcPr>
            <w:tcW w:w="580" w:type="dxa"/>
            <w:vAlign w:val="bottom"/>
            <w:tcBorders>
              <w:top w:val="single" w:sz="8" w:color="auto"/>
              <w:bottom w:val="single" w:sz="8" w:color="auto"/>
            </w:tcBorders>
          </w:tcPr>
          <w:p>
            <w:pPr>
              <w:jc w:val="right"/>
              <w:ind w:right="39"/>
              <w:spacing w:after="0" w:line="129" w:lineRule="exact"/>
              <w:rPr>
                <w:sz w:val="20"/>
                <w:szCs w:val="20"/>
                <w:color w:val="auto"/>
              </w:rPr>
            </w:pPr>
            <w:r>
              <w:rPr>
                <w:rFonts w:ascii="Arial" w:cs="Arial" w:eastAsia="Arial" w:hAnsi="Arial"/>
                <w:sz w:val="12"/>
                <w:szCs w:val="12"/>
                <w:b w:val="1"/>
                <w:bCs w:val="1"/>
                <w:color w:val="auto"/>
              </w:rPr>
              <w:t>Shares</w:t>
            </w:r>
          </w:p>
        </w:tc>
        <w:tc>
          <w:tcPr>
            <w:tcW w:w="500" w:type="dxa"/>
            <w:vAlign w:val="bottom"/>
            <w:tcBorders>
              <w:top w:val="single" w:sz="8" w:color="auto"/>
              <w:bottom w:val="single" w:sz="8" w:color="auto"/>
            </w:tcBorders>
            <w:gridSpan w:val="2"/>
          </w:tcPr>
          <w:p>
            <w:pPr>
              <w:ind w:left="40"/>
              <w:spacing w:after="0" w:line="129" w:lineRule="exact"/>
              <w:rPr>
                <w:sz w:val="20"/>
                <w:szCs w:val="20"/>
                <w:color w:val="auto"/>
              </w:rPr>
            </w:pPr>
            <w:r>
              <w:rPr>
                <w:rFonts w:ascii="Arial" w:cs="Arial" w:eastAsia="Arial" w:hAnsi="Arial"/>
                <w:sz w:val="12"/>
                <w:szCs w:val="12"/>
                <w:b w:val="1"/>
                <w:bCs w:val="1"/>
                <w:color w:val="auto"/>
                <w:w w:val="96"/>
              </w:rPr>
              <w:t>Amount</w:t>
            </w:r>
          </w:p>
        </w:tc>
        <w:tc>
          <w:tcPr>
            <w:tcW w:w="100" w:type="dxa"/>
            <w:vAlign w:val="bottom"/>
            <w:tcBorders>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38"/>
              <w:spacing w:after="0" w:line="129" w:lineRule="exact"/>
              <w:rPr>
                <w:sz w:val="20"/>
                <w:szCs w:val="20"/>
                <w:color w:val="auto"/>
              </w:rPr>
            </w:pPr>
            <w:r>
              <w:rPr>
                <w:rFonts w:ascii="Arial" w:cs="Arial" w:eastAsia="Arial" w:hAnsi="Arial"/>
                <w:sz w:val="12"/>
                <w:szCs w:val="12"/>
                <w:b w:val="1"/>
                <w:bCs w:val="1"/>
                <w:color w:val="auto"/>
                <w:w w:val="99"/>
              </w:rPr>
              <w:t>Shares</w:t>
            </w:r>
          </w:p>
        </w:tc>
        <w:tc>
          <w:tcPr>
            <w:tcW w:w="56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2"/>
                <w:szCs w:val="12"/>
                <w:b w:val="1"/>
                <w:bCs w:val="1"/>
                <w:color w:val="auto"/>
              </w:rPr>
              <w:t>Amount</w:t>
            </w: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rPr>
              <w:t>Earnings</w:t>
            </w:r>
          </w:p>
        </w:tc>
        <w:tc>
          <w:tcPr>
            <w:tcW w:w="2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218"/>
              <w:spacing w:after="0" w:line="129" w:lineRule="exact"/>
              <w:rPr>
                <w:sz w:val="20"/>
                <w:szCs w:val="20"/>
                <w:color w:val="auto"/>
              </w:rPr>
            </w:pPr>
            <w:r>
              <w:rPr>
                <w:rFonts w:ascii="Arial" w:cs="Arial" w:eastAsia="Arial" w:hAnsi="Arial"/>
                <w:sz w:val="12"/>
                <w:szCs w:val="12"/>
                <w:b w:val="1"/>
                <w:bCs w:val="1"/>
                <w:color w:val="auto"/>
                <w:w w:val="99"/>
              </w:rPr>
              <w:t>Loss</w:t>
            </w:r>
          </w:p>
        </w:tc>
        <w:tc>
          <w:tcPr>
            <w:tcW w:w="2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158"/>
              <w:spacing w:after="0" w:line="129" w:lineRule="exact"/>
              <w:rPr>
                <w:sz w:val="20"/>
                <w:szCs w:val="20"/>
                <w:color w:val="auto"/>
              </w:rPr>
            </w:pPr>
            <w:r>
              <w:rPr>
                <w:rFonts w:ascii="Arial" w:cs="Arial" w:eastAsia="Arial" w:hAnsi="Arial"/>
                <w:sz w:val="12"/>
                <w:szCs w:val="12"/>
                <w:b w:val="1"/>
                <w:bCs w:val="1"/>
                <w:color w:val="auto"/>
                <w:w w:val="95"/>
              </w:rPr>
              <w:t>interests</w:t>
            </w:r>
          </w:p>
        </w:tc>
        <w:tc>
          <w:tcPr>
            <w:tcW w:w="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97"/>
              <w:spacing w:after="0" w:line="129" w:lineRule="exact"/>
              <w:rPr>
                <w:sz w:val="20"/>
                <w:szCs w:val="20"/>
                <w:color w:val="auto"/>
              </w:rPr>
            </w:pPr>
            <w:r>
              <w:rPr>
                <w:rFonts w:ascii="Arial" w:cs="Arial" w:eastAsia="Arial" w:hAnsi="Arial"/>
                <w:sz w:val="12"/>
                <w:szCs w:val="12"/>
                <w:b w:val="1"/>
                <w:bCs w:val="1"/>
                <w:color w:val="auto"/>
                <w:w w:val="92"/>
              </w:rPr>
              <w:t>Equity</w:t>
            </w:r>
          </w:p>
        </w:tc>
      </w:tr>
      <w:tr>
        <w:trPr>
          <w:trHeight w:val="128"/>
        </w:trPr>
        <w:tc>
          <w:tcPr>
            <w:tcW w:w="32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Balance at July 30, 2022</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99,319</w:t>
            </w:r>
          </w:p>
        </w:tc>
        <w:tc>
          <w:tcPr>
            <w:tcW w:w="24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b w:val="1"/>
                <w:bCs w:val="1"/>
                <w:color w:val="auto"/>
              </w:rPr>
              <w:t>$</w:t>
            </w:r>
          </w:p>
        </w:tc>
        <w:tc>
          <w:tcPr>
            <w:tcW w:w="2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92"/>
              </w:rPr>
              <w:t>788</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(6,018)</w:t>
            </w:r>
          </w:p>
        </w:tc>
        <w:tc>
          <w:tcPr>
            <w:tcW w:w="200" w:type="dxa"/>
            <w:vAlign w:val="bottom"/>
            <w:shd w:val="clear" w:color="auto" w:fill="CCEEFF"/>
          </w:tcPr>
          <w:p>
            <w:pPr>
              <w:jc w:val="right"/>
              <w:ind w:right="18"/>
              <w:spacing w:after="0" w:line="129" w:lineRule="exact"/>
              <w:rPr>
                <w:sz w:val="20"/>
                <w:szCs w:val="20"/>
                <w:color w:val="auto"/>
              </w:rPr>
            </w:pPr>
            <w:r>
              <w:rPr>
                <w:rFonts w:ascii="Arial" w:cs="Arial" w:eastAsia="Arial" w:hAnsi="Arial"/>
                <w:sz w:val="13"/>
                <w:szCs w:val="13"/>
                <w:b w:val="1"/>
                <w:bCs w:val="1"/>
                <w:color w:val="auto"/>
              </w:rPr>
              <w:t>$</w:t>
            </w:r>
          </w:p>
        </w:tc>
        <w:tc>
          <w:tcPr>
            <w:tcW w:w="42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3"/>
                <w:szCs w:val="13"/>
                <w:b w:val="1"/>
                <w:bCs w:val="1"/>
                <w:color w:val="auto"/>
              </w:rPr>
              <w:t>(213)</w:t>
            </w:r>
          </w:p>
        </w:tc>
        <w:tc>
          <w:tcPr>
            <w:tcW w:w="580" w:type="dxa"/>
            <w:vAlign w:val="bottom"/>
            <w:shd w:val="clear" w:color="auto" w:fill="CCEEFF"/>
          </w:tcPr>
          <w:p>
            <w:pPr>
              <w:jc w:val="right"/>
              <w:ind w:right="18"/>
              <w:spacing w:after="0" w:line="129" w:lineRule="exact"/>
              <w:rPr>
                <w:sz w:val="20"/>
                <w:szCs w:val="20"/>
                <w:color w:val="auto"/>
              </w:rPr>
            </w:pPr>
            <w:r>
              <w:rPr>
                <w:rFonts w:ascii="Arial" w:cs="Arial" w:eastAsia="Arial" w:hAnsi="Arial"/>
                <w:sz w:val="13"/>
                <w:szCs w:val="13"/>
                <w:b w:val="1"/>
                <w:bCs w:val="1"/>
                <w:color w:val="auto"/>
              </w:rPr>
              <w:t>$ 3,051</w:t>
            </w:r>
          </w:p>
        </w:tc>
        <w:tc>
          <w:tcPr>
            <w:tcW w:w="240" w:type="dxa"/>
            <w:vAlign w:val="bottom"/>
            <w:shd w:val="clear" w:color="auto" w:fill="CCEEFF"/>
          </w:tcPr>
          <w:p>
            <w:pPr>
              <w:ind w:left="100"/>
              <w:spacing w:after="0" w:line="129" w:lineRule="exact"/>
              <w:rPr>
                <w:sz w:val="20"/>
                <w:szCs w:val="20"/>
                <w:color w:val="auto"/>
              </w:rPr>
            </w:pPr>
            <w:r>
              <w:rPr>
                <w:rFonts w:ascii="Arial" w:cs="Arial" w:eastAsia="Arial" w:hAnsi="Arial"/>
                <w:sz w:val="13"/>
                <w:szCs w:val="13"/>
                <w:b w:val="1"/>
                <w:bCs w:val="1"/>
                <w:color w:val="auto"/>
              </w:rPr>
              <w:t>$</w:t>
            </w:r>
          </w:p>
        </w:tc>
        <w:tc>
          <w:tcPr>
            <w:tcW w:w="760" w:type="dxa"/>
            <w:vAlign w:val="bottom"/>
            <w:shd w:val="clear" w:color="auto" w:fill="CCEEFF"/>
          </w:tcPr>
          <w:p>
            <w:pPr>
              <w:jc w:val="right"/>
              <w:ind w:right="18"/>
              <w:spacing w:after="0" w:line="129" w:lineRule="exact"/>
              <w:rPr>
                <w:sz w:val="20"/>
                <w:szCs w:val="20"/>
                <w:color w:val="auto"/>
              </w:rPr>
            </w:pPr>
            <w:r>
              <w:rPr>
                <w:rFonts w:ascii="Arial" w:cs="Arial" w:eastAsia="Arial" w:hAnsi="Arial"/>
                <w:sz w:val="13"/>
                <w:szCs w:val="13"/>
                <w:b w:val="1"/>
                <w:bCs w:val="1"/>
                <w:color w:val="auto"/>
              </w:rPr>
              <w:t>(416)</w:t>
            </w:r>
          </w:p>
        </w:tc>
        <w:tc>
          <w:tcPr>
            <w:tcW w:w="2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CCEEFF"/>
          </w:tcPr>
          <w:p>
            <w:pPr>
              <w:jc w:val="right"/>
              <w:ind w:right="18"/>
              <w:spacing w:after="0" w:line="129" w:lineRule="exact"/>
              <w:rPr>
                <w:sz w:val="20"/>
                <w:szCs w:val="20"/>
                <w:color w:val="auto"/>
              </w:rPr>
            </w:pPr>
            <w:r>
              <w:rPr>
                <w:rFonts w:ascii="Arial" w:cs="Arial" w:eastAsia="Arial" w:hAnsi="Arial"/>
                <w:sz w:val="13"/>
                <w:szCs w:val="13"/>
                <w:b w:val="1"/>
                <w:bCs w:val="1"/>
                <w:color w:val="auto"/>
              </w:rPr>
              <w:t>7</w:t>
            </w:r>
          </w:p>
        </w:tc>
        <w:tc>
          <w:tcPr>
            <w:tcW w:w="2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3,217</w:t>
            </w:r>
          </w:p>
        </w:tc>
      </w:tr>
      <w:tr>
        <w:trPr>
          <w:trHeight w:val="135"/>
        </w:trPr>
        <w:tc>
          <w:tcPr>
            <w:tcW w:w="3220" w:type="dxa"/>
            <w:vAlign w:val="bottom"/>
          </w:tcPr>
          <w:p>
            <w:pPr>
              <w:ind w:left="20"/>
              <w:spacing w:after="0" w:line="135" w:lineRule="exact"/>
              <w:rPr>
                <w:sz w:val="20"/>
                <w:szCs w:val="20"/>
                <w:color w:val="auto"/>
              </w:rPr>
            </w:pPr>
            <w:r>
              <w:rPr>
                <w:rFonts w:ascii="Arial" w:cs="Arial" w:eastAsia="Arial" w:hAnsi="Arial"/>
                <w:sz w:val="13"/>
                <w:szCs w:val="13"/>
                <w:color w:val="auto"/>
              </w:rPr>
              <w:t>Restricted stock issued</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Issued under director and stock plans</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w:t>
            </w: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r>
      <w:tr>
        <w:trPr>
          <w:trHeight w:val="135"/>
        </w:trPr>
        <w:tc>
          <w:tcPr>
            <w:tcW w:w="3220" w:type="dxa"/>
            <w:vAlign w:val="bottom"/>
          </w:tcPr>
          <w:p>
            <w:pPr>
              <w:ind w:left="20"/>
              <w:spacing w:after="0" w:line="135" w:lineRule="exact"/>
              <w:rPr>
                <w:sz w:val="20"/>
                <w:szCs w:val="20"/>
                <w:color w:val="auto"/>
              </w:rPr>
            </w:pPr>
            <w:r>
              <w:rPr>
                <w:rFonts w:ascii="Arial" w:cs="Arial" w:eastAsia="Arial" w:hAnsi="Arial"/>
                <w:sz w:val="13"/>
                <w:szCs w:val="13"/>
                <w:color w:val="auto"/>
              </w:rPr>
              <w:t>Share-based compensation expense</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9</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9</w:t>
            </w:r>
          </w:p>
        </w:tc>
      </w:tr>
      <w:tr>
        <w:trPr>
          <w:trHeight w:val="117"/>
        </w:trPr>
        <w:tc>
          <w:tcPr>
            <w:tcW w:w="3220" w:type="dxa"/>
            <w:vAlign w:val="bottom"/>
            <w:shd w:val="clear" w:color="auto" w:fill="CCEEFF"/>
          </w:tcPr>
          <w:p>
            <w:pPr>
              <w:ind w:left="20"/>
              <w:spacing w:after="0" w:line="117" w:lineRule="exact"/>
              <w:rPr>
                <w:sz w:val="20"/>
                <w:szCs w:val="20"/>
                <w:color w:val="auto"/>
              </w:rPr>
            </w:pPr>
            <w:r>
              <w:rPr>
                <w:rFonts w:ascii="Arial" w:cs="Arial" w:eastAsia="Arial" w:hAnsi="Arial"/>
                <w:sz w:val="13"/>
                <w:szCs w:val="13"/>
                <w:color w:val="auto"/>
                <w:w w:val="99"/>
              </w:rPr>
              <w:t>Shares of common stock used to satisfy tax withholding</w:t>
            </w: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r>
      <w:tr>
        <w:trPr>
          <w:trHeight w:val="153"/>
        </w:trPr>
        <w:tc>
          <w:tcPr>
            <w:tcW w:w="3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obligations</w:t>
            </w: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35"/>
        </w:trPr>
        <w:tc>
          <w:tcPr>
            <w:tcW w:w="3220" w:type="dxa"/>
            <w:vAlign w:val="bottom"/>
          </w:tcPr>
          <w:p>
            <w:pPr>
              <w:ind w:left="20"/>
              <w:spacing w:after="0" w:line="135" w:lineRule="exact"/>
              <w:rPr>
                <w:sz w:val="20"/>
                <w:szCs w:val="20"/>
                <w:color w:val="auto"/>
              </w:rPr>
            </w:pPr>
            <w:r>
              <w:rPr>
                <w:rFonts w:ascii="Arial" w:cs="Arial" w:eastAsia="Arial" w:hAnsi="Arial"/>
                <w:sz w:val="13"/>
                <w:szCs w:val="13"/>
                <w:color w:val="auto"/>
              </w:rPr>
              <w:t>Net income</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ind w:right="18"/>
              <w:spacing w:after="0" w:line="135" w:lineRule="exact"/>
              <w:rPr>
                <w:sz w:val="20"/>
                <w:szCs w:val="20"/>
                <w:color w:val="auto"/>
              </w:rPr>
            </w:pPr>
            <w:r>
              <w:rPr>
                <w:rFonts w:ascii="Arial" w:cs="Arial" w:eastAsia="Arial" w:hAnsi="Arial"/>
                <w:sz w:val="13"/>
                <w:szCs w:val="13"/>
                <w:color w:val="auto"/>
              </w:rPr>
              <w:t>96</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96</w:t>
            </w: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Cash dividends on common stock ($0.40 per share)</w:t>
            </w: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w:t>
            </w: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w:t>
            </w:r>
          </w:p>
        </w:tc>
      </w:tr>
      <w:tr>
        <w:trPr>
          <w:trHeight w:val="135"/>
        </w:trPr>
        <w:tc>
          <w:tcPr>
            <w:tcW w:w="3220" w:type="dxa"/>
            <w:vAlign w:val="bottom"/>
          </w:tcPr>
          <w:p>
            <w:pPr>
              <w:ind w:left="20"/>
              <w:spacing w:after="0" w:line="135" w:lineRule="exact"/>
              <w:rPr>
                <w:sz w:val="20"/>
                <w:szCs w:val="20"/>
                <w:color w:val="auto"/>
              </w:rPr>
            </w:pPr>
            <w:r>
              <w:rPr>
                <w:rFonts w:ascii="Arial" w:cs="Arial" w:eastAsia="Arial" w:hAnsi="Arial"/>
                <w:sz w:val="13"/>
                <w:szCs w:val="13"/>
                <w:color w:val="auto"/>
              </w:rPr>
              <w:t>Translation adjustment, net of tax</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jc w:val="right"/>
              <w:ind w:right="18"/>
              <w:spacing w:after="0" w:line="135" w:lineRule="exact"/>
              <w:rPr>
                <w:sz w:val="20"/>
                <w:szCs w:val="20"/>
                <w:color w:val="auto"/>
              </w:rPr>
            </w:pPr>
            <w:r>
              <w:rPr>
                <w:rFonts w:ascii="Arial" w:cs="Arial" w:eastAsia="Arial" w:hAnsi="Arial"/>
                <w:sz w:val="13"/>
                <w:szCs w:val="13"/>
                <w:color w:val="auto"/>
              </w:rPr>
              <w:t>(29)</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(29)</w:t>
            </w: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Change in hedges, net of tax</w:t>
            </w: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8"/>
              <w:spacing w:after="0" w:line="135" w:lineRule="exact"/>
              <w:rPr>
                <w:sz w:val="20"/>
                <w:szCs w:val="20"/>
                <w:color w:val="auto"/>
              </w:rPr>
            </w:pPr>
            <w:r>
              <w:rPr>
                <w:rFonts w:ascii="Arial" w:cs="Arial" w:eastAsia="Arial" w:hAnsi="Arial"/>
                <w:sz w:val="13"/>
                <w:szCs w:val="13"/>
                <w:color w:val="auto"/>
              </w:rPr>
              <w:t>(1)</w:t>
            </w: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r>
      <w:tr>
        <w:trPr>
          <w:trHeight w:val="135"/>
        </w:trPr>
        <w:tc>
          <w:tcPr>
            <w:tcW w:w="3220" w:type="dxa"/>
            <w:vAlign w:val="bottom"/>
            <w:tcBorders>
              <w:bottom w:val="single" w:sz="8" w:color="auto"/>
            </w:tcBorders>
          </w:tcPr>
          <w:p>
            <w:pPr>
              <w:ind w:left="20"/>
              <w:spacing w:after="0" w:line="135" w:lineRule="exact"/>
              <w:rPr>
                <w:sz w:val="20"/>
                <w:szCs w:val="20"/>
                <w:color w:val="auto"/>
              </w:rPr>
            </w:pPr>
            <w:r>
              <w:rPr>
                <w:rFonts w:ascii="Arial" w:cs="Arial" w:eastAsia="Arial" w:hAnsi="Arial"/>
                <w:sz w:val="13"/>
                <w:szCs w:val="13"/>
                <w:color w:val="auto"/>
              </w:rPr>
              <w:t>Pension and postretirement adjustments, net of tax</w:t>
            </w:r>
          </w:p>
        </w:tc>
        <w:tc>
          <w:tcPr>
            <w:tcW w:w="5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58"/>
              <w:spacing w:after="0" w:line="135" w:lineRule="exact"/>
              <w:rPr>
                <w:sz w:val="20"/>
                <w:szCs w:val="20"/>
                <w:color w:val="auto"/>
              </w:rPr>
            </w:pPr>
            <w:r>
              <w:rPr>
                <w:rFonts w:ascii="Arial" w:cs="Arial" w:eastAsia="Arial" w:hAnsi="Arial"/>
                <w:sz w:val="13"/>
                <w:szCs w:val="13"/>
                <w:color w:val="auto"/>
              </w:rPr>
              <w:t>3</w:t>
            </w:r>
          </w:p>
        </w:tc>
        <w:tc>
          <w:tcPr>
            <w:tcW w:w="2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w:t>
            </w:r>
          </w:p>
        </w:tc>
      </w:tr>
      <w:tr>
        <w:trPr>
          <w:trHeight w:val="128"/>
        </w:trPr>
        <w:tc>
          <w:tcPr>
            <w:tcW w:w="3220" w:type="dxa"/>
            <w:vAlign w:val="bottom"/>
            <w:tcBorders>
              <w:bottom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Balance at October 29, 2022</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99,339</w:t>
            </w:r>
          </w:p>
        </w:tc>
        <w:tc>
          <w:tcPr>
            <w:tcW w:w="240" w:type="dxa"/>
            <w:vAlign w:val="bottom"/>
            <w:tcBorders>
              <w:bottom w:val="single" w:sz="8" w:color="auto"/>
            </w:tcBorders>
            <w:shd w:val="clear" w:color="auto" w:fill="CCEEFF"/>
          </w:tcPr>
          <w:p>
            <w:pPr>
              <w:ind w:left="40"/>
              <w:spacing w:after="0" w:line="129" w:lineRule="exact"/>
              <w:rPr>
                <w:sz w:val="20"/>
                <w:szCs w:val="20"/>
                <w:color w:val="auto"/>
              </w:rPr>
            </w:pPr>
            <w:r>
              <w:rPr>
                <w:rFonts w:ascii="Arial" w:cs="Arial" w:eastAsia="Arial" w:hAnsi="Arial"/>
                <w:sz w:val="13"/>
                <w:szCs w:val="13"/>
                <w:b w:val="1"/>
                <w:bCs w:val="1"/>
                <w:color w:val="auto"/>
              </w:rPr>
              <w:t>$</w:t>
            </w:r>
          </w:p>
        </w:tc>
        <w:tc>
          <w:tcPr>
            <w:tcW w:w="2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92"/>
              </w:rPr>
              <w:t>798</w:t>
            </w:r>
          </w:p>
        </w:tc>
        <w:tc>
          <w:tcPr>
            <w:tcW w:w="10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(6,019)</w:t>
            </w:r>
          </w:p>
        </w:tc>
        <w:tc>
          <w:tcPr>
            <w:tcW w:w="200" w:type="dxa"/>
            <w:vAlign w:val="bottom"/>
            <w:tcBorders>
              <w:bottom w:val="single" w:sz="8" w:color="auto"/>
            </w:tcBorders>
            <w:shd w:val="clear" w:color="auto" w:fill="CCEEFF"/>
          </w:tcPr>
          <w:p>
            <w:pPr>
              <w:jc w:val="right"/>
              <w:ind w:right="18"/>
              <w:spacing w:after="0" w:line="129" w:lineRule="exact"/>
              <w:rPr>
                <w:sz w:val="20"/>
                <w:szCs w:val="20"/>
                <w:color w:val="auto"/>
              </w:rPr>
            </w:pPr>
            <w:r>
              <w:rPr>
                <w:rFonts w:ascii="Arial" w:cs="Arial" w:eastAsia="Arial" w:hAnsi="Arial"/>
                <w:sz w:val="13"/>
                <w:szCs w:val="13"/>
                <w:b w:val="1"/>
                <w:bCs w:val="1"/>
                <w:color w:val="auto"/>
              </w:rPr>
              <w:t>$</w:t>
            </w:r>
          </w:p>
        </w:tc>
        <w:tc>
          <w:tcPr>
            <w:tcW w:w="420" w:type="dxa"/>
            <w:vAlign w:val="bottom"/>
            <w:tcBorders>
              <w:bottom w:val="single" w:sz="8" w:color="auto"/>
            </w:tcBorders>
            <w:gridSpan w:val="2"/>
            <w:shd w:val="clear" w:color="auto" w:fill="CCEEFF"/>
          </w:tcPr>
          <w:p>
            <w:pPr>
              <w:jc w:val="right"/>
              <w:ind w:right="60"/>
              <w:spacing w:after="0" w:line="129" w:lineRule="exact"/>
              <w:rPr>
                <w:sz w:val="20"/>
                <w:szCs w:val="20"/>
                <w:color w:val="auto"/>
              </w:rPr>
            </w:pPr>
            <w:r>
              <w:rPr>
                <w:rFonts w:ascii="Arial" w:cs="Arial" w:eastAsia="Arial" w:hAnsi="Arial"/>
                <w:sz w:val="13"/>
                <w:szCs w:val="13"/>
                <w:b w:val="1"/>
                <w:bCs w:val="1"/>
                <w:color w:val="auto"/>
              </w:rPr>
              <w:t>(213)</w:t>
            </w:r>
          </w:p>
        </w:tc>
        <w:tc>
          <w:tcPr>
            <w:tcW w:w="580" w:type="dxa"/>
            <w:vAlign w:val="bottom"/>
            <w:tcBorders>
              <w:bottom w:val="single" w:sz="8" w:color="auto"/>
            </w:tcBorders>
            <w:shd w:val="clear" w:color="auto" w:fill="CCEEFF"/>
          </w:tcPr>
          <w:p>
            <w:pPr>
              <w:jc w:val="right"/>
              <w:ind w:right="18"/>
              <w:spacing w:after="0" w:line="129" w:lineRule="exact"/>
              <w:rPr>
                <w:sz w:val="20"/>
                <w:szCs w:val="20"/>
                <w:color w:val="auto"/>
              </w:rPr>
            </w:pPr>
            <w:r>
              <w:rPr>
                <w:rFonts w:ascii="Arial" w:cs="Arial" w:eastAsia="Arial" w:hAnsi="Arial"/>
                <w:sz w:val="13"/>
                <w:szCs w:val="13"/>
                <w:b w:val="1"/>
                <w:bCs w:val="1"/>
                <w:color w:val="auto"/>
              </w:rPr>
              <w:t>$ 3,110</w:t>
            </w:r>
          </w:p>
        </w:tc>
        <w:tc>
          <w:tcPr>
            <w:tcW w:w="240" w:type="dxa"/>
            <w:vAlign w:val="bottom"/>
            <w:tcBorders>
              <w:bottom w:val="single" w:sz="8" w:color="auto"/>
            </w:tcBorders>
            <w:shd w:val="clear" w:color="auto" w:fill="CCEEFF"/>
          </w:tcPr>
          <w:p>
            <w:pPr>
              <w:ind w:left="100"/>
              <w:spacing w:after="0" w:line="129" w:lineRule="exact"/>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shd w:val="clear" w:color="auto" w:fill="CCEEFF"/>
          </w:tcPr>
          <w:p>
            <w:pPr>
              <w:jc w:val="right"/>
              <w:ind w:right="18"/>
              <w:spacing w:after="0" w:line="129" w:lineRule="exact"/>
              <w:rPr>
                <w:sz w:val="20"/>
                <w:szCs w:val="20"/>
                <w:color w:val="auto"/>
              </w:rPr>
            </w:pPr>
            <w:r>
              <w:rPr>
                <w:rFonts w:ascii="Arial" w:cs="Arial" w:eastAsia="Arial" w:hAnsi="Arial"/>
                <w:sz w:val="13"/>
                <w:szCs w:val="13"/>
                <w:b w:val="1"/>
                <w:bCs w:val="1"/>
                <w:color w:val="auto"/>
              </w:rPr>
              <w:t>(443)</w:t>
            </w:r>
          </w:p>
        </w:tc>
        <w:tc>
          <w:tcPr>
            <w:tcW w:w="2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shd w:val="clear" w:color="auto" w:fill="CCEEFF"/>
          </w:tcPr>
          <w:p>
            <w:pPr>
              <w:jc w:val="right"/>
              <w:ind w:right="18"/>
              <w:spacing w:after="0" w:line="129" w:lineRule="exact"/>
              <w:rPr>
                <w:sz w:val="20"/>
                <w:szCs w:val="20"/>
                <w:color w:val="auto"/>
              </w:rPr>
            </w:pPr>
            <w:r>
              <w:rPr>
                <w:rFonts w:ascii="Arial" w:cs="Arial" w:eastAsia="Arial" w:hAnsi="Arial"/>
                <w:sz w:val="13"/>
                <w:szCs w:val="13"/>
                <w:b w:val="1"/>
                <w:bCs w:val="1"/>
                <w:color w:val="auto"/>
              </w:rPr>
              <w:t>7</w:t>
            </w:r>
          </w:p>
        </w:tc>
        <w:tc>
          <w:tcPr>
            <w:tcW w:w="2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3,259</w:t>
            </w:r>
          </w:p>
        </w:tc>
      </w:tr>
      <w:tr>
        <w:trPr>
          <w:trHeight w:val="128"/>
        </w:trPr>
        <w:tc>
          <w:tcPr>
            <w:tcW w:w="3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r>
      <w:tr>
        <w:trPr>
          <w:trHeight w:val="129"/>
        </w:trPr>
        <w:tc>
          <w:tcPr>
            <w:tcW w:w="32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Balance at July 31, 2021</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104,516</w:t>
            </w:r>
          </w:p>
        </w:tc>
        <w:tc>
          <w:tcPr>
            <w:tcW w:w="24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b w:val="1"/>
                <w:bCs w:val="1"/>
                <w:color w:val="auto"/>
              </w:rPr>
              <w:t>$</w:t>
            </w:r>
          </w:p>
        </w:tc>
        <w:tc>
          <w:tcPr>
            <w:tcW w:w="2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92"/>
              </w:rPr>
              <w:t>799</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(714)</w:t>
            </w:r>
          </w:p>
        </w:tc>
        <w:tc>
          <w:tcPr>
            <w:tcW w:w="200" w:type="dxa"/>
            <w:vAlign w:val="bottom"/>
            <w:shd w:val="clear" w:color="auto" w:fill="CCEEFF"/>
          </w:tcPr>
          <w:p>
            <w:pPr>
              <w:jc w:val="right"/>
              <w:ind w:right="18"/>
              <w:spacing w:after="0" w:line="129" w:lineRule="exact"/>
              <w:rPr>
                <w:sz w:val="20"/>
                <w:szCs w:val="20"/>
                <w:color w:val="auto"/>
              </w:rPr>
            </w:pPr>
            <w:r>
              <w:rPr>
                <w:rFonts w:ascii="Arial" w:cs="Arial" w:eastAsia="Arial" w:hAnsi="Arial"/>
                <w:sz w:val="13"/>
                <w:szCs w:val="13"/>
                <w:b w:val="1"/>
                <w:bCs w:val="1"/>
                <w:color w:val="auto"/>
              </w:rPr>
              <w:t>$</w:t>
            </w:r>
          </w:p>
        </w:tc>
        <w:tc>
          <w:tcPr>
            <w:tcW w:w="42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3"/>
                <w:szCs w:val="13"/>
                <w:b w:val="1"/>
                <w:bCs w:val="1"/>
                <w:color w:val="auto"/>
              </w:rPr>
              <w:t>(41)</w:t>
            </w:r>
          </w:p>
        </w:tc>
        <w:tc>
          <w:tcPr>
            <w:tcW w:w="580" w:type="dxa"/>
            <w:vAlign w:val="bottom"/>
            <w:shd w:val="clear" w:color="auto" w:fill="CCEEFF"/>
          </w:tcPr>
          <w:p>
            <w:pPr>
              <w:jc w:val="right"/>
              <w:ind w:right="18"/>
              <w:spacing w:after="0" w:line="129" w:lineRule="exact"/>
              <w:rPr>
                <w:sz w:val="20"/>
                <w:szCs w:val="20"/>
                <w:color w:val="auto"/>
              </w:rPr>
            </w:pPr>
            <w:r>
              <w:rPr>
                <w:rFonts w:ascii="Arial" w:cs="Arial" w:eastAsia="Arial" w:hAnsi="Arial"/>
                <w:sz w:val="13"/>
                <w:szCs w:val="13"/>
                <w:b w:val="1"/>
                <w:bCs w:val="1"/>
                <w:color w:val="auto"/>
              </w:rPr>
              <w:t>$ 2,916</w:t>
            </w:r>
          </w:p>
        </w:tc>
        <w:tc>
          <w:tcPr>
            <w:tcW w:w="240" w:type="dxa"/>
            <w:vAlign w:val="bottom"/>
            <w:shd w:val="clear" w:color="auto" w:fill="CCEEFF"/>
          </w:tcPr>
          <w:p>
            <w:pPr>
              <w:ind w:left="100"/>
              <w:spacing w:after="0" w:line="129" w:lineRule="exact"/>
              <w:rPr>
                <w:sz w:val="20"/>
                <w:szCs w:val="20"/>
                <w:color w:val="auto"/>
              </w:rPr>
            </w:pPr>
            <w:r>
              <w:rPr>
                <w:rFonts w:ascii="Arial" w:cs="Arial" w:eastAsia="Arial" w:hAnsi="Arial"/>
                <w:sz w:val="13"/>
                <w:szCs w:val="13"/>
                <w:b w:val="1"/>
                <w:bCs w:val="1"/>
                <w:color w:val="auto"/>
              </w:rPr>
              <w:t>$</w:t>
            </w:r>
          </w:p>
        </w:tc>
        <w:tc>
          <w:tcPr>
            <w:tcW w:w="760" w:type="dxa"/>
            <w:vAlign w:val="bottom"/>
            <w:shd w:val="clear" w:color="auto" w:fill="CCEEFF"/>
          </w:tcPr>
          <w:p>
            <w:pPr>
              <w:jc w:val="right"/>
              <w:ind w:right="18"/>
              <w:spacing w:after="0" w:line="129" w:lineRule="exact"/>
              <w:rPr>
                <w:sz w:val="20"/>
                <w:szCs w:val="20"/>
                <w:color w:val="auto"/>
              </w:rPr>
            </w:pPr>
            <w:r>
              <w:rPr>
                <w:rFonts w:ascii="Arial" w:cs="Arial" w:eastAsia="Arial" w:hAnsi="Arial"/>
                <w:sz w:val="13"/>
                <w:szCs w:val="13"/>
                <w:b w:val="1"/>
                <w:bCs w:val="1"/>
                <w:color w:val="auto"/>
              </w:rPr>
              <w:t>(338)</w:t>
            </w:r>
          </w:p>
        </w:tc>
        <w:tc>
          <w:tcPr>
            <w:tcW w:w="2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CCEEFF"/>
          </w:tcPr>
          <w:p>
            <w:pPr>
              <w:jc w:val="right"/>
              <w:ind w:right="18"/>
              <w:spacing w:after="0" w:line="129" w:lineRule="exact"/>
              <w:rPr>
                <w:sz w:val="20"/>
                <w:szCs w:val="20"/>
                <w:color w:val="auto"/>
              </w:rPr>
            </w:pPr>
            <w:r>
              <w:rPr>
                <w:rFonts w:ascii="Arial" w:cs="Arial" w:eastAsia="Arial" w:hAnsi="Arial"/>
                <w:sz w:val="13"/>
                <w:szCs w:val="13"/>
                <w:b w:val="1"/>
                <w:bCs w:val="1"/>
                <w:color w:val="auto"/>
              </w:rPr>
              <w:t>5</w:t>
            </w:r>
          </w:p>
        </w:tc>
        <w:tc>
          <w:tcPr>
            <w:tcW w:w="2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3,341</w:t>
            </w:r>
          </w:p>
        </w:tc>
      </w:tr>
      <w:tr>
        <w:trPr>
          <w:trHeight w:val="135"/>
        </w:trPr>
        <w:tc>
          <w:tcPr>
            <w:tcW w:w="3220" w:type="dxa"/>
            <w:vAlign w:val="bottom"/>
          </w:tcPr>
          <w:p>
            <w:pPr>
              <w:ind w:left="20"/>
              <w:spacing w:after="0" w:line="135" w:lineRule="exact"/>
              <w:rPr>
                <w:sz w:val="20"/>
                <w:szCs w:val="20"/>
                <w:color w:val="auto"/>
              </w:rPr>
            </w:pPr>
            <w:r>
              <w:rPr>
                <w:rFonts w:ascii="Arial" w:cs="Arial" w:eastAsia="Arial" w:hAnsi="Arial"/>
                <w:sz w:val="13"/>
                <w:szCs w:val="13"/>
                <w:color w:val="auto"/>
              </w:rPr>
              <w:t>Restricted stock issued</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19</w:t>
            </w:r>
          </w:p>
        </w:tc>
        <w:tc>
          <w:tcPr>
            <w:tcW w:w="240" w:type="dxa"/>
            <w:vAlign w:val="bottom"/>
          </w:tcPr>
          <w:p>
            <w:pPr>
              <w:spacing w:after="0"/>
              <w:rPr>
                <w:sz w:val="11"/>
                <w:szCs w:val="11"/>
                <w:color w:val="auto"/>
              </w:rPr>
            </w:pPr>
          </w:p>
        </w:tc>
        <w:tc>
          <w:tcPr>
            <w:tcW w:w="3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Issued under director and stock plans</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2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220" w:type="dxa"/>
            <w:vAlign w:val="bottom"/>
          </w:tcPr>
          <w:p>
            <w:pPr>
              <w:ind w:left="20"/>
              <w:spacing w:after="0" w:line="135" w:lineRule="exact"/>
              <w:rPr>
                <w:sz w:val="20"/>
                <w:szCs w:val="20"/>
                <w:color w:val="auto"/>
              </w:rPr>
            </w:pPr>
            <w:r>
              <w:rPr>
                <w:rFonts w:ascii="Arial" w:cs="Arial" w:eastAsia="Arial" w:hAnsi="Arial"/>
                <w:sz w:val="13"/>
                <w:szCs w:val="13"/>
                <w:color w:val="auto"/>
              </w:rPr>
              <w:t>Share-based compensation expense</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7</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7</w:t>
            </w:r>
          </w:p>
        </w:tc>
      </w:tr>
      <w:tr>
        <w:trPr>
          <w:trHeight w:val="117"/>
        </w:trPr>
        <w:tc>
          <w:tcPr>
            <w:tcW w:w="3220" w:type="dxa"/>
            <w:vAlign w:val="bottom"/>
            <w:shd w:val="clear" w:color="auto" w:fill="CCEEFF"/>
          </w:tcPr>
          <w:p>
            <w:pPr>
              <w:ind w:left="20"/>
              <w:spacing w:after="0" w:line="117" w:lineRule="exact"/>
              <w:rPr>
                <w:sz w:val="20"/>
                <w:szCs w:val="20"/>
                <w:color w:val="auto"/>
              </w:rPr>
            </w:pPr>
            <w:r>
              <w:rPr>
                <w:rFonts w:ascii="Arial" w:cs="Arial" w:eastAsia="Arial" w:hAnsi="Arial"/>
                <w:sz w:val="13"/>
                <w:szCs w:val="13"/>
                <w:color w:val="auto"/>
                <w:w w:val="99"/>
              </w:rPr>
              <w:t>Shares of common stock used to satisfy tax withholding</w:t>
            </w: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r>
      <w:tr>
        <w:trPr>
          <w:trHeight w:val="153"/>
        </w:trPr>
        <w:tc>
          <w:tcPr>
            <w:tcW w:w="3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obligations</w:t>
            </w: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35"/>
        </w:trPr>
        <w:tc>
          <w:tcPr>
            <w:tcW w:w="3220" w:type="dxa"/>
            <w:vAlign w:val="bottom"/>
          </w:tcPr>
          <w:p>
            <w:pPr>
              <w:ind w:left="20"/>
              <w:spacing w:after="0" w:line="135" w:lineRule="exact"/>
              <w:rPr>
                <w:sz w:val="20"/>
                <w:szCs w:val="20"/>
                <w:color w:val="auto"/>
              </w:rPr>
            </w:pPr>
            <w:r>
              <w:rPr>
                <w:rFonts w:ascii="Arial" w:cs="Arial" w:eastAsia="Arial" w:hAnsi="Arial"/>
                <w:sz w:val="13"/>
                <w:szCs w:val="13"/>
                <w:color w:val="auto"/>
              </w:rPr>
              <w:t>Share repurchases</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(2,750)</w:t>
            </w:r>
          </w:p>
        </w:tc>
        <w:tc>
          <w:tcPr>
            <w:tcW w:w="200" w:type="dxa"/>
            <w:vAlign w:val="bottom"/>
          </w:tcPr>
          <w:p>
            <w:pPr>
              <w:spacing w:after="0"/>
              <w:rPr>
                <w:sz w:val="11"/>
                <w:szCs w:val="11"/>
                <w:color w:val="auto"/>
              </w:rPr>
            </w:pPr>
          </w:p>
        </w:tc>
        <w:tc>
          <w:tcPr>
            <w:tcW w:w="4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(129)</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(129)</w:t>
            </w: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 income</w:t>
            </w: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18"/>
              <w:spacing w:after="0" w:line="135" w:lineRule="exact"/>
              <w:rPr>
                <w:sz w:val="20"/>
                <w:szCs w:val="20"/>
                <w:color w:val="auto"/>
              </w:rPr>
            </w:pPr>
            <w:r>
              <w:rPr>
                <w:rFonts w:ascii="Arial" w:cs="Arial" w:eastAsia="Arial" w:hAnsi="Arial"/>
                <w:sz w:val="13"/>
                <w:szCs w:val="13"/>
                <w:color w:val="auto"/>
              </w:rPr>
              <w:t>158</w:t>
            </w: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158</w:t>
            </w:r>
          </w:p>
        </w:tc>
      </w:tr>
      <w:tr>
        <w:trPr>
          <w:trHeight w:val="135"/>
        </w:trPr>
        <w:tc>
          <w:tcPr>
            <w:tcW w:w="3220" w:type="dxa"/>
            <w:vAlign w:val="bottom"/>
          </w:tcPr>
          <w:p>
            <w:pPr>
              <w:ind w:left="20"/>
              <w:spacing w:after="0" w:line="135" w:lineRule="exact"/>
              <w:rPr>
                <w:sz w:val="20"/>
                <w:szCs w:val="20"/>
                <w:color w:val="auto"/>
              </w:rPr>
            </w:pPr>
            <w:r>
              <w:rPr>
                <w:rFonts w:ascii="Arial" w:cs="Arial" w:eastAsia="Arial" w:hAnsi="Arial"/>
                <w:sz w:val="13"/>
                <w:szCs w:val="13"/>
                <w:color w:val="auto"/>
              </w:rPr>
              <w:t>Cash dividends on common stock ($0.30 per share)</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(30)</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(30)</w:t>
            </w: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Translation adjustment, net of tax</w:t>
            </w: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8"/>
              <w:spacing w:after="0" w:line="135" w:lineRule="exact"/>
              <w:rPr>
                <w:sz w:val="20"/>
                <w:szCs w:val="20"/>
                <w:color w:val="auto"/>
              </w:rPr>
            </w:pPr>
            <w:r>
              <w:rPr>
                <w:rFonts w:ascii="Arial" w:cs="Arial" w:eastAsia="Arial" w:hAnsi="Arial"/>
                <w:sz w:val="13"/>
                <w:szCs w:val="13"/>
                <w:color w:val="auto"/>
              </w:rPr>
              <w:t>(7)</w:t>
            </w: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r>
      <w:tr>
        <w:trPr>
          <w:trHeight w:val="135"/>
        </w:trPr>
        <w:tc>
          <w:tcPr>
            <w:tcW w:w="3220" w:type="dxa"/>
            <w:vAlign w:val="bottom"/>
          </w:tcPr>
          <w:p>
            <w:pPr>
              <w:ind w:left="20"/>
              <w:spacing w:after="0" w:line="135" w:lineRule="exact"/>
              <w:rPr>
                <w:sz w:val="20"/>
                <w:szCs w:val="20"/>
                <w:color w:val="auto"/>
              </w:rPr>
            </w:pPr>
            <w:r>
              <w:rPr>
                <w:rFonts w:ascii="Arial" w:cs="Arial" w:eastAsia="Arial" w:hAnsi="Arial"/>
                <w:sz w:val="13"/>
                <w:szCs w:val="13"/>
                <w:color w:val="auto"/>
              </w:rPr>
              <w:t>Change in hedges, net of tax</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jc w:val="right"/>
              <w:ind w:right="58"/>
              <w:spacing w:after="0" w:line="135" w:lineRule="exact"/>
              <w:rPr>
                <w:sz w:val="20"/>
                <w:szCs w:val="20"/>
                <w:color w:val="auto"/>
              </w:rPr>
            </w:pPr>
            <w:r>
              <w:rPr>
                <w:rFonts w:ascii="Arial" w:cs="Arial" w:eastAsia="Arial" w:hAnsi="Arial"/>
                <w:sz w:val="13"/>
                <w:szCs w:val="13"/>
                <w:color w:val="auto"/>
              </w:rPr>
              <w:t>1</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r>
      <w:tr>
        <w:trPr>
          <w:trHeight w:val="135"/>
        </w:trPr>
        <w:tc>
          <w:tcPr>
            <w:tcW w:w="3220" w:type="dxa"/>
            <w:vAlign w:val="bottom"/>
            <w:tcBorders>
              <w:bottom w:val="single" w:sz="8" w:color="auto"/>
            </w:tcBorders>
            <w:shd w:val="clear" w:color="auto" w:fill="CCEEFF"/>
          </w:tcPr>
          <w:p>
            <w:pPr>
              <w:ind w:left="20"/>
              <w:spacing w:after="0" w:line="135" w:lineRule="exact"/>
              <w:rPr>
                <w:sz w:val="20"/>
                <w:szCs w:val="20"/>
                <w:color w:val="auto"/>
              </w:rPr>
            </w:pPr>
            <w:r>
              <w:rPr>
                <w:rFonts w:ascii="Arial" w:cs="Arial" w:eastAsia="Arial" w:hAnsi="Arial"/>
                <w:sz w:val="13"/>
                <w:szCs w:val="13"/>
                <w:color w:val="auto"/>
              </w:rPr>
              <w:t>Pension and postretirement adjustments, net of tax</w:t>
            </w:r>
          </w:p>
        </w:tc>
        <w:tc>
          <w:tcPr>
            <w:tcW w:w="58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1</w:t>
            </w:r>
          </w:p>
        </w:tc>
        <w:tc>
          <w:tcPr>
            <w:tcW w:w="2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r>
      <w:tr>
        <w:trPr>
          <w:trHeight w:val="128"/>
        </w:trPr>
        <w:tc>
          <w:tcPr>
            <w:tcW w:w="322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3"/>
                <w:szCs w:val="13"/>
                <w:b w:val="1"/>
                <w:bCs w:val="1"/>
                <w:color w:val="auto"/>
              </w:rPr>
              <w:t>Balance at October 30, 2021</w:t>
            </w: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104,542</w:t>
            </w:r>
          </w:p>
        </w:tc>
        <w:tc>
          <w:tcPr>
            <w:tcW w:w="240" w:type="dxa"/>
            <w:vAlign w:val="bottom"/>
            <w:tcBorders>
              <w:bottom w:val="single" w:sz="8" w:color="auto"/>
            </w:tcBorders>
          </w:tcPr>
          <w:p>
            <w:pPr>
              <w:ind w:left="40"/>
              <w:spacing w:after="0" w:line="129" w:lineRule="exact"/>
              <w:rPr>
                <w:sz w:val="20"/>
                <w:szCs w:val="20"/>
                <w:color w:val="auto"/>
              </w:rPr>
            </w:pPr>
            <w:r>
              <w:rPr>
                <w:rFonts w:ascii="Arial" w:cs="Arial" w:eastAsia="Arial" w:hAnsi="Arial"/>
                <w:sz w:val="13"/>
                <w:szCs w:val="13"/>
                <w:b w:val="1"/>
                <w:bCs w:val="1"/>
                <w:color w:val="auto"/>
              </w:rPr>
              <w:t>$</w:t>
            </w:r>
          </w:p>
        </w:tc>
        <w:tc>
          <w:tcPr>
            <w:tcW w:w="2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2"/>
              </w:rPr>
              <w:t>806</w:t>
            </w: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(3,474)</w:t>
            </w:r>
          </w:p>
        </w:tc>
        <w:tc>
          <w:tcPr>
            <w:tcW w:w="200" w:type="dxa"/>
            <w:vAlign w:val="bottom"/>
            <w:tcBorders>
              <w:bottom w:val="single" w:sz="8" w:color="auto"/>
            </w:tcBorders>
          </w:tcPr>
          <w:p>
            <w:pPr>
              <w:jc w:val="right"/>
              <w:ind w:right="18"/>
              <w:spacing w:after="0" w:line="129" w:lineRule="exact"/>
              <w:rPr>
                <w:sz w:val="20"/>
                <w:szCs w:val="20"/>
                <w:color w:val="auto"/>
              </w:rPr>
            </w:pPr>
            <w:r>
              <w:rPr>
                <w:rFonts w:ascii="Arial" w:cs="Arial" w:eastAsia="Arial" w:hAnsi="Arial"/>
                <w:sz w:val="13"/>
                <w:szCs w:val="13"/>
                <w:b w:val="1"/>
                <w:bCs w:val="1"/>
                <w:color w:val="auto"/>
              </w:rPr>
              <w:t>$</w:t>
            </w:r>
          </w:p>
        </w:tc>
        <w:tc>
          <w:tcPr>
            <w:tcW w:w="420" w:type="dxa"/>
            <w:vAlign w:val="bottom"/>
            <w:tcBorders>
              <w:bottom w:val="single" w:sz="8" w:color="auto"/>
            </w:tcBorders>
            <w:gridSpan w:val="2"/>
          </w:tcPr>
          <w:p>
            <w:pPr>
              <w:jc w:val="right"/>
              <w:ind w:right="60"/>
              <w:spacing w:after="0" w:line="129" w:lineRule="exact"/>
              <w:rPr>
                <w:sz w:val="20"/>
                <w:szCs w:val="20"/>
                <w:color w:val="auto"/>
              </w:rPr>
            </w:pPr>
            <w:r>
              <w:rPr>
                <w:rFonts w:ascii="Arial" w:cs="Arial" w:eastAsia="Arial" w:hAnsi="Arial"/>
                <w:sz w:val="13"/>
                <w:szCs w:val="13"/>
                <w:b w:val="1"/>
                <w:bCs w:val="1"/>
                <w:color w:val="auto"/>
              </w:rPr>
              <w:t>(170)</w:t>
            </w:r>
          </w:p>
        </w:tc>
        <w:tc>
          <w:tcPr>
            <w:tcW w:w="580" w:type="dxa"/>
            <w:vAlign w:val="bottom"/>
            <w:tcBorders>
              <w:bottom w:val="single" w:sz="8" w:color="auto"/>
            </w:tcBorders>
          </w:tcPr>
          <w:p>
            <w:pPr>
              <w:jc w:val="right"/>
              <w:ind w:right="18"/>
              <w:spacing w:after="0" w:line="129" w:lineRule="exact"/>
              <w:rPr>
                <w:sz w:val="20"/>
                <w:szCs w:val="20"/>
                <w:color w:val="auto"/>
              </w:rPr>
            </w:pPr>
            <w:r>
              <w:rPr>
                <w:rFonts w:ascii="Arial" w:cs="Arial" w:eastAsia="Arial" w:hAnsi="Arial"/>
                <w:sz w:val="13"/>
                <w:szCs w:val="13"/>
                <w:b w:val="1"/>
                <w:bCs w:val="1"/>
                <w:color w:val="auto"/>
              </w:rPr>
              <w:t>$ 3,044</w:t>
            </w:r>
          </w:p>
        </w:tc>
        <w:tc>
          <w:tcPr>
            <w:tcW w:w="240" w:type="dxa"/>
            <w:vAlign w:val="bottom"/>
            <w:tcBorders>
              <w:bottom w:val="single" w:sz="8" w:color="auto"/>
            </w:tcBorders>
          </w:tcPr>
          <w:p>
            <w:pPr>
              <w:ind w:left="100"/>
              <w:spacing w:after="0" w:line="129" w:lineRule="exact"/>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right"/>
              <w:ind w:right="18"/>
              <w:spacing w:after="0" w:line="129" w:lineRule="exact"/>
              <w:rPr>
                <w:sz w:val="20"/>
                <w:szCs w:val="20"/>
                <w:color w:val="auto"/>
              </w:rPr>
            </w:pPr>
            <w:r>
              <w:rPr>
                <w:rFonts w:ascii="Arial" w:cs="Arial" w:eastAsia="Arial" w:hAnsi="Arial"/>
                <w:sz w:val="13"/>
                <w:szCs w:val="13"/>
                <w:b w:val="1"/>
                <w:bCs w:val="1"/>
                <w:color w:val="auto"/>
              </w:rPr>
              <w:t>(343)</w:t>
            </w:r>
          </w:p>
        </w:tc>
        <w:tc>
          <w:tcPr>
            <w:tcW w:w="2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tcPr>
          <w:p>
            <w:pPr>
              <w:jc w:val="right"/>
              <w:ind w:right="18"/>
              <w:spacing w:after="0" w:line="129" w:lineRule="exact"/>
              <w:rPr>
                <w:sz w:val="20"/>
                <w:szCs w:val="20"/>
                <w:color w:val="auto"/>
              </w:rPr>
            </w:pPr>
            <w:r>
              <w:rPr>
                <w:rFonts w:ascii="Arial" w:cs="Arial" w:eastAsia="Arial" w:hAnsi="Arial"/>
                <w:sz w:val="13"/>
                <w:szCs w:val="13"/>
                <w:b w:val="1"/>
                <w:bCs w:val="1"/>
                <w:color w:val="auto"/>
              </w:rPr>
              <w:t>5</w:t>
            </w:r>
          </w:p>
        </w:tc>
        <w:tc>
          <w:tcPr>
            <w:tcW w:w="2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3,342</w:t>
            </w:r>
          </w:p>
        </w:tc>
      </w:tr>
      <w:tr>
        <w:trPr>
          <w:trHeight w:val="267"/>
        </w:trPr>
        <w:tc>
          <w:tcPr>
            <w:tcW w:w="3220" w:type="dxa"/>
            <w:vAlign w:val="bottom"/>
          </w:tcPr>
          <w:p>
            <w:pPr>
              <w:spacing w:after="0"/>
              <w:rPr>
                <w:sz w:val="23"/>
                <w:szCs w:val="23"/>
                <w:color w:val="auto"/>
              </w:rPr>
            </w:pPr>
          </w:p>
        </w:tc>
        <w:tc>
          <w:tcPr>
            <w:tcW w:w="118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w w:val="97"/>
              </w:rPr>
              <w:t>Additional Paid-In</w:t>
            </w: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gridSpan w:val="2"/>
          </w:tcPr>
          <w:p>
            <w:pPr>
              <w:ind w:left="120"/>
              <w:spacing w:after="0"/>
              <w:rPr>
                <w:sz w:val="20"/>
                <w:szCs w:val="20"/>
                <w:color w:val="auto"/>
              </w:rPr>
            </w:pPr>
            <w:r>
              <w:rPr>
                <w:rFonts w:ascii="Arial" w:cs="Arial" w:eastAsia="Arial" w:hAnsi="Arial"/>
                <w:sz w:val="12"/>
                <w:szCs w:val="12"/>
                <w:b w:val="1"/>
                <w:bCs w:val="1"/>
                <w:color w:val="auto"/>
              </w:rPr>
              <w:t>Accumulated</w:t>
            </w: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135"/>
        </w:trPr>
        <w:tc>
          <w:tcPr>
            <w:tcW w:w="3220" w:type="dxa"/>
            <w:vAlign w:val="bottom"/>
          </w:tcPr>
          <w:p>
            <w:pPr>
              <w:spacing w:after="0"/>
              <w:rPr>
                <w:sz w:val="11"/>
                <w:szCs w:val="11"/>
                <w:color w:val="auto"/>
              </w:rPr>
            </w:pPr>
          </w:p>
        </w:tc>
        <w:tc>
          <w:tcPr>
            <w:tcW w:w="820" w:type="dxa"/>
            <w:vAlign w:val="bottom"/>
            <w:gridSpan w:val="2"/>
          </w:tcPr>
          <w:p>
            <w:pPr>
              <w:jc w:val="center"/>
              <w:ind w:left="219"/>
              <w:spacing w:after="0" w:line="135" w:lineRule="exact"/>
              <w:rPr>
                <w:sz w:val="20"/>
                <w:szCs w:val="20"/>
                <w:color w:val="auto"/>
              </w:rPr>
            </w:pPr>
            <w:r>
              <w:rPr>
                <w:rFonts w:ascii="Arial" w:cs="Arial" w:eastAsia="Arial" w:hAnsi="Arial"/>
                <w:sz w:val="12"/>
                <w:szCs w:val="12"/>
                <w:b w:val="1"/>
                <w:bCs w:val="1"/>
                <w:color w:val="auto"/>
                <w:w w:val="96"/>
              </w:rPr>
              <w:t>Capital &amp;</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jc w:val="center"/>
              <w:ind w:right="218"/>
              <w:spacing w:after="0" w:line="135" w:lineRule="exact"/>
              <w:rPr>
                <w:sz w:val="20"/>
                <w:szCs w:val="20"/>
                <w:color w:val="auto"/>
              </w:rPr>
            </w:pPr>
            <w:r>
              <w:rPr>
                <w:rFonts w:ascii="Arial" w:cs="Arial" w:eastAsia="Arial" w:hAnsi="Arial"/>
                <w:sz w:val="12"/>
                <w:szCs w:val="12"/>
                <w:b w:val="1"/>
                <w:bCs w:val="1"/>
                <w:color w:val="auto"/>
                <w:w w:val="99"/>
              </w:rPr>
              <w:t>Other</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center"/>
              <w:ind w:right="97"/>
              <w:spacing w:after="0" w:line="135" w:lineRule="exact"/>
              <w:rPr>
                <w:sz w:val="20"/>
                <w:szCs w:val="20"/>
                <w:color w:val="auto"/>
              </w:rPr>
            </w:pPr>
            <w:r>
              <w:rPr>
                <w:rFonts w:ascii="Arial" w:cs="Arial" w:eastAsia="Arial" w:hAnsi="Arial"/>
                <w:sz w:val="12"/>
                <w:szCs w:val="12"/>
                <w:b w:val="1"/>
                <w:bCs w:val="1"/>
                <w:color w:val="auto"/>
                <w:w w:val="90"/>
              </w:rPr>
              <w:t>Total</w:t>
            </w:r>
          </w:p>
        </w:tc>
      </w:tr>
      <w:tr>
        <w:trPr>
          <w:trHeight w:val="145"/>
        </w:trPr>
        <w:tc>
          <w:tcPr>
            <w:tcW w:w="3220" w:type="dxa"/>
            <w:vAlign w:val="bottom"/>
          </w:tcPr>
          <w:p>
            <w:pPr>
              <w:ind w:left="20"/>
              <w:spacing w:after="0"/>
              <w:rPr>
                <w:sz w:val="20"/>
                <w:szCs w:val="20"/>
                <w:color w:val="auto"/>
              </w:rPr>
            </w:pPr>
            <w:r>
              <w:rPr>
                <w:rFonts w:ascii="Arial" w:cs="Arial" w:eastAsia="Arial" w:hAnsi="Arial"/>
                <w:sz w:val="12"/>
                <w:szCs w:val="12"/>
                <w:color w:val="auto"/>
              </w:rPr>
              <w:t>Thirty-nine weeks ended</w:t>
            </w:r>
          </w:p>
        </w:tc>
        <w:tc>
          <w:tcPr>
            <w:tcW w:w="118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w w:val="97"/>
              </w:rPr>
              <w:t>Common Stock</w:t>
            </w:r>
          </w:p>
        </w:tc>
        <w:tc>
          <w:tcPr>
            <w:tcW w:w="1140" w:type="dxa"/>
            <w:vAlign w:val="bottom"/>
            <w:gridSpan w:val="4"/>
          </w:tcPr>
          <w:p>
            <w:pPr>
              <w:ind w:left="120"/>
              <w:spacing w:after="0"/>
              <w:rPr>
                <w:sz w:val="20"/>
                <w:szCs w:val="20"/>
                <w:color w:val="auto"/>
              </w:rPr>
            </w:pPr>
            <w:r>
              <w:rPr>
                <w:rFonts w:ascii="Arial" w:cs="Arial" w:eastAsia="Arial" w:hAnsi="Arial"/>
                <w:sz w:val="12"/>
                <w:szCs w:val="12"/>
                <w:b w:val="1"/>
                <w:bCs w:val="1"/>
                <w:color w:val="auto"/>
              </w:rPr>
              <w:t>Treasury Stock</w:t>
            </w:r>
          </w:p>
        </w:tc>
        <w:tc>
          <w:tcPr>
            <w:tcW w:w="580" w:type="dxa"/>
            <w:vAlign w:val="bottom"/>
          </w:tcPr>
          <w:p>
            <w:pPr>
              <w:jc w:val="right"/>
              <w:spacing w:after="0"/>
              <w:rPr>
                <w:sz w:val="20"/>
                <w:szCs w:val="20"/>
                <w:color w:val="auto"/>
              </w:rPr>
            </w:pPr>
            <w:r>
              <w:rPr>
                <w:rFonts w:ascii="Arial" w:cs="Arial" w:eastAsia="Arial" w:hAnsi="Arial"/>
                <w:sz w:val="12"/>
                <w:szCs w:val="12"/>
                <w:b w:val="1"/>
                <w:bCs w:val="1"/>
                <w:color w:val="auto"/>
              </w:rPr>
              <w:t>Retained</w:t>
            </w:r>
          </w:p>
        </w:tc>
        <w:tc>
          <w:tcPr>
            <w:tcW w:w="10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Comprehensive</w:t>
            </w:r>
          </w:p>
        </w:tc>
        <w:tc>
          <w:tcPr>
            <w:tcW w:w="9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8"/>
              </w:rPr>
              <w:t>Noncontrolling</w:t>
            </w:r>
          </w:p>
        </w:tc>
        <w:tc>
          <w:tcPr>
            <w:tcW w:w="8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Shareholders'</w:t>
            </w:r>
          </w:p>
        </w:tc>
      </w:tr>
      <w:tr>
        <w:trPr>
          <w:trHeight w:val="128"/>
        </w:trPr>
        <w:tc>
          <w:tcPr>
            <w:tcW w:w="322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2"/>
                <w:szCs w:val="12"/>
                <w:color w:val="auto"/>
              </w:rPr>
              <w:t>(shares in thousands, amounts in millions)</w:t>
            </w:r>
          </w:p>
        </w:tc>
        <w:tc>
          <w:tcPr>
            <w:tcW w:w="580" w:type="dxa"/>
            <w:vAlign w:val="bottom"/>
            <w:tcBorders>
              <w:top w:val="single" w:sz="8" w:color="auto"/>
              <w:bottom w:val="single" w:sz="8" w:color="auto"/>
            </w:tcBorders>
          </w:tcPr>
          <w:p>
            <w:pPr>
              <w:jc w:val="right"/>
              <w:ind w:right="39"/>
              <w:spacing w:after="0" w:line="129" w:lineRule="exact"/>
              <w:rPr>
                <w:sz w:val="20"/>
                <w:szCs w:val="20"/>
                <w:color w:val="auto"/>
              </w:rPr>
            </w:pPr>
            <w:r>
              <w:rPr>
                <w:rFonts w:ascii="Arial" w:cs="Arial" w:eastAsia="Arial" w:hAnsi="Arial"/>
                <w:sz w:val="12"/>
                <w:szCs w:val="12"/>
                <w:b w:val="1"/>
                <w:bCs w:val="1"/>
                <w:color w:val="auto"/>
              </w:rPr>
              <w:t>Shares</w:t>
            </w:r>
          </w:p>
        </w:tc>
        <w:tc>
          <w:tcPr>
            <w:tcW w:w="500" w:type="dxa"/>
            <w:vAlign w:val="bottom"/>
            <w:tcBorders>
              <w:top w:val="single" w:sz="8" w:color="auto"/>
              <w:bottom w:val="single" w:sz="8" w:color="auto"/>
            </w:tcBorders>
            <w:gridSpan w:val="2"/>
          </w:tcPr>
          <w:p>
            <w:pPr>
              <w:ind w:left="40"/>
              <w:spacing w:after="0" w:line="129" w:lineRule="exact"/>
              <w:rPr>
                <w:sz w:val="20"/>
                <w:szCs w:val="20"/>
                <w:color w:val="auto"/>
              </w:rPr>
            </w:pPr>
            <w:r>
              <w:rPr>
                <w:rFonts w:ascii="Arial" w:cs="Arial" w:eastAsia="Arial" w:hAnsi="Arial"/>
                <w:sz w:val="12"/>
                <w:szCs w:val="12"/>
                <w:b w:val="1"/>
                <w:bCs w:val="1"/>
                <w:color w:val="auto"/>
                <w:w w:val="96"/>
              </w:rPr>
              <w:t>Amount</w:t>
            </w:r>
          </w:p>
        </w:tc>
        <w:tc>
          <w:tcPr>
            <w:tcW w:w="100" w:type="dxa"/>
            <w:vAlign w:val="bottom"/>
            <w:tcBorders>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38"/>
              <w:spacing w:after="0" w:line="129" w:lineRule="exact"/>
              <w:rPr>
                <w:sz w:val="20"/>
                <w:szCs w:val="20"/>
                <w:color w:val="auto"/>
              </w:rPr>
            </w:pPr>
            <w:r>
              <w:rPr>
                <w:rFonts w:ascii="Arial" w:cs="Arial" w:eastAsia="Arial" w:hAnsi="Arial"/>
                <w:sz w:val="12"/>
                <w:szCs w:val="12"/>
                <w:b w:val="1"/>
                <w:bCs w:val="1"/>
                <w:color w:val="auto"/>
                <w:w w:val="99"/>
              </w:rPr>
              <w:t>Shares</w:t>
            </w:r>
          </w:p>
        </w:tc>
        <w:tc>
          <w:tcPr>
            <w:tcW w:w="56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2"/>
                <w:szCs w:val="12"/>
                <w:b w:val="1"/>
                <w:bCs w:val="1"/>
                <w:color w:val="auto"/>
              </w:rPr>
              <w:t>Amount</w:t>
            </w: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rPr>
              <w:t>Earnings</w:t>
            </w:r>
          </w:p>
        </w:tc>
        <w:tc>
          <w:tcPr>
            <w:tcW w:w="2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218"/>
              <w:spacing w:after="0" w:line="129" w:lineRule="exact"/>
              <w:rPr>
                <w:sz w:val="20"/>
                <w:szCs w:val="20"/>
                <w:color w:val="auto"/>
              </w:rPr>
            </w:pPr>
            <w:r>
              <w:rPr>
                <w:rFonts w:ascii="Arial" w:cs="Arial" w:eastAsia="Arial" w:hAnsi="Arial"/>
                <w:sz w:val="12"/>
                <w:szCs w:val="12"/>
                <w:b w:val="1"/>
                <w:bCs w:val="1"/>
                <w:color w:val="auto"/>
                <w:w w:val="99"/>
              </w:rPr>
              <w:t>Loss</w:t>
            </w:r>
          </w:p>
        </w:tc>
        <w:tc>
          <w:tcPr>
            <w:tcW w:w="2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158"/>
              <w:spacing w:after="0" w:line="129" w:lineRule="exact"/>
              <w:rPr>
                <w:sz w:val="20"/>
                <w:szCs w:val="20"/>
                <w:color w:val="auto"/>
              </w:rPr>
            </w:pPr>
            <w:r>
              <w:rPr>
                <w:rFonts w:ascii="Arial" w:cs="Arial" w:eastAsia="Arial" w:hAnsi="Arial"/>
                <w:sz w:val="12"/>
                <w:szCs w:val="12"/>
                <w:b w:val="1"/>
                <w:bCs w:val="1"/>
                <w:color w:val="auto"/>
                <w:w w:val="95"/>
              </w:rPr>
              <w:t>interests</w:t>
            </w:r>
          </w:p>
        </w:tc>
        <w:tc>
          <w:tcPr>
            <w:tcW w:w="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97"/>
              <w:spacing w:after="0" w:line="129" w:lineRule="exact"/>
              <w:rPr>
                <w:sz w:val="20"/>
                <w:szCs w:val="20"/>
                <w:color w:val="auto"/>
              </w:rPr>
            </w:pPr>
            <w:r>
              <w:rPr>
                <w:rFonts w:ascii="Arial" w:cs="Arial" w:eastAsia="Arial" w:hAnsi="Arial"/>
                <w:sz w:val="12"/>
                <w:szCs w:val="12"/>
                <w:b w:val="1"/>
                <w:bCs w:val="1"/>
                <w:color w:val="auto"/>
                <w:w w:val="92"/>
              </w:rPr>
              <w:t>Equity</w:t>
            </w:r>
          </w:p>
        </w:tc>
      </w:tr>
      <w:tr>
        <w:trPr>
          <w:trHeight w:val="129"/>
        </w:trPr>
        <w:tc>
          <w:tcPr>
            <w:tcW w:w="32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Balance at January 29, 2022</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99,071</w:t>
            </w:r>
          </w:p>
        </w:tc>
        <w:tc>
          <w:tcPr>
            <w:tcW w:w="24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b w:val="1"/>
                <w:bCs w:val="1"/>
                <w:color w:val="auto"/>
              </w:rPr>
              <w:t>$</w:t>
            </w:r>
          </w:p>
        </w:tc>
        <w:tc>
          <w:tcPr>
            <w:tcW w:w="2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92"/>
              </w:rPr>
              <w:t>770</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(2,050)</w:t>
            </w:r>
          </w:p>
        </w:tc>
        <w:tc>
          <w:tcPr>
            <w:tcW w:w="200" w:type="dxa"/>
            <w:vAlign w:val="bottom"/>
            <w:shd w:val="clear" w:color="auto" w:fill="CCEEFF"/>
          </w:tcPr>
          <w:p>
            <w:pPr>
              <w:jc w:val="right"/>
              <w:ind w:right="18"/>
              <w:spacing w:after="0" w:line="129" w:lineRule="exact"/>
              <w:rPr>
                <w:sz w:val="20"/>
                <w:szCs w:val="20"/>
                <w:color w:val="auto"/>
              </w:rPr>
            </w:pPr>
            <w:r>
              <w:rPr>
                <w:rFonts w:ascii="Arial" w:cs="Arial" w:eastAsia="Arial" w:hAnsi="Arial"/>
                <w:sz w:val="13"/>
                <w:szCs w:val="13"/>
                <w:b w:val="1"/>
                <w:bCs w:val="1"/>
                <w:color w:val="auto"/>
              </w:rPr>
              <w:t>$</w:t>
            </w:r>
          </w:p>
        </w:tc>
        <w:tc>
          <w:tcPr>
            <w:tcW w:w="42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3"/>
                <w:szCs w:val="13"/>
                <w:b w:val="1"/>
                <w:bCs w:val="1"/>
                <w:color w:val="auto"/>
              </w:rPr>
              <w:t>(88)</w:t>
            </w:r>
          </w:p>
        </w:tc>
        <w:tc>
          <w:tcPr>
            <w:tcW w:w="580" w:type="dxa"/>
            <w:vAlign w:val="bottom"/>
            <w:shd w:val="clear" w:color="auto" w:fill="CCEEFF"/>
          </w:tcPr>
          <w:p>
            <w:pPr>
              <w:jc w:val="right"/>
              <w:ind w:right="18"/>
              <w:spacing w:after="0" w:line="129" w:lineRule="exact"/>
              <w:rPr>
                <w:sz w:val="20"/>
                <w:szCs w:val="20"/>
                <w:color w:val="auto"/>
              </w:rPr>
            </w:pPr>
            <w:r>
              <w:rPr>
                <w:rFonts w:ascii="Arial" w:cs="Arial" w:eastAsia="Arial" w:hAnsi="Arial"/>
                <w:sz w:val="13"/>
                <w:szCs w:val="13"/>
                <w:b w:val="1"/>
                <w:bCs w:val="1"/>
                <w:color w:val="auto"/>
              </w:rPr>
              <w:t>$ 2,900</w:t>
            </w:r>
          </w:p>
        </w:tc>
        <w:tc>
          <w:tcPr>
            <w:tcW w:w="240" w:type="dxa"/>
            <w:vAlign w:val="bottom"/>
            <w:shd w:val="clear" w:color="auto" w:fill="CCEEFF"/>
          </w:tcPr>
          <w:p>
            <w:pPr>
              <w:ind w:left="100"/>
              <w:spacing w:after="0" w:line="129" w:lineRule="exact"/>
              <w:rPr>
                <w:sz w:val="20"/>
                <w:szCs w:val="20"/>
                <w:color w:val="auto"/>
              </w:rPr>
            </w:pPr>
            <w:r>
              <w:rPr>
                <w:rFonts w:ascii="Arial" w:cs="Arial" w:eastAsia="Arial" w:hAnsi="Arial"/>
                <w:sz w:val="13"/>
                <w:szCs w:val="13"/>
                <w:b w:val="1"/>
                <w:bCs w:val="1"/>
                <w:color w:val="auto"/>
              </w:rPr>
              <w:t>$</w:t>
            </w:r>
          </w:p>
        </w:tc>
        <w:tc>
          <w:tcPr>
            <w:tcW w:w="760" w:type="dxa"/>
            <w:vAlign w:val="bottom"/>
            <w:shd w:val="clear" w:color="auto" w:fill="CCEEFF"/>
          </w:tcPr>
          <w:p>
            <w:pPr>
              <w:jc w:val="right"/>
              <w:ind w:right="18"/>
              <w:spacing w:after="0" w:line="129" w:lineRule="exact"/>
              <w:rPr>
                <w:sz w:val="20"/>
                <w:szCs w:val="20"/>
                <w:color w:val="auto"/>
              </w:rPr>
            </w:pPr>
            <w:r>
              <w:rPr>
                <w:rFonts w:ascii="Arial" w:cs="Arial" w:eastAsia="Arial" w:hAnsi="Arial"/>
                <w:sz w:val="13"/>
                <w:szCs w:val="13"/>
                <w:b w:val="1"/>
                <w:bCs w:val="1"/>
                <w:color w:val="auto"/>
              </w:rPr>
              <w:t>(343)</w:t>
            </w:r>
          </w:p>
        </w:tc>
        <w:tc>
          <w:tcPr>
            <w:tcW w:w="2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CCEEFF"/>
          </w:tcPr>
          <w:p>
            <w:pPr>
              <w:jc w:val="right"/>
              <w:ind w:right="18"/>
              <w:spacing w:after="0" w:line="129" w:lineRule="exact"/>
              <w:rPr>
                <w:sz w:val="20"/>
                <w:szCs w:val="20"/>
                <w:color w:val="auto"/>
              </w:rPr>
            </w:pPr>
            <w:r>
              <w:rPr>
                <w:rFonts w:ascii="Arial" w:cs="Arial" w:eastAsia="Arial" w:hAnsi="Arial"/>
                <w:sz w:val="13"/>
                <w:szCs w:val="13"/>
                <w:b w:val="1"/>
                <w:bCs w:val="1"/>
                <w:color w:val="auto"/>
              </w:rPr>
              <w:t>4</w:t>
            </w:r>
          </w:p>
        </w:tc>
        <w:tc>
          <w:tcPr>
            <w:tcW w:w="2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3,243</w:t>
            </w:r>
          </w:p>
        </w:tc>
      </w:tr>
      <w:tr>
        <w:trPr>
          <w:trHeight w:val="135"/>
        </w:trPr>
        <w:tc>
          <w:tcPr>
            <w:tcW w:w="3220" w:type="dxa"/>
            <w:vAlign w:val="bottom"/>
          </w:tcPr>
          <w:p>
            <w:pPr>
              <w:ind w:left="20"/>
              <w:spacing w:after="0" w:line="135" w:lineRule="exact"/>
              <w:rPr>
                <w:sz w:val="20"/>
                <w:szCs w:val="20"/>
                <w:color w:val="auto"/>
              </w:rPr>
            </w:pPr>
            <w:r>
              <w:rPr>
                <w:rFonts w:ascii="Arial" w:cs="Arial" w:eastAsia="Arial" w:hAnsi="Arial"/>
                <w:sz w:val="13"/>
                <w:szCs w:val="13"/>
                <w:color w:val="auto"/>
              </w:rPr>
              <w:t>Restricted stock issued</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113</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Issued under director and stock plans</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155</w:t>
            </w: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r>
      <w:tr>
        <w:trPr>
          <w:trHeight w:val="135"/>
        </w:trPr>
        <w:tc>
          <w:tcPr>
            <w:tcW w:w="3220" w:type="dxa"/>
            <w:vAlign w:val="bottom"/>
          </w:tcPr>
          <w:p>
            <w:pPr>
              <w:ind w:left="20"/>
              <w:spacing w:after="0" w:line="135" w:lineRule="exact"/>
              <w:rPr>
                <w:sz w:val="20"/>
                <w:szCs w:val="20"/>
                <w:color w:val="auto"/>
              </w:rPr>
            </w:pPr>
            <w:r>
              <w:rPr>
                <w:rFonts w:ascii="Arial" w:cs="Arial" w:eastAsia="Arial" w:hAnsi="Arial"/>
                <w:sz w:val="13"/>
                <w:szCs w:val="13"/>
                <w:color w:val="auto"/>
              </w:rPr>
              <w:t>Share-based compensation expense</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25</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25</w:t>
            </w:r>
          </w:p>
        </w:tc>
      </w:tr>
      <w:tr>
        <w:trPr>
          <w:trHeight w:val="117"/>
        </w:trPr>
        <w:tc>
          <w:tcPr>
            <w:tcW w:w="3220" w:type="dxa"/>
            <w:vAlign w:val="bottom"/>
            <w:shd w:val="clear" w:color="auto" w:fill="CCEEFF"/>
          </w:tcPr>
          <w:p>
            <w:pPr>
              <w:ind w:left="20"/>
              <w:spacing w:after="0" w:line="117" w:lineRule="exact"/>
              <w:rPr>
                <w:sz w:val="20"/>
                <w:szCs w:val="20"/>
                <w:color w:val="auto"/>
              </w:rPr>
            </w:pPr>
            <w:r>
              <w:rPr>
                <w:rFonts w:ascii="Arial" w:cs="Arial" w:eastAsia="Arial" w:hAnsi="Arial"/>
                <w:sz w:val="13"/>
                <w:szCs w:val="13"/>
                <w:color w:val="auto"/>
                <w:w w:val="99"/>
              </w:rPr>
              <w:t>Shares of common stock used to satisfy tax withholding</w:t>
            </w: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r>
      <w:tr>
        <w:trPr>
          <w:trHeight w:val="153"/>
        </w:trPr>
        <w:tc>
          <w:tcPr>
            <w:tcW w:w="3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obligations</w:t>
            </w: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2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w:t>
            </w: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35"/>
        </w:trPr>
        <w:tc>
          <w:tcPr>
            <w:tcW w:w="3220" w:type="dxa"/>
            <w:vAlign w:val="bottom"/>
          </w:tcPr>
          <w:p>
            <w:pPr>
              <w:ind w:left="20"/>
              <w:spacing w:after="0" w:line="135" w:lineRule="exact"/>
              <w:rPr>
                <w:sz w:val="20"/>
                <w:szCs w:val="20"/>
                <w:color w:val="auto"/>
              </w:rPr>
            </w:pPr>
            <w:r>
              <w:rPr>
                <w:rFonts w:ascii="Arial" w:cs="Arial" w:eastAsia="Arial" w:hAnsi="Arial"/>
                <w:sz w:val="13"/>
                <w:szCs w:val="13"/>
                <w:color w:val="auto"/>
              </w:rPr>
              <w:t>Share repurchases</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(4,050)</w:t>
            </w:r>
          </w:p>
        </w:tc>
        <w:tc>
          <w:tcPr>
            <w:tcW w:w="200" w:type="dxa"/>
            <w:vAlign w:val="bottom"/>
          </w:tcPr>
          <w:p>
            <w:pPr>
              <w:spacing w:after="0"/>
              <w:rPr>
                <w:sz w:val="11"/>
                <w:szCs w:val="11"/>
                <w:color w:val="auto"/>
              </w:rPr>
            </w:pPr>
          </w:p>
        </w:tc>
        <w:tc>
          <w:tcPr>
            <w:tcW w:w="4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(129)</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(129)</w:t>
            </w: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Reissued for Employee Stock Purchase Plan ("ESPP")</w:t>
            </w: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w:t>
            </w:r>
          </w:p>
        </w:tc>
        <w:tc>
          <w:tcPr>
            <w:tcW w:w="520" w:type="dxa"/>
            <w:vAlign w:val="bottom"/>
            <w:shd w:val="clear" w:color="auto" w:fill="CCEEFF"/>
          </w:tcPr>
          <w:p>
            <w:pPr>
              <w:jc w:val="right"/>
              <w:ind w:right="38"/>
              <w:spacing w:after="0" w:line="135" w:lineRule="exact"/>
              <w:rPr>
                <w:sz w:val="20"/>
                <w:szCs w:val="20"/>
                <w:color w:val="auto"/>
              </w:rPr>
            </w:pPr>
            <w:r>
              <w:rPr>
                <w:rFonts w:ascii="Arial" w:cs="Arial" w:eastAsia="Arial" w:hAnsi="Arial"/>
                <w:sz w:val="13"/>
                <w:szCs w:val="13"/>
                <w:color w:val="auto"/>
              </w:rPr>
              <w:t>120</w:t>
            </w: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r>
      <w:tr>
        <w:trPr>
          <w:trHeight w:val="135"/>
        </w:trPr>
        <w:tc>
          <w:tcPr>
            <w:tcW w:w="3220" w:type="dxa"/>
            <w:vAlign w:val="bottom"/>
          </w:tcPr>
          <w:p>
            <w:pPr>
              <w:ind w:left="20"/>
              <w:spacing w:after="0" w:line="135" w:lineRule="exact"/>
              <w:rPr>
                <w:sz w:val="20"/>
                <w:szCs w:val="20"/>
                <w:color w:val="auto"/>
              </w:rPr>
            </w:pPr>
            <w:r>
              <w:rPr>
                <w:rFonts w:ascii="Arial" w:cs="Arial" w:eastAsia="Arial" w:hAnsi="Arial"/>
                <w:sz w:val="13"/>
                <w:szCs w:val="13"/>
                <w:color w:val="auto"/>
              </w:rPr>
              <w:t>Noncontrolling interest capital contribution</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jc w:val="right"/>
              <w:ind w:right="18"/>
              <w:spacing w:after="0" w:line="135" w:lineRule="exact"/>
              <w:rPr>
                <w:sz w:val="20"/>
                <w:szCs w:val="20"/>
                <w:color w:val="auto"/>
              </w:rPr>
            </w:pPr>
            <w:r>
              <w:rPr>
                <w:rFonts w:ascii="Arial" w:cs="Arial" w:eastAsia="Arial" w:hAnsi="Arial"/>
                <w:sz w:val="13"/>
                <w:szCs w:val="13"/>
                <w:color w:val="auto"/>
              </w:rPr>
              <w:t>4</w:t>
            </w:r>
          </w:p>
        </w:tc>
        <w:tc>
          <w:tcPr>
            <w:tcW w:w="2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 income</w:t>
            </w: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18"/>
              <w:spacing w:after="0" w:line="135" w:lineRule="exact"/>
              <w:rPr>
                <w:sz w:val="20"/>
                <w:szCs w:val="20"/>
                <w:color w:val="auto"/>
              </w:rPr>
            </w:pPr>
            <w:r>
              <w:rPr>
                <w:rFonts w:ascii="Arial" w:cs="Arial" w:eastAsia="Arial" w:hAnsi="Arial"/>
                <w:sz w:val="13"/>
                <w:szCs w:val="13"/>
                <w:color w:val="auto"/>
              </w:rPr>
              <w:t>323</w:t>
            </w: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322</w:t>
            </w:r>
          </w:p>
        </w:tc>
      </w:tr>
      <w:tr>
        <w:trPr>
          <w:trHeight w:val="135"/>
        </w:trPr>
        <w:tc>
          <w:tcPr>
            <w:tcW w:w="3220" w:type="dxa"/>
            <w:vAlign w:val="bottom"/>
          </w:tcPr>
          <w:p>
            <w:pPr>
              <w:ind w:left="20"/>
              <w:spacing w:after="0" w:line="135" w:lineRule="exact"/>
              <w:rPr>
                <w:sz w:val="20"/>
                <w:szCs w:val="20"/>
                <w:color w:val="auto"/>
              </w:rPr>
            </w:pPr>
            <w:r>
              <w:rPr>
                <w:rFonts w:ascii="Arial" w:cs="Arial" w:eastAsia="Arial" w:hAnsi="Arial"/>
                <w:sz w:val="13"/>
                <w:szCs w:val="13"/>
                <w:color w:val="auto"/>
              </w:rPr>
              <w:t>Cash dividends on common stock ($1.20 per share)</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(113)</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(113)</w:t>
            </w: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Translation adjustment, net of tax</w:t>
            </w: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8"/>
              <w:spacing w:after="0" w:line="135" w:lineRule="exact"/>
              <w:rPr>
                <w:sz w:val="20"/>
                <w:szCs w:val="20"/>
                <w:color w:val="auto"/>
              </w:rPr>
            </w:pPr>
            <w:r>
              <w:rPr>
                <w:rFonts w:ascii="Arial" w:cs="Arial" w:eastAsia="Arial" w:hAnsi="Arial"/>
                <w:sz w:val="13"/>
                <w:szCs w:val="13"/>
                <w:color w:val="auto"/>
              </w:rPr>
              <w:t>(104)</w:t>
            </w: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(104)</w:t>
            </w:r>
          </w:p>
        </w:tc>
      </w:tr>
      <w:tr>
        <w:trPr>
          <w:trHeight w:val="135"/>
        </w:trPr>
        <w:tc>
          <w:tcPr>
            <w:tcW w:w="3220" w:type="dxa"/>
            <w:vAlign w:val="bottom"/>
          </w:tcPr>
          <w:p>
            <w:pPr>
              <w:ind w:left="20"/>
              <w:spacing w:after="0" w:line="135" w:lineRule="exact"/>
              <w:rPr>
                <w:sz w:val="20"/>
                <w:szCs w:val="20"/>
                <w:color w:val="auto"/>
              </w:rPr>
            </w:pPr>
            <w:r>
              <w:rPr>
                <w:rFonts w:ascii="Arial" w:cs="Arial" w:eastAsia="Arial" w:hAnsi="Arial"/>
                <w:sz w:val="13"/>
                <w:szCs w:val="13"/>
                <w:color w:val="auto"/>
              </w:rPr>
              <w:t>Change in hedges, net of tax</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jc w:val="right"/>
              <w:ind w:right="18"/>
              <w:spacing w:after="0" w:line="135" w:lineRule="exact"/>
              <w:rPr>
                <w:sz w:val="20"/>
                <w:szCs w:val="20"/>
                <w:color w:val="auto"/>
              </w:rPr>
            </w:pPr>
            <w:r>
              <w:rPr>
                <w:rFonts w:ascii="Arial" w:cs="Arial" w:eastAsia="Arial" w:hAnsi="Arial"/>
                <w:sz w:val="13"/>
                <w:szCs w:val="13"/>
                <w:color w:val="auto"/>
              </w:rPr>
              <w:t>(3)</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r>
      <w:tr>
        <w:trPr>
          <w:trHeight w:val="135"/>
        </w:trPr>
        <w:tc>
          <w:tcPr>
            <w:tcW w:w="3220" w:type="dxa"/>
            <w:vAlign w:val="bottom"/>
            <w:tcBorders>
              <w:bottom w:val="single" w:sz="8" w:color="auto"/>
            </w:tcBorders>
            <w:shd w:val="clear" w:color="auto" w:fill="CCEEFF"/>
          </w:tcPr>
          <w:p>
            <w:pPr>
              <w:ind w:left="20"/>
              <w:spacing w:after="0" w:line="135" w:lineRule="exact"/>
              <w:rPr>
                <w:sz w:val="20"/>
                <w:szCs w:val="20"/>
                <w:color w:val="auto"/>
              </w:rPr>
            </w:pPr>
            <w:r>
              <w:rPr>
                <w:rFonts w:ascii="Arial" w:cs="Arial" w:eastAsia="Arial" w:hAnsi="Arial"/>
                <w:sz w:val="13"/>
                <w:szCs w:val="13"/>
                <w:color w:val="auto"/>
              </w:rPr>
              <w:t>Pension and postretirement adjustments, net of tax</w:t>
            </w:r>
          </w:p>
        </w:tc>
        <w:tc>
          <w:tcPr>
            <w:tcW w:w="58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7</w:t>
            </w:r>
          </w:p>
        </w:tc>
        <w:tc>
          <w:tcPr>
            <w:tcW w:w="2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r>
      <w:tr>
        <w:trPr>
          <w:trHeight w:val="129"/>
        </w:trPr>
        <w:tc>
          <w:tcPr>
            <w:tcW w:w="322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3"/>
                <w:szCs w:val="13"/>
                <w:b w:val="1"/>
                <w:bCs w:val="1"/>
                <w:color w:val="auto"/>
              </w:rPr>
              <w:t>Balance at October 29, 2022</w:t>
            </w: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99,339</w:t>
            </w:r>
          </w:p>
        </w:tc>
        <w:tc>
          <w:tcPr>
            <w:tcW w:w="240" w:type="dxa"/>
            <w:vAlign w:val="bottom"/>
            <w:tcBorders>
              <w:bottom w:val="single" w:sz="8" w:color="auto"/>
            </w:tcBorders>
          </w:tcPr>
          <w:p>
            <w:pPr>
              <w:ind w:left="40"/>
              <w:spacing w:after="0" w:line="129" w:lineRule="exact"/>
              <w:rPr>
                <w:sz w:val="20"/>
                <w:szCs w:val="20"/>
                <w:color w:val="auto"/>
              </w:rPr>
            </w:pPr>
            <w:r>
              <w:rPr>
                <w:rFonts w:ascii="Arial" w:cs="Arial" w:eastAsia="Arial" w:hAnsi="Arial"/>
                <w:sz w:val="13"/>
                <w:szCs w:val="13"/>
                <w:b w:val="1"/>
                <w:bCs w:val="1"/>
                <w:color w:val="auto"/>
              </w:rPr>
              <w:t>$</w:t>
            </w:r>
          </w:p>
        </w:tc>
        <w:tc>
          <w:tcPr>
            <w:tcW w:w="2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2"/>
              </w:rPr>
              <w:t>798</w:t>
            </w: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(6,019)</w:t>
            </w:r>
          </w:p>
        </w:tc>
        <w:tc>
          <w:tcPr>
            <w:tcW w:w="200" w:type="dxa"/>
            <w:vAlign w:val="bottom"/>
            <w:tcBorders>
              <w:bottom w:val="single" w:sz="8" w:color="auto"/>
            </w:tcBorders>
          </w:tcPr>
          <w:p>
            <w:pPr>
              <w:jc w:val="right"/>
              <w:ind w:right="18"/>
              <w:spacing w:after="0" w:line="129" w:lineRule="exact"/>
              <w:rPr>
                <w:sz w:val="20"/>
                <w:szCs w:val="20"/>
                <w:color w:val="auto"/>
              </w:rPr>
            </w:pPr>
            <w:r>
              <w:rPr>
                <w:rFonts w:ascii="Arial" w:cs="Arial" w:eastAsia="Arial" w:hAnsi="Arial"/>
                <w:sz w:val="13"/>
                <w:szCs w:val="13"/>
                <w:b w:val="1"/>
                <w:bCs w:val="1"/>
                <w:color w:val="auto"/>
              </w:rPr>
              <w:t>$</w:t>
            </w:r>
          </w:p>
        </w:tc>
        <w:tc>
          <w:tcPr>
            <w:tcW w:w="420" w:type="dxa"/>
            <w:vAlign w:val="bottom"/>
            <w:tcBorders>
              <w:bottom w:val="single" w:sz="8" w:color="auto"/>
            </w:tcBorders>
            <w:gridSpan w:val="2"/>
          </w:tcPr>
          <w:p>
            <w:pPr>
              <w:jc w:val="right"/>
              <w:ind w:right="60"/>
              <w:spacing w:after="0" w:line="129" w:lineRule="exact"/>
              <w:rPr>
                <w:sz w:val="20"/>
                <w:szCs w:val="20"/>
                <w:color w:val="auto"/>
              </w:rPr>
            </w:pPr>
            <w:r>
              <w:rPr>
                <w:rFonts w:ascii="Arial" w:cs="Arial" w:eastAsia="Arial" w:hAnsi="Arial"/>
                <w:sz w:val="13"/>
                <w:szCs w:val="13"/>
                <w:b w:val="1"/>
                <w:bCs w:val="1"/>
                <w:color w:val="auto"/>
              </w:rPr>
              <w:t>(213)</w:t>
            </w:r>
          </w:p>
        </w:tc>
        <w:tc>
          <w:tcPr>
            <w:tcW w:w="580" w:type="dxa"/>
            <w:vAlign w:val="bottom"/>
            <w:tcBorders>
              <w:bottom w:val="single" w:sz="8" w:color="auto"/>
            </w:tcBorders>
          </w:tcPr>
          <w:p>
            <w:pPr>
              <w:jc w:val="right"/>
              <w:ind w:right="18"/>
              <w:spacing w:after="0" w:line="129" w:lineRule="exact"/>
              <w:rPr>
                <w:sz w:val="20"/>
                <w:szCs w:val="20"/>
                <w:color w:val="auto"/>
              </w:rPr>
            </w:pPr>
            <w:r>
              <w:rPr>
                <w:rFonts w:ascii="Arial" w:cs="Arial" w:eastAsia="Arial" w:hAnsi="Arial"/>
                <w:sz w:val="13"/>
                <w:szCs w:val="13"/>
                <w:b w:val="1"/>
                <w:bCs w:val="1"/>
                <w:color w:val="auto"/>
              </w:rPr>
              <w:t>$ 3,110</w:t>
            </w:r>
          </w:p>
        </w:tc>
        <w:tc>
          <w:tcPr>
            <w:tcW w:w="240" w:type="dxa"/>
            <w:vAlign w:val="bottom"/>
            <w:tcBorders>
              <w:bottom w:val="single" w:sz="8" w:color="auto"/>
            </w:tcBorders>
          </w:tcPr>
          <w:p>
            <w:pPr>
              <w:ind w:left="100"/>
              <w:spacing w:after="0" w:line="129" w:lineRule="exact"/>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right"/>
              <w:ind w:right="18"/>
              <w:spacing w:after="0" w:line="129" w:lineRule="exact"/>
              <w:rPr>
                <w:sz w:val="20"/>
                <w:szCs w:val="20"/>
                <w:color w:val="auto"/>
              </w:rPr>
            </w:pPr>
            <w:r>
              <w:rPr>
                <w:rFonts w:ascii="Arial" w:cs="Arial" w:eastAsia="Arial" w:hAnsi="Arial"/>
                <w:sz w:val="13"/>
                <w:szCs w:val="13"/>
                <w:b w:val="1"/>
                <w:bCs w:val="1"/>
                <w:color w:val="auto"/>
              </w:rPr>
              <w:t>(443)</w:t>
            </w:r>
          </w:p>
        </w:tc>
        <w:tc>
          <w:tcPr>
            <w:tcW w:w="2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tcPr>
          <w:p>
            <w:pPr>
              <w:jc w:val="right"/>
              <w:ind w:right="18"/>
              <w:spacing w:after="0" w:line="129" w:lineRule="exact"/>
              <w:rPr>
                <w:sz w:val="20"/>
                <w:szCs w:val="20"/>
                <w:color w:val="auto"/>
              </w:rPr>
            </w:pPr>
            <w:r>
              <w:rPr>
                <w:rFonts w:ascii="Arial" w:cs="Arial" w:eastAsia="Arial" w:hAnsi="Arial"/>
                <w:sz w:val="13"/>
                <w:szCs w:val="13"/>
                <w:b w:val="1"/>
                <w:bCs w:val="1"/>
                <w:color w:val="auto"/>
              </w:rPr>
              <w:t>7</w:t>
            </w:r>
          </w:p>
        </w:tc>
        <w:tc>
          <w:tcPr>
            <w:tcW w:w="2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3,259</w:t>
            </w:r>
          </w:p>
        </w:tc>
      </w:tr>
      <w:tr>
        <w:trPr>
          <w:trHeight w:val="128"/>
        </w:trPr>
        <w:tc>
          <w:tcPr>
            <w:tcW w:w="322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spacing w:after="0"/>
              <w:rPr>
                <w:sz w:val="11"/>
                <w:szCs w:val="11"/>
                <w:color w:val="auto"/>
              </w:rPr>
            </w:pPr>
          </w:p>
        </w:tc>
      </w:tr>
      <w:tr>
        <w:trPr>
          <w:trHeight w:val="129"/>
        </w:trPr>
        <w:tc>
          <w:tcPr>
            <w:tcW w:w="3220" w:type="dxa"/>
            <w:vAlign w:val="bottom"/>
          </w:tcPr>
          <w:p>
            <w:pPr>
              <w:ind w:left="20"/>
              <w:spacing w:after="0" w:line="129" w:lineRule="exact"/>
              <w:rPr>
                <w:sz w:val="20"/>
                <w:szCs w:val="20"/>
                <w:color w:val="auto"/>
              </w:rPr>
            </w:pPr>
            <w:r>
              <w:rPr>
                <w:rFonts w:ascii="Arial" w:cs="Arial" w:eastAsia="Arial" w:hAnsi="Arial"/>
                <w:sz w:val="13"/>
                <w:szCs w:val="13"/>
                <w:b w:val="1"/>
                <w:bCs w:val="1"/>
                <w:color w:val="auto"/>
              </w:rPr>
              <w:t>Balance at January 30, 2021</w:t>
            </w:r>
          </w:p>
        </w:tc>
        <w:tc>
          <w:tcPr>
            <w:tcW w:w="58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103,693</w:t>
            </w:r>
          </w:p>
        </w:tc>
        <w:tc>
          <w:tcPr>
            <w:tcW w:w="240" w:type="dxa"/>
            <w:vAlign w:val="bottom"/>
          </w:tcPr>
          <w:p>
            <w:pPr>
              <w:ind w:left="40"/>
              <w:spacing w:after="0" w:line="12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92"/>
              </w:rPr>
              <w:t>779</w:t>
            </w:r>
          </w:p>
        </w:tc>
        <w:tc>
          <w:tcPr>
            <w:tcW w:w="10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(74)</w:t>
            </w:r>
          </w:p>
        </w:tc>
        <w:tc>
          <w:tcPr>
            <w:tcW w:w="200" w:type="dxa"/>
            <w:vAlign w:val="bottom"/>
          </w:tcPr>
          <w:p>
            <w:pPr>
              <w:jc w:val="right"/>
              <w:ind w:right="18"/>
              <w:spacing w:after="0" w:line="129" w:lineRule="exact"/>
              <w:rPr>
                <w:sz w:val="20"/>
                <w:szCs w:val="20"/>
                <w:color w:val="auto"/>
              </w:rPr>
            </w:pPr>
            <w:r>
              <w:rPr>
                <w:rFonts w:ascii="Arial" w:cs="Arial" w:eastAsia="Arial" w:hAnsi="Arial"/>
                <w:sz w:val="13"/>
                <w:szCs w:val="13"/>
                <w:b w:val="1"/>
                <w:bCs w:val="1"/>
                <w:color w:val="auto"/>
              </w:rPr>
              <w:t>$</w:t>
            </w:r>
          </w:p>
        </w:tc>
        <w:tc>
          <w:tcPr>
            <w:tcW w:w="420" w:type="dxa"/>
            <w:vAlign w:val="bottom"/>
            <w:gridSpan w:val="2"/>
          </w:tcPr>
          <w:p>
            <w:pPr>
              <w:jc w:val="right"/>
              <w:ind w:right="60"/>
              <w:spacing w:after="0" w:line="129" w:lineRule="exact"/>
              <w:rPr>
                <w:sz w:val="20"/>
                <w:szCs w:val="20"/>
                <w:color w:val="auto"/>
              </w:rPr>
            </w:pPr>
            <w:r>
              <w:rPr>
                <w:rFonts w:ascii="Arial" w:cs="Arial" w:eastAsia="Arial" w:hAnsi="Arial"/>
                <w:sz w:val="13"/>
                <w:szCs w:val="13"/>
                <w:b w:val="1"/>
                <w:bCs w:val="1"/>
                <w:color w:val="auto"/>
              </w:rPr>
              <w:t>(3)</w:t>
            </w:r>
          </w:p>
        </w:tc>
        <w:tc>
          <w:tcPr>
            <w:tcW w:w="580" w:type="dxa"/>
            <w:vAlign w:val="bottom"/>
          </w:tcPr>
          <w:p>
            <w:pPr>
              <w:jc w:val="right"/>
              <w:ind w:right="18"/>
              <w:spacing w:after="0" w:line="129" w:lineRule="exact"/>
              <w:rPr>
                <w:sz w:val="20"/>
                <w:szCs w:val="20"/>
                <w:color w:val="auto"/>
              </w:rPr>
            </w:pPr>
            <w:r>
              <w:rPr>
                <w:rFonts w:ascii="Arial" w:cs="Arial" w:eastAsia="Arial" w:hAnsi="Arial"/>
                <w:sz w:val="13"/>
                <w:szCs w:val="13"/>
                <w:b w:val="1"/>
                <w:bCs w:val="1"/>
                <w:color w:val="auto"/>
              </w:rPr>
              <w:t>$ 2,326</w:t>
            </w:r>
          </w:p>
        </w:tc>
        <w:tc>
          <w:tcPr>
            <w:tcW w:w="240" w:type="dxa"/>
            <w:vAlign w:val="bottom"/>
          </w:tcPr>
          <w:p>
            <w:pPr>
              <w:ind w:left="100"/>
              <w:spacing w:after="0" w:line="129" w:lineRule="exact"/>
              <w:rPr>
                <w:sz w:val="20"/>
                <w:szCs w:val="20"/>
                <w:color w:val="auto"/>
              </w:rPr>
            </w:pPr>
            <w:r>
              <w:rPr>
                <w:rFonts w:ascii="Arial" w:cs="Arial" w:eastAsia="Arial" w:hAnsi="Arial"/>
                <w:sz w:val="13"/>
                <w:szCs w:val="13"/>
                <w:b w:val="1"/>
                <w:bCs w:val="1"/>
                <w:color w:val="auto"/>
              </w:rPr>
              <w:t>$</w:t>
            </w:r>
          </w:p>
        </w:tc>
        <w:tc>
          <w:tcPr>
            <w:tcW w:w="760" w:type="dxa"/>
            <w:vAlign w:val="bottom"/>
          </w:tcPr>
          <w:p>
            <w:pPr>
              <w:jc w:val="right"/>
              <w:ind w:right="18"/>
              <w:spacing w:after="0" w:line="129" w:lineRule="exact"/>
              <w:rPr>
                <w:sz w:val="20"/>
                <w:szCs w:val="20"/>
                <w:color w:val="auto"/>
              </w:rPr>
            </w:pPr>
            <w:r>
              <w:rPr>
                <w:rFonts w:ascii="Arial" w:cs="Arial" w:eastAsia="Arial" w:hAnsi="Arial"/>
                <w:sz w:val="13"/>
                <w:szCs w:val="13"/>
                <w:b w:val="1"/>
                <w:bCs w:val="1"/>
                <w:color w:val="auto"/>
              </w:rPr>
              <w:t>(331)</w:t>
            </w:r>
          </w:p>
        </w:tc>
        <w:tc>
          <w:tcPr>
            <w:tcW w:w="26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700" w:type="dxa"/>
            <w:vAlign w:val="bottom"/>
          </w:tcPr>
          <w:p>
            <w:pPr>
              <w:jc w:val="right"/>
              <w:ind w:right="18"/>
              <w:spacing w:after="0" w:line="129" w:lineRule="exact"/>
              <w:rPr>
                <w:sz w:val="20"/>
                <w:szCs w:val="20"/>
                <w:color w:val="auto"/>
              </w:rPr>
            </w:pPr>
            <w:r>
              <w:rPr>
                <w:rFonts w:ascii="Arial" w:cs="Arial" w:eastAsia="Arial" w:hAnsi="Arial"/>
                <w:sz w:val="13"/>
                <w:szCs w:val="13"/>
                <w:b w:val="1"/>
                <w:bCs w:val="1"/>
                <w:color w:val="auto"/>
              </w:rPr>
              <w:t>5</w:t>
            </w:r>
          </w:p>
        </w:tc>
        <w:tc>
          <w:tcPr>
            <w:tcW w:w="20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2,776</w:t>
            </w: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Restricted stock issued</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498</w:t>
            </w: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220" w:type="dxa"/>
            <w:vAlign w:val="bottom"/>
          </w:tcPr>
          <w:p>
            <w:pPr>
              <w:ind w:left="20"/>
              <w:spacing w:after="0" w:line="135" w:lineRule="exact"/>
              <w:rPr>
                <w:sz w:val="20"/>
                <w:szCs w:val="20"/>
                <w:color w:val="auto"/>
              </w:rPr>
            </w:pPr>
            <w:r>
              <w:rPr>
                <w:rFonts w:ascii="Arial" w:cs="Arial" w:eastAsia="Arial" w:hAnsi="Arial"/>
                <w:sz w:val="13"/>
                <w:szCs w:val="13"/>
                <w:color w:val="auto"/>
              </w:rPr>
              <w:t>Issued under director and stock plans</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351</w:t>
            </w:r>
          </w:p>
        </w:tc>
        <w:tc>
          <w:tcPr>
            <w:tcW w:w="24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11</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11</w:t>
            </w: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Share-based compensation expense</w:t>
            </w: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w:t>
            </w:r>
          </w:p>
        </w:tc>
      </w:tr>
      <w:tr>
        <w:trPr>
          <w:trHeight w:val="117"/>
        </w:trPr>
        <w:tc>
          <w:tcPr>
            <w:tcW w:w="3220" w:type="dxa"/>
            <w:vAlign w:val="bottom"/>
          </w:tcPr>
          <w:p>
            <w:pPr>
              <w:ind w:left="20"/>
              <w:spacing w:after="0" w:line="117" w:lineRule="exact"/>
              <w:rPr>
                <w:sz w:val="20"/>
                <w:szCs w:val="20"/>
                <w:color w:val="auto"/>
              </w:rPr>
            </w:pPr>
            <w:r>
              <w:rPr>
                <w:rFonts w:ascii="Arial" w:cs="Arial" w:eastAsia="Arial" w:hAnsi="Arial"/>
                <w:sz w:val="13"/>
                <w:szCs w:val="13"/>
                <w:color w:val="auto"/>
                <w:w w:val="99"/>
              </w:rPr>
              <w:t>Shares of common stock used to satisfy tax withholding</w:t>
            </w: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53"/>
        </w:trPr>
        <w:tc>
          <w:tcPr>
            <w:tcW w:w="3220" w:type="dxa"/>
            <w:vAlign w:val="bottom"/>
          </w:tcPr>
          <w:p>
            <w:pPr>
              <w:ind w:left="20"/>
              <w:spacing w:after="0"/>
              <w:rPr>
                <w:sz w:val="20"/>
                <w:szCs w:val="20"/>
                <w:color w:val="auto"/>
              </w:rPr>
            </w:pPr>
            <w:r>
              <w:rPr>
                <w:rFonts w:ascii="Arial" w:cs="Arial" w:eastAsia="Arial" w:hAnsi="Arial"/>
                <w:sz w:val="13"/>
                <w:szCs w:val="13"/>
                <w:color w:val="auto"/>
              </w:rPr>
              <w:t>obligations</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(205)</w:t>
            </w:r>
          </w:p>
        </w:tc>
        <w:tc>
          <w:tcPr>
            <w:tcW w:w="200" w:type="dxa"/>
            <w:vAlign w:val="bottom"/>
          </w:tcPr>
          <w:p>
            <w:pPr>
              <w:spacing w:after="0"/>
              <w:rPr>
                <w:sz w:val="13"/>
                <w:szCs w:val="13"/>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rPr>
              <w:t>(11)</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Share repurchases</w:t>
            </w: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(3,496)</w:t>
            </w:r>
          </w:p>
        </w:tc>
        <w:tc>
          <w:tcPr>
            <w:tcW w:w="2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(170)</w:t>
            </w: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(170)</w:t>
            </w:r>
          </w:p>
        </w:tc>
      </w:tr>
      <w:tr>
        <w:trPr>
          <w:trHeight w:val="135"/>
        </w:trPr>
        <w:tc>
          <w:tcPr>
            <w:tcW w:w="3220" w:type="dxa"/>
            <w:vAlign w:val="bottom"/>
          </w:tcPr>
          <w:p>
            <w:pPr>
              <w:ind w:left="20"/>
              <w:spacing w:after="0" w:line="135" w:lineRule="exact"/>
              <w:rPr>
                <w:sz w:val="20"/>
                <w:szCs w:val="20"/>
                <w:color w:val="auto"/>
              </w:rPr>
            </w:pPr>
            <w:r>
              <w:rPr>
                <w:rFonts w:ascii="Arial" w:cs="Arial" w:eastAsia="Arial" w:hAnsi="Arial"/>
                <w:sz w:val="13"/>
                <w:szCs w:val="13"/>
                <w:color w:val="auto"/>
              </w:rPr>
              <w:t>Reissued for ESPP</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w:t>
            </w:r>
          </w:p>
        </w:tc>
        <w:tc>
          <w:tcPr>
            <w:tcW w:w="520" w:type="dxa"/>
            <w:vAlign w:val="bottom"/>
          </w:tcPr>
          <w:p>
            <w:pPr>
              <w:jc w:val="right"/>
              <w:ind w:right="38"/>
              <w:spacing w:after="0" w:line="135" w:lineRule="exact"/>
              <w:rPr>
                <w:sz w:val="20"/>
                <w:szCs w:val="20"/>
                <w:color w:val="auto"/>
              </w:rPr>
            </w:pPr>
            <w:r>
              <w:rPr>
                <w:rFonts w:ascii="Arial" w:cs="Arial" w:eastAsia="Arial" w:hAnsi="Arial"/>
                <w:sz w:val="13"/>
                <w:szCs w:val="13"/>
                <w:color w:val="auto"/>
              </w:rPr>
              <w:t>301</w:t>
            </w:r>
          </w:p>
        </w:tc>
        <w:tc>
          <w:tcPr>
            <w:tcW w:w="20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14</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7</w:t>
            </w: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 income</w:t>
            </w: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18"/>
              <w:spacing w:after="0" w:line="135" w:lineRule="exact"/>
              <w:rPr>
                <w:sz w:val="20"/>
                <w:szCs w:val="20"/>
                <w:color w:val="auto"/>
              </w:rPr>
            </w:pPr>
            <w:r>
              <w:rPr>
                <w:rFonts w:ascii="Arial" w:cs="Arial" w:eastAsia="Arial" w:hAnsi="Arial"/>
                <w:sz w:val="13"/>
                <w:szCs w:val="13"/>
                <w:color w:val="auto"/>
              </w:rPr>
              <w:t>790</w:t>
            </w: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790</w:t>
            </w:r>
          </w:p>
        </w:tc>
      </w:tr>
      <w:tr>
        <w:trPr>
          <w:trHeight w:val="135"/>
        </w:trPr>
        <w:tc>
          <w:tcPr>
            <w:tcW w:w="3220" w:type="dxa"/>
            <w:vAlign w:val="bottom"/>
          </w:tcPr>
          <w:p>
            <w:pPr>
              <w:ind w:left="20"/>
              <w:spacing w:after="0" w:line="135" w:lineRule="exact"/>
              <w:rPr>
                <w:sz w:val="20"/>
                <w:szCs w:val="20"/>
                <w:color w:val="auto"/>
              </w:rPr>
            </w:pPr>
            <w:r>
              <w:rPr>
                <w:rFonts w:ascii="Arial" w:cs="Arial" w:eastAsia="Arial" w:hAnsi="Arial"/>
                <w:sz w:val="13"/>
                <w:szCs w:val="13"/>
                <w:color w:val="auto"/>
              </w:rPr>
              <w:t>Cash dividends on common stock ($0.70 per share)</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(72)</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(72)</w:t>
            </w: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Translation adjustment, net of tax</w:t>
            </w: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8"/>
              <w:spacing w:after="0" w:line="135" w:lineRule="exact"/>
              <w:rPr>
                <w:sz w:val="20"/>
                <w:szCs w:val="20"/>
                <w:color w:val="auto"/>
              </w:rPr>
            </w:pPr>
            <w:r>
              <w:rPr>
                <w:rFonts w:ascii="Arial" w:cs="Arial" w:eastAsia="Arial" w:hAnsi="Arial"/>
                <w:sz w:val="13"/>
                <w:szCs w:val="13"/>
                <w:color w:val="auto"/>
              </w:rPr>
              <w:t>(17)</w:t>
            </w: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w:t>
            </w:r>
          </w:p>
        </w:tc>
      </w:tr>
      <w:tr>
        <w:trPr>
          <w:trHeight w:val="135"/>
        </w:trPr>
        <w:tc>
          <w:tcPr>
            <w:tcW w:w="3220" w:type="dxa"/>
            <w:vAlign w:val="bottom"/>
          </w:tcPr>
          <w:p>
            <w:pPr>
              <w:ind w:left="20"/>
              <w:spacing w:after="0" w:line="135" w:lineRule="exact"/>
              <w:rPr>
                <w:sz w:val="20"/>
                <w:szCs w:val="20"/>
                <w:color w:val="auto"/>
              </w:rPr>
            </w:pPr>
            <w:r>
              <w:rPr>
                <w:rFonts w:ascii="Arial" w:cs="Arial" w:eastAsia="Arial" w:hAnsi="Arial"/>
                <w:sz w:val="13"/>
                <w:szCs w:val="13"/>
                <w:color w:val="auto"/>
              </w:rPr>
              <w:t>Change in hedges, net of tax</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jc w:val="right"/>
              <w:ind w:right="58"/>
              <w:spacing w:after="0" w:line="135" w:lineRule="exact"/>
              <w:rPr>
                <w:sz w:val="20"/>
                <w:szCs w:val="20"/>
                <w:color w:val="auto"/>
              </w:rPr>
            </w:pPr>
            <w:r>
              <w:rPr>
                <w:rFonts w:ascii="Arial" w:cs="Arial" w:eastAsia="Arial" w:hAnsi="Arial"/>
                <w:sz w:val="13"/>
                <w:szCs w:val="13"/>
                <w:color w:val="auto"/>
              </w:rPr>
              <w:t>1</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r>
      <w:tr>
        <w:trPr>
          <w:trHeight w:val="135"/>
        </w:trPr>
        <w:tc>
          <w:tcPr>
            <w:tcW w:w="3220" w:type="dxa"/>
            <w:vAlign w:val="bottom"/>
            <w:tcBorders>
              <w:bottom w:val="single" w:sz="8" w:color="auto"/>
            </w:tcBorders>
            <w:shd w:val="clear" w:color="auto" w:fill="CCEEFF"/>
          </w:tcPr>
          <w:p>
            <w:pPr>
              <w:ind w:left="20"/>
              <w:spacing w:after="0" w:line="135" w:lineRule="exact"/>
              <w:rPr>
                <w:sz w:val="20"/>
                <w:szCs w:val="20"/>
                <w:color w:val="auto"/>
              </w:rPr>
            </w:pPr>
            <w:r>
              <w:rPr>
                <w:rFonts w:ascii="Arial" w:cs="Arial" w:eastAsia="Arial" w:hAnsi="Arial"/>
                <w:sz w:val="13"/>
                <w:szCs w:val="13"/>
                <w:color w:val="auto"/>
              </w:rPr>
              <w:t>Pension and postretirement adjustments, net of tax</w:t>
            </w:r>
          </w:p>
        </w:tc>
        <w:tc>
          <w:tcPr>
            <w:tcW w:w="58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4</w:t>
            </w:r>
          </w:p>
        </w:tc>
        <w:tc>
          <w:tcPr>
            <w:tcW w:w="2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r>
      <w:tr>
        <w:trPr>
          <w:trHeight w:val="129"/>
        </w:trPr>
        <w:tc>
          <w:tcPr>
            <w:tcW w:w="322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3"/>
                <w:szCs w:val="13"/>
                <w:b w:val="1"/>
                <w:bCs w:val="1"/>
                <w:color w:val="auto"/>
              </w:rPr>
              <w:t>Balance at October 30, 2021</w:t>
            </w: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104,542</w:t>
            </w:r>
          </w:p>
        </w:tc>
        <w:tc>
          <w:tcPr>
            <w:tcW w:w="240" w:type="dxa"/>
            <w:vAlign w:val="bottom"/>
            <w:tcBorders>
              <w:bottom w:val="single" w:sz="8" w:color="auto"/>
            </w:tcBorders>
          </w:tcPr>
          <w:p>
            <w:pPr>
              <w:ind w:left="40"/>
              <w:spacing w:after="0" w:line="129" w:lineRule="exact"/>
              <w:rPr>
                <w:sz w:val="20"/>
                <w:szCs w:val="20"/>
                <w:color w:val="auto"/>
              </w:rPr>
            </w:pPr>
            <w:r>
              <w:rPr>
                <w:rFonts w:ascii="Arial" w:cs="Arial" w:eastAsia="Arial" w:hAnsi="Arial"/>
                <w:sz w:val="13"/>
                <w:szCs w:val="13"/>
                <w:b w:val="1"/>
                <w:bCs w:val="1"/>
                <w:color w:val="auto"/>
              </w:rPr>
              <w:t>$</w:t>
            </w:r>
          </w:p>
        </w:tc>
        <w:tc>
          <w:tcPr>
            <w:tcW w:w="2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2"/>
              </w:rPr>
              <w:t>806</w:t>
            </w: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(3,474)</w:t>
            </w:r>
          </w:p>
        </w:tc>
        <w:tc>
          <w:tcPr>
            <w:tcW w:w="200" w:type="dxa"/>
            <w:vAlign w:val="bottom"/>
            <w:tcBorders>
              <w:bottom w:val="single" w:sz="8" w:color="auto"/>
            </w:tcBorders>
          </w:tcPr>
          <w:p>
            <w:pPr>
              <w:jc w:val="right"/>
              <w:ind w:right="18"/>
              <w:spacing w:after="0" w:line="129" w:lineRule="exact"/>
              <w:rPr>
                <w:sz w:val="20"/>
                <w:szCs w:val="20"/>
                <w:color w:val="auto"/>
              </w:rPr>
            </w:pPr>
            <w:r>
              <w:rPr>
                <w:rFonts w:ascii="Arial" w:cs="Arial" w:eastAsia="Arial" w:hAnsi="Arial"/>
                <w:sz w:val="13"/>
                <w:szCs w:val="13"/>
                <w:b w:val="1"/>
                <w:bCs w:val="1"/>
                <w:color w:val="auto"/>
              </w:rPr>
              <w:t>$</w:t>
            </w:r>
          </w:p>
        </w:tc>
        <w:tc>
          <w:tcPr>
            <w:tcW w:w="420" w:type="dxa"/>
            <w:vAlign w:val="bottom"/>
            <w:tcBorders>
              <w:bottom w:val="single" w:sz="8" w:color="auto"/>
            </w:tcBorders>
            <w:gridSpan w:val="2"/>
          </w:tcPr>
          <w:p>
            <w:pPr>
              <w:jc w:val="right"/>
              <w:ind w:right="60"/>
              <w:spacing w:after="0" w:line="129" w:lineRule="exact"/>
              <w:rPr>
                <w:sz w:val="20"/>
                <w:szCs w:val="20"/>
                <w:color w:val="auto"/>
              </w:rPr>
            </w:pPr>
            <w:r>
              <w:rPr>
                <w:rFonts w:ascii="Arial" w:cs="Arial" w:eastAsia="Arial" w:hAnsi="Arial"/>
                <w:sz w:val="13"/>
                <w:szCs w:val="13"/>
                <w:b w:val="1"/>
                <w:bCs w:val="1"/>
                <w:color w:val="auto"/>
              </w:rPr>
              <w:t>(170)</w:t>
            </w:r>
          </w:p>
        </w:tc>
        <w:tc>
          <w:tcPr>
            <w:tcW w:w="580" w:type="dxa"/>
            <w:vAlign w:val="bottom"/>
            <w:tcBorders>
              <w:bottom w:val="single" w:sz="8" w:color="auto"/>
            </w:tcBorders>
          </w:tcPr>
          <w:p>
            <w:pPr>
              <w:jc w:val="right"/>
              <w:ind w:right="18"/>
              <w:spacing w:after="0" w:line="129" w:lineRule="exact"/>
              <w:rPr>
                <w:sz w:val="20"/>
                <w:szCs w:val="20"/>
                <w:color w:val="auto"/>
              </w:rPr>
            </w:pPr>
            <w:r>
              <w:rPr>
                <w:rFonts w:ascii="Arial" w:cs="Arial" w:eastAsia="Arial" w:hAnsi="Arial"/>
                <w:sz w:val="13"/>
                <w:szCs w:val="13"/>
                <w:b w:val="1"/>
                <w:bCs w:val="1"/>
                <w:color w:val="auto"/>
              </w:rPr>
              <w:t>$ 3,044</w:t>
            </w:r>
          </w:p>
        </w:tc>
        <w:tc>
          <w:tcPr>
            <w:tcW w:w="240" w:type="dxa"/>
            <w:vAlign w:val="bottom"/>
            <w:tcBorders>
              <w:bottom w:val="single" w:sz="8" w:color="auto"/>
            </w:tcBorders>
          </w:tcPr>
          <w:p>
            <w:pPr>
              <w:ind w:left="100"/>
              <w:spacing w:after="0" w:line="129" w:lineRule="exact"/>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right"/>
              <w:ind w:right="18"/>
              <w:spacing w:after="0" w:line="129" w:lineRule="exact"/>
              <w:rPr>
                <w:sz w:val="20"/>
                <w:szCs w:val="20"/>
                <w:color w:val="auto"/>
              </w:rPr>
            </w:pPr>
            <w:r>
              <w:rPr>
                <w:rFonts w:ascii="Arial" w:cs="Arial" w:eastAsia="Arial" w:hAnsi="Arial"/>
                <w:sz w:val="13"/>
                <w:szCs w:val="13"/>
                <w:b w:val="1"/>
                <w:bCs w:val="1"/>
                <w:color w:val="auto"/>
              </w:rPr>
              <w:t>(343)</w:t>
            </w:r>
          </w:p>
        </w:tc>
        <w:tc>
          <w:tcPr>
            <w:tcW w:w="2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tcPr>
          <w:p>
            <w:pPr>
              <w:jc w:val="right"/>
              <w:ind w:right="18"/>
              <w:spacing w:after="0" w:line="129" w:lineRule="exact"/>
              <w:rPr>
                <w:sz w:val="20"/>
                <w:szCs w:val="20"/>
                <w:color w:val="auto"/>
              </w:rPr>
            </w:pPr>
            <w:r>
              <w:rPr>
                <w:rFonts w:ascii="Arial" w:cs="Arial" w:eastAsia="Arial" w:hAnsi="Arial"/>
                <w:sz w:val="13"/>
                <w:szCs w:val="13"/>
                <w:b w:val="1"/>
                <w:bCs w:val="1"/>
                <w:color w:val="auto"/>
              </w:rPr>
              <w:t>5</w:t>
            </w:r>
          </w:p>
        </w:tc>
        <w:tc>
          <w:tcPr>
            <w:tcW w:w="2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3,342</w:t>
            </w:r>
          </w:p>
        </w:tc>
      </w:tr>
    </w:tbl>
    <w:p>
      <w:pPr>
        <w:spacing w:after="0" w:line="1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 Unaudited Condensed Consolidated Financial Statements.</w:t>
      </w:r>
    </w:p>
    <w:p>
      <w:pPr>
        <w:spacing w:after="0" w:line="200" w:lineRule="exact"/>
        <w:rPr>
          <w:sz w:val="20"/>
          <w:szCs w:val="20"/>
          <w:color w:val="auto"/>
        </w:rPr>
      </w:pPr>
    </w:p>
    <w:p>
      <w:pPr>
        <w:spacing w:after="0" w:line="22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2022 Form 10-Q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694690</wp:posOffset>
            </wp:positionV>
            <wp:extent cx="1834515" cy="2146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ind w:left="6620"/>
        <w:spacing w:after="0"/>
        <w:rPr>
          <w:sz w:val="20"/>
          <w:szCs w:val="20"/>
          <w:color w:val="auto"/>
        </w:rPr>
      </w:pPr>
      <w:r>
        <w:rPr>
          <w:rFonts w:ascii="Arial" w:cs="Arial" w:eastAsia="Arial" w:hAnsi="Arial"/>
          <w:sz w:val="15"/>
          <w:szCs w:val="15"/>
          <w:b w:val="1"/>
          <w:bCs w:val="1"/>
          <w:color w:val="auto"/>
        </w:rPr>
        <w:t>Thirty-nine weeks ended</w:t>
      </w:r>
    </w:p>
    <w:tbl>
      <w:tblPr>
        <w:tblLayout w:type="fixed"/>
        <w:tblInd w:w="40" w:type="dxa"/>
        <w:tblCellMar>
          <w:top w:w="0" w:type="dxa"/>
          <w:left w:w="0" w:type="dxa"/>
          <w:bottom w:w="0" w:type="dxa"/>
          <w:right w:w="0" w:type="dxa"/>
        </w:tblCellMar>
      </w:tblPr>
      <w:tr>
        <w:trPr>
          <w:trHeight w:val="135"/>
        </w:trPr>
        <w:tc>
          <w:tcPr>
            <w:tcW w:w="58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284"/>
              <w:spacing w:after="0" w:line="136" w:lineRule="exact"/>
              <w:rPr>
                <w:sz w:val="20"/>
                <w:szCs w:val="20"/>
                <w:color w:val="auto"/>
              </w:rPr>
            </w:pPr>
            <w:r>
              <w:rPr>
                <w:rFonts w:ascii="Arial" w:cs="Arial" w:eastAsia="Arial" w:hAnsi="Arial"/>
                <w:sz w:val="15"/>
                <w:szCs w:val="15"/>
                <w:b w:val="1"/>
                <w:bCs w:val="1"/>
                <w:color w:val="auto"/>
              </w:rPr>
              <w:t>October 29,</w:t>
            </w:r>
          </w:p>
        </w:tc>
        <w:tc>
          <w:tcPr>
            <w:tcW w:w="2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64"/>
              <w:spacing w:after="0" w:line="136" w:lineRule="exact"/>
              <w:rPr>
                <w:sz w:val="20"/>
                <w:szCs w:val="20"/>
                <w:color w:val="auto"/>
              </w:rPr>
            </w:pPr>
            <w:r>
              <w:rPr>
                <w:rFonts w:ascii="Arial" w:cs="Arial" w:eastAsia="Arial" w:hAnsi="Arial"/>
                <w:sz w:val="15"/>
                <w:szCs w:val="15"/>
                <w:b w:val="1"/>
                <w:bCs w:val="1"/>
                <w:color w:val="auto"/>
              </w:rPr>
              <w:t>October 30,</w:t>
            </w:r>
          </w:p>
        </w:tc>
        <w:tc>
          <w:tcPr>
            <w:tcW w:w="20" w:type="dxa"/>
            <w:vAlign w:val="bottom"/>
          </w:tcPr>
          <w:p>
            <w:pPr>
              <w:spacing w:after="0"/>
              <w:rPr>
                <w:sz w:val="11"/>
                <w:szCs w:val="11"/>
                <w:color w:val="auto"/>
              </w:rPr>
            </w:pPr>
          </w:p>
        </w:tc>
      </w:tr>
      <w:tr>
        <w:trPr>
          <w:trHeight w:val="181"/>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 in millions)</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2022</w:t>
            </w: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b w:val="1"/>
                <w:bCs w:val="1"/>
                <w:color w:val="auto"/>
              </w:rPr>
              <w:t>2021</w:t>
            </w:r>
          </w:p>
        </w:tc>
        <w:tc>
          <w:tcPr>
            <w:tcW w:w="20" w:type="dxa"/>
            <w:vAlign w:val="bottom"/>
          </w:tcPr>
          <w:p>
            <w:pPr>
              <w:spacing w:after="0"/>
              <w:rPr>
                <w:sz w:val="15"/>
                <w:szCs w:val="15"/>
                <w:color w:val="auto"/>
              </w:rPr>
            </w:pPr>
          </w:p>
        </w:tc>
      </w:tr>
      <w:tr>
        <w:trPr>
          <w:trHeight w:val="156"/>
        </w:trPr>
        <w:tc>
          <w:tcPr>
            <w:tcW w:w="580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b w:val="1"/>
                <w:bCs w:val="1"/>
                <w:color w:val="auto"/>
              </w:rPr>
              <w:t>From operating activities:</w:t>
            </w: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5800" w:type="dxa"/>
            <w:vAlign w:val="bottom"/>
          </w:tcPr>
          <w:p>
            <w:pPr>
              <w:ind w:left="120"/>
              <w:spacing w:after="0" w:line="162" w:lineRule="exact"/>
              <w:rPr>
                <w:sz w:val="20"/>
                <w:szCs w:val="20"/>
                <w:color w:val="auto"/>
              </w:rPr>
            </w:pPr>
            <w:r>
              <w:rPr>
                <w:rFonts w:ascii="Arial" w:cs="Arial" w:eastAsia="Arial" w:hAnsi="Arial"/>
                <w:sz w:val="15"/>
                <w:szCs w:val="15"/>
                <w:color w:val="auto"/>
              </w:rPr>
              <w:t>Net income</w:t>
            </w:r>
          </w:p>
        </w:tc>
        <w:tc>
          <w:tcPr>
            <w:tcW w:w="380" w:type="dxa"/>
            <w:vAlign w:val="bottom"/>
          </w:tcPr>
          <w:p>
            <w:pPr>
              <w:jc w:val="right"/>
              <w:ind w:right="4"/>
              <w:spacing w:after="0" w:line="162" w:lineRule="exact"/>
              <w:rPr>
                <w:sz w:val="20"/>
                <w:szCs w:val="20"/>
                <w:color w:val="auto"/>
              </w:rPr>
            </w:pPr>
            <w:r>
              <w:rPr>
                <w:rFonts w:ascii="Arial" w:cs="Arial" w:eastAsia="Arial" w:hAnsi="Arial"/>
                <w:sz w:val="15"/>
                <w:szCs w:val="15"/>
                <w:b w:val="1"/>
                <w:bCs w:val="1"/>
                <w:color w:val="auto"/>
              </w:rPr>
              <w:t>$</w:t>
            </w:r>
          </w:p>
        </w:tc>
        <w:tc>
          <w:tcPr>
            <w:tcW w:w="1280" w:type="dxa"/>
            <w:vAlign w:val="bottom"/>
          </w:tcPr>
          <w:p>
            <w:pPr>
              <w:jc w:val="right"/>
              <w:ind w:right="84"/>
              <w:spacing w:after="0" w:line="162" w:lineRule="exact"/>
              <w:rPr>
                <w:sz w:val="20"/>
                <w:szCs w:val="20"/>
                <w:color w:val="auto"/>
              </w:rPr>
            </w:pPr>
            <w:r>
              <w:rPr>
                <w:rFonts w:ascii="Arial" w:cs="Arial" w:eastAsia="Arial" w:hAnsi="Arial"/>
                <w:sz w:val="15"/>
                <w:szCs w:val="15"/>
                <w:b w:val="1"/>
                <w:bCs w:val="1"/>
                <w:color w:val="auto"/>
              </w:rPr>
              <w:t>322</w:t>
            </w:r>
          </w:p>
        </w:tc>
        <w:tc>
          <w:tcPr>
            <w:tcW w:w="280" w:type="dxa"/>
            <w:vAlign w:val="bottom"/>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790</w:t>
            </w:r>
          </w:p>
        </w:tc>
        <w:tc>
          <w:tcPr>
            <w:tcW w:w="20" w:type="dxa"/>
            <w:vAlign w:val="bottom"/>
          </w:tcPr>
          <w:p>
            <w:pPr>
              <w:spacing w:after="0"/>
              <w:rPr>
                <w:sz w:val="14"/>
                <w:szCs w:val="14"/>
                <w:color w:val="auto"/>
              </w:rPr>
            </w:pPr>
          </w:p>
        </w:tc>
      </w:tr>
      <w:tr>
        <w:trPr>
          <w:trHeight w:val="162"/>
        </w:trPr>
        <w:tc>
          <w:tcPr>
            <w:tcW w:w="580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Adjustments to reconcile net income to net cash from operating activities:</w:t>
            </w: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800" w:type="dxa"/>
            <w:vAlign w:val="bottom"/>
          </w:tcPr>
          <w:p>
            <w:pPr>
              <w:ind w:left="220"/>
              <w:spacing w:after="0" w:line="162" w:lineRule="exact"/>
              <w:rPr>
                <w:sz w:val="20"/>
                <w:szCs w:val="20"/>
                <w:color w:val="auto"/>
              </w:rPr>
            </w:pPr>
            <w:r>
              <w:rPr>
                <w:rFonts w:ascii="Arial" w:cs="Arial" w:eastAsia="Arial" w:hAnsi="Arial"/>
                <w:sz w:val="15"/>
                <w:szCs w:val="15"/>
                <w:color w:val="auto"/>
              </w:rPr>
              <w:t>Non-cash impairment and other charges</w:t>
            </w:r>
          </w:p>
        </w:tc>
        <w:tc>
          <w:tcPr>
            <w:tcW w:w="380" w:type="dxa"/>
            <w:vAlign w:val="bottom"/>
          </w:tcPr>
          <w:p>
            <w:pPr>
              <w:spacing w:after="0"/>
              <w:rPr>
                <w:sz w:val="14"/>
                <w:szCs w:val="14"/>
                <w:color w:val="auto"/>
              </w:rPr>
            </w:pPr>
          </w:p>
        </w:tc>
        <w:tc>
          <w:tcPr>
            <w:tcW w:w="1280" w:type="dxa"/>
            <w:vAlign w:val="bottom"/>
          </w:tcPr>
          <w:p>
            <w:pPr>
              <w:jc w:val="right"/>
              <w:ind w:right="84"/>
              <w:spacing w:after="0" w:line="162" w:lineRule="exact"/>
              <w:rPr>
                <w:sz w:val="20"/>
                <w:szCs w:val="20"/>
                <w:color w:val="auto"/>
              </w:rPr>
            </w:pPr>
            <w:r>
              <w:rPr>
                <w:rFonts w:ascii="Arial" w:cs="Arial" w:eastAsia="Arial" w:hAnsi="Arial"/>
                <w:sz w:val="15"/>
                <w:szCs w:val="15"/>
                <w:b w:val="1"/>
                <w:bCs w:val="1"/>
                <w:color w:val="auto"/>
              </w:rPr>
              <w:t>5</w:t>
            </w:r>
          </w:p>
        </w:tc>
        <w:tc>
          <w:tcPr>
            <w:tcW w:w="28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88</w:t>
            </w:r>
          </w:p>
        </w:tc>
        <w:tc>
          <w:tcPr>
            <w:tcW w:w="20" w:type="dxa"/>
            <w:vAlign w:val="bottom"/>
          </w:tcPr>
          <w:p>
            <w:pPr>
              <w:spacing w:after="0"/>
              <w:rPr>
                <w:sz w:val="14"/>
                <w:szCs w:val="14"/>
                <w:color w:val="auto"/>
              </w:rPr>
            </w:pPr>
          </w:p>
        </w:tc>
      </w:tr>
      <w:tr>
        <w:trPr>
          <w:trHeight w:val="162"/>
        </w:trPr>
        <w:tc>
          <w:tcPr>
            <w:tcW w:w="5800" w:type="dxa"/>
            <w:vAlign w:val="bottom"/>
            <w:shd w:val="clear" w:color="auto" w:fill="CCEEFF"/>
          </w:tcPr>
          <w:p>
            <w:pPr>
              <w:ind w:left="220"/>
              <w:spacing w:after="0" w:line="162" w:lineRule="exact"/>
              <w:rPr>
                <w:sz w:val="20"/>
                <w:szCs w:val="20"/>
                <w:color w:val="auto"/>
              </w:rPr>
            </w:pPr>
            <w:r>
              <w:rPr>
                <w:rFonts w:ascii="Arial" w:cs="Arial" w:eastAsia="Arial" w:hAnsi="Arial"/>
                <w:sz w:val="15"/>
                <w:szCs w:val="15"/>
                <w:color w:val="auto"/>
              </w:rPr>
              <w:t>Fair value adjustments to minority investments</w:t>
            </w: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84"/>
              <w:spacing w:after="0" w:line="162" w:lineRule="exact"/>
              <w:rPr>
                <w:sz w:val="20"/>
                <w:szCs w:val="20"/>
                <w:color w:val="auto"/>
              </w:rPr>
            </w:pPr>
            <w:r>
              <w:rPr>
                <w:rFonts w:ascii="Arial" w:cs="Arial" w:eastAsia="Arial" w:hAnsi="Arial"/>
                <w:sz w:val="15"/>
                <w:szCs w:val="15"/>
                <w:b w:val="1"/>
                <w:bCs w:val="1"/>
                <w:color w:val="auto"/>
              </w:rPr>
              <w:t>52</w:t>
            </w: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(340)</w:t>
            </w:r>
          </w:p>
        </w:tc>
        <w:tc>
          <w:tcPr>
            <w:tcW w:w="20" w:type="dxa"/>
            <w:vAlign w:val="bottom"/>
          </w:tcPr>
          <w:p>
            <w:pPr>
              <w:spacing w:after="0"/>
              <w:rPr>
                <w:sz w:val="14"/>
                <w:szCs w:val="14"/>
                <w:color w:val="auto"/>
              </w:rPr>
            </w:pPr>
          </w:p>
        </w:tc>
      </w:tr>
      <w:tr>
        <w:trPr>
          <w:trHeight w:val="162"/>
        </w:trPr>
        <w:tc>
          <w:tcPr>
            <w:tcW w:w="5800" w:type="dxa"/>
            <w:vAlign w:val="bottom"/>
          </w:tcPr>
          <w:p>
            <w:pPr>
              <w:ind w:left="220"/>
              <w:spacing w:after="0" w:line="162" w:lineRule="exact"/>
              <w:rPr>
                <w:sz w:val="20"/>
                <w:szCs w:val="20"/>
                <w:color w:val="auto"/>
              </w:rPr>
            </w:pPr>
            <w:r>
              <w:rPr>
                <w:rFonts w:ascii="Arial" w:cs="Arial" w:eastAsia="Arial" w:hAnsi="Arial"/>
                <w:sz w:val="15"/>
                <w:szCs w:val="15"/>
                <w:color w:val="auto"/>
              </w:rPr>
              <w:t>Depreciation and amortization</w:t>
            </w:r>
          </w:p>
        </w:tc>
        <w:tc>
          <w:tcPr>
            <w:tcW w:w="380" w:type="dxa"/>
            <w:vAlign w:val="bottom"/>
          </w:tcPr>
          <w:p>
            <w:pPr>
              <w:spacing w:after="0"/>
              <w:rPr>
                <w:sz w:val="14"/>
                <w:szCs w:val="14"/>
                <w:color w:val="auto"/>
              </w:rPr>
            </w:pPr>
          </w:p>
        </w:tc>
        <w:tc>
          <w:tcPr>
            <w:tcW w:w="1280" w:type="dxa"/>
            <w:vAlign w:val="bottom"/>
          </w:tcPr>
          <w:p>
            <w:pPr>
              <w:jc w:val="right"/>
              <w:ind w:right="84"/>
              <w:spacing w:after="0" w:line="162" w:lineRule="exact"/>
              <w:rPr>
                <w:sz w:val="20"/>
                <w:szCs w:val="20"/>
                <w:color w:val="auto"/>
              </w:rPr>
            </w:pPr>
            <w:r>
              <w:rPr>
                <w:rFonts w:ascii="Arial" w:cs="Arial" w:eastAsia="Arial" w:hAnsi="Arial"/>
                <w:sz w:val="15"/>
                <w:szCs w:val="15"/>
                <w:b w:val="1"/>
                <w:bCs w:val="1"/>
                <w:color w:val="auto"/>
              </w:rPr>
              <w:t>157</w:t>
            </w:r>
          </w:p>
        </w:tc>
        <w:tc>
          <w:tcPr>
            <w:tcW w:w="28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142</w:t>
            </w:r>
          </w:p>
        </w:tc>
        <w:tc>
          <w:tcPr>
            <w:tcW w:w="20" w:type="dxa"/>
            <w:vAlign w:val="bottom"/>
          </w:tcPr>
          <w:p>
            <w:pPr>
              <w:spacing w:after="0"/>
              <w:rPr>
                <w:sz w:val="14"/>
                <w:szCs w:val="14"/>
                <w:color w:val="auto"/>
              </w:rPr>
            </w:pPr>
          </w:p>
        </w:tc>
      </w:tr>
      <w:tr>
        <w:trPr>
          <w:trHeight w:val="162"/>
        </w:trPr>
        <w:tc>
          <w:tcPr>
            <w:tcW w:w="5800" w:type="dxa"/>
            <w:vAlign w:val="bottom"/>
            <w:shd w:val="clear" w:color="auto" w:fill="CCEEFF"/>
          </w:tcPr>
          <w:p>
            <w:pPr>
              <w:ind w:left="220"/>
              <w:spacing w:after="0" w:line="162" w:lineRule="exact"/>
              <w:rPr>
                <w:sz w:val="20"/>
                <w:szCs w:val="20"/>
                <w:color w:val="auto"/>
              </w:rPr>
            </w:pPr>
            <w:r>
              <w:rPr>
                <w:rFonts w:ascii="Arial" w:cs="Arial" w:eastAsia="Arial" w:hAnsi="Arial"/>
                <w:sz w:val="15"/>
                <w:szCs w:val="15"/>
                <w:color w:val="auto"/>
              </w:rPr>
              <w:t>Deferred income taxes</w:t>
            </w: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84"/>
              <w:spacing w:after="0" w:line="162" w:lineRule="exact"/>
              <w:rPr>
                <w:sz w:val="20"/>
                <w:szCs w:val="20"/>
                <w:color w:val="auto"/>
              </w:rPr>
            </w:pPr>
            <w:r>
              <w:rPr>
                <w:rFonts w:ascii="Arial" w:cs="Arial" w:eastAsia="Arial" w:hAnsi="Arial"/>
                <w:sz w:val="15"/>
                <w:szCs w:val="15"/>
                <w:b w:val="1"/>
                <w:bCs w:val="1"/>
                <w:color w:val="auto"/>
              </w:rPr>
              <w:t>14</w:t>
            </w: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57</w:t>
            </w:r>
          </w:p>
        </w:tc>
        <w:tc>
          <w:tcPr>
            <w:tcW w:w="20" w:type="dxa"/>
            <w:vAlign w:val="bottom"/>
          </w:tcPr>
          <w:p>
            <w:pPr>
              <w:spacing w:after="0"/>
              <w:rPr>
                <w:sz w:val="14"/>
                <w:szCs w:val="14"/>
                <w:color w:val="auto"/>
              </w:rPr>
            </w:pPr>
          </w:p>
        </w:tc>
      </w:tr>
      <w:tr>
        <w:trPr>
          <w:trHeight w:val="162"/>
        </w:trPr>
        <w:tc>
          <w:tcPr>
            <w:tcW w:w="5800" w:type="dxa"/>
            <w:vAlign w:val="bottom"/>
          </w:tcPr>
          <w:p>
            <w:pPr>
              <w:ind w:left="220"/>
              <w:spacing w:after="0" w:line="162" w:lineRule="exact"/>
              <w:rPr>
                <w:sz w:val="20"/>
                <w:szCs w:val="20"/>
                <w:color w:val="auto"/>
              </w:rPr>
            </w:pPr>
            <w:r>
              <w:rPr>
                <w:rFonts w:ascii="Arial" w:cs="Arial" w:eastAsia="Arial" w:hAnsi="Arial"/>
                <w:sz w:val="15"/>
                <w:szCs w:val="15"/>
                <w:color w:val="auto"/>
              </w:rPr>
              <w:t>Share-based compensation expense</w:t>
            </w:r>
          </w:p>
        </w:tc>
        <w:tc>
          <w:tcPr>
            <w:tcW w:w="380" w:type="dxa"/>
            <w:vAlign w:val="bottom"/>
          </w:tcPr>
          <w:p>
            <w:pPr>
              <w:spacing w:after="0"/>
              <w:rPr>
                <w:sz w:val="14"/>
                <w:szCs w:val="14"/>
                <w:color w:val="auto"/>
              </w:rPr>
            </w:pPr>
          </w:p>
        </w:tc>
        <w:tc>
          <w:tcPr>
            <w:tcW w:w="1280" w:type="dxa"/>
            <w:vAlign w:val="bottom"/>
          </w:tcPr>
          <w:p>
            <w:pPr>
              <w:jc w:val="right"/>
              <w:ind w:right="84"/>
              <w:spacing w:after="0" w:line="162" w:lineRule="exact"/>
              <w:rPr>
                <w:sz w:val="20"/>
                <w:szCs w:val="20"/>
                <w:color w:val="auto"/>
              </w:rPr>
            </w:pPr>
            <w:r>
              <w:rPr>
                <w:rFonts w:ascii="Arial" w:cs="Arial" w:eastAsia="Arial" w:hAnsi="Arial"/>
                <w:sz w:val="15"/>
                <w:szCs w:val="15"/>
                <w:b w:val="1"/>
                <w:bCs w:val="1"/>
                <w:color w:val="auto"/>
              </w:rPr>
              <w:t>25</w:t>
            </w:r>
          </w:p>
        </w:tc>
        <w:tc>
          <w:tcPr>
            <w:tcW w:w="28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23</w:t>
            </w:r>
          </w:p>
        </w:tc>
        <w:tc>
          <w:tcPr>
            <w:tcW w:w="20" w:type="dxa"/>
            <w:vAlign w:val="bottom"/>
          </w:tcPr>
          <w:p>
            <w:pPr>
              <w:spacing w:after="0"/>
              <w:rPr>
                <w:sz w:val="14"/>
                <w:szCs w:val="14"/>
                <w:color w:val="auto"/>
              </w:rPr>
            </w:pPr>
          </w:p>
        </w:tc>
      </w:tr>
      <w:tr>
        <w:trPr>
          <w:trHeight w:val="162"/>
        </w:trPr>
        <w:tc>
          <w:tcPr>
            <w:tcW w:w="5800" w:type="dxa"/>
            <w:vAlign w:val="bottom"/>
            <w:shd w:val="clear" w:color="auto" w:fill="CCEEFF"/>
          </w:tcPr>
          <w:p>
            <w:pPr>
              <w:ind w:left="220"/>
              <w:spacing w:after="0" w:line="162" w:lineRule="exact"/>
              <w:rPr>
                <w:sz w:val="20"/>
                <w:szCs w:val="20"/>
                <w:color w:val="auto"/>
              </w:rPr>
            </w:pPr>
            <w:r>
              <w:rPr>
                <w:rFonts w:ascii="Arial" w:cs="Arial" w:eastAsia="Arial" w:hAnsi="Arial"/>
                <w:sz w:val="15"/>
                <w:szCs w:val="15"/>
                <w:color w:val="auto"/>
              </w:rPr>
              <w:t>Gain on disposal of business</w:t>
            </w: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44"/>
              <w:spacing w:after="0" w:line="162" w:lineRule="exact"/>
              <w:rPr>
                <w:sz w:val="20"/>
                <w:szCs w:val="20"/>
                <w:color w:val="auto"/>
              </w:rPr>
            </w:pPr>
            <w:r>
              <w:rPr>
                <w:rFonts w:ascii="Arial" w:cs="Arial" w:eastAsia="Arial" w:hAnsi="Arial"/>
                <w:sz w:val="15"/>
                <w:szCs w:val="15"/>
                <w:b w:val="1"/>
                <w:bCs w:val="1"/>
                <w:color w:val="auto"/>
              </w:rPr>
              <w:t>(19)</w:t>
            </w: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r>
      <w:tr>
        <w:trPr>
          <w:trHeight w:val="162"/>
        </w:trPr>
        <w:tc>
          <w:tcPr>
            <w:tcW w:w="5800" w:type="dxa"/>
            <w:vAlign w:val="bottom"/>
          </w:tcPr>
          <w:p>
            <w:pPr>
              <w:ind w:left="220"/>
              <w:spacing w:after="0" w:line="162" w:lineRule="exact"/>
              <w:rPr>
                <w:sz w:val="20"/>
                <w:szCs w:val="20"/>
                <w:color w:val="auto"/>
              </w:rPr>
            </w:pPr>
            <w:r>
              <w:rPr>
                <w:rFonts w:ascii="Arial" w:cs="Arial" w:eastAsia="Arial" w:hAnsi="Arial"/>
                <w:sz w:val="15"/>
                <w:szCs w:val="15"/>
                <w:color w:val="auto"/>
              </w:rPr>
              <w:t>Change in assets and liabilities:</w:t>
            </w: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800" w:type="dxa"/>
            <w:vAlign w:val="bottom"/>
            <w:shd w:val="clear" w:color="auto" w:fill="CCEEFF"/>
          </w:tcPr>
          <w:p>
            <w:pPr>
              <w:ind w:left="340"/>
              <w:spacing w:after="0" w:line="162" w:lineRule="exact"/>
              <w:rPr>
                <w:sz w:val="20"/>
                <w:szCs w:val="20"/>
                <w:color w:val="auto"/>
              </w:rPr>
            </w:pPr>
            <w:r>
              <w:rPr>
                <w:rFonts w:ascii="Arial" w:cs="Arial" w:eastAsia="Arial" w:hAnsi="Arial"/>
                <w:sz w:val="15"/>
                <w:szCs w:val="15"/>
                <w:color w:val="auto"/>
              </w:rPr>
              <w:t>Merchandise inventories</w:t>
            </w: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44"/>
              <w:spacing w:after="0" w:line="162" w:lineRule="exact"/>
              <w:rPr>
                <w:sz w:val="20"/>
                <w:szCs w:val="20"/>
                <w:color w:val="auto"/>
              </w:rPr>
            </w:pPr>
            <w:r>
              <w:rPr>
                <w:rFonts w:ascii="Arial" w:cs="Arial" w:eastAsia="Arial" w:hAnsi="Arial"/>
                <w:sz w:val="15"/>
                <w:szCs w:val="15"/>
                <w:b w:val="1"/>
                <w:bCs w:val="1"/>
                <w:color w:val="auto"/>
              </w:rPr>
              <w:t>(466)</w:t>
            </w: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(306)</w:t>
            </w:r>
          </w:p>
        </w:tc>
        <w:tc>
          <w:tcPr>
            <w:tcW w:w="20" w:type="dxa"/>
            <w:vAlign w:val="bottom"/>
          </w:tcPr>
          <w:p>
            <w:pPr>
              <w:spacing w:after="0"/>
              <w:rPr>
                <w:sz w:val="14"/>
                <w:szCs w:val="14"/>
                <w:color w:val="auto"/>
              </w:rPr>
            </w:pPr>
          </w:p>
        </w:tc>
      </w:tr>
      <w:tr>
        <w:trPr>
          <w:trHeight w:val="162"/>
        </w:trPr>
        <w:tc>
          <w:tcPr>
            <w:tcW w:w="5800" w:type="dxa"/>
            <w:vAlign w:val="bottom"/>
          </w:tcPr>
          <w:p>
            <w:pPr>
              <w:ind w:left="340"/>
              <w:spacing w:after="0" w:line="162" w:lineRule="exact"/>
              <w:rPr>
                <w:sz w:val="20"/>
                <w:szCs w:val="20"/>
                <w:color w:val="auto"/>
              </w:rPr>
            </w:pPr>
            <w:r>
              <w:rPr>
                <w:rFonts w:ascii="Arial" w:cs="Arial" w:eastAsia="Arial" w:hAnsi="Arial"/>
                <w:sz w:val="15"/>
                <w:szCs w:val="15"/>
                <w:color w:val="auto"/>
              </w:rPr>
              <w:t>Accounts payable</w:t>
            </w:r>
          </w:p>
        </w:tc>
        <w:tc>
          <w:tcPr>
            <w:tcW w:w="380" w:type="dxa"/>
            <w:vAlign w:val="bottom"/>
          </w:tcPr>
          <w:p>
            <w:pPr>
              <w:spacing w:after="0"/>
              <w:rPr>
                <w:sz w:val="14"/>
                <w:szCs w:val="14"/>
                <w:color w:val="auto"/>
              </w:rPr>
            </w:pPr>
          </w:p>
        </w:tc>
        <w:tc>
          <w:tcPr>
            <w:tcW w:w="1280" w:type="dxa"/>
            <w:vAlign w:val="bottom"/>
          </w:tcPr>
          <w:p>
            <w:pPr>
              <w:jc w:val="right"/>
              <w:ind w:right="44"/>
              <w:spacing w:after="0" w:line="162" w:lineRule="exact"/>
              <w:rPr>
                <w:sz w:val="20"/>
                <w:szCs w:val="20"/>
                <w:color w:val="auto"/>
              </w:rPr>
            </w:pPr>
            <w:r>
              <w:rPr>
                <w:rFonts w:ascii="Arial" w:cs="Arial" w:eastAsia="Arial" w:hAnsi="Arial"/>
                <w:sz w:val="15"/>
                <w:szCs w:val="15"/>
                <w:b w:val="1"/>
                <w:bCs w:val="1"/>
                <w:color w:val="auto"/>
              </w:rPr>
              <w:t>(58)</w:t>
            </w:r>
          </w:p>
        </w:tc>
        <w:tc>
          <w:tcPr>
            <w:tcW w:w="28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122</w:t>
            </w:r>
          </w:p>
        </w:tc>
        <w:tc>
          <w:tcPr>
            <w:tcW w:w="20" w:type="dxa"/>
            <w:vAlign w:val="bottom"/>
          </w:tcPr>
          <w:p>
            <w:pPr>
              <w:spacing w:after="0"/>
              <w:rPr>
                <w:sz w:val="14"/>
                <w:szCs w:val="14"/>
                <w:color w:val="auto"/>
              </w:rPr>
            </w:pPr>
          </w:p>
        </w:tc>
      </w:tr>
      <w:tr>
        <w:trPr>
          <w:trHeight w:val="162"/>
        </w:trPr>
        <w:tc>
          <w:tcPr>
            <w:tcW w:w="5800" w:type="dxa"/>
            <w:vAlign w:val="bottom"/>
            <w:shd w:val="clear" w:color="auto" w:fill="CCEEFF"/>
          </w:tcPr>
          <w:p>
            <w:pPr>
              <w:ind w:left="340"/>
              <w:spacing w:after="0" w:line="162" w:lineRule="exact"/>
              <w:rPr>
                <w:sz w:val="20"/>
                <w:szCs w:val="20"/>
                <w:color w:val="auto"/>
              </w:rPr>
            </w:pPr>
            <w:r>
              <w:rPr>
                <w:rFonts w:ascii="Arial" w:cs="Arial" w:eastAsia="Arial" w:hAnsi="Arial"/>
                <w:sz w:val="15"/>
                <w:szCs w:val="15"/>
                <w:color w:val="auto"/>
              </w:rPr>
              <w:t>Accrued and other liabilities</w:t>
            </w: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44"/>
              <w:spacing w:after="0" w:line="162" w:lineRule="exact"/>
              <w:rPr>
                <w:sz w:val="20"/>
                <w:szCs w:val="20"/>
                <w:color w:val="auto"/>
              </w:rPr>
            </w:pPr>
            <w:r>
              <w:rPr>
                <w:rFonts w:ascii="Arial" w:cs="Arial" w:eastAsia="Arial" w:hAnsi="Arial"/>
                <w:sz w:val="15"/>
                <w:szCs w:val="15"/>
                <w:b w:val="1"/>
                <w:bCs w:val="1"/>
                <w:color w:val="auto"/>
              </w:rPr>
              <w:t>(46)</w:t>
            </w: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w:t>
            </w:r>
          </w:p>
        </w:tc>
        <w:tc>
          <w:tcPr>
            <w:tcW w:w="20" w:type="dxa"/>
            <w:vAlign w:val="bottom"/>
          </w:tcPr>
          <w:p>
            <w:pPr>
              <w:spacing w:after="0"/>
              <w:rPr>
                <w:sz w:val="14"/>
                <w:szCs w:val="14"/>
                <w:color w:val="auto"/>
              </w:rPr>
            </w:pPr>
          </w:p>
        </w:tc>
      </w:tr>
      <w:tr>
        <w:trPr>
          <w:trHeight w:val="162"/>
        </w:trPr>
        <w:tc>
          <w:tcPr>
            <w:tcW w:w="5800" w:type="dxa"/>
            <w:vAlign w:val="bottom"/>
          </w:tcPr>
          <w:p>
            <w:pPr>
              <w:ind w:left="340"/>
              <w:spacing w:after="0" w:line="162" w:lineRule="exact"/>
              <w:rPr>
                <w:sz w:val="20"/>
                <w:szCs w:val="20"/>
                <w:color w:val="auto"/>
              </w:rPr>
            </w:pPr>
            <w:r>
              <w:rPr>
                <w:rFonts w:ascii="Arial" w:cs="Arial" w:eastAsia="Arial" w:hAnsi="Arial"/>
                <w:sz w:val="15"/>
                <w:szCs w:val="15"/>
                <w:color w:val="auto"/>
              </w:rPr>
              <w:t>Insurance recovery received for inventory loss</w:t>
            </w:r>
          </w:p>
        </w:tc>
        <w:tc>
          <w:tcPr>
            <w:tcW w:w="380" w:type="dxa"/>
            <w:vAlign w:val="bottom"/>
          </w:tcPr>
          <w:p>
            <w:pPr>
              <w:spacing w:after="0"/>
              <w:rPr>
                <w:sz w:val="14"/>
                <w:szCs w:val="14"/>
                <w:color w:val="auto"/>
              </w:rPr>
            </w:pPr>
          </w:p>
        </w:tc>
        <w:tc>
          <w:tcPr>
            <w:tcW w:w="1280" w:type="dxa"/>
            <w:vAlign w:val="bottom"/>
          </w:tcPr>
          <w:p>
            <w:pPr>
              <w:jc w:val="right"/>
              <w:ind w:right="84"/>
              <w:spacing w:after="0" w:line="162" w:lineRule="exact"/>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8</w:t>
            </w:r>
          </w:p>
        </w:tc>
        <w:tc>
          <w:tcPr>
            <w:tcW w:w="20" w:type="dxa"/>
            <w:vAlign w:val="bottom"/>
          </w:tcPr>
          <w:p>
            <w:pPr>
              <w:spacing w:after="0"/>
              <w:rPr>
                <w:sz w:val="14"/>
                <w:szCs w:val="14"/>
                <w:color w:val="auto"/>
              </w:rPr>
            </w:pPr>
          </w:p>
        </w:tc>
      </w:tr>
      <w:tr>
        <w:trPr>
          <w:trHeight w:val="162"/>
        </w:trPr>
        <w:tc>
          <w:tcPr>
            <w:tcW w:w="5800" w:type="dxa"/>
            <w:vAlign w:val="bottom"/>
            <w:tcBorders>
              <w:bottom w:val="single" w:sz="8" w:color="auto"/>
            </w:tcBorders>
            <w:shd w:val="clear" w:color="auto" w:fill="CCEEFF"/>
          </w:tcPr>
          <w:p>
            <w:pPr>
              <w:ind w:left="340"/>
              <w:spacing w:after="0" w:line="162" w:lineRule="exact"/>
              <w:rPr>
                <w:sz w:val="20"/>
                <w:szCs w:val="20"/>
                <w:color w:val="auto"/>
              </w:rPr>
            </w:pPr>
            <w:r>
              <w:rPr>
                <w:rFonts w:ascii="Arial" w:cs="Arial" w:eastAsia="Arial" w:hAnsi="Arial"/>
                <w:sz w:val="15"/>
                <w:szCs w:val="15"/>
                <w:color w:val="auto"/>
              </w:rPr>
              <w:t>Other, net</w:t>
            </w:r>
          </w:p>
        </w:tc>
        <w:tc>
          <w:tcPr>
            <w:tcW w:w="3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ind w:right="44"/>
              <w:spacing w:after="0" w:line="162" w:lineRule="exact"/>
              <w:rPr>
                <w:sz w:val="20"/>
                <w:szCs w:val="20"/>
                <w:color w:val="auto"/>
              </w:rPr>
            </w:pPr>
            <w:r>
              <w:rPr>
                <w:rFonts w:ascii="Arial" w:cs="Arial" w:eastAsia="Arial" w:hAnsi="Arial"/>
                <w:sz w:val="15"/>
                <w:szCs w:val="15"/>
                <w:b w:val="1"/>
                <w:bCs w:val="1"/>
                <w:color w:val="auto"/>
              </w:rPr>
              <w:t>(18)</w:t>
            </w:r>
          </w:p>
        </w:tc>
        <w:tc>
          <w:tcPr>
            <w:tcW w:w="2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(102)</w:t>
            </w:r>
          </w:p>
        </w:tc>
        <w:tc>
          <w:tcPr>
            <w:tcW w:w="20" w:type="dxa"/>
            <w:vAlign w:val="bottom"/>
          </w:tcPr>
          <w:p>
            <w:pPr>
              <w:spacing w:after="0"/>
              <w:rPr>
                <w:sz w:val="14"/>
                <w:szCs w:val="14"/>
                <w:color w:val="auto"/>
              </w:rPr>
            </w:pPr>
          </w:p>
        </w:tc>
      </w:tr>
      <w:tr>
        <w:trPr>
          <w:trHeight w:val="156"/>
        </w:trPr>
        <w:tc>
          <w:tcPr>
            <w:tcW w:w="5800" w:type="dxa"/>
            <w:vAlign w:val="bottom"/>
            <w:tcBorders>
              <w:bottom w:val="single" w:sz="8" w:color="auto"/>
            </w:tcBorders>
          </w:tcPr>
          <w:p>
            <w:pPr>
              <w:ind w:left="20"/>
              <w:spacing w:after="0" w:line="156" w:lineRule="exact"/>
              <w:rPr>
                <w:sz w:val="20"/>
                <w:szCs w:val="20"/>
                <w:color w:val="auto"/>
              </w:rPr>
            </w:pPr>
            <w:r>
              <w:rPr>
                <w:rFonts w:ascii="Arial" w:cs="Arial" w:eastAsia="Arial" w:hAnsi="Arial"/>
                <w:sz w:val="15"/>
                <w:szCs w:val="15"/>
                <w:color w:val="auto"/>
              </w:rPr>
              <w:t>Net cash (used in) / provided by operating activities</w:t>
            </w: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44"/>
              <w:spacing w:after="0" w:line="156" w:lineRule="exact"/>
              <w:rPr>
                <w:sz w:val="20"/>
                <w:szCs w:val="20"/>
                <w:color w:val="auto"/>
              </w:rPr>
            </w:pPr>
            <w:r>
              <w:rPr>
                <w:rFonts w:ascii="Arial" w:cs="Arial" w:eastAsia="Arial" w:hAnsi="Arial"/>
                <w:sz w:val="15"/>
                <w:szCs w:val="15"/>
                <w:b w:val="1"/>
                <w:bCs w:val="1"/>
                <w:color w:val="auto"/>
              </w:rPr>
              <w:t>(32)</w:t>
            </w: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498</w:t>
            </w:r>
          </w:p>
        </w:tc>
        <w:tc>
          <w:tcPr>
            <w:tcW w:w="20" w:type="dxa"/>
            <w:vAlign w:val="bottom"/>
          </w:tcPr>
          <w:p>
            <w:pPr>
              <w:spacing w:after="0"/>
              <w:rPr>
                <w:sz w:val="13"/>
                <w:szCs w:val="13"/>
                <w:color w:val="auto"/>
              </w:rPr>
            </w:pPr>
          </w:p>
        </w:tc>
      </w:tr>
      <w:tr>
        <w:trPr>
          <w:trHeight w:val="155"/>
        </w:trPr>
        <w:tc>
          <w:tcPr>
            <w:tcW w:w="580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b w:val="1"/>
                <w:bCs w:val="1"/>
                <w:color w:val="auto"/>
              </w:rPr>
              <w:t>From investing activities:</w:t>
            </w: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5800" w:type="dxa"/>
            <w:vAlign w:val="bottom"/>
          </w:tcPr>
          <w:p>
            <w:pPr>
              <w:ind w:left="120"/>
              <w:spacing w:after="0" w:line="162" w:lineRule="exact"/>
              <w:rPr>
                <w:sz w:val="20"/>
                <w:szCs w:val="20"/>
                <w:color w:val="auto"/>
              </w:rPr>
            </w:pPr>
            <w:r>
              <w:rPr>
                <w:rFonts w:ascii="Arial" w:cs="Arial" w:eastAsia="Arial" w:hAnsi="Arial"/>
                <w:sz w:val="15"/>
                <w:szCs w:val="15"/>
                <w:color w:val="auto"/>
              </w:rPr>
              <w:t>Capital expenditures</w:t>
            </w:r>
          </w:p>
        </w:tc>
        <w:tc>
          <w:tcPr>
            <w:tcW w:w="380" w:type="dxa"/>
            <w:vAlign w:val="bottom"/>
          </w:tcPr>
          <w:p>
            <w:pPr>
              <w:spacing w:after="0"/>
              <w:rPr>
                <w:sz w:val="14"/>
                <w:szCs w:val="14"/>
                <w:color w:val="auto"/>
              </w:rPr>
            </w:pPr>
          </w:p>
        </w:tc>
        <w:tc>
          <w:tcPr>
            <w:tcW w:w="1280" w:type="dxa"/>
            <w:vAlign w:val="bottom"/>
          </w:tcPr>
          <w:p>
            <w:pPr>
              <w:jc w:val="right"/>
              <w:ind w:right="44"/>
              <w:spacing w:after="0" w:line="162" w:lineRule="exact"/>
              <w:rPr>
                <w:sz w:val="20"/>
                <w:szCs w:val="20"/>
                <w:color w:val="auto"/>
              </w:rPr>
            </w:pPr>
            <w:r>
              <w:rPr>
                <w:rFonts w:ascii="Arial" w:cs="Arial" w:eastAsia="Arial" w:hAnsi="Arial"/>
                <w:sz w:val="15"/>
                <w:szCs w:val="15"/>
                <w:b w:val="1"/>
                <w:bCs w:val="1"/>
                <w:color w:val="auto"/>
              </w:rPr>
              <w:t>(218)</w:t>
            </w:r>
          </w:p>
        </w:tc>
        <w:tc>
          <w:tcPr>
            <w:tcW w:w="28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(137)</w:t>
            </w:r>
          </w:p>
        </w:tc>
        <w:tc>
          <w:tcPr>
            <w:tcW w:w="20" w:type="dxa"/>
            <w:vAlign w:val="bottom"/>
          </w:tcPr>
          <w:p>
            <w:pPr>
              <w:spacing w:after="0"/>
              <w:rPr>
                <w:sz w:val="14"/>
                <w:szCs w:val="14"/>
                <w:color w:val="auto"/>
              </w:rPr>
            </w:pPr>
          </w:p>
        </w:tc>
      </w:tr>
      <w:tr>
        <w:trPr>
          <w:trHeight w:val="162"/>
        </w:trPr>
        <w:tc>
          <w:tcPr>
            <w:tcW w:w="580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Purchase of business, net of cash acquired</w:t>
            </w: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44"/>
              <w:spacing w:after="0" w:line="162" w:lineRule="exact"/>
              <w:rPr>
                <w:sz w:val="20"/>
                <w:szCs w:val="20"/>
                <w:color w:val="auto"/>
              </w:rPr>
            </w:pPr>
            <w:r>
              <w:rPr>
                <w:rFonts w:ascii="Arial" w:cs="Arial" w:eastAsia="Arial" w:hAnsi="Arial"/>
                <w:sz w:val="15"/>
                <w:szCs w:val="15"/>
                <w:b w:val="1"/>
                <w:bCs w:val="1"/>
                <w:color w:val="auto"/>
              </w:rPr>
              <w:t>(18)</w:t>
            </w: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(737)</w:t>
            </w:r>
          </w:p>
        </w:tc>
        <w:tc>
          <w:tcPr>
            <w:tcW w:w="20" w:type="dxa"/>
            <w:vAlign w:val="bottom"/>
          </w:tcPr>
          <w:p>
            <w:pPr>
              <w:spacing w:after="0"/>
              <w:rPr>
                <w:sz w:val="14"/>
                <w:szCs w:val="14"/>
                <w:color w:val="auto"/>
              </w:rPr>
            </w:pPr>
          </w:p>
        </w:tc>
      </w:tr>
      <w:tr>
        <w:trPr>
          <w:trHeight w:val="162"/>
        </w:trPr>
        <w:tc>
          <w:tcPr>
            <w:tcW w:w="5800" w:type="dxa"/>
            <w:vAlign w:val="bottom"/>
          </w:tcPr>
          <w:p>
            <w:pPr>
              <w:ind w:left="120"/>
              <w:spacing w:after="0" w:line="162" w:lineRule="exact"/>
              <w:rPr>
                <w:sz w:val="20"/>
                <w:szCs w:val="20"/>
                <w:color w:val="auto"/>
              </w:rPr>
            </w:pPr>
            <w:r>
              <w:rPr>
                <w:rFonts w:ascii="Arial" w:cs="Arial" w:eastAsia="Arial" w:hAnsi="Arial"/>
                <w:sz w:val="15"/>
                <w:szCs w:val="15"/>
                <w:color w:val="auto"/>
              </w:rPr>
              <w:t>Minority investments</w:t>
            </w:r>
          </w:p>
        </w:tc>
        <w:tc>
          <w:tcPr>
            <w:tcW w:w="380" w:type="dxa"/>
            <w:vAlign w:val="bottom"/>
          </w:tcPr>
          <w:p>
            <w:pPr>
              <w:spacing w:after="0"/>
              <w:rPr>
                <w:sz w:val="14"/>
                <w:szCs w:val="14"/>
                <w:color w:val="auto"/>
              </w:rPr>
            </w:pPr>
          </w:p>
        </w:tc>
        <w:tc>
          <w:tcPr>
            <w:tcW w:w="1280" w:type="dxa"/>
            <w:vAlign w:val="bottom"/>
          </w:tcPr>
          <w:p>
            <w:pPr>
              <w:jc w:val="right"/>
              <w:ind w:right="44"/>
              <w:spacing w:after="0" w:line="162" w:lineRule="exact"/>
              <w:rPr>
                <w:sz w:val="20"/>
                <w:szCs w:val="20"/>
                <w:color w:val="auto"/>
              </w:rPr>
            </w:pPr>
            <w:r>
              <w:rPr>
                <w:rFonts w:ascii="Arial" w:cs="Arial" w:eastAsia="Arial" w:hAnsi="Arial"/>
                <w:sz w:val="15"/>
                <w:szCs w:val="15"/>
                <w:b w:val="1"/>
                <w:bCs w:val="1"/>
                <w:color w:val="auto"/>
              </w:rPr>
              <w:t>(5)</w:t>
            </w:r>
          </w:p>
        </w:tc>
        <w:tc>
          <w:tcPr>
            <w:tcW w:w="28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(115)</w:t>
            </w:r>
          </w:p>
        </w:tc>
        <w:tc>
          <w:tcPr>
            <w:tcW w:w="20" w:type="dxa"/>
            <w:vAlign w:val="bottom"/>
          </w:tcPr>
          <w:p>
            <w:pPr>
              <w:spacing w:after="0"/>
              <w:rPr>
                <w:sz w:val="14"/>
                <w:szCs w:val="14"/>
                <w:color w:val="auto"/>
              </w:rPr>
            </w:pPr>
          </w:p>
        </w:tc>
      </w:tr>
      <w:tr>
        <w:trPr>
          <w:trHeight w:val="162"/>
        </w:trPr>
        <w:tc>
          <w:tcPr>
            <w:tcW w:w="580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Proceeds from sale of business</w:t>
            </w: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84"/>
              <w:spacing w:after="0" w:line="162" w:lineRule="exact"/>
              <w:rPr>
                <w:sz w:val="20"/>
                <w:szCs w:val="20"/>
                <w:color w:val="auto"/>
              </w:rPr>
            </w:pPr>
            <w:r>
              <w:rPr>
                <w:rFonts w:ascii="Arial" w:cs="Arial" w:eastAsia="Arial" w:hAnsi="Arial"/>
                <w:sz w:val="15"/>
                <w:szCs w:val="15"/>
                <w:b w:val="1"/>
                <w:bCs w:val="1"/>
                <w:color w:val="auto"/>
              </w:rPr>
              <w:t>47</w:t>
            </w: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r>
      <w:tr>
        <w:trPr>
          <w:trHeight w:val="162"/>
        </w:trPr>
        <w:tc>
          <w:tcPr>
            <w:tcW w:w="5800" w:type="dxa"/>
            <w:vAlign w:val="bottom"/>
          </w:tcPr>
          <w:p>
            <w:pPr>
              <w:ind w:left="120"/>
              <w:spacing w:after="0" w:line="162" w:lineRule="exact"/>
              <w:rPr>
                <w:sz w:val="20"/>
                <w:szCs w:val="20"/>
                <w:color w:val="auto"/>
              </w:rPr>
            </w:pPr>
            <w:r>
              <w:rPr>
                <w:rFonts w:ascii="Arial" w:cs="Arial" w:eastAsia="Arial" w:hAnsi="Arial"/>
                <w:sz w:val="15"/>
                <w:szCs w:val="15"/>
                <w:color w:val="auto"/>
              </w:rPr>
              <w:t>Proceeds from minority investments</w:t>
            </w:r>
          </w:p>
        </w:tc>
        <w:tc>
          <w:tcPr>
            <w:tcW w:w="380" w:type="dxa"/>
            <w:vAlign w:val="bottom"/>
          </w:tcPr>
          <w:p>
            <w:pPr>
              <w:spacing w:after="0"/>
              <w:rPr>
                <w:sz w:val="14"/>
                <w:szCs w:val="14"/>
                <w:color w:val="auto"/>
              </w:rPr>
            </w:pPr>
          </w:p>
        </w:tc>
        <w:tc>
          <w:tcPr>
            <w:tcW w:w="1280" w:type="dxa"/>
            <w:vAlign w:val="bottom"/>
          </w:tcPr>
          <w:p>
            <w:pPr>
              <w:jc w:val="right"/>
              <w:ind w:right="84"/>
              <w:spacing w:after="0" w:line="162" w:lineRule="exact"/>
              <w:rPr>
                <w:sz w:val="20"/>
                <w:szCs w:val="20"/>
                <w:color w:val="auto"/>
              </w:rPr>
            </w:pPr>
            <w:r>
              <w:rPr>
                <w:rFonts w:ascii="Arial" w:cs="Arial" w:eastAsia="Arial" w:hAnsi="Arial"/>
                <w:sz w:val="15"/>
                <w:szCs w:val="15"/>
                <w:b w:val="1"/>
                <w:bCs w:val="1"/>
                <w:color w:val="auto"/>
              </w:rPr>
              <w:t>12</w:t>
            </w:r>
          </w:p>
        </w:tc>
        <w:tc>
          <w:tcPr>
            <w:tcW w:w="28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r>
      <w:tr>
        <w:trPr>
          <w:trHeight w:val="162"/>
        </w:trPr>
        <w:tc>
          <w:tcPr>
            <w:tcW w:w="580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Proceeds from sale of property</w:t>
            </w: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84"/>
              <w:spacing w:after="0" w:line="162" w:lineRule="exact"/>
              <w:rPr>
                <w:sz w:val="20"/>
                <w:szCs w:val="20"/>
                <w:color w:val="auto"/>
              </w:rPr>
            </w:pPr>
            <w:r>
              <w:rPr>
                <w:rFonts w:ascii="Arial" w:cs="Arial" w:eastAsia="Arial" w:hAnsi="Arial"/>
                <w:sz w:val="15"/>
                <w:szCs w:val="15"/>
                <w:b w:val="1"/>
                <w:bCs w:val="1"/>
                <w:color w:val="auto"/>
              </w:rPr>
              <w:t>—</w:t>
            </w: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w:t>
            </w:r>
          </w:p>
        </w:tc>
        <w:tc>
          <w:tcPr>
            <w:tcW w:w="20" w:type="dxa"/>
            <w:vAlign w:val="bottom"/>
          </w:tcPr>
          <w:p>
            <w:pPr>
              <w:spacing w:after="0"/>
              <w:rPr>
                <w:sz w:val="14"/>
                <w:szCs w:val="14"/>
                <w:color w:val="auto"/>
              </w:rPr>
            </w:pPr>
          </w:p>
        </w:tc>
      </w:tr>
      <w:tr>
        <w:trPr>
          <w:trHeight w:val="162"/>
        </w:trPr>
        <w:tc>
          <w:tcPr>
            <w:tcW w:w="5800" w:type="dxa"/>
            <w:vAlign w:val="bottom"/>
            <w:tcBorders>
              <w:bottom w:val="single" w:sz="8" w:color="auto"/>
            </w:tcBorders>
          </w:tcPr>
          <w:p>
            <w:pPr>
              <w:ind w:left="120"/>
              <w:spacing w:after="0" w:line="162" w:lineRule="exact"/>
              <w:rPr>
                <w:sz w:val="20"/>
                <w:szCs w:val="20"/>
                <w:color w:val="auto"/>
              </w:rPr>
            </w:pPr>
            <w:r>
              <w:rPr>
                <w:rFonts w:ascii="Arial" w:cs="Arial" w:eastAsia="Arial" w:hAnsi="Arial"/>
                <w:sz w:val="15"/>
                <w:szCs w:val="15"/>
                <w:color w:val="auto"/>
              </w:rPr>
              <w:t>Insurance proceeds related to loss on property and equipment</w:t>
            </w: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84"/>
              <w:spacing w:after="0" w:line="162" w:lineRule="exact"/>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3</w:t>
            </w:r>
          </w:p>
        </w:tc>
        <w:tc>
          <w:tcPr>
            <w:tcW w:w="20" w:type="dxa"/>
            <w:vAlign w:val="bottom"/>
          </w:tcPr>
          <w:p>
            <w:pPr>
              <w:spacing w:after="0"/>
              <w:rPr>
                <w:sz w:val="14"/>
                <w:szCs w:val="14"/>
                <w:color w:val="auto"/>
              </w:rPr>
            </w:pPr>
          </w:p>
        </w:tc>
      </w:tr>
      <w:tr>
        <w:trPr>
          <w:trHeight w:val="155"/>
        </w:trPr>
        <w:tc>
          <w:tcPr>
            <w:tcW w:w="5800" w:type="dxa"/>
            <w:vAlign w:val="bottom"/>
            <w:tcBorders>
              <w:bottom w:val="single" w:sz="8" w:color="auto"/>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Net cash used in investing activities</w:t>
            </w:r>
          </w:p>
        </w:tc>
        <w:tc>
          <w:tcPr>
            <w:tcW w:w="38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ind w:right="44"/>
              <w:spacing w:after="0" w:line="156" w:lineRule="exact"/>
              <w:rPr>
                <w:sz w:val="20"/>
                <w:szCs w:val="20"/>
                <w:color w:val="auto"/>
              </w:rPr>
            </w:pPr>
            <w:r>
              <w:rPr>
                <w:rFonts w:ascii="Arial" w:cs="Arial" w:eastAsia="Arial" w:hAnsi="Arial"/>
                <w:sz w:val="15"/>
                <w:szCs w:val="15"/>
                <w:b w:val="1"/>
                <w:bCs w:val="1"/>
                <w:color w:val="auto"/>
              </w:rPr>
              <w:t>(182)</w:t>
            </w:r>
          </w:p>
        </w:tc>
        <w:tc>
          <w:tcPr>
            <w:tcW w:w="28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(983)</w:t>
            </w:r>
          </w:p>
        </w:tc>
        <w:tc>
          <w:tcPr>
            <w:tcW w:w="20" w:type="dxa"/>
            <w:vAlign w:val="bottom"/>
          </w:tcPr>
          <w:p>
            <w:pPr>
              <w:spacing w:after="0"/>
              <w:rPr>
                <w:sz w:val="13"/>
                <w:szCs w:val="13"/>
                <w:color w:val="auto"/>
              </w:rPr>
            </w:pPr>
          </w:p>
        </w:tc>
      </w:tr>
      <w:tr>
        <w:trPr>
          <w:trHeight w:val="155"/>
        </w:trPr>
        <w:tc>
          <w:tcPr>
            <w:tcW w:w="5800" w:type="dxa"/>
            <w:vAlign w:val="bottom"/>
          </w:tcPr>
          <w:p>
            <w:pPr>
              <w:ind w:left="20"/>
              <w:spacing w:after="0" w:line="156" w:lineRule="exact"/>
              <w:rPr>
                <w:sz w:val="20"/>
                <w:szCs w:val="20"/>
                <w:color w:val="auto"/>
              </w:rPr>
            </w:pPr>
            <w:r>
              <w:rPr>
                <w:rFonts w:ascii="Arial" w:cs="Arial" w:eastAsia="Arial" w:hAnsi="Arial"/>
                <w:sz w:val="15"/>
                <w:szCs w:val="15"/>
                <w:b w:val="1"/>
                <w:bCs w:val="1"/>
                <w:color w:val="auto"/>
              </w:rPr>
              <w:t>From financing activities:</w:t>
            </w: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580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Proceeds from debt issuance, net</w:t>
            </w: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84"/>
              <w:spacing w:after="0" w:line="162" w:lineRule="exact"/>
              <w:rPr>
                <w:sz w:val="20"/>
                <w:szCs w:val="20"/>
                <w:color w:val="auto"/>
              </w:rPr>
            </w:pPr>
            <w:r>
              <w:rPr>
                <w:rFonts w:ascii="Arial" w:cs="Arial" w:eastAsia="Arial" w:hAnsi="Arial"/>
                <w:sz w:val="15"/>
                <w:szCs w:val="15"/>
                <w:b w:val="1"/>
                <w:bCs w:val="1"/>
                <w:color w:val="auto"/>
              </w:rPr>
              <w:t>—</w:t>
            </w: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395</w:t>
            </w:r>
          </w:p>
        </w:tc>
        <w:tc>
          <w:tcPr>
            <w:tcW w:w="20" w:type="dxa"/>
            <w:vAlign w:val="bottom"/>
          </w:tcPr>
          <w:p>
            <w:pPr>
              <w:spacing w:after="0"/>
              <w:rPr>
                <w:sz w:val="14"/>
                <w:szCs w:val="14"/>
                <w:color w:val="auto"/>
              </w:rPr>
            </w:pPr>
          </w:p>
        </w:tc>
      </w:tr>
      <w:tr>
        <w:trPr>
          <w:trHeight w:val="162"/>
        </w:trPr>
        <w:tc>
          <w:tcPr>
            <w:tcW w:w="5800" w:type="dxa"/>
            <w:vAlign w:val="bottom"/>
          </w:tcPr>
          <w:p>
            <w:pPr>
              <w:ind w:left="120"/>
              <w:spacing w:after="0" w:line="162" w:lineRule="exact"/>
              <w:rPr>
                <w:sz w:val="20"/>
                <w:szCs w:val="20"/>
                <w:color w:val="auto"/>
              </w:rPr>
            </w:pPr>
            <w:r>
              <w:rPr>
                <w:rFonts w:ascii="Arial" w:cs="Arial" w:eastAsia="Arial" w:hAnsi="Arial"/>
                <w:sz w:val="15"/>
                <w:szCs w:val="15"/>
                <w:color w:val="auto"/>
              </w:rPr>
              <w:t>Payment of debt issuance costs</w:t>
            </w:r>
          </w:p>
        </w:tc>
        <w:tc>
          <w:tcPr>
            <w:tcW w:w="380" w:type="dxa"/>
            <w:vAlign w:val="bottom"/>
          </w:tcPr>
          <w:p>
            <w:pPr>
              <w:spacing w:after="0"/>
              <w:rPr>
                <w:sz w:val="14"/>
                <w:szCs w:val="14"/>
                <w:color w:val="auto"/>
              </w:rPr>
            </w:pPr>
          </w:p>
        </w:tc>
        <w:tc>
          <w:tcPr>
            <w:tcW w:w="1280" w:type="dxa"/>
            <w:vAlign w:val="bottom"/>
          </w:tcPr>
          <w:p>
            <w:pPr>
              <w:jc w:val="right"/>
              <w:ind w:right="84"/>
              <w:spacing w:after="0" w:line="162" w:lineRule="exact"/>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(2)</w:t>
            </w:r>
          </w:p>
        </w:tc>
        <w:tc>
          <w:tcPr>
            <w:tcW w:w="20" w:type="dxa"/>
            <w:vAlign w:val="bottom"/>
          </w:tcPr>
          <w:p>
            <w:pPr>
              <w:spacing w:after="0"/>
              <w:rPr>
                <w:sz w:val="14"/>
                <w:szCs w:val="14"/>
                <w:color w:val="auto"/>
              </w:rPr>
            </w:pPr>
          </w:p>
        </w:tc>
      </w:tr>
      <w:tr>
        <w:trPr>
          <w:trHeight w:val="162"/>
        </w:trPr>
        <w:tc>
          <w:tcPr>
            <w:tcW w:w="580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Purchase of treasury shares</w:t>
            </w: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44"/>
              <w:spacing w:after="0" w:line="162" w:lineRule="exact"/>
              <w:rPr>
                <w:sz w:val="20"/>
                <w:szCs w:val="20"/>
                <w:color w:val="auto"/>
              </w:rPr>
            </w:pPr>
            <w:r>
              <w:rPr>
                <w:rFonts w:ascii="Arial" w:cs="Arial" w:eastAsia="Arial" w:hAnsi="Arial"/>
                <w:sz w:val="15"/>
                <w:szCs w:val="15"/>
                <w:b w:val="1"/>
                <w:bCs w:val="1"/>
                <w:color w:val="auto"/>
              </w:rPr>
              <w:t>(129)</w:t>
            </w: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(170)</w:t>
            </w:r>
          </w:p>
        </w:tc>
        <w:tc>
          <w:tcPr>
            <w:tcW w:w="20" w:type="dxa"/>
            <w:vAlign w:val="bottom"/>
          </w:tcPr>
          <w:p>
            <w:pPr>
              <w:spacing w:after="0"/>
              <w:rPr>
                <w:sz w:val="14"/>
                <w:szCs w:val="14"/>
                <w:color w:val="auto"/>
              </w:rPr>
            </w:pPr>
          </w:p>
        </w:tc>
      </w:tr>
      <w:tr>
        <w:trPr>
          <w:trHeight w:val="162"/>
        </w:trPr>
        <w:tc>
          <w:tcPr>
            <w:tcW w:w="5800" w:type="dxa"/>
            <w:vAlign w:val="bottom"/>
          </w:tcPr>
          <w:p>
            <w:pPr>
              <w:ind w:left="120"/>
              <w:spacing w:after="0" w:line="162" w:lineRule="exact"/>
              <w:rPr>
                <w:sz w:val="20"/>
                <w:szCs w:val="20"/>
                <w:color w:val="auto"/>
              </w:rPr>
            </w:pPr>
            <w:r>
              <w:rPr>
                <w:rFonts w:ascii="Arial" w:cs="Arial" w:eastAsia="Arial" w:hAnsi="Arial"/>
                <w:sz w:val="15"/>
                <w:szCs w:val="15"/>
                <w:color w:val="auto"/>
              </w:rPr>
              <w:t>Dividends paid on common stock</w:t>
            </w:r>
          </w:p>
        </w:tc>
        <w:tc>
          <w:tcPr>
            <w:tcW w:w="380" w:type="dxa"/>
            <w:vAlign w:val="bottom"/>
          </w:tcPr>
          <w:p>
            <w:pPr>
              <w:spacing w:after="0"/>
              <w:rPr>
                <w:sz w:val="14"/>
                <w:szCs w:val="14"/>
                <w:color w:val="auto"/>
              </w:rPr>
            </w:pPr>
          </w:p>
        </w:tc>
        <w:tc>
          <w:tcPr>
            <w:tcW w:w="1280" w:type="dxa"/>
            <w:vAlign w:val="bottom"/>
          </w:tcPr>
          <w:p>
            <w:pPr>
              <w:jc w:val="right"/>
              <w:ind w:right="44"/>
              <w:spacing w:after="0" w:line="162" w:lineRule="exact"/>
              <w:rPr>
                <w:sz w:val="20"/>
                <w:szCs w:val="20"/>
                <w:color w:val="auto"/>
              </w:rPr>
            </w:pPr>
            <w:r>
              <w:rPr>
                <w:rFonts w:ascii="Arial" w:cs="Arial" w:eastAsia="Arial" w:hAnsi="Arial"/>
                <w:sz w:val="15"/>
                <w:szCs w:val="15"/>
                <w:b w:val="1"/>
                <w:bCs w:val="1"/>
                <w:color w:val="auto"/>
              </w:rPr>
              <w:t>(113)</w:t>
            </w:r>
          </w:p>
        </w:tc>
        <w:tc>
          <w:tcPr>
            <w:tcW w:w="28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(72)</w:t>
            </w:r>
          </w:p>
        </w:tc>
        <w:tc>
          <w:tcPr>
            <w:tcW w:w="20" w:type="dxa"/>
            <w:vAlign w:val="bottom"/>
          </w:tcPr>
          <w:p>
            <w:pPr>
              <w:spacing w:after="0"/>
              <w:rPr>
                <w:sz w:val="14"/>
                <w:szCs w:val="14"/>
                <w:color w:val="auto"/>
              </w:rPr>
            </w:pPr>
          </w:p>
        </w:tc>
      </w:tr>
      <w:tr>
        <w:trPr>
          <w:trHeight w:val="162"/>
        </w:trPr>
        <w:tc>
          <w:tcPr>
            <w:tcW w:w="580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Payment of obligations under finance leases</w:t>
            </w: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44"/>
              <w:spacing w:after="0" w:line="162" w:lineRule="exact"/>
              <w:rPr>
                <w:sz w:val="20"/>
                <w:szCs w:val="20"/>
                <w:color w:val="auto"/>
              </w:rPr>
            </w:pPr>
            <w:r>
              <w:rPr>
                <w:rFonts w:ascii="Arial" w:cs="Arial" w:eastAsia="Arial" w:hAnsi="Arial"/>
                <w:sz w:val="15"/>
                <w:szCs w:val="15"/>
                <w:b w:val="1"/>
                <w:bCs w:val="1"/>
                <w:color w:val="auto"/>
              </w:rPr>
              <w:t>(5)</w:t>
            </w: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w:t>
            </w:r>
          </w:p>
        </w:tc>
        <w:tc>
          <w:tcPr>
            <w:tcW w:w="20" w:type="dxa"/>
            <w:vAlign w:val="bottom"/>
          </w:tcPr>
          <w:p>
            <w:pPr>
              <w:spacing w:after="0"/>
              <w:rPr>
                <w:sz w:val="14"/>
                <w:szCs w:val="14"/>
                <w:color w:val="auto"/>
              </w:rPr>
            </w:pPr>
          </w:p>
        </w:tc>
      </w:tr>
      <w:tr>
        <w:trPr>
          <w:trHeight w:val="162"/>
        </w:trPr>
        <w:tc>
          <w:tcPr>
            <w:tcW w:w="5800" w:type="dxa"/>
            <w:vAlign w:val="bottom"/>
          </w:tcPr>
          <w:p>
            <w:pPr>
              <w:ind w:left="120"/>
              <w:spacing w:after="0" w:line="162" w:lineRule="exact"/>
              <w:rPr>
                <w:sz w:val="20"/>
                <w:szCs w:val="20"/>
                <w:color w:val="auto"/>
              </w:rPr>
            </w:pPr>
            <w:r>
              <w:rPr>
                <w:rFonts w:ascii="Arial" w:cs="Arial" w:eastAsia="Arial" w:hAnsi="Arial"/>
                <w:sz w:val="15"/>
                <w:szCs w:val="15"/>
                <w:color w:val="auto"/>
              </w:rPr>
              <w:t>Shares of common stock repurchased to satisfy tax withholding obligations</w:t>
            </w:r>
          </w:p>
        </w:tc>
        <w:tc>
          <w:tcPr>
            <w:tcW w:w="380" w:type="dxa"/>
            <w:vAlign w:val="bottom"/>
          </w:tcPr>
          <w:p>
            <w:pPr>
              <w:spacing w:after="0"/>
              <w:rPr>
                <w:sz w:val="14"/>
                <w:szCs w:val="14"/>
                <w:color w:val="auto"/>
              </w:rPr>
            </w:pPr>
          </w:p>
        </w:tc>
        <w:tc>
          <w:tcPr>
            <w:tcW w:w="1280" w:type="dxa"/>
            <w:vAlign w:val="bottom"/>
          </w:tcPr>
          <w:p>
            <w:pPr>
              <w:jc w:val="right"/>
              <w:ind w:right="44"/>
              <w:spacing w:after="0" w:line="162" w:lineRule="exact"/>
              <w:rPr>
                <w:sz w:val="20"/>
                <w:szCs w:val="20"/>
                <w:color w:val="auto"/>
              </w:rPr>
            </w:pPr>
            <w:r>
              <w:rPr>
                <w:rFonts w:ascii="Arial" w:cs="Arial" w:eastAsia="Arial" w:hAnsi="Arial"/>
                <w:sz w:val="15"/>
                <w:szCs w:val="15"/>
                <w:b w:val="1"/>
                <w:bCs w:val="1"/>
                <w:color w:val="auto"/>
              </w:rPr>
              <w:t>(1)</w:t>
            </w:r>
          </w:p>
        </w:tc>
        <w:tc>
          <w:tcPr>
            <w:tcW w:w="28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(11)</w:t>
            </w:r>
          </w:p>
        </w:tc>
        <w:tc>
          <w:tcPr>
            <w:tcW w:w="20" w:type="dxa"/>
            <w:vAlign w:val="bottom"/>
          </w:tcPr>
          <w:p>
            <w:pPr>
              <w:spacing w:after="0"/>
              <w:rPr>
                <w:sz w:val="14"/>
                <w:szCs w:val="14"/>
                <w:color w:val="auto"/>
              </w:rPr>
            </w:pPr>
          </w:p>
        </w:tc>
      </w:tr>
      <w:tr>
        <w:trPr>
          <w:trHeight w:val="162"/>
        </w:trPr>
        <w:tc>
          <w:tcPr>
            <w:tcW w:w="580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Treasury stock reissued under employee stock plan</w:t>
            </w: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84"/>
              <w:spacing w:after="0" w:line="162" w:lineRule="exact"/>
              <w:rPr>
                <w:sz w:val="20"/>
                <w:szCs w:val="20"/>
                <w:color w:val="auto"/>
              </w:rPr>
            </w:pPr>
            <w:r>
              <w:rPr>
                <w:rFonts w:ascii="Arial" w:cs="Arial" w:eastAsia="Arial" w:hAnsi="Arial"/>
                <w:sz w:val="15"/>
                <w:szCs w:val="15"/>
                <w:b w:val="1"/>
                <w:bCs w:val="1"/>
                <w:color w:val="auto"/>
              </w:rPr>
              <w:t>3</w:t>
            </w: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w:t>
            </w:r>
          </w:p>
        </w:tc>
        <w:tc>
          <w:tcPr>
            <w:tcW w:w="20" w:type="dxa"/>
            <w:vAlign w:val="bottom"/>
          </w:tcPr>
          <w:p>
            <w:pPr>
              <w:spacing w:after="0"/>
              <w:rPr>
                <w:sz w:val="14"/>
                <w:szCs w:val="14"/>
                <w:color w:val="auto"/>
              </w:rPr>
            </w:pPr>
          </w:p>
        </w:tc>
      </w:tr>
      <w:tr>
        <w:trPr>
          <w:trHeight w:val="162"/>
        </w:trPr>
        <w:tc>
          <w:tcPr>
            <w:tcW w:w="5800" w:type="dxa"/>
            <w:vAlign w:val="bottom"/>
          </w:tcPr>
          <w:p>
            <w:pPr>
              <w:ind w:left="120"/>
              <w:spacing w:after="0" w:line="162" w:lineRule="exact"/>
              <w:rPr>
                <w:sz w:val="20"/>
                <w:szCs w:val="20"/>
                <w:color w:val="auto"/>
              </w:rPr>
            </w:pPr>
            <w:r>
              <w:rPr>
                <w:rFonts w:ascii="Arial" w:cs="Arial" w:eastAsia="Arial" w:hAnsi="Arial"/>
                <w:sz w:val="15"/>
                <w:szCs w:val="15"/>
                <w:color w:val="auto"/>
              </w:rPr>
              <w:t>Proceeds from exercise of stock options</w:t>
            </w:r>
          </w:p>
        </w:tc>
        <w:tc>
          <w:tcPr>
            <w:tcW w:w="380" w:type="dxa"/>
            <w:vAlign w:val="bottom"/>
          </w:tcPr>
          <w:p>
            <w:pPr>
              <w:spacing w:after="0"/>
              <w:rPr>
                <w:sz w:val="14"/>
                <w:szCs w:val="14"/>
                <w:color w:val="auto"/>
              </w:rPr>
            </w:pPr>
          </w:p>
        </w:tc>
        <w:tc>
          <w:tcPr>
            <w:tcW w:w="1280" w:type="dxa"/>
            <w:vAlign w:val="bottom"/>
          </w:tcPr>
          <w:p>
            <w:pPr>
              <w:jc w:val="right"/>
              <w:ind w:right="84"/>
              <w:spacing w:after="0" w:line="162" w:lineRule="exact"/>
              <w:rPr>
                <w:sz w:val="20"/>
                <w:szCs w:val="20"/>
                <w:color w:val="auto"/>
              </w:rPr>
            </w:pPr>
            <w:r>
              <w:rPr>
                <w:rFonts w:ascii="Arial" w:cs="Arial" w:eastAsia="Arial" w:hAnsi="Arial"/>
                <w:sz w:val="15"/>
                <w:szCs w:val="15"/>
                <w:b w:val="1"/>
                <w:bCs w:val="1"/>
                <w:color w:val="auto"/>
              </w:rPr>
              <w:t>4</w:t>
            </w:r>
          </w:p>
        </w:tc>
        <w:tc>
          <w:tcPr>
            <w:tcW w:w="28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10</w:t>
            </w:r>
          </w:p>
        </w:tc>
        <w:tc>
          <w:tcPr>
            <w:tcW w:w="20" w:type="dxa"/>
            <w:vAlign w:val="bottom"/>
          </w:tcPr>
          <w:p>
            <w:pPr>
              <w:spacing w:after="0"/>
              <w:rPr>
                <w:sz w:val="14"/>
                <w:szCs w:val="14"/>
                <w:color w:val="auto"/>
              </w:rPr>
            </w:pPr>
          </w:p>
        </w:tc>
      </w:tr>
      <w:tr>
        <w:trPr>
          <w:trHeight w:val="162"/>
        </w:trPr>
        <w:tc>
          <w:tcPr>
            <w:tcW w:w="5800" w:type="dxa"/>
            <w:vAlign w:val="bottom"/>
            <w:tcBorders>
              <w:bottom w:val="single" w:sz="8" w:color="auto"/>
            </w:tcBorders>
            <w:shd w:val="clear" w:color="auto" w:fill="CCEEFF"/>
          </w:tcPr>
          <w:p>
            <w:pPr>
              <w:ind w:left="120"/>
              <w:spacing w:after="0" w:line="162" w:lineRule="exact"/>
              <w:rPr>
                <w:sz w:val="20"/>
                <w:szCs w:val="20"/>
                <w:color w:val="auto"/>
              </w:rPr>
            </w:pPr>
            <w:r>
              <w:rPr>
                <w:rFonts w:ascii="Arial" w:cs="Arial" w:eastAsia="Arial" w:hAnsi="Arial"/>
                <w:sz w:val="15"/>
                <w:szCs w:val="15"/>
                <w:color w:val="auto"/>
              </w:rPr>
              <w:t>Contribution from non-controlling interest</w:t>
            </w:r>
          </w:p>
        </w:tc>
        <w:tc>
          <w:tcPr>
            <w:tcW w:w="3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ind w:right="84"/>
              <w:spacing w:after="0" w:line="162" w:lineRule="exact"/>
              <w:rPr>
                <w:sz w:val="20"/>
                <w:szCs w:val="20"/>
                <w:color w:val="auto"/>
              </w:rPr>
            </w:pPr>
            <w:r>
              <w:rPr>
                <w:rFonts w:ascii="Arial" w:cs="Arial" w:eastAsia="Arial" w:hAnsi="Arial"/>
                <w:sz w:val="15"/>
                <w:szCs w:val="15"/>
                <w:b w:val="1"/>
                <w:bCs w:val="1"/>
                <w:color w:val="auto"/>
              </w:rPr>
              <w:t>4</w:t>
            </w:r>
          </w:p>
        </w:tc>
        <w:tc>
          <w:tcPr>
            <w:tcW w:w="2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r>
      <w:tr>
        <w:trPr>
          <w:trHeight w:val="156"/>
        </w:trPr>
        <w:tc>
          <w:tcPr>
            <w:tcW w:w="5800" w:type="dxa"/>
            <w:vAlign w:val="bottom"/>
            <w:tcBorders>
              <w:bottom w:val="single" w:sz="8" w:color="auto"/>
            </w:tcBorders>
          </w:tcPr>
          <w:p>
            <w:pPr>
              <w:ind w:left="20"/>
              <w:spacing w:after="0" w:line="156" w:lineRule="exact"/>
              <w:rPr>
                <w:sz w:val="20"/>
                <w:szCs w:val="20"/>
                <w:color w:val="auto"/>
              </w:rPr>
            </w:pPr>
            <w:r>
              <w:rPr>
                <w:rFonts w:ascii="Arial" w:cs="Arial" w:eastAsia="Arial" w:hAnsi="Arial"/>
                <w:sz w:val="15"/>
                <w:szCs w:val="15"/>
                <w:color w:val="auto"/>
              </w:rPr>
              <w:t>Net cash (used in) / provided by financing activities</w:t>
            </w: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44"/>
              <w:spacing w:after="0" w:line="156" w:lineRule="exact"/>
              <w:rPr>
                <w:sz w:val="20"/>
                <w:szCs w:val="20"/>
                <w:color w:val="auto"/>
              </w:rPr>
            </w:pPr>
            <w:r>
              <w:rPr>
                <w:rFonts w:ascii="Arial" w:cs="Arial" w:eastAsia="Arial" w:hAnsi="Arial"/>
                <w:sz w:val="15"/>
                <w:szCs w:val="15"/>
                <w:b w:val="1"/>
                <w:bCs w:val="1"/>
                <w:color w:val="auto"/>
              </w:rPr>
              <w:t>(237)</w:t>
            </w: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154</w:t>
            </w:r>
          </w:p>
        </w:tc>
        <w:tc>
          <w:tcPr>
            <w:tcW w:w="20" w:type="dxa"/>
            <w:vAlign w:val="bottom"/>
          </w:tcPr>
          <w:p>
            <w:pPr>
              <w:spacing w:after="0"/>
              <w:rPr>
                <w:sz w:val="13"/>
                <w:szCs w:val="13"/>
                <w:color w:val="auto"/>
              </w:rPr>
            </w:pPr>
          </w:p>
        </w:tc>
      </w:tr>
      <w:tr>
        <w:trPr>
          <w:trHeight w:val="155"/>
        </w:trPr>
        <w:tc>
          <w:tcPr>
            <w:tcW w:w="5800" w:type="dxa"/>
            <w:vAlign w:val="bottom"/>
            <w:tcBorders>
              <w:bottom w:val="single" w:sz="8" w:color="auto"/>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Effect of exchange rate fluctuations on cash, cash equivalents, and restricted cash</w:t>
            </w:r>
          </w:p>
        </w:tc>
        <w:tc>
          <w:tcPr>
            <w:tcW w:w="38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ind w:right="44"/>
              <w:spacing w:after="0" w:line="156" w:lineRule="exact"/>
              <w:rPr>
                <w:sz w:val="20"/>
                <w:szCs w:val="20"/>
                <w:color w:val="auto"/>
              </w:rPr>
            </w:pPr>
            <w:r>
              <w:rPr>
                <w:rFonts w:ascii="Arial" w:cs="Arial" w:eastAsia="Arial" w:hAnsi="Arial"/>
                <w:sz w:val="15"/>
                <w:szCs w:val="15"/>
                <w:b w:val="1"/>
                <w:bCs w:val="1"/>
                <w:color w:val="auto"/>
              </w:rPr>
              <w:t>(6)</w:t>
            </w:r>
          </w:p>
        </w:tc>
        <w:tc>
          <w:tcPr>
            <w:tcW w:w="28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w:t>
            </w:r>
          </w:p>
        </w:tc>
        <w:tc>
          <w:tcPr>
            <w:tcW w:w="20" w:type="dxa"/>
            <w:vAlign w:val="bottom"/>
          </w:tcPr>
          <w:p>
            <w:pPr>
              <w:spacing w:after="0"/>
              <w:rPr>
                <w:sz w:val="13"/>
                <w:szCs w:val="13"/>
                <w:color w:val="auto"/>
              </w:rPr>
            </w:pPr>
          </w:p>
        </w:tc>
      </w:tr>
      <w:tr>
        <w:trPr>
          <w:trHeight w:val="155"/>
        </w:trPr>
        <w:tc>
          <w:tcPr>
            <w:tcW w:w="5800" w:type="dxa"/>
            <w:vAlign w:val="bottom"/>
          </w:tcPr>
          <w:p>
            <w:pPr>
              <w:ind w:left="20"/>
              <w:spacing w:after="0" w:line="156" w:lineRule="exact"/>
              <w:rPr>
                <w:sz w:val="20"/>
                <w:szCs w:val="20"/>
                <w:color w:val="auto"/>
              </w:rPr>
            </w:pPr>
            <w:r>
              <w:rPr>
                <w:rFonts w:ascii="Arial" w:cs="Arial" w:eastAsia="Arial" w:hAnsi="Arial"/>
                <w:sz w:val="15"/>
                <w:szCs w:val="15"/>
                <w:color w:val="auto"/>
              </w:rPr>
              <w:t>Net change in cash, cash equivalents, and restricted cash</w:t>
            </w:r>
          </w:p>
        </w:tc>
        <w:tc>
          <w:tcPr>
            <w:tcW w:w="380" w:type="dxa"/>
            <w:vAlign w:val="bottom"/>
          </w:tcPr>
          <w:p>
            <w:pPr>
              <w:spacing w:after="0"/>
              <w:rPr>
                <w:sz w:val="13"/>
                <w:szCs w:val="13"/>
                <w:color w:val="auto"/>
              </w:rPr>
            </w:pPr>
          </w:p>
        </w:tc>
        <w:tc>
          <w:tcPr>
            <w:tcW w:w="1280" w:type="dxa"/>
            <w:vAlign w:val="bottom"/>
          </w:tcPr>
          <w:p>
            <w:pPr>
              <w:jc w:val="right"/>
              <w:ind w:right="44"/>
              <w:spacing w:after="0" w:line="156" w:lineRule="exact"/>
              <w:rPr>
                <w:sz w:val="20"/>
                <w:szCs w:val="20"/>
                <w:color w:val="auto"/>
              </w:rPr>
            </w:pPr>
            <w:r>
              <w:rPr>
                <w:rFonts w:ascii="Arial" w:cs="Arial" w:eastAsia="Arial" w:hAnsi="Arial"/>
                <w:sz w:val="15"/>
                <w:szCs w:val="15"/>
                <w:b w:val="1"/>
                <w:bCs w:val="1"/>
                <w:color w:val="auto"/>
              </w:rPr>
              <w:t>(457)</w:t>
            </w:r>
          </w:p>
        </w:tc>
        <w:tc>
          <w:tcPr>
            <w:tcW w:w="280" w:type="dxa"/>
            <w:vAlign w:val="bottom"/>
          </w:tcPr>
          <w:p>
            <w:pPr>
              <w:spacing w:after="0"/>
              <w:rPr>
                <w:sz w:val="13"/>
                <w:szCs w:val="13"/>
                <w:color w:val="auto"/>
              </w:rPr>
            </w:pPr>
          </w:p>
        </w:tc>
        <w:tc>
          <w:tcPr>
            <w:tcW w:w="1160" w:type="dxa"/>
            <w:vAlign w:val="bottom"/>
          </w:tcPr>
          <w:p>
            <w:pPr>
              <w:jc w:val="right"/>
              <w:spacing w:after="0" w:line="156" w:lineRule="exact"/>
              <w:rPr>
                <w:sz w:val="20"/>
                <w:szCs w:val="20"/>
                <w:color w:val="auto"/>
              </w:rPr>
            </w:pPr>
            <w:r>
              <w:rPr>
                <w:rFonts w:ascii="Arial" w:cs="Arial" w:eastAsia="Arial" w:hAnsi="Arial"/>
                <w:sz w:val="15"/>
                <w:szCs w:val="15"/>
                <w:color w:val="auto"/>
              </w:rPr>
              <w:t>(333)</w:t>
            </w:r>
          </w:p>
        </w:tc>
        <w:tc>
          <w:tcPr>
            <w:tcW w:w="20" w:type="dxa"/>
            <w:vAlign w:val="bottom"/>
          </w:tcPr>
          <w:p>
            <w:pPr>
              <w:spacing w:after="0"/>
              <w:rPr>
                <w:sz w:val="13"/>
                <w:szCs w:val="13"/>
                <w:color w:val="auto"/>
              </w:rPr>
            </w:pPr>
          </w:p>
        </w:tc>
      </w:tr>
      <w:tr>
        <w:trPr>
          <w:trHeight w:val="162"/>
        </w:trPr>
        <w:tc>
          <w:tcPr>
            <w:tcW w:w="5800" w:type="dxa"/>
            <w:vAlign w:val="bottom"/>
            <w:tcBorders>
              <w:bottom w:val="single" w:sz="8" w:color="auto"/>
            </w:tcBorders>
            <w:shd w:val="clear" w:color="auto" w:fill="CCEEFF"/>
          </w:tcPr>
          <w:p>
            <w:pPr>
              <w:ind w:left="20"/>
              <w:spacing w:after="0" w:line="162" w:lineRule="exact"/>
              <w:rPr>
                <w:sz w:val="20"/>
                <w:szCs w:val="20"/>
                <w:color w:val="auto"/>
              </w:rPr>
            </w:pPr>
            <w:r>
              <w:rPr>
                <w:rFonts w:ascii="Arial" w:cs="Arial" w:eastAsia="Arial" w:hAnsi="Arial"/>
                <w:sz w:val="15"/>
                <w:szCs w:val="15"/>
                <w:color w:val="auto"/>
              </w:rPr>
              <w:t>Cash, cash equivalents, and restricted cash at beginning of year</w:t>
            </w:r>
          </w:p>
        </w:tc>
        <w:tc>
          <w:tcPr>
            <w:tcW w:w="3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ind w:right="84"/>
              <w:spacing w:after="0" w:line="162" w:lineRule="exact"/>
              <w:rPr>
                <w:sz w:val="20"/>
                <w:szCs w:val="20"/>
                <w:color w:val="auto"/>
              </w:rPr>
            </w:pPr>
            <w:r>
              <w:rPr>
                <w:rFonts w:ascii="Arial" w:cs="Arial" w:eastAsia="Arial" w:hAnsi="Arial"/>
                <w:sz w:val="15"/>
                <w:szCs w:val="15"/>
                <w:b w:val="1"/>
                <w:bCs w:val="1"/>
                <w:color w:val="auto"/>
              </w:rPr>
              <w:t>850</w:t>
            </w:r>
          </w:p>
        </w:tc>
        <w:tc>
          <w:tcPr>
            <w:tcW w:w="2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1,718</w:t>
            </w:r>
          </w:p>
        </w:tc>
        <w:tc>
          <w:tcPr>
            <w:tcW w:w="20" w:type="dxa"/>
            <w:vAlign w:val="bottom"/>
          </w:tcPr>
          <w:p>
            <w:pPr>
              <w:spacing w:after="0"/>
              <w:rPr>
                <w:sz w:val="14"/>
                <w:szCs w:val="14"/>
                <w:color w:val="auto"/>
              </w:rPr>
            </w:pPr>
          </w:p>
        </w:tc>
      </w:tr>
      <w:tr>
        <w:trPr>
          <w:trHeight w:val="195"/>
        </w:trPr>
        <w:tc>
          <w:tcPr>
            <w:tcW w:w="5800" w:type="dxa"/>
            <w:vAlign w:val="bottom"/>
            <w:tcBorders>
              <w:bottom w:val="single" w:sz="8" w:color="auto"/>
            </w:tcBorders>
          </w:tcPr>
          <w:p>
            <w:pPr>
              <w:ind w:left="20"/>
              <w:spacing w:after="0" w:line="156" w:lineRule="exact"/>
              <w:rPr>
                <w:sz w:val="20"/>
                <w:szCs w:val="20"/>
                <w:color w:val="auto"/>
              </w:rPr>
            </w:pPr>
            <w:r>
              <w:rPr>
                <w:rFonts w:ascii="Arial" w:cs="Arial" w:eastAsia="Arial" w:hAnsi="Arial"/>
                <w:sz w:val="15"/>
                <w:szCs w:val="15"/>
                <w:b w:val="1"/>
                <w:bCs w:val="1"/>
                <w:color w:val="auto"/>
              </w:rPr>
              <w:t>Cash, cash equivalents, and restricted cash at end of period</w:t>
            </w:r>
          </w:p>
        </w:tc>
        <w:tc>
          <w:tcPr>
            <w:tcW w:w="380" w:type="dxa"/>
            <w:vAlign w:val="bottom"/>
            <w:tcBorders>
              <w:bottom w:val="single" w:sz="8" w:color="auto"/>
            </w:tcBorders>
          </w:tcPr>
          <w:p>
            <w:pPr>
              <w:jc w:val="right"/>
              <w:ind w:right="4"/>
              <w:spacing w:after="0" w:line="156" w:lineRule="exact"/>
              <w:rPr>
                <w:sz w:val="20"/>
                <w:szCs w:val="20"/>
                <w:color w:val="auto"/>
              </w:rPr>
            </w:pPr>
            <w:r>
              <w:rPr>
                <w:rFonts w:ascii="Arial" w:cs="Arial" w:eastAsia="Arial" w:hAnsi="Arial"/>
                <w:sz w:val="15"/>
                <w:szCs w:val="15"/>
                <w:b w:val="1"/>
                <w:bCs w:val="1"/>
                <w:color w:val="auto"/>
              </w:rPr>
              <w:t>$</w:t>
            </w:r>
          </w:p>
        </w:tc>
        <w:tc>
          <w:tcPr>
            <w:tcW w:w="1280" w:type="dxa"/>
            <w:vAlign w:val="bottom"/>
            <w:tcBorders>
              <w:bottom w:val="single" w:sz="8" w:color="auto"/>
            </w:tcBorders>
          </w:tcPr>
          <w:p>
            <w:pPr>
              <w:jc w:val="right"/>
              <w:ind w:right="84"/>
              <w:spacing w:after="0" w:line="156" w:lineRule="exact"/>
              <w:rPr>
                <w:sz w:val="20"/>
                <w:szCs w:val="20"/>
                <w:color w:val="auto"/>
              </w:rPr>
            </w:pPr>
            <w:r>
              <w:rPr>
                <w:rFonts w:ascii="Arial" w:cs="Arial" w:eastAsia="Arial" w:hAnsi="Arial"/>
                <w:sz w:val="15"/>
                <w:szCs w:val="15"/>
                <w:b w:val="1"/>
                <w:bCs w:val="1"/>
                <w:color w:val="auto"/>
              </w:rPr>
              <w:t>393</w:t>
            </w:r>
          </w:p>
        </w:tc>
        <w:tc>
          <w:tcPr>
            <w:tcW w:w="280" w:type="dxa"/>
            <w:vAlign w:val="bottom"/>
            <w:tcBorders>
              <w:bottom w:val="single" w:sz="8" w:color="auto"/>
            </w:tcBorders>
          </w:tcPr>
          <w:p>
            <w:pPr>
              <w:jc w:val="right"/>
              <w:ind w:right="4"/>
              <w:spacing w:after="0" w:line="156" w:lineRule="exact"/>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1,385</w:t>
            </w:r>
          </w:p>
        </w:tc>
        <w:tc>
          <w:tcPr>
            <w:tcW w:w="20" w:type="dxa"/>
            <w:vAlign w:val="bottom"/>
          </w:tcPr>
          <w:p>
            <w:pPr>
              <w:spacing w:after="0"/>
              <w:rPr>
                <w:sz w:val="17"/>
                <w:szCs w:val="17"/>
                <w:color w:val="auto"/>
              </w:rPr>
            </w:pPr>
          </w:p>
        </w:tc>
      </w:tr>
      <w:tr>
        <w:trPr>
          <w:trHeight w:val="143"/>
        </w:trPr>
        <w:tc>
          <w:tcPr>
            <w:tcW w:w="58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5800" w:type="dxa"/>
            <w:vAlign w:val="bottom"/>
          </w:tcPr>
          <w:p>
            <w:pPr>
              <w:ind w:left="20"/>
              <w:spacing w:after="0" w:line="162" w:lineRule="exact"/>
              <w:rPr>
                <w:sz w:val="20"/>
                <w:szCs w:val="20"/>
                <w:color w:val="auto"/>
              </w:rPr>
            </w:pPr>
            <w:r>
              <w:rPr>
                <w:rFonts w:ascii="Arial" w:cs="Arial" w:eastAsia="Arial" w:hAnsi="Arial"/>
                <w:sz w:val="15"/>
                <w:szCs w:val="15"/>
                <w:b w:val="1"/>
                <w:bCs w:val="1"/>
                <w:color w:val="auto"/>
              </w:rPr>
              <w:t>Cash paid during the year:</w:t>
            </w: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80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Interest</w:t>
            </w:r>
          </w:p>
        </w:tc>
        <w:tc>
          <w:tcPr>
            <w:tcW w:w="38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b w:val="1"/>
                <w:bCs w:val="1"/>
                <w:color w:val="auto"/>
              </w:rPr>
              <w:t>$</w:t>
            </w:r>
          </w:p>
        </w:tc>
        <w:tc>
          <w:tcPr>
            <w:tcW w:w="1280" w:type="dxa"/>
            <w:vAlign w:val="bottom"/>
            <w:shd w:val="clear" w:color="auto" w:fill="CCEEFF"/>
          </w:tcPr>
          <w:p>
            <w:pPr>
              <w:jc w:val="right"/>
              <w:ind w:right="84"/>
              <w:spacing w:after="0" w:line="162" w:lineRule="exact"/>
              <w:rPr>
                <w:sz w:val="20"/>
                <w:szCs w:val="20"/>
                <w:color w:val="auto"/>
              </w:rPr>
            </w:pPr>
            <w:r>
              <w:rPr>
                <w:rFonts w:ascii="Arial" w:cs="Arial" w:eastAsia="Arial" w:hAnsi="Arial"/>
                <w:sz w:val="15"/>
                <w:szCs w:val="15"/>
                <w:b w:val="1"/>
                <w:bCs w:val="1"/>
                <w:color w:val="auto"/>
              </w:rPr>
              <w:t>17</w:t>
            </w:r>
          </w:p>
        </w:tc>
        <w:tc>
          <w:tcPr>
            <w:tcW w:w="28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w:t>
            </w:r>
          </w:p>
        </w:tc>
        <w:tc>
          <w:tcPr>
            <w:tcW w:w="20" w:type="dxa"/>
            <w:vAlign w:val="bottom"/>
          </w:tcPr>
          <w:p>
            <w:pPr>
              <w:spacing w:after="0"/>
              <w:rPr>
                <w:sz w:val="14"/>
                <w:szCs w:val="14"/>
                <w:color w:val="auto"/>
              </w:rPr>
            </w:pPr>
          </w:p>
        </w:tc>
      </w:tr>
      <w:tr>
        <w:trPr>
          <w:trHeight w:val="162"/>
        </w:trPr>
        <w:tc>
          <w:tcPr>
            <w:tcW w:w="5800" w:type="dxa"/>
            <w:vAlign w:val="bottom"/>
          </w:tcPr>
          <w:p>
            <w:pPr>
              <w:ind w:left="120"/>
              <w:spacing w:after="0" w:line="162" w:lineRule="exact"/>
              <w:rPr>
                <w:sz w:val="20"/>
                <w:szCs w:val="20"/>
                <w:color w:val="auto"/>
              </w:rPr>
            </w:pPr>
            <w:r>
              <w:rPr>
                <w:rFonts w:ascii="Arial" w:cs="Arial" w:eastAsia="Arial" w:hAnsi="Arial"/>
                <w:sz w:val="15"/>
                <w:szCs w:val="15"/>
                <w:color w:val="auto"/>
              </w:rPr>
              <w:t>Income taxes</w:t>
            </w:r>
          </w:p>
        </w:tc>
        <w:tc>
          <w:tcPr>
            <w:tcW w:w="380" w:type="dxa"/>
            <w:vAlign w:val="bottom"/>
          </w:tcPr>
          <w:p>
            <w:pPr>
              <w:jc w:val="right"/>
              <w:ind w:right="4"/>
              <w:spacing w:after="0" w:line="162" w:lineRule="exact"/>
              <w:rPr>
                <w:sz w:val="20"/>
                <w:szCs w:val="20"/>
                <w:color w:val="auto"/>
              </w:rPr>
            </w:pPr>
            <w:r>
              <w:rPr>
                <w:rFonts w:ascii="Arial" w:cs="Arial" w:eastAsia="Arial" w:hAnsi="Arial"/>
                <w:sz w:val="15"/>
                <w:szCs w:val="15"/>
                <w:b w:val="1"/>
                <w:bCs w:val="1"/>
                <w:color w:val="auto"/>
              </w:rPr>
              <w:t>$</w:t>
            </w:r>
          </w:p>
        </w:tc>
        <w:tc>
          <w:tcPr>
            <w:tcW w:w="1280" w:type="dxa"/>
            <w:vAlign w:val="bottom"/>
          </w:tcPr>
          <w:p>
            <w:pPr>
              <w:jc w:val="right"/>
              <w:ind w:right="84"/>
              <w:spacing w:after="0" w:line="162" w:lineRule="exact"/>
              <w:rPr>
                <w:sz w:val="20"/>
                <w:szCs w:val="20"/>
                <w:color w:val="auto"/>
              </w:rPr>
            </w:pPr>
            <w:r>
              <w:rPr>
                <w:rFonts w:ascii="Arial" w:cs="Arial" w:eastAsia="Arial" w:hAnsi="Arial"/>
                <w:sz w:val="15"/>
                <w:szCs w:val="15"/>
                <w:b w:val="1"/>
                <w:bCs w:val="1"/>
                <w:color w:val="auto"/>
              </w:rPr>
              <w:t>131</w:t>
            </w:r>
          </w:p>
        </w:tc>
        <w:tc>
          <w:tcPr>
            <w:tcW w:w="280" w:type="dxa"/>
            <w:vAlign w:val="bottom"/>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313</w:t>
            </w:r>
          </w:p>
        </w:tc>
        <w:tc>
          <w:tcPr>
            <w:tcW w:w="20" w:type="dxa"/>
            <w:vAlign w:val="bottom"/>
          </w:tcPr>
          <w:p>
            <w:pPr>
              <w:spacing w:after="0"/>
              <w:rPr>
                <w:sz w:val="14"/>
                <w:szCs w:val="14"/>
                <w:color w:val="auto"/>
              </w:rPr>
            </w:pPr>
          </w:p>
        </w:tc>
      </w:tr>
      <w:tr>
        <w:trPr>
          <w:trHeight w:val="162"/>
        </w:trPr>
        <w:tc>
          <w:tcPr>
            <w:tcW w:w="580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Cash paid for amounts included in measurement of operating lease liabilities</w:t>
            </w:r>
          </w:p>
        </w:tc>
        <w:tc>
          <w:tcPr>
            <w:tcW w:w="38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b w:val="1"/>
                <w:bCs w:val="1"/>
                <w:color w:val="auto"/>
              </w:rPr>
              <w:t>$</w:t>
            </w:r>
          </w:p>
        </w:tc>
        <w:tc>
          <w:tcPr>
            <w:tcW w:w="1280" w:type="dxa"/>
            <w:vAlign w:val="bottom"/>
            <w:shd w:val="clear" w:color="auto" w:fill="CCEEFF"/>
          </w:tcPr>
          <w:p>
            <w:pPr>
              <w:jc w:val="right"/>
              <w:ind w:right="84"/>
              <w:spacing w:after="0" w:line="162" w:lineRule="exact"/>
              <w:rPr>
                <w:sz w:val="20"/>
                <w:szCs w:val="20"/>
                <w:color w:val="auto"/>
              </w:rPr>
            </w:pPr>
            <w:r>
              <w:rPr>
                <w:rFonts w:ascii="Arial" w:cs="Arial" w:eastAsia="Arial" w:hAnsi="Arial"/>
                <w:sz w:val="15"/>
                <w:szCs w:val="15"/>
                <w:b w:val="1"/>
                <w:bCs w:val="1"/>
                <w:color w:val="auto"/>
              </w:rPr>
              <w:t>527</w:t>
            </w:r>
          </w:p>
        </w:tc>
        <w:tc>
          <w:tcPr>
            <w:tcW w:w="28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527</w:t>
            </w:r>
          </w:p>
        </w:tc>
        <w:tc>
          <w:tcPr>
            <w:tcW w:w="20" w:type="dxa"/>
            <w:vAlign w:val="bottom"/>
          </w:tcPr>
          <w:p>
            <w:pPr>
              <w:spacing w:after="0"/>
              <w:rPr>
                <w:sz w:val="14"/>
                <w:szCs w:val="14"/>
                <w:color w:val="auto"/>
              </w:rPr>
            </w:pPr>
          </w:p>
        </w:tc>
      </w:tr>
      <w:tr>
        <w:trPr>
          <w:trHeight w:val="162"/>
        </w:trPr>
        <w:tc>
          <w:tcPr>
            <w:tcW w:w="5800" w:type="dxa"/>
            <w:vAlign w:val="bottom"/>
          </w:tcPr>
          <w:p>
            <w:pPr>
              <w:ind w:left="120"/>
              <w:spacing w:after="0" w:line="162" w:lineRule="exact"/>
              <w:rPr>
                <w:sz w:val="20"/>
                <w:szCs w:val="20"/>
                <w:color w:val="auto"/>
              </w:rPr>
            </w:pPr>
            <w:r>
              <w:rPr>
                <w:rFonts w:ascii="Arial" w:cs="Arial" w:eastAsia="Arial" w:hAnsi="Arial"/>
                <w:sz w:val="15"/>
                <w:szCs w:val="15"/>
                <w:color w:val="auto"/>
              </w:rPr>
              <w:t>Cash paid for amounts included in measurement of finance lease liabilities</w:t>
            </w:r>
          </w:p>
        </w:tc>
        <w:tc>
          <w:tcPr>
            <w:tcW w:w="380" w:type="dxa"/>
            <w:vAlign w:val="bottom"/>
          </w:tcPr>
          <w:p>
            <w:pPr>
              <w:jc w:val="right"/>
              <w:ind w:right="4"/>
              <w:spacing w:after="0" w:line="162" w:lineRule="exact"/>
              <w:rPr>
                <w:sz w:val="20"/>
                <w:szCs w:val="20"/>
                <w:color w:val="auto"/>
              </w:rPr>
            </w:pPr>
            <w:r>
              <w:rPr>
                <w:rFonts w:ascii="Arial" w:cs="Arial" w:eastAsia="Arial" w:hAnsi="Arial"/>
                <w:sz w:val="15"/>
                <w:szCs w:val="15"/>
                <w:b w:val="1"/>
                <w:bCs w:val="1"/>
                <w:color w:val="auto"/>
              </w:rPr>
              <w:t>$</w:t>
            </w:r>
          </w:p>
        </w:tc>
        <w:tc>
          <w:tcPr>
            <w:tcW w:w="1280" w:type="dxa"/>
            <w:vAlign w:val="bottom"/>
          </w:tcPr>
          <w:p>
            <w:pPr>
              <w:jc w:val="right"/>
              <w:ind w:right="84"/>
              <w:spacing w:after="0" w:line="162" w:lineRule="exact"/>
              <w:rPr>
                <w:sz w:val="20"/>
                <w:szCs w:val="20"/>
                <w:color w:val="auto"/>
              </w:rPr>
            </w:pPr>
            <w:r>
              <w:rPr>
                <w:rFonts w:ascii="Arial" w:cs="Arial" w:eastAsia="Arial" w:hAnsi="Arial"/>
                <w:sz w:val="15"/>
                <w:szCs w:val="15"/>
                <w:b w:val="1"/>
                <w:bCs w:val="1"/>
                <w:color w:val="auto"/>
              </w:rPr>
              <w:t>7</w:t>
            </w:r>
          </w:p>
        </w:tc>
        <w:tc>
          <w:tcPr>
            <w:tcW w:w="280" w:type="dxa"/>
            <w:vAlign w:val="bottom"/>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3</w:t>
            </w:r>
          </w:p>
        </w:tc>
        <w:tc>
          <w:tcPr>
            <w:tcW w:w="20" w:type="dxa"/>
            <w:vAlign w:val="bottom"/>
          </w:tcPr>
          <w:p>
            <w:pPr>
              <w:spacing w:after="0"/>
              <w:rPr>
                <w:sz w:val="14"/>
                <w:szCs w:val="14"/>
                <w:color w:val="auto"/>
              </w:rPr>
            </w:pPr>
          </w:p>
        </w:tc>
      </w:tr>
      <w:tr>
        <w:trPr>
          <w:trHeight w:val="162"/>
        </w:trPr>
        <w:tc>
          <w:tcPr>
            <w:tcW w:w="58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800" w:type="dxa"/>
            <w:vAlign w:val="bottom"/>
          </w:tcPr>
          <w:p>
            <w:pPr>
              <w:ind w:left="20"/>
              <w:spacing w:after="0" w:line="162" w:lineRule="exact"/>
              <w:rPr>
                <w:sz w:val="20"/>
                <w:szCs w:val="20"/>
                <w:color w:val="auto"/>
              </w:rPr>
            </w:pPr>
            <w:r>
              <w:rPr>
                <w:rFonts w:ascii="Arial" w:cs="Arial" w:eastAsia="Arial" w:hAnsi="Arial"/>
                <w:sz w:val="15"/>
                <w:szCs w:val="15"/>
                <w:b w:val="1"/>
                <w:bCs w:val="1"/>
                <w:color w:val="auto"/>
              </w:rPr>
              <w:t>Non-cash investing activities:</w:t>
            </w: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80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Right-of-use assets obtained in exchange for operating lease obligations</w:t>
            </w:r>
          </w:p>
        </w:tc>
        <w:tc>
          <w:tcPr>
            <w:tcW w:w="38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b w:val="1"/>
                <w:bCs w:val="1"/>
                <w:color w:val="auto"/>
              </w:rPr>
              <w:t>$</w:t>
            </w:r>
          </w:p>
        </w:tc>
        <w:tc>
          <w:tcPr>
            <w:tcW w:w="1280" w:type="dxa"/>
            <w:vAlign w:val="bottom"/>
            <w:shd w:val="clear" w:color="auto" w:fill="CCEEFF"/>
          </w:tcPr>
          <w:p>
            <w:pPr>
              <w:jc w:val="right"/>
              <w:ind w:right="84"/>
              <w:spacing w:after="0" w:line="162" w:lineRule="exact"/>
              <w:rPr>
                <w:sz w:val="20"/>
                <w:szCs w:val="20"/>
                <w:color w:val="auto"/>
              </w:rPr>
            </w:pPr>
            <w:r>
              <w:rPr>
                <w:rFonts w:ascii="Arial" w:cs="Arial" w:eastAsia="Arial" w:hAnsi="Arial"/>
                <w:sz w:val="15"/>
                <w:szCs w:val="15"/>
                <w:b w:val="1"/>
                <w:bCs w:val="1"/>
                <w:color w:val="auto"/>
              </w:rPr>
              <w:t>363</w:t>
            </w:r>
          </w:p>
        </w:tc>
        <w:tc>
          <w:tcPr>
            <w:tcW w:w="28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242</w:t>
            </w:r>
          </w:p>
        </w:tc>
        <w:tc>
          <w:tcPr>
            <w:tcW w:w="20" w:type="dxa"/>
            <w:vAlign w:val="bottom"/>
          </w:tcPr>
          <w:p>
            <w:pPr>
              <w:spacing w:after="0"/>
              <w:rPr>
                <w:sz w:val="14"/>
                <w:szCs w:val="14"/>
                <w:color w:val="auto"/>
              </w:rPr>
            </w:pPr>
          </w:p>
        </w:tc>
      </w:tr>
      <w:tr>
        <w:trPr>
          <w:trHeight w:val="162"/>
        </w:trPr>
        <w:tc>
          <w:tcPr>
            <w:tcW w:w="5800" w:type="dxa"/>
            <w:vAlign w:val="bottom"/>
            <w:tcBorders>
              <w:bottom w:val="single" w:sz="8" w:color="auto"/>
            </w:tcBorders>
          </w:tcPr>
          <w:p>
            <w:pPr>
              <w:ind w:left="120"/>
              <w:spacing w:after="0" w:line="162" w:lineRule="exact"/>
              <w:rPr>
                <w:sz w:val="20"/>
                <w:szCs w:val="20"/>
                <w:color w:val="auto"/>
              </w:rPr>
            </w:pPr>
            <w:r>
              <w:rPr>
                <w:rFonts w:ascii="Arial" w:cs="Arial" w:eastAsia="Arial" w:hAnsi="Arial"/>
                <w:sz w:val="15"/>
                <w:szCs w:val="15"/>
                <w:color w:val="auto"/>
              </w:rPr>
              <w:t>Assets obtained in exchange for finance lease obligations</w:t>
            </w:r>
          </w:p>
        </w:tc>
        <w:tc>
          <w:tcPr>
            <w:tcW w:w="380" w:type="dxa"/>
            <w:vAlign w:val="bottom"/>
            <w:tcBorders>
              <w:bottom w:val="single" w:sz="8" w:color="auto"/>
            </w:tcBorders>
          </w:tcPr>
          <w:p>
            <w:pPr>
              <w:jc w:val="right"/>
              <w:ind w:right="4"/>
              <w:spacing w:after="0" w:line="162" w:lineRule="exact"/>
              <w:rPr>
                <w:sz w:val="20"/>
                <w:szCs w:val="20"/>
                <w:color w:val="auto"/>
              </w:rPr>
            </w:pPr>
            <w:r>
              <w:rPr>
                <w:rFonts w:ascii="Arial" w:cs="Arial" w:eastAsia="Arial" w:hAnsi="Arial"/>
                <w:sz w:val="15"/>
                <w:szCs w:val="15"/>
                <w:b w:val="1"/>
                <w:bCs w:val="1"/>
                <w:color w:val="auto"/>
              </w:rPr>
              <w:t>$</w:t>
            </w:r>
          </w:p>
        </w:tc>
        <w:tc>
          <w:tcPr>
            <w:tcW w:w="1280" w:type="dxa"/>
            <w:vAlign w:val="bottom"/>
            <w:tcBorders>
              <w:bottom w:val="single" w:sz="8" w:color="auto"/>
            </w:tcBorders>
          </w:tcPr>
          <w:p>
            <w:pPr>
              <w:jc w:val="right"/>
              <w:ind w:right="84"/>
              <w:spacing w:after="0" w:line="162" w:lineRule="exact"/>
              <w:rPr>
                <w:sz w:val="20"/>
                <w:szCs w:val="20"/>
                <w:color w:val="auto"/>
              </w:rPr>
            </w:pPr>
            <w:r>
              <w:rPr>
                <w:rFonts w:ascii="Arial" w:cs="Arial" w:eastAsia="Arial" w:hAnsi="Arial"/>
                <w:sz w:val="15"/>
                <w:szCs w:val="15"/>
                <w:b w:val="1"/>
                <w:bCs w:val="1"/>
                <w:color w:val="auto"/>
              </w:rPr>
              <w:t>1</w:t>
            </w:r>
          </w:p>
        </w:tc>
        <w:tc>
          <w:tcPr>
            <w:tcW w:w="280" w:type="dxa"/>
            <w:vAlign w:val="bottom"/>
            <w:tcBorders>
              <w:bottom w:val="single" w:sz="8" w:color="auto"/>
            </w:tcBorders>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4</w:t>
            </w:r>
          </w:p>
        </w:tc>
        <w:tc>
          <w:tcPr>
            <w:tcW w:w="20" w:type="dxa"/>
            <w:vAlign w:val="bottom"/>
          </w:tcPr>
          <w:p>
            <w:pPr>
              <w:spacing w:after="0"/>
              <w:rPr>
                <w:sz w:val="14"/>
                <w:szCs w:val="14"/>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 Unaudited Condensed Consolidated Financial Statements.</w:t>
      </w:r>
    </w:p>
    <w:p>
      <w:pPr>
        <w:spacing w:after="0" w:line="200" w:lineRule="exact"/>
        <w:rPr>
          <w:sz w:val="20"/>
          <w:szCs w:val="20"/>
          <w:color w:val="auto"/>
        </w:rPr>
      </w:pPr>
    </w:p>
    <w:p>
      <w:pPr>
        <w:spacing w:after="0" w:line="22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2022 Form 10-Q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154305</wp:posOffset>
            </wp:positionV>
            <wp:extent cx="1834515" cy="2146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of Presentation</w:t>
      </w:r>
    </w:p>
    <w:p>
      <w:pPr>
        <w:spacing w:after="0" w:line="210"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The accompanying condensed consolidated financial statements contained in this report are unaudited. In the opinion of management, the condensed consolidated financial statements include all normal, recurring adjustments necessary for a fair presentation of the results for the interim periods presented. As used in these Notes to the Unaudited Condensed Consolidated Financial Statements, the terms “Foot Locker,” “Company,” “we,” “our,” and “us” refer to Foot Locker, Inc. and its consolidated subsidiaries.</w:t>
      </w:r>
    </w:p>
    <w:p>
      <w:pPr>
        <w:spacing w:after="0" w:line="176"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The preparation of financial statements in accordance with U.S. generally accepted accounting principles requires us to make estimates and assumptions that affect the amounts reported in the accompanying Unaudited Condensed Consolidated Financial Statements and these Notes and related disclosures. Actual results may differ from those estimates. The results of operations for any interim period are not necessarily indicative of the results expected for the year.</w:t>
      </w:r>
    </w:p>
    <w:p>
      <w:pPr>
        <w:spacing w:after="0" w:line="176"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The results of operations for the period ended October 29, 2022 are not necessarily indicative of the results to be expected for the full fiscal year due to the continued uncertainty of general economic conditions that may affect us for the remainder of 2022.</w:t>
      </w:r>
    </w:p>
    <w:p>
      <w:pPr>
        <w:spacing w:after="0" w:line="16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the Notes to Consolidated Financial Statements contained in our 2021 Form 10-K.</w:t>
      </w:r>
    </w:p>
    <w:p>
      <w:pPr>
        <w:spacing w:after="0" w:line="15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 xml:space="preserve">There were no significant changes to the policies disclosed in Note 1, </w:t>
      </w:r>
      <w:r>
        <w:rPr>
          <w:rFonts w:ascii="Arial" w:cs="Arial" w:eastAsia="Arial" w:hAnsi="Arial"/>
          <w:sz w:val="18"/>
          <w:szCs w:val="18"/>
          <w:i w:val="1"/>
          <w:iCs w:val="1"/>
          <w:color w:val="auto"/>
        </w:rPr>
        <w:t>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Policies </w:t>
      </w:r>
      <w:r>
        <w:rPr>
          <w:rFonts w:ascii="Arial" w:cs="Arial" w:eastAsia="Arial" w:hAnsi="Arial"/>
          <w:sz w:val="18"/>
          <w:szCs w:val="18"/>
          <w:color w:val="auto"/>
        </w:rPr>
        <w:t>of our 2021 Form 10-K.</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 Accounting Pronouncements</w:t>
      </w:r>
    </w:p>
    <w:p>
      <w:pPr>
        <w:spacing w:after="0" w:line="21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Recently issued accounting pronouncements did not, or are not believed by management to, have a material effect on our present or future consolidated financial statements.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Acquisitions</w:t>
      </w:r>
    </w:p>
    <w:p>
      <w:pPr>
        <w:spacing w:after="0" w:line="171"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In 2021, we acquired WSS and atmos, two businesses that will allow us to further differentiate our product offerings, as well as our customer base, and diversify our retail store and omnichannel portfolio.</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WSS</w:t>
      </w:r>
    </w:p>
    <w:p>
      <w:pPr>
        <w:spacing w:after="0" w:line="210"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During the thirty-nine weeks ended October 29, 2022, we paid an additional $4 million upon the finalization of the value of net assets acquired, with a corresponding increase to goodwill as compared with the amounts presented in the most recent annual report. The aggregate purchase price for the acquisition has increased to $811 million ($741 million, net of cash acquired). During the third quarter of 2022, we recorded changes to the value of net assets acquired related to income tax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2022 Form 10-Q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154305</wp:posOffset>
            </wp:positionV>
            <wp:extent cx="1834515" cy="2146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0" w:right="819" w:firstLine="767"/>
        <w:spacing w:after="0" w:line="453" w:lineRule="auto"/>
        <w:rPr>
          <w:sz w:val="20"/>
          <w:szCs w:val="20"/>
          <w:color w:val="auto"/>
        </w:rPr>
      </w:pPr>
      <w:r>
        <w:rPr>
          <w:rFonts w:ascii="Arial" w:cs="Arial" w:eastAsia="Arial" w:hAnsi="Arial"/>
          <w:sz w:val="18"/>
          <w:szCs w:val="18"/>
          <w:b w:val="1"/>
          <w:bCs w:val="1"/>
          <w:color w:val="auto"/>
        </w:rPr>
        <w:t>NOTES TO THE UNAUDITED CONDENSED CONSOLIDATED FINANCIAL STATEMENTS 2. Acquisitions (continued)</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represents the final allocation of the purchase price for WSS.</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6"/>
          <w:szCs w:val="16"/>
          <w:color w:val="auto"/>
        </w:rPr>
        <w:t>($ in millions)</w:t>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5560" w:type="dxa"/>
            <w:vAlign w:val="bottom"/>
            <w:tcBorders>
              <w:top w:val="single" w:sz="8" w:color="auto"/>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Assets acquired:</w:t>
            </w:r>
          </w:p>
        </w:tc>
        <w:tc>
          <w:tcPr>
            <w:tcW w:w="24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r>
      <w:tr>
        <w:trPr>
          <w:trHeight w:val="189"/>
        </w:trPr>
        <w:tc>
          <w:tcPr>
            <w:tcW w:w="556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40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70</w:t>
            </w:r>
          </w:p>
        </w:tc>
      </w:tr>
      <w:tr>
        <w:trPr>
          <w:trHeight w:val="18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Merchandise inventories</w:t>
            </w:r>
          </w:p>
        </w:tc>
        <w:tc>
          <w:tcPr>
            <w:tcW w:w="24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w:t>
            </w:r>
          </w:p>
        </w:tc>
      </w:tr>
      <w:tr>
        <w:trPr>
          <w:trHeight w:val="189"/>
        </w:trPr>
        <w:tc>
          <w:tcPr>
            <w:tcW w:w="556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2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10</w:t>
            </w:r>
          </w:p>
        </w:tc>
      </w:tr>
      <w:tr>
        <w:trPr>
          <w:trHeight w:val="18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4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133</w:t>
            </w:r>
          </w:p>
        </w:tc>
      </w:tr>
      <w:tr>
        <w:trPr>
          <w:trHeight w:val="189"/>
        </w:trPr>
        <w:tc>
          <w:tcPr>
            <w:tcW w:w="556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143</w:t>
            </w:r>
          </w:p>
        </w:tc>
      </w:tr>
      <w:tr>
        <w:trPr>
          <w:trHeight w:val="18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Tradenames</w:t>
            </w:r>
          </w:p>
        </w:tc>
        <w:tc>
          <w:tcPr>
            <w:tcW w:w="24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296</w:t>
            </w:r>
          </w:p>
        </w:tc>
      </w:tr>
      <w:tr>
        <w:trPr>
          <w:trHeight w:val="189"/>
        </w:trPr>
        <w:tc>
          <w:tcPr>
            <w:tcW w:w="556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2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13</w:t>
            </w:r>
          </w:p>
        </w:tc>
      </w:tr>
      <w:tr>
        <w:trPr>
          <w:trHeight w:val="18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4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r>
      <w:tr>
        <w:trPr>
          <w:trHeight w:val="189"/>
        </w:trPr>
        <w:tc>
          <w:tcPr>
            <w:tcW w:w="5560" w:type="dxa"/>
            <w:vAlign w:val="bottom"/>
          </w:tcPr>
          <w:p>
            <w:pPr>
              <w:ind w:left="20"/>
              <w:spacing w:after="0"/>
              <w:rPr>
                <w:sz w:val="20"/>
                <w:szCs w:val="20"/>
                <w:color w:val="auto"/>
              </w:rPr>
            </w:pPr>
            <w:r>
              <w:rPr>
                <w:rFonts w:ascii="Arial" w:cs="Arial" w:eastAsia="Arial" w:hAnsi="Arial"/>
                <w:sz w:val="16"/>
                <w:szCs w:val="16"/>
                <w:b w:val="1"/>
                <w:bCs w:val="1"/>
                <w:color w:val="auto"/>
              </w:rPr>
              <w:t>Liabilities assumed:</w:t>
            </w:r>
          </w:p>
        </w:tc>
        <w:tc>
          <w:tcPr>
            <w:tcW w:w="24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 and accrued liabilities</w:t>
            </w:r>
          </w:p>
        </w:tc>
        <w:tc>
          <w:tcPr>
            <w:tcW w:w="2400" w:type="dxa"/>
            <w:vAlign w:val="bottom"/>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w:t>
            </w:r>
          </w:p>
        </w:tc>
      </w:tr>
      <w:tr>
        <w:trPr>
          <w:trHeight w:val="189"/>
        </w:trPr>
        <w:tc>
          <w:tcPr>
            <w:tcW w:w="5560" w:type="dxa"/>
            <w:vAlign w:val="bottom"/>
          </w:tcPr>
          <w:p>
            <w:pPr>
              <w:ind w:left="20"/>
              <w:spacing w:after="0"/>
              <w:rPr>
                <w:sz w:val="20"/>
                <w:szCs w:val="20"/>
                <w:color w:val="auto"/>
              </w:rPr>
            </w:pPr>
            <w:r>
              <w:rPr>
                <w:rFonts w:ascii="Arial" w:cs="Arial" w:eastAsia="Arial" w:hAnsi="Arial"/>
                <w:sz w:val="16"/>
                <w:szCs w:val="16"/>
                <w:color w:val="auto"/>
              </w:rPr>
              <w:t>Current portion of obligations under finance leases</w:t>
            </w:r>
          </w:p>
        </w:tc>
        <w:tc>
          <w:tcPr>
            <w:tcW w:w="2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w:t>
            </w:r>
          </w:p>
        </w:tc>
      </w:tr>
      <w:tr>
        <w:trPr>
          <w:trHeight w:val="18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portion of lease obligations</w:t>
            </w:r>
          </w:p>
        </w:tc>
        <w:tc>
          <w:tcPr>
            <w:tcW w:w="24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w:t>
            </w:r>
          </w:p>
        </w:tc>
      </w:tr>
      <w:tr>
        <w:trPr>
          <w:trHeight w:val="189"/>
        </w:trPr>
        <w:tc>
          <w:tcPr>
            <w:tcW w:w="5560" w:type="dxa"/>
            <w:vAlign w:val="bottom"/>
          </w:tcPr>
          <w:p>
            <w:pPr>
              <w:ind w:left="20"/>
              <w:spacing w:after="0"/>
              <w:rPr>
                <w:sz w:val="20"/>
                <w:szCs w:val="20"/>
                <w:color w:val="auto"/>
              </w:rPr>
            </w:pPr>
            <w:r>
              <w:rPr>
                <w:rFonts w:ascii="Arial" w:cs="Arial" w:eastAsia="Arial" w:hAnsi="Arial"/>
                <w:sz w:val="16"/>
                <w:szCs w:val="16"/>
                <w:color w:val="auto"/>
              </w:rPr>
              <w:t>Long-term portion of obligations under finance leases</w:t>
            </w:r>
          </w:p>
        </w:tc>
        <w:tc>
          <w:tcPr>
            <w:tcW w:w="2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(50)</w:t>
            </w:r>
          </w:p>
        </w:tc>
      </w:tr>
      <w:tr>
        <w:trPr>
          <w:trHeight w:val="18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lease obligations</w:t>
            </w:r>
          </w:p>
        </w:tc>
        <w:tc>
          <w:tcPr>
            <w:tcW w:w="24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(127)</w:t>
            </w:r>
          </w:p>
        </w:tc>
      </w:tr>
      <w:tr>
        <w:trPr>
          <w:trHeight w:val="189"/>
        </w:trPr>
        <w:tc>
          <w:tcPr>
            <w:tcW w:w="5560" w:type="dxa"/>
            <w:vAlign w:val="bottom"/>
          </w:tcPr>
          <w:p>
            <w:pPr>
              <w:ind w:left="20"/>
              <w:spacing w:after="0"/>
              <w:rPr>
                <w:sz w:val="20"/>
                <w:szCs w:val="20"/>
                <w:color w:val="auto"/>
              </w:rPr>
            </w:pPr>
            <w:r>
              <w:rPr>
                <w:rFonts w:ascii="Arial" w:cs="Arial" w:eastAsia="Arial" w:hAnsi="Arial"/>
                <w:sz w:val="16"/>
                <w:szCs w:val="16"/>
                <w:color w:val="auto"/>
              </w:rPr>
              <w:t>Deferred taxes</w:t>
            </w:r>
          </w:p>
        </w:tc>
        <w:tc>
          <w:tcPr>
            <w:tcW w:w="2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(87)</w:t>
            </w:r>
          </w:p>
        </w:tc>
      </w:tr>
      <w:tr>
        <w:trPr>
          <w:trHeight w:val="18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24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r>
      <w:tr>
        <w:trPr>
          <w:trHeight w:val="189"/>
        </w:trPr>
        <w:tc>
          <w:tcPr>
            <w:tcW w:w="55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9"/>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4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409</w:t>
            </w:r>
          </w:p>
        </w:tc>
      </w:tr>
      <w:tr>
        <w:trPr>
          <w:trHeight w:val="182"/>
        </w:trPr>
        <w:tc>
          <w:tcPr>
            <w:tcW w:w="5560" w:type="dxa"/>
            <w:vAlign w:val="bottom"/>
            <w:tcBorders>
              <w:bottom w:val="single" w:sz="8" w:color="auto"/>
            </w:tcBorders>
          </w:tcPr>
          <w:p>
            <w:pPr>
              <w:ind w:left="120"/>
              <w:spacing w:after="0" w:line="183" w:lineRule="exact"/>
              <w:rPr>
                <w:sz w:val="20"/>
                <w:szCs w:val="20"/>
                <w:color w:val="auto"/>
              </w:rPr>
            </w:pPr>
            <w:r>
              <w:rPr>
                <w:rFonts w:ascii="Arial" w:cs="Arial" w:eastAsia="Arial" w:hAnsi="Arial"/>
                <w:sz w:val="16"/>
                <w:szCs w:val="16"/>
                <w:color w:val="auto"/>
              </w:rPr>
              <w:t>Total purchase price</w:t>
            </w:r>
          </w:p>
        </w:tc>
        <w:tc>
          <w:tcPr>
            <w:tcW w:w="2400" w:type="dxa"/>
            <w:vAlign w:val="bottom"/>
            <w:tcBorders>
              <w:bottom w:val="single" w:sz="8" w:color="auto"/>
            </w:tcBorders>
          </w:tcPr>
          <w:p>
            <w:pPr>
              <w:jc w:val="right"/>
              <w:ind w:right="499"/>
              <w:spacing w:after="0" w:line="183" w:lineRule="exact"/>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811</w:t>
            </w:r>
          </w:p>
        </w:tc>
      </w:tr>
      <w:tr>
        <w:trPr>
          <w:trHeight w:val="20"/>
        </w:trPr>
        <w:tc>
          <w:tcPr>
            <w:tcW w:w="556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atmos</w:t>
      </w:r>
    </w:p>
    <w:p>
      <w:pPr>
        <w:spacing w:after="0" w:line="21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During the thirteen and thirty-nine weeks ended October 29, 2022, we paid an additional $6 million and $14 million, respectively, in connection with the finalization of certain post-closing conditions. The aggregate purchase price for the acquisition has increased to $374 million, subject to additional adjustments for the finalization of the value of net assets acquired and other post-closing matters. The preliminary purchase price includes contingent consideration initially measured at $35 million, which can reach up to $111 million based on achieving certain revenue growth and EBITDA performance targets. The fair value of the contingent consideration has not changed from the initial measurement. The preliminary purchase price does not yet reflect the finalization of the net working capital provisions and other post-closing adjustments. At closing, we placed $30 million in escrow, of which $10 million related to net working capital adjustments and $20 million related to certain indemnifications. The net working capital adjustment will be finalized during the fourth quarter and the indemnification escrow will be released in May 2023, unless there is a pending claim.</w:t>
      </w:r>
    </w:p>
    <w:p>
      <w:pPr>
        <w:spacing w:after="0" w:line="186"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The following table represents the preliminary allocation of the purchase price for atmos and includes fair value adjustments to certain assets and liabilities since our most recent annual report. Changes to amounts reported at year end included a $14 million increase in goodwill due to the additional purchase price, a $5 million downward valuation of intangible assets, and other changes of $2 million. These adjustments did not have a significant effect on the consolidated results of operations. We determined that the atmos tradenames will have an indefinite life and will not be amortized.</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are assessing the tax deductibility of the goodwill related to the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2022 Form 10-Q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154305</wp:posOffset>
            </wp:positionV>
            <wp:extent cx="1834515" cy="2146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0" w:right="819" w:firstLine="767"/>
        <w:spacing w:after="0" w:line="453" w:lineRule="auto"/>
        <w:rPr>
          <w:sz w:val="20"/>
          <w:szCs w:val="20"/>
          <w:color w:val="auto"/>
        </w:rPr>
      </w:pPr>
      <w:r>
        <w:rPr>
          <w:rFonts w:ascii="Arial" w:cs="Arial" w:eastAsia="Arial" w:hAnsi="Arial"/>
          <w:sz w:val="18"/>
          <w:szCs w:val="18"/>
          <w:b w:val="1"/>
          <w:bCs w:val="1"/>
          <w:color w:val="auto"/>
        </w:rPr>
        <w:t>NOTES TO THE UNAUDITED CONDENSED CONSOLIDATED FINANCIAL STATEMENTS 2. Acquisitions (continued)</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represents the preliminary allocation of the purchase price for atmos.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6"/>
          <w:szCs w:val="16"/>
          <w:color w:val="auto"/>
        </w:rPr>
        <w:t>($ in millions)</w:t>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4900" w:type="dxa"/>
            <w:vAlign w:val="bottom"/>
            <w:tcBorders>
              <w:top w:val="single" w:sz="8" w:color="auto"/>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Assets acquired:</w:t>
            </w:r>
          </w:p>
        </w:tc>
        <w:tc>
          <w:tcPr>
            <w:tcW w:w="308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r>
      <w:tr>
        <w:trPr>
          <w:trHeight w:val="189"/>
        </w:trPr>
        <w:tc>
          <w:tcPr>
            <w:tcW w:w="490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3080" w:type="dxa"/>
            <w:vAlign w:val="bottom"/>
          </w:tcPr>
          <w:p>
            <w:pPr>
              <w:jc w:val="right"/>
              <w:ind w:right="51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6</w:t>
            </w:r>
          </w:p>
        </w:tc>
      </w:tr>
      <w:tr>
        <w:trPr>
          <w:trHeight w:val="18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Merchandise inventories</w:t>
            </w:r>
          </w:p>
        </w:tc>
        <w:tc>
          <w:tcPr>
            <w:tcW w:w="30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w:t>
            </w:r>
          </w:p>
        </w:tc>
      </w:tr>
      <w:tr>
        <w:trPr>
          <w:trHeight w:val="189"/>
        </w:trPr>
        <w:tc>
          <w:tcPr>
            <w:tcW w:w="490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30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12</w:t>
            </w:r>
          </w:p>
        </w:tc>
      </w:tr>
      <w:tr>
        <w:trPr>
          <w:trHeight w:val="18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30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r>
      <w:tr>
        <w:trPr>
          <w:trHeight w:val="189"/>
        </w:trPr>
        <w:tc>
          <w:tcPr>
            <w:tcW w:w="490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30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44</w:t>
            </w:r>
          </w:p>
        </w:tc>
      </w:tr>
      <w:tr>
        <w:trPr>
          <w:trHeight w:val="18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Tradenames</w:t>
            </w:r>
          </w:p>
        </w:tc>
        <w:tc>
          <w:tcPr>
            <w:tcW w:w="30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130</w:t>
            </w:r>
          </w:p>
        </w:tc>
      </w:tr>
      <w:tr>
        <w:trPr>
          <w:trHeight w:val="189"/>
        </w:trPr>
        <w:tc>
          <w:tcPr>
            <w:tcW w:w="490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30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9</w:t>
            </w:r>
          </w:p>
        </w:tc>
      </w:tr>
      <w:tr>
        <w:trPr>
          <w:trHeight w:val="18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30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r>
      <w:tr>
        <w:trPr>
          <w:trHeight w:val="189"/>
        </w:trPr>
        <w:tc>
          <w:tcPr>
            <w:tcW w:w="4900" w:type="dxa"/>
            <w:vAlign w:val="bottom"/>
          </w:tcPr>
          <w:p>
            <w:pPr>
              <w:ind w:left="20"/>
              <w:spacing w:after="0"/>
              <w:rPr>
                <w:sz w:val="20"/>
                <w:szCs w:val="20"/>
                <w:color w:val="auto"/>
              </w:rPr>
            </w:pPr>
            <w:r>
              <w:rPr>
                <w:rFonts w:ascii="Arial" w:cs="Arial" w:eastAsia="Arial" w:hAnsi="Arial"/>
                <w:sz w:val="16"/>
                <w:szCs w:val="16"/>
                <w:b w:val="1"/>
                <w:bCs w:val="1"/>
                <w:color w:val="auto"/>
              </w:rPr>
              <w:t>Liabilities assumed:</w:t>
            </w:r>
          </w:p>
        </w:tc>
        <w:tc>
          <w:tcPr>
            <w:tcW w:w="30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3080" w:type="dxa"/>
            <w:vAlign w:val="bottom"/>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w:t>
            </w:r>
          </w:p>
        </w:tc>
      </w:tr>
      <w:tr>
        <w:trPr>
          <w:trHeight w:val="189"/>
        </w:trPr>
        <w:tc>
          <w:tcPr>
            <w:tcW w:w="4900" w:type="dxa"/>
            <w:vAlign w:val="bottom"/>
          </w:tcPr>
          <w:p>
            <w:pPr>
              <w:ind w:left="20"/>
              <w:spacing w:after="0"/>
              <w:rPr>
                <w:sz w:val="20"/>
                <w:szCs w:val="20"/>
                <w:color w:val="auto"/>
              </w:rPr>
            </w:pPr>
            <w:r>
              <w:rPr>
                <w:rFonts w:ascii="Arial" w:cs="Arial" w:eastAsia="Arial" w:hAnsi="Arial"/>
                <w:sz w:val="16"/>
                <w:szCs w:val="16"/>
                <w:color w:val="auto"/>
              </w:rPr>
              <w:t>Current portion of lease obligations</w:t>
            </w:r>
          </w:p>
        </w:tc>
        <w:tc>
          <w:tcPr>
            <w:tcW w:w="30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(10)</w:t>
            </w:r>
          </w:p>
        </w:tc>
      </w:tr>
      <w:tr>
        <w:trPr>
          <w:trHeight w:val="18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30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r>
      <w:tr>
        <w:trPr>
          <w:trHeight w:val="189"/>
        </w:trPr>
        <w:tc>
          <w:tcPr>
            <w:tcW w:w="4900" w:type="dxa"/>
            <w:vAlign w:val="bottom"/>
          </w:tcPr>
          <w:p>
            <w:pPr>
              <w:ind w:left="20"/>
              <w:spacing w:after="0"/>
              <w:rPr>
                <w:sz w:val="20"/>
                <w:szCs w:val="20"/>
                <w:color w:val="auto"/>
              </w:rPr>
            </w:pPr>
            <w:r>
              <w:rPr>
                <w:rFonts w:ascii="Arial" w:cs="Arial" w:eastAsia="Arial" w:hAnsi="Arial"/>
                <w:sz w:val="16"/>
                <w:szCs w:val="16"/>
                <w:color w:val="auto"/>
              </w:rPr>
              <w:t>Long-term lease obligations</w:t>
            </w:r>
          </w:p>
        </w:tc>
        <w:tc>
          <w:tcPr>
            <w:tcW w:w="30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(35)</w:t>
            </w:r>
          </w:p>
        </w:tc>
      </w:tr>
      <w:tr>
        <w:trPr>
          <w:trHeight w:val="18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taxes</w:t>
            </w:r>
          </w:p>
        </w:tc>
        <w:tc>
          <w:tcPr>
            <w:tcW w:w="30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w:t>
            </w:r>
          </w:p>
        </w:tc>
      </w:tr>
      <w:tr>
        <w:trPr>
          <w:trHeight w:val="189"/>
        </w:trPr>
        <w:tc>
          <w:tcPr>
            <w:tcW w:w="490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30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(8)</w:t>
            </w:r>
          </w:p>
        </w:tc>
      </w:tr>
      <w:tr>
        <w:trPr>
          <w:trHeight w:val="189"/>
        </w:trPr>
        <w:tc>
          <w:tcPr>
            <w:tcW w:w="4900" w:type="dxa"/>
            <w:vAlign w:val="bottom"/>
            <w:shd w:val="clear" w:color="auto" w:fill="CCEEFF"/>
          </w:tcPr>
          <w:p>
            <w:pPr>
              <w:spacing w:after="0"/>
              <w:rPr>
                <w:sz w:val="16"/>
                <w:szCs w:val="16"/>
                <w:color w:val="auto"/>
              </w:rPr>
            </w:pPr>
          </w:p>
        </w:tc>
        <w:tc>
          <w:tcPr>
            <w:tcW w:w="30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9"/>
        </w:trPr>
        <w:tc>
          <w:tcPr>
            <w:tcW w:w="490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4"/>
                <w:szCs w:val="14"/>
                <w:color w:val="auto"/>
              </w:rPr>
              <w:t xml:space="preserve">Goodwill </w:t>
            </w:r>
            <w:r>
              <w:rPr>
                <w:rFonts w:ascii="Arial" w:cs="Arial" w:eastAsia="Arial" w:hAnsi="Arial"/>
                <w:sz w:val="21"/>
                <w:szCs w:val="21"/>
                <w:color w:val="auto"/>
                <w:vertAlign w:val="superscript"/>
              </w:rPr>
              <w:t>(1)</w:t>
            </w:r>
          </w:p>
        </w:tc>
        <w:tc>
          <w:tcPr>
            <w:tcW w:w="30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253</w:t>
            </w:r>
          </w:p>
        </w:tc>
      </w:tr>
      <w:tr>
        <w:trPr>
          <w:trHeight w:val="183"/>
        </w:trPr>
        <w:tc>
          <w:tcPr>
            <w:tcW w:w="4900" w:type="dxa"/>
            <w:vAlign w:val="bottom"/>
            <w:tcBorders>
              <w:bottom w:val="single" w:sz="8" w:color="auto"/>
            </w:tcBorders>
            <w:shd w:val="clear" w:color="auto" w:fill="CCEEFF"/>
          </w:tcPr>
          <w:p>
            <w:pPr>
              <w:ind w:left="120"/>
              <w:spacing w:after="0" w:line="183" w:lineRule="exact"/>
              <w:rPr>
                <w:sz w:val="20"/>
                <w:szCs w:val="20"/>
                <w:color w:val="auto"/>
              </w:rPr>
            </w:pPr>
            <w:r>
              <w:rPr>
                <w:rFonts w:ascii="Arial" w:cs="Arial" w:eastAsia="Arial" w:hAnsi="Arial"/>
                <w:sz w:val="14"/>
                <w:szCs w:val="14"/>
                <w:color w:val="auto"/>
              </w:rPr>
              <w:t xml:space="preserve">Total purchase price </w:t>
            </w:r>
            <w:r>
              <w:rPr>
                <w:rFonts w:ascii="Arial" w:cs="Arial" w:eastAsia="Arial" w:hAnsi="Arial"/>
                <w:sz w:val="21"/>
                <w:szCs w:val="21"/>
                <w:color w:val="auto"/>
                <w:vertAlign w:val="superscript"/>
              </w:rPr>
              <w:t>(2)</w:t>
            </w:r>
          </w:p>
        </w:tc>
        <w:tc>
          <w:tcPr>
            <w:tcW w:w="3080" w:type="dxa"/>
            <w:vAlign w:val="bottom"/>
            <w:tcBorders>
              <w:bottom w:val="single" w:sz="8" w:color="auto"/>
            </w:tcBorders>
            <w:shd w:val="clear" w:color="auto" w:fill="CCEEFF"/>
          </w:tcPr>
          <w:p>
            <w:pPr>
              <w:jc w:val="right"/>
              <w:ind w:right="519"/>
              <w:spacing w:after="0" w:line="183" w:lineRule="exact"/>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374</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80" w:hanging="330"/>
        <w:spacing w:after="0"/>
        <w:tabs>
          <w:tab w:leader="none" w:pos="380" w:val="left"/>
        </w:tabs>
        <w:numPr>
          <w:ilvl w:val="0"/>
          <w:numId w:val="4"/>
        </w:numPr>
        <w:rPr>
          <w:rFonts w:ascii="Arial" w:cs="Arial" w:eastAsia="Arial" w:hAnsi="Arial"/>
          <w:sz w:val="14"/>
          <w:szCs w:val="14"/>
          <w:color w:val="auto"/>
        </w:rPr>
      </w:pPr>
      <w:r>
        <w:rPr>
          <w:rFonts w:ascii="Arial" w:cs="Arial" w:eastAsia="Arial" w:hAnsi="Arial"/>
          <w:sz w:val="14"/>
          <w:szCs w:val="14"/>
          <w:color w:val="auto"/>
        </w:rPr>
        <w:t>Goodwill represented on this table is at the exchange rate in effect as of the date of acquisition.</w:t>
      </w:r>
    </w:p>
    <w:p>
      <w:pPr>
        <w:spacing w:after="0" w:line="15" w:lineRule="exact"/>
        <w:rPr>
          <w:rFonts w:ascii="Arial" w:cs="Arial" w:eastAsia="Arial" w:hAnsi="Arial"/>
          <w:sz w:val="14"/>
          <w:szCs w:val="14"/>
          <w:color w:val="auto"/>
        </w:rPr>
      </w:pPr>
    </w:p>
    <w:p>
      <w:pPr>
        <w:ind w:left="380" w:hanging="330"/>
        <w:spacing w:after="0"/>
        <w:tabs>
          <w:tab w:leader="none" w:pos="3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Total purchase price consists of $339 million in cash and $35 million of contingent consideration.</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Revenue</w:t>
      </w:r>
    </w:p>
    <w:p>
      <w:pPr>
        <w:spacing w:after="0" w:line="171"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The table below presents sales disaggregated based upon sales channel. Sales are attributable to the channel in which the sales transaction is initiated.</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26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3"/>
          </w:tcPr>
          <w:p>
            <w:pPr>
              <w:jc w:val="right"/>
              <w:ind w:right="135"/>
              <w:spacing w:after="0"/>
              <w:rPr>
                <w:sz w:val="20"/>
                <w:szCs w:val="20"/>
                <w:color w:val="auto"/>
              </w:rPr>
            </w:pPr>
            <w:r>
              <w:rPr>
                <w:rFonts w:ascii="Arial" w:cs="Arial" w:eastAsia="Arial" w:hAnsi="Arial"/>
                <w:sz w:val="17"/>
                <w:szCs w:val="17"/>
                <w:b w:val="1"/>
                <w:bCs w:val="1"/>
                <w:color w:val="auto"/>
              </w:rPr>
              <w:t>Thirteen weeks ended</w:t>
            </w:r>
          </w:p>
        </w:tc>
        <w:tc>
          <w:tcPr>
            <w:tcW w:w="2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jc w:val="right"/>
              <w:ind w:right="175"/>
              <w:spacing w:after="0"/>
              <w:rPr>
                <w:sz w:val="20"/>
                <w:szCs w:val="20"/>
                <w:color w:val="auto"/>
              </w:rPr>
            </w:pPr>
            <w:r>
              <w:rPr>
                <w:rFonts w:ascii="Arial" w:cs="Arial" w:eastAsia="Arial" w:hAnsi="Arial"/>
                <w:sz w:val="17"/>
                <w:szCs w:val="17"/>
                <w:b w:val="1"/>
                <w:bCs w:val="1"/>
                <w:color w:val="auto"/>
              </w:rPr>
              <w:t>Thirty-nine weeks ended</w:t>
            </w:r>
          </w:p>
        </w:tc>
      </w:tr>
      <w:tr>
        <w:trPr>
          <w:trHeight w:val="160"/>
        </w:trPr>
        <w:tc>
          <w:tcPr>
            <w:tcW w:w="26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20" w:type="dxa"/>
            <w:vAlign w:val="bottom"/>
          </w:tcPr>
          <w:p>
            <w:pPr>
              <w:jc w:val="right"/>
              <w:ind w:right="95"/>
              <w:spacing w:after="0" w:line="160" w:lineRule="exact"/>
              <w:rPr>
                <w:sz w:val="20"/>
                <w:szCs w:val="20"/>
                <w:color w:val="auto"/>
              </w:rPr>
            </w:pPr>
            <w:r>
              <w:rPr>
                <w:rFonts w:ascii="Arial" w:cs="Arial" w:eastAsia="Arial" w:hAnsi="Arial"/>
                <w:sz w:val="17"/>
                <w:szCs w:val="17"/>
                <w:b w:val="1"/>
                <w:bCs w:val="1"/>
                <w:color w:val="auto"/>
                <w:w w:val="98"/>
              </w:rPr>
              <w:t>October 29,</w:t>
            </w:r>
          </w:p>
        </w:tc>
        <w:tc>
          <w:tcPr>
            <w:tcW w:w="220" w:type="dxa"/>
            <w:vAlign w:val="bottom"/>
          </w:tcPr>
          <w:p>
            <w:pPr>
              <w:spacing w:after="0"/>
              <w:rPr>
                <w:sz w:val="13"/>
                <w:szCs w:val="13"/>
                <w:color w:val="auto"/>
              </w:rPr>
            </w:pPr>
          </w:p>
        </w:tc>
        <w:tc>
          <w:tcPr>
            <w:tcW w:w="1120" w:type="dxa"/>
            <w:vAlign w:val="bottom"/>
          </w:tcPr>
          <w:p>
            <w:pPr>
              <w:jc w:val="right"/>
              <w:ind w:right="95"/>
              <w:spacing w:after="0" w:line="160" w:lineRule="exact"/>
              <w:rPr>
                <w:sz w:val="20"/>
                <w:szCs w:val="20"/>
                <w:color w:val="auto"/>
              </w:rPr>
            </w:pPr>
            <w:r>
              <w:rPr>
                <w:rFonts w:ascii="Arial" w:cs="Arial" w:eastAsia="Arial" w:hAnsi="Arial"/>
                <w:sz w:val="17"/>
                <w:szCs w:val="17"/>
                <w:b w:val="1"/>
                <w:bCs w:val="1"/>
                <w:color w:val="auto"/>
                <w:w w:val="98"/>
              </w:rPr>
              <w:t>October 30,</w:t>
            </w:r>
          </w:p>
        </w:tc>
        <w:tc>
          <w:tcPr>
            <w:tcW w:w="240" w:type="dxa"/>
            <w:vAlign w:val="bottom"/>
          </w:tcPr>
          <w:p>
            <w:pPr>
              <w:spacing w:after="0"/>
              <w:rPr>
                <w:sz w:val="13"/>
                <w:szCs w:val="13"/>
                <w:color w:val="auto"/>
              </w:rPr>
            </w:pPr>
          </w:p>
        </w:tc>
        <w:tc>
          <w:tcPr>
            <w:tcW w:w="1120" w:type="dxa"/>
            <w:vAlign w:val="bottom"/>
          </w:tcPr>
          <w:p>
            <w:pPr>
              <w:jc w:val="right"/>
              <w:ind w:right="95"/>
              <w:spacing w:after="0" w:line="160" w:lineRule="exact"/>
              <w:rPr>
                <w:sz w:val="20"/>
                <w:szCs w:val="20"/>
                <w:color w:val="auto"/>
              </w:rPr>
            </w:pPr>
            <w:r>
              <w:rPr>
                <w:rFonts w:ascii="Arial" w:cs="Arial" w:eastAsia="Arial" w:hAnsi="Arial"/>
                <w:sz w:val="17"/>
                <w:szCs w:val="17"/>
                <w:b w:val="1"/>
                <w:bCs w:val="1"/>
                <w:color w:val="auto"/>
                <w:w w:val="98"/>
              </w:rPr>
              <w:t>October 29,</w:t>
            </w:r>
          </w:p>
        </w:tc>
        <w:tc>
          <w:tcPr>
            <w:tcW w:w="220" w:type="dxa"/>
            <w:vAlign w:val="bottom"/>
          </w:tcPr>
          <w:p>
            <w:pPr>
              <w:spacing w:after="0"/>
              <w:rPr>
                <w:sz w:val="13"/>
                <w:szCs w:val="13"/>
                <w:color w:val="auto"/>
              </w:rPr>
            </w:pPr>
          </w:p>
        </w:tc>
        <w:tc>
          <w:tcPr>
            <w:tcW w:w="1060" w:type="dxa"/>
            <w:vAlign w:val="bottom"/>
          </w:tcPr>
          <w:p>
            <w:pPr>
              <w:jc w:val="right"/>
              <w:ind w:right="15"/>
              <w:spacing w:after="0" w:line="160" w:lineRule="exact"/>
              <w:rPr>
                <w:sz w:val="20"/>
                <w:szCs w:val="20"/>
                <w:color w:val="auto"/>
              </w:rPr>
            </w:pPr>
            <w:r>
              <w:rPr>
                <w:rFonts w:ascii="Arial" w:cs="Arial" w:eastAsia="Arial" w:hAnsi="Arial"/>
                <w:sz w:val="17"/>
                <w:szCs w:val="17"/>
                <w:b w:val="1"/>
                <w:bCs w:val="1"/>
                <w:color w:val="auto"/>
              </w:rPr>
              <w:t>October 30,</w:t>
            </w:r>
          </w:p>
        </w:tc>
      </w:tr>
      <w:tr>
        <w:trPr>
          <w:trHeight w:val="211"/>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1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2022</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2021</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2022</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2021</w:t>
            </w:r>
          </w:p>
        </w:tc>
      </w:tr>
      <w:tr>
        <w:trPr>
          <w:trHeight w:val="183"/>
        </w:trPr>
        <w:tc>
          <w:tcPr>
            <w:tcW w:w="260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Sales by Channel</w:t>
            </w:r>
          </w:p>
        </w:tc>
        <w:tc>
          <w:tcPr>
            <w:tcW w:w="1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9"/>
        </w:trPr>
        <w:tc>
          <w:tcPr>
            <w:tcW w:w="2600" w:type="dxa"/>
            <w:vAlign w:val="bottom"/>
          </w:tcPr>
          <w:p>
            <w:pPr>
              <w:ind w:left="20"/>
              <w:spacing w:after="0" w:line="189" w:lineRule="exact"/>
              <w:rPr>
                <w:sz w:val="20"/>
                <w:szCs w:val="20"/>
                <w:color w:val="auto"/>
              </w:rPr>
            </w:pPr>
            <w:r>
              <w:rPr>
                <w:rFonts w:ascii="Arial" w:cs="Arial" w:eastAsia="Arial" w:hAnsi="Arial"/>
                <w:sz w:val="17"/>
                <w:szCs w:val="17"/>
                <w:color w:val="auto"/>
              </w:rPr>
              <w:t>Stores</w:t>
            </w:r>
          </w:p>
        </w:tc>
        <w:tc>
          <w:tcPr>
            <w:tcW w:w="12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2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1,818</w:t>
            </w:r>
          </w:p>
        </w:tc>
        <w:tc>
          <w:tcPr>
            <w:tcW w:w="2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12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1,756</w:t>
            </w:r>
          </w:p>
        </w:tc>
        <w:tc>
          <w:tcPr>
            <w:tcW w:w="2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2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5,310</w:t>
            </w:r>
          </w:p>
        </w:tc>
        <w:tc>
          <w:tcPr>
            <w:tcW w:w="2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5,193</w:t>
            </w:r>
          </w:p>
        </w:tc>
      </w:tr>
      <w:tr>
        <w:trPr>
          <w:trHeight w:val="189"/>
        </w:trPr>
        <w:tc>
          <w:tcPr>
            <w:tcW w:w="260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Direct-to-customers</w:t>
            </w:r>
          </w:p>
        </w:tc>
        <w:tc>
          <w:tcPr>
            <w:tcW w:w="12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355</w:t>
            </w:r>
          </w:p>
        </w:tc>
        <w:tc>
          <w:tcPr>
            <w:tcW w:w="2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433</w:t>
            </w:r>
          </w:p>
        </w:tc>
        <w:tc>
          <w:tcPr>
            <w:tcW w:w="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1,103</w:t>
            </w:r>
          </w:p>
        </w:tc>
        <w:tc>
          <w:tcPr>
            <w:tcW w:w="2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1,424</w:t>
            </w:r>
          </w:p>
        </w:tc>
      </w:tr>
      <w:tr>
        <w:trPr>
          <w:trHeight w:val="183"/>
        </w:trPr>
        <w:tc>
          <w:tcPr>
            <w:tcW w:w="260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Total sales</w:t>
            </w: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2,173</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color w:val="auto"/>
              </w:rPr>
              <w:t>2,189</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6,413</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6,617</w:t>
            </w:r>
          </w:p>
        </w:tc>
      </w:tr>
      <w:tr>
        <w:trPr>
          <w:trHeight w:val="20"/>
        </w:trPr>
        <w:tc>
          <w:tcPr>
            <w:tcW w:w="2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Sales disaggregated based upon geographic area are presented in the table below. Sales are attributable to the geographic area in which the sales transaction is fulfilled.</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2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3"/>
          </w:tcPr>
          <w:p>
            <w:pPr>
              <w:jc w:val="right"/>
              <w:ind w:right="335"/>
              <w:spacing w:after="0"/>
              <w:rPr>
                <w:sz w:val="20"/>
                <w:szCs w:val="20"/>
                <w:color w:val="auto"/>
              </w:rPr>
            </w:pPr>
            <w:r>
              <w:rPr>
                <w:rFonts w:ascii="Arial" w:cs="Arial" w:eastAsia="Arial" w:hAnsi="Arial"/>
                <w:sz w:val="17"/>
                <w:szCs w:val="17"/>
                <w:b w:val="1"/>
                <w:bCs w:val="1"/>
                <w:color w:val="auto"/>
              </w:rPr>
              <w:t>Thirteen weeks ended</w:t>
            </w:r>
          </w:p>
        </w:tc>
        <w:tc>
          <w:tcPr>
            <w:tcW w:w="2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jc w:val="right"/>
              <w:ind w:right="175"/>
              <w:spacing w:after="0"/>
              <w:rPr>
                <w:sz w:val="20"/>
                <w:szCs w:val="20"/>
                <w:color w:val="auto"/>
              </w:rPr>
            </w:pPr>
            <w:r>
              <w:rPr>
                <w:rFonts w:ascii="Arial" w:cs="Arial" w:eastAsia="Arial" w:hAnsi="Arial"/>
                <w:sz w:val="17"/>
                <w:szCs w:val="17"/>
                <w:b w:val="1"/>
                <w:bCs w:val="1"/>
                <w:color w:val="auto"/>
              </w:rPr>
              <w:t>Thirty-nine weeks ended</w:t>
            </w:r>
          </w:p>
        </w:tc>
      </w:tr>
      <w:tr>
        <w:trPr>
          <w:trHeight w:val="160"/>
        </w:trPr>
        <w:tc>
          <w:tcPr>
            <w:tcW w:w="2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jc w:val="right"/>
              <w:ind w:right="95"/>
              <w:spacing w:after="0" w:line="160" w:lineRule="exact"/>
              <w:rPr>
                <w:sz w:val="20"/>
                <w:szCs w:val="20"/>
                <w:color w:val="auto"/>
              </w:rPr>
            </w:pPr>
            <w:r>
              <w:rPr>
                <w:rFonts w:ascii="Arial" w:cs="Arial" w:eastAsia="Arial" w:hAnsi="Arial"/>
                <w:sz w:val="17"/>
                <w:szCs w:val="17"/>
                <w:b w:val="1"/>
                <w:bCs w:val="1"/>
                <w:color w:val="auto"/>
                <w:w w:val="98"/>
              </w:rPr>
              <w:t>October 29,</w:t>
            </w:r>
          </w:p>
        </w:tc>
        <w:tc>
          <w:tcPr>
            <w:tcW w:w="220" w:type="dxa"/>
            <w:vAlign w:val="bottom"/>
          </w:tcPr>
          <w:p>
            <w:pPr>
              <w:spacing w:after="0"/>
              <w:rPr>
                <w:sz w:val="13"/>
                <w:szCs w:val="13"/>
                <w:color w:val="auto"/>
              </w:rPr>
            </w:pPr>
          </w:p>
        </w:tc>
        <w:tc>
          <w:tcPr>
            <w:tcW w:w="1120" w:type="dxa"/>
            <w:vAlign w:val="bottom"/>
          </w:tcPr>
          <w:p>
            <w:pPr>
              <w:jc w:val="right"/>
              <w:ind w:right="95"/>
              <w:spacing w:after="0" w:line="160" w:lineRule="exact"/>
              <w:rPr>
                <w:sz w:val="20"/>
                <w:szCs w:val="20"/>
                <w:color w:val="auto"/>
              </w:rPr>
            </w:pPr>
            <w:r>
              <w:rPr>
                <w:rFonts w:ascii="Arial" w:cs="Arial" w:eastAsia="Arial" w:hAnsi="Arial"/>
                <w:sz w:val="17"/>
                <w:szCs w:val="17"/>
                <w:b w:val="1"/>
                <w:bCs w:val="1"/>
                <w:color w:val="auto"/>
                <w:w w:val="98"/>
              </w:rPr>
              <w:t>October 30,</w:t>
            </w:r>
          </w:p>
        </w:tc>
        <w:tc>
          <w:tcPr>
            <w:tcW w:w="240" w:type="dxa"/>
            <w:vAlign w:val="bottom"/>
          </w:tcPr>
          <w:p>
            <w:pPr>
              <w:spacing w:after="0"/>
              <w:rPr>
                <w:sz w:val="13"/>
                <w:szCs w:val="13"/>
                <w:color w:val="auto"/>
              </w:rPr>
            </w:pPr>
          </w:p>
        </w:tc>
        <w:tc>
          <w:tcPr>
            <w:tcW w:w="1120" w:type="dxa"/>
            <w:vAlign w:val="bottom"/>
          </w:tcPr>
          <w:p>
            <w:pPr>
              <w:jc w:val="right"/>
              <w:ind w:right="95"/>
              <w:spacing w:after="0" w:line="160" w:lineRule="exact"/>
              <w:rPr>
                <w:sz w:val="20"/>
                <w:szCs w:val="20"/>
                <w:color w:val="auto"/>
              </w:rPr>
            </w:pPr>
            <w:r>
              <w:rPr>
                <w:rFonts w:ascii="Arial" w:cs="Arial" w:eastAsia="Arial" w:hAnsi="Arial"/>
                <w:sz w:val="17"/>
                <w:szCs w:val="17"/>
                <w:b w:val="1"/>
                <w:bCs w:val="1"/>
                <w:color w:val="auto"/>
                <w:w w:val="98"/>
              </w:rPr>
              <w:t>October 29,</w:t>
            </w:r>
          </w:p>
        </w:tc>
        <w:tc>
          <w:tcPr>
            <w:tcW w:w="220" w:type="dxa"/>
            <w:vAlign w:val="bottom"/>
          </w:tcPr>
          <w:p>
            <w:pPr>
              <w:spacing w:after="0"/>
              <w:rPr>
                <w:sz w:val="13"/>
                <w:szCs w:val="13"/>
                <w:color w:val="auto"/>
              </w:rPr>
            </w:pPr>
          </w:p>
        </w:tc>
        <w:tc>
          <w:tcPr>
            <w:tcW w:w="1060" w:type="dxa"/>
            <w:vAlign w:val="bottom"/>
          </w:tcPr>
          <w:p>
            <w:pPr>
              <w:jc w:val="right"/>
              <w:ind w:right="15"/>
              <w:spacing w:after="0" w:line="160" w:lineRule="exact"/>
              <w:rPr>
                <w:sz w:val="20"/>
                <w:szCs w:val="20"/>
                <w:color w:val="auto"/>
              </w:rPr>
            </w:pPr>
            <w:r>
              <w:rPr>
                <w:rFonts w:ascii="Arial" w:cs="Arial" w:eastAsia="Arial" w:hAnsi="Arial"/>
                <w:sz w:val="17"/>
                <w:szCs w:val="17"/>
                <w:b w:val="1"/>
                <w:bCs w:val="1"/>
                <w:color w:val="auto"/>
              </w:rPr>
              <w:t>October 30,</w:t>
            </w:r>
          </w:p>
        </w:tc>
      </w:tr>
      <w:tr>
        <w:trPr>
          <w:trHeight w:val="211"/>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1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2022</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2021</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2022</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2021</w:t>
            </w:r>
          </w:p>
        </w:tc>
      </w:tr>
      <w:tr>
        <w:trPr>
          <w:trHeight w:val="183"/>
        </w:trPr>
        <w:tc>
          <w:tcPr>
            <w:tcW w:w="268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Sales by Geography</w:t>
            </w:r>
          </w:p>
        </w:tc>
        <w:tc>
          <w:tcPr>
            <w:tcW w:w="1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9"/>
        </w:trPr>
        <w:tc>
          <w:tcPr>
            <w:tcW w:w="2680" w:type="dxa"/>
            <w:vAlign w:val="bottom"/>
          </w:tcPr>
          <w:p>
            <w:pPr>
              <w:ind w:left="20"/>
              <w:spacing w:after="0" w:line="189" w:lineRule="exact"/>
              <w:rPr>
                <w:sz w:val="20"/>
                <w:szCs w:val="20"/>
                <w:color w:val="auto"/>
              </w:rPr>
            </w:pPr>
            <w:r>
              <w:rPr>
                <w:rFonts w:ascii="Arial" w:cs="Arial" w:eastAsia="Arial" w:hAnsi="Arial"/>
                <w:sz w:val="17"/>
                <w:szCs w:val="17"/>
                <w:color w:val="auto"/>
              </w:rPr>
              <w:t>United States</w:t>
            </w:r>
          </w:p>
        </w:tc>
        <w:tc>
          <w:tcPr>
            <w:tcW w:w="11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2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1,500</w:t>
            </w:r>
          </w:p>
        </w:tc>
        <w:tc>
          <w:tcPr>
            <w:tcW w:w="2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12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1,524</w:t>
            </w:r>
          </w:p>
        </w:tc>
        <w:tc>
          <w:tcPr>
            <w:tcW w:w="2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2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4,423</w:t>
            </w:r>
          </w:p>
        </w:tc>
        <w:tc>
          <w:tcPr>
            <w:tcW w:w="2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4,860</w:t>
            </w:r>
          </w:p>
        </w:tc>
      </w:tr>
      <w:tr>
        <w:trPr>
          <w:trHeight w:val="189"/>
        </w:trPr>
        <w:tc>
          <w:tcPr>
            <w:tcW w:w="268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International</w:t>
            </w:r>
          </w:p>
        </w:tc>
        <w:tc>
          <w:tcPr>
            <w:tcW w:w="11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673</w:t>
            </w:r>
          </w:p>
        </w:tc>
        <w:tc>
          <w:tcPr>
            <w:tcW w:w="2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665</w:t>
            </w:r>
          </w:p>
        </w:tc>
        <w:tc>
          <w:tcPr>
            <w:tcW w:w="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1,990</w:t>
            </w:r>
          </w:p>
        </w:tc>
        <w:tc>
          <w:tcPr>
            <w:tcW w:w="2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1,757</w:t>
            </w:r>
          </w:p>
        </w:tc>
      </w:tr>
      <w:tr>
        <w:trPr>
          <w:trHeight w:val="182"/>
        </w:trPr>
        <w:tc>
          <w:tcPr>
            <w:tcW w:w="268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Total sales</w:t>
            </w: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2,173</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color w:val="auto"/>
              </w:rPr>
              <w:t>2,189</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6,413</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6,617</w:t>
            </w:r>
          </w:p>
        </w:tc>
      </w:tr>
      <w:tr>
        <w:trPr>
          <w:trHeight w:val="20"/>
        </w:trPr>
        <w:tc>
          <w:tcPr>
            <w:tcW w:w="2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2022 Form 10-Q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154305</wp:posOffset>
            </wp:positionV>
            <wp:extent cx="1834515" cy="2146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Revenue (continued)</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 Liabilities</w:t>
      </w:r>
    </w:p>
    <w:p>
      <w:pPr>
        <w:spacing w:after="0" w:line="16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 xml:space="preserve">We sell gift cards, which do not have expiration dates. Revenue from gift card sales is recorded when the gift cards are redeemed by customers. Breakage income is recognized as revenue </w:t>
      </w:r>
      <w:r>
        <w:rPr>
          <w:rFonts w:ascii="Arial" w:cs="Arial" w:eastAsia="Arial" w:hAnsi="Arial"/>
          <w:sz w:val="17"/>
          <w:szCs w:val="17"/>
          <w:color w:val="auto"/>
        </w:rPr>
        <w:t>in proportion to the pattern of</w:t>
      </w:r>
      <w:r>
        <w:rPr>
          <w:rFonts w:ascii="Arial" w:cs="Arial" w:eastAsia="Arial" w:hAnsi="Arial"/>
          <w:sz w:val="18"/>
          <w:szCs w:val="18"/>
          <w:color w:val="auto"/>
        </w:rPr>
        <w:t xml:space="preserve"> </w:t>
      </w:r>
      <w:r>
        <w:rPr>
          <w:rFonts w:ascii="Arial" w:cs="Arial" w:eastAsia="Arial" w:hAnsi="Arial"/>
          <w:sz w:val="17"/>
          <w:szCs w:val="17"/>
          <w:color w:val="auto"/>
        </w:rPr>
        <w:t>rights exercised by the customer. The table below presents the activity of our gift card liability balance.</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580" w:type="dxa"/>
            <w:vAlign w:val="bottom"/>
          </w:tcPr>
          <w:p>
            <w:pPr>
              <w:jc w:val="right"/>
              <w:ind w:right="475"/>
              <w:spacing w:after="0"/>
              <w:rPr>
                <w:sz w:val="20"/>
                <w:szCs w:val="20"/>
                <w:color w:val="auto"/>
              </w:rPr>
            </w:pPr>
            <w:r>
              <w:rPr>
                <w:rFonts w:ascii="Arial" w:cs="Arial" w:eastAsia="Arial" w:hAnsi="Arial"/>
                <w:sz w:val="17"/>
                <w:szCs w:val="17"/>
                <w:b w:val="1"/>
                <w:bCs w:val="1"/>
                <w:color w:val="auto"/>
              </w:rPr>
              <w:t>October 29,</w:t>
            </w:r>
          </w:p>
        </w:tc>
        <w:tc>
          <w:tcPr>
            <w:tcW w:w="360" w:type="dxa"/>
            <w:vAlign w:val="bottom"/>
          </w:tcPr>
          <w:p>
            <w:pPr>
              <w:spacing w:after="0"/>
              <w:rPr>
                <w:sz w:val="16"/>
                <w:szCs w:val="16"/>
                <w:color w:val="auto"/>
              </w:rPr>
            </w:pPr>
          </w:p>
        </w:tc>
        <w:tc>
          <w:tcPr>
            <w:tcW w:w="1380" w:type="dxa"/>
            <w:vAlign w:val="bottom"/>
          </w:tcPr>
          <w:p>
            <w:pPr>
              <w:jc w:val="right"/>
              <w:ind w:right="275"/>
              <w:spacing w:after="0"/>
              <w:rPr>
                <w:sz w:val="20"/>
                <w:szCs w:val="20"/>
                <w:color w:val="auto"/>
              </w:rPr>
            </w:pPr>
            <w:r>
              <w:rPr>
                <w:rFonts w:ascii="Arial" w:cs="Arial" w:eastAsia="Arial" w:hAnsi="Arial"/>
                <w:sz w:val="17"/>
                <w:szCs w:val="17"/>
                <w:b w:val="1"/>
                <w:bCs w:val="1"/>
                <w:color w:val="auto"/>
              </w:rPr>
              <w:t>October 30,</w:t>
            </w:r>
          </w:p>
        </w:tc>
      </w:tr>
      <w:tr>
        <w:trPr>
          <w:trHeight w:val="211"/>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15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55"/>
              <w:spacing w:after="0"/>
              <w:rPr>
                <w:sz w:val="20"/>
                <w:szCs w:val="20"/>
                <w:color w:val="auto"/>
              </w:rPr>
            </w:pPr>
            <w:r>
              <w:rPr>
                <w:rFonts w:ascii="Arial" w:cs="Arial" w:eastAsia="Arial" w:hAnsi="Arial"/>
                <w:sz w:val="17"/>
                <w:szCs w:val="17"/>
                <w:b w:val="1"/>
                <w:bCs w:val="1"/>
                <w:color w:val="auto"/>
              </w:rPr>
              <w:t>2022</w:t>
            </w: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2021</w:t>
            </w:r>
          </w:p>
        </w:tc>
      </w:tr>
      <w:tr>
        <w:trPr>
          <w:trHeight w:val="183"/>
        </w:trPr>
        <w:tc>
          <w:tcPr>
            <w:tcW w:w="408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Gift card liability at beginning of year</w:t>
            </w:r>
          </w:p>
        </w:tc>
        <w:tc>
          <w:tcPr>
            <w:tcW w:w="15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58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46</w:t>
            </w:r>
          </w:p>
        </w:tc>
        <w:tc>
          <w:tcPr>
            <w:tcW w:w="3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41</w:t>
            </w:r>
          </w:p>
        </w:tc>
      </w:tr>
      <w:tr>
        <w:trPr>
          <w:trHeight w:val="189"/>
        </w:trPr>
        <w:tc>
          <w:tcPr>
            <w:tcW w:w="4080" w:type="dxa"/>
            <w:vAlign w:val="bottom"/>
          </w:tcPr>
          <w:p>
            <w:pPr>
              <w:ind w:left="220"/>
              <w:spacing w:after="0" w:line="189" w:lineRule="exact"/>
              <w:rPr>
                <w:sz w:val="20"/>
                <w:szCs w:val="20"/>
                <w:color w:val="auto"/>
              </w:rPr>
            </w:pPr>
            <w:r>
              <w:rPr>
                <w:rFonts w:ascii="Arial" w:cs="Arial" w:eastAsia="Arial" w:hAnsi="Arial"/>
                <w:sz w:val="17"/>
                <w:szCs w:val="17"/>
                <w:color w:val="auto"/>
              </w:rPr>
              <w:t>Liabilities acquired - WSS</w:t>
            </w:r>
          </w:p>
        </w:tc>
        <w:tc>
          <w:tcPr>
            <w:tcW w:w="1500" w:type="dxa"/>
            <w:vAlign w:val="bottom"/>
          </w:tcPr>
          <w:p>
            <w:pPr>
              <w:spacing w:after="0"/>
              <w:rPr>
                <w:sz w:val="16"/>
                <w:szCs w:val="16"/>
                <w:color w:val="auto"/>
              </w:rPr>
            </w:pPr>
          </w:p>
        </w:tc>
        <w:tc>
          <w:tcPr>
            <w:tcW w:w="158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w:t>
            </w:r>
          </w:p>
        </w:tc>
        <w:tc>
          <w:tcPr>
            <w:tcW w:w="36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Arial" w:cs="Arial" w:eastAsia="Arial" w:hAnsi="Arial"/>
                <w:sz w:val="17"/>
                <w:szCs w:val="17"/>
                <w:color w:val="auto"/>
              </w:rPr>
              <w:t>1</w:t>
            </w:r>
          </w:p>
        </w:tc>
      </w:tr>
      <w:tr>
        <w:trPr>
          <w:trHeight w:val="189"/>
        </w:trPr>
        <w:tc>
          <w:tcPr>
            <w:tcW w:w="408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Redemptions</w:t>
            </w:r>
          </w:p>
        </w:tc>
        <w:tc>
          <w:tcPr>
            <w:tcW w:w="150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(187)</w:t>
            </w:r>
          </w:p>
        </w:tc>
        <w:tc>
          <w:tcPr>
            <w:tcW w:w="3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(187)</w:t>
            </w:r>
          </w:p>
        </w:tc>
      </w:tr>
      <w:tr>
        <w:trPr>
          <w:trHeight w:val="189"/>
        </w:trPr>
        <w:tc>
          <w:tcPr>
            <w:tcW w:w="4080" w:type="dxa"/>
            <w:vAlign w:val="bottom"/>
          </w:tcPr>
          <w:p>
            <w:pPr>
              <w:ind w:left="220"/>
              <w:spacing w:after="0" w:line="189" w:lineRule="exact"/>
              <w:rPr>
                <w:sz w:val="20"/>
                <w:szCs w:val="20"/>
                <w:color w:val="auto"/>
              </w:rPr>
            </w:pPr>
            <w:r>
              <w:rPr>
                <w:rFonts w:ascii="Arial" w:cs="Arial" w:eastAsia="Arial" w:hAnsi="Arial"/>
                <w:sz w:val="17"/>
                <w:szCs w:val="17"/>
                <w:color w:val="auto"/>
              </w:rPr>
              <w:t>Breakage recognized in sales</w:t>
            </w:r>
          </w:p>
        </w:tc>
        <w:tc>
          <w:tcPr>
            <w:tcW w:w="1500" w:type="dxa"/>
            <w:vAlign w:val="bottom"/>
          </w:tcPr>
          <w:p>
            <w:pPr>
              <w:spacing w:after="0"/>
              <w:rPr>
                <w:sz w:val="16"/>
                <w:szCs w:val="16"/>
                <w:color w:val="auto"/>
              </w:rPr>
            </w:pPr>
          </w:p>
        </w:tc>
        <w:tc>
          <w:tcPr>
            <w:tcW w:w="158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(12)</w:t>
            </w:r>
          </w:p>
        </w:tc>
        <w:tc>
          <w:tcPr>
            <w:tcW w:w="36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Arial" w:cs="Arial" w:eastAsia="Arial" w:hAnsi="Arial"/>
                <w:sz w:val="17"/>
                <w:szCs w:val="17"/>
                <w:color w:val="auto"/>
              </w:rPr>
              <w:t>(13)</w:t>
            </w:r>
          </w:p>
        </w:tc>
      </w:tr>
      <w:tr>
        <w:trPr>
          <w:trHeight w:val="189"/>
        </w:trPr>
        <w:tc>
          <w:tcPr>
            <w:tcW w:w="4080" w:type="dxa"/>
            <w:vAlign w:val="bottom"/>
            <w:tcBorders>
              <w:bottom w:val="single" w:sz="8" w:color="auto"/>
            </w:tcBorders>
            <w:shd w:val="clear" w:color="auto" w:fill="CCEEFF"/>
          </w:tcPr>
          <w:p>
            <w:pPr>
              <w:ind w:left="220"/>
              <w:spacing w:after="0" w:line="189" w:lineRule="exact"/>
              <w:rPr>
                <w:sz w:val="20"/>
                <w:szCs w:val="20"/>
                <w:color w:val="auto"/>
              </w:rPr>
            </w:pPr>
            <w:r>
              <w:rPr>
                <w:rFonts w:ascii="Arial" w:cs="Arial" w:eastAsia="Arial" w:hAnsi="Arial"/>
                <w:sz w:val="17"/>
                <w:szCs w:val="17"/>
                <w:color w:val="auto"/>
              </w:rPr>
              <w:t>Activations</w:t>
            </w:r>
          </w:p>
        </w:tc>
        <w:tc>
          <w:tcPr>
            <w:tcW w:w="150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178</w:t>
            </w:r>
          </w:p>
        </w:tc>
        <w:tc>
          <w:tcPr>
            <w:tcW w:w="36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192</w:t>
            </w:r>
          </w:p>
        </w:tc>
      </w:tr>
      <w:tr>
        <w:trPr>
          <w:trHeight w:val="183"/>
        </w:trPr>
        <w:tc>
          <w:tcPr>
            <w:tcW w:w="408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Gift card liability</w:t>
            </w:r>
          </w:p>
        </w:tc>
        <w:tc>
          <w:tcPr>
            <w:tcW w:w="15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580" w:type="dxa"/>
            <w:vAlign w:val="bottom"/>
            <w:tcBorders>
              <w:bottom w:val="single" w:sz="8" w:color="auto"/>
            </w:tcBorders>
          </w:tcPr>
          <w:p>
            <w:pPr>
              <w:jc w:val="right"/>
              <w:ind w:right="175"/>
              <w:spacing w:after="0" w:line="183" w:lineRule="exact"/>
              <w:rPr>
                <w:sz w:val="20"/>
                <w:szCs w:val="20"/>
                <w:color w:val="auto"/>
              </w:rPr>
            </w:pPr>
            <w:r>
              <w:rPr>
                <w:rFonts w:ascii="Arial" w:cs="Arial" w:eastAsia="Arial" w:hAnsi="Arial"/>
                <w:sz w:val="17"/>
                <w:szCs w:val="17"/>
                <w:b w:val="1"/>
                <w:bCs w:val="1"/>
                <w:color w:val="auto"/>
              </w:rPr>
              <w:t>25</w:t>
            </w:r>
          </w:p>
        </w:tc>
        <w:tc>
          <w:tcPr>
            <w:tcW w:w="3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34</w:t>
            </w:r>
          </w:p>
        </w:tc>
      </w:tr>
      <w:tr>
        <w:trPr>
          <w:trHeight w:val="20"/>
        </w:trPr>
        <w:tc>
          <w:tcPr>
            <w:tcW w:w="40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We elected not to disclose the information about remaining performance obligations since the amount of gift cards redeemed after 12 months is not significant.</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Segment Information</w:t>
      </w:r>
    </w:p>
    <w:p>
      <w:pPr>
        <w:spacing w:after="0" w:line="171" w:lineRule="exact"/>
        <w:rPr>
          <w:sz w:val="20"/>
          <w:szCs w:val="20"/>
          <w:color w:val="auto"/>
        </w:rPr>
      </w:pPr>
    </w:p>
    <w:p>
      <w:pPr>
        <w:jc w:val="both"/>
        <w:ind w:left="60" w:right="79"/>
        <w:spacing w:after="0" w:line="244" w:lineRule="auto"/>
        <w:rPr>
          <w:sz w:val="20"/>
          <w:szCs w:val="20"/>
          <w:color w:val="auto"/>
        </w:rPr>
      </w:pPr>
      <w:r>
        <w:rPr>
          <w:rFonts w:ascii="Arial" w:cs="Arial" w:eastAsia="Arial" w:hAnsi="Arial"/>
          <w:sz w:val="18"/>
          <w:szCs w:val="18"/>
          <w:color w:val="auto"/>
        </w:rPr>
        <w:t>We have integrated all available shopping channels including stores, websites, apps, and social channels. Store sales are primarily fulfilled from the store’s inventory, but may also be shipped from any of our distribution centers or from a different store location if an item is not available at the original store. Direct-to-customer orders are generally shipped to our customers through our distribution centers but may also be shipped from any store or a combination of our distribution centers and stores depending on availability.</w:t>
      </w:r>
    </w:p>
    <w:p>
      <w:pPr>
        <w:spacing w:after="0" w:line="13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evaluate performance based on several factors, primarily the banner’s financial results, referred to as division profit. Division profit reflects income before income taxes, impairment and other charges, corporate expense, non-operating income, and net interest expense.</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3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60" w:type="dxa"/>
            <w:vAlign w:val="bottom"/>
            <w:gridSpan w:val="3"/>
          </w:tcPr>
          <w:p>
            <w:pPr>
              <w:jc w:val="right"/>
              <w:ind w:right="415"/>
              <w:spacing w:after="0"/>
              <w:rPr>
                <w:sz w:val="20"/>
                <w:szCs w:val="20"/>
                <w:color w:val="auto"/>
              </w:rPr>
            </w:pPr>
            <w:r>
              <w:rPr>
                <w:rFonts w:ascii="Arial" w:cs="Arial" w:eastAsia="Arial" w:hAnsi="Arial"/>
                <w:sz w:val="17"/>
                <w:szCs w:val="17"/>
                <w:b w:val="1"/>
                <w:bCs w:val="1"/>
                <w:color w:val="auto"/>
              </w:rPr>
              <w:t>Thirteen weeks ended</w:t>
            </w:r>
          </w:p>
        </w:tc>
        <w:tc>
          <w:tcPr>
            <w:tcW w:w="200" w:type="dxa"/>
            <w:vAlign w:val="bottom"/>
          </w:tcPr>
          <w:p>
            <w:pPr>
              <w:spacing w:after="0"/>
              <w:rPr>
                <w:sz w:val="18"/>
                <w:szCs w:val="18"/>
                <w:color w:val="auto"/>
              </w:rPr>
            </w:pPr>
          </w:p>
        </w:tc>
        <w:tc>
          <w:tcPr>
            <w:tcW w:w="2380" w:type="dxa"/>
            <w:vAlign w:val="bottom"/>
            <w:gridSpan w:val="4"/>
          </w:tcPr>
          <w:p>
            <w:pPr>
              <w:ind w:left="140"/>
              <w:spacing w:after="0"/>
              <w:rPr>
                <w:sz w:val="20"/>
                <w:szCs w:val="20"/>
                <w:color w:val="auto"/>
              </w:rPr>
            </w:pPr>
            <w:r>
              <w:rPr>
                <w:rFonts w:ascii="Arial" w:cs="Arial" w:eastAsia="Arial" w:hAnsi="Arial"/>
                <w:sz w:val="17"/>
                <w:szCs w:val="17"/>
                <w:b w:val="1"/>
                <w:bCs w:val="1"/>
                <w:color w:val="auto"/>
              </w:rPr>
              <w:t>Thirty-nine weeks ended</w:t>
            </w:r>
          </w:p>
        </w:tc>
      </w:tr>
      <w:tr>
        <w:trPr>
          <w:trHeight w:val="160"/>
        </w:trPr>
        <w:tc>
          <w:tcPr>
            <w:tcW w:w="330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2"/>
          </w:tcPr>
          <w:p>
            <w:pPr>
              <w:jc w:val="right"/>
              <w:ind w:right="115"/>
              <w:spacing w:after="0" w:line="160" w:lineRule="exact"/>
              <w:rPr>
                <w:sz w:val="20"/>
                <w:szCs w:val="20"/>
                <w:color w:val="auto"/>
              </w:rPr>
            </w:pPr>
            <w:r>
              <w:rPr>
                <w:rFonts w:ascii="Arial" w:cs="Arial" w:eastAsia="Arial" w:hAnsi="Arial"/>
                <w:sz w:val="17"/>
                <w:szCs w:val="17"/>
                <w:b w:val="1"/>
                <w:bCs w:val="1"/>
                <w:color w:val="auto"/>
              </w:rPr>
              <w:t>October 29,</w:t>
            </w:r>
          </w:p>
        </w:tc>
        <w:tc>
          <w:tcPr>
            <w:tcW w:w="2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175"/>
              <w:spacing w:after="0" w:line="160" w:lineRule="exact"/>
              <w:rPr>
                <w:sz w:val="20"/>
                <w:szCs w:val="20"/>
                <w:color w:val="auto"/>
              </w:rPr>
            </w:pPr>
            <w:r>
              <w:rPr>
                <w:rFonts w:ascii="Arial" w:cs="Arial" w:eastAsia="Arial" w:hAnsi="Arial"/>
                <w:sz w:val="17"/>
                <w:szCs w:val="17"/>
                <w:b w:val="1"/>
                <w:bCs w:val="1"/>
                <w:color w:val="auto"/>
              </w:rPr>
              <w:t>October 30,</w:t>
            </w:r>
          </w:p>
        </w:tc>
        <w:tc>
          <w:tcPr>
            <w:tcW w:w="2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115"/>
              <w:spacing w:after="0" w:line="160" w:lineRule="exact"/>
              <w:rPr>
                <w:sz w:val="20"/>
                <w:szCs w:val="20"/>
                <w:color w:val="auto"/>
              </w:rPr>
            </w:pPr>
            <w:r>
              <w:rPr>
                <w:rFonts w:ascii="Arial" w:cs="Arial" w:eastAsia="Arial" w:hAnsi="Arial"/>
                <w:sz w:val="17"/>
                <w:szCs w:val="17"/>
                <w:b w:val="1"/>
                <w:bCs w:val="1"/>
                <w:color w:val="auto"/>
                <w:w w:val="98"/>
              </w:rPr>
              <w:t>October 29,</w:t>
            </w:r>
          </w:p>
        </w:tc>
        <w:tc>
          <w:tcPr>
            <w:tcW w:w="1220" w:type="dxa"/>
            <w:vAlign w:val="bottom"/>
            <w:tcBorders>
              <w:top w:val="single" w:sz="8" w:color="auto"/>
            </w:tcBorders>
            <w:gridSpan w:val="2"/>
          </w:tcPr>
          <w:p>
            <w:pPr>
              <w:jc w:val="right"/>
              <w:spacing w:after="0" w:line="160" w:lineRule="exact"/>
              <w:rPr>
                <w:sz w:val="20"/>
                <w:szCs w:val="20"/>
                <w:color w:val="auto"/>
              </w:rPr>
            </w:pPr>
            <w:r>
              <w:rPr>
                <w:rFonts w:ascii="Arial" w:cs="Arial" w:eastAsia="Arial" w:hAnsi="Arial"/>
                <w:sz w:val="17"/>
                <w:szCs w:val="17"/>
                <w:b w:val="1"/>
                <w:bCs w:val="1"/>
                <w:color w:val="auto"/>
              </w:rPr>
              <w:t>October 30,</w:t>
            </w:r>
          </w:p>
        </w:tc>
        <w:tc>
          <w:tcPr>
            <w:tcW w:w="20" w:type="dxa"/>
            <w:vAlign w:val="bottom"/>
          </w:tcPr>
          <w:p>
            <w:pPr>
              <w:spacing w:after="0"/>
              <w:rPr>
                <w:sz w:val="13"/>
                <w:szCs w:val="13"/>
                <w:color w:val="auto"/>
              </w:rPr>
            </w:pPr>
          </w:p>
        </w:tc>
      </w:tr>
      <w:tr>
        <w:trPr>
          <w:trHeight w:val="211"/>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2022</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2021</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2022</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2021</w:t>
            </w:r>
          </w:p>
        </w:tc>
        <w:tc>
          <w:tcPr>
            <w:tcW w:w="20" w:type="dxa"/>
            <w:vAlign w:val="bottom"/>
          </w:tcPr>
          <w:p>
            <w:pPr>
              <w:spacing w:after="0"/>
              <w:rPr>
                <w:sz w:val="18"/>
                <w:szCs w:val="18"/>
                <w:color w:val="auto"/>
              </w:rPr>
            </w:pPr>
          </w:p>
        </w:tc>
      </w:tr>
      <w:tr>
        <w:trPr>
          <w:trHeight w:val="183"/>
        </w:trPr>
        <w:tc>
          <w:tcPr>
            <w:tcW w:w="330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Sales</w:t>
            </w:r>
          </w:p>
        </w:tc>
        <w:tc>
          <w:tcPr>
            <w:tcW w:w="58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2,173</w:t>
            </w:r>
          </w:p>
        </w:tc>
        <w:tc>
          <w:tcPr>
            <w:tcW w:w="2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2,189</w:t>
            </w:r>
          </w:p>
        </w:tc>
        <w:tc>
          <w:tcPr>
            <w:tcW w:w="2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6,413</w:t>
            </w:r>
          </w:p>
        </w:tc>
        <w:tc>
          <w:tcPr>
            <w:tcW w:w="34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6,617</w:t>
            </w:r>
          </w:p>
        </w:tc>
        <w:tc>
          <w:tcPr>
            <w:tcW w:w="20" w:type="dxa"/>
            <w:vAlign w:val="bottom"/>
          </w:tcPr>
          <w:p>
            <w:pPr>
              <w:spacing w:after="0"/>
              <w:rPr>
                <w:sz w:val="15"/>
                <w:szCs w:val="15"/>
                <w:color w:val="auto"/>
              </w:rPr>
            </w:pPr>
          </w:p>
        </w:tc>
      </w:tr>
      <w:tr>
        <w:trPr>
          <w:trHeight w:val="189"/>
        </w:trPr>
        <w:tc>
          <w:tcPr>
            <w:tcW w:w="3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33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Operating Results</w:t>
            </w:r>
          </w:p>
        </w:tc>
        <w:tc>
          <w:tcPr>
            <w:tcW w:w="5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3300" w:type="dxa"/>
            <w:vAlign w:val="bottom"/>
          </w:tcPr>
          <w:p>
            <w:pPr>
              <w:ind w:left="20"/>
              <w:spacing w:after="0" w:line="189" w:lineRule="exact"/>
              <w:rPr>
                <w:sz w:val="20"/>
                <w:szCs w:val="20"/>
                <w:color w:val="auto"/>
              </w:rPr>
            </w:pPr>
            <w:r>
              <w:rPr>
                <w:rFonts w:ascii="Arial" w:cs="Arial" w:eastAsia="Arial" w:hAnsi="Arial"/>
                <w:sz w:val="17"/>
                <w:szCs w:val="17"/>
                <w:color w:val="auto"/>
              </w:rPr>
              <w:t>Division profit</w:t>
            </w:r>
          </w:p>
        </w:tc>
        <w:tc>
          <w:tcPr>
            <w:tcW w:w="580" w:type="dxa"/>
            <w:vAlign w:val="bottom"/>
          </w:tcPr>
          <w:p>
            <w:pPr>
              <w:spacing w:after="0"/>
              <w:rPr>
                <w:sz w:val="16"/>
                <w:szCs w:val="16"/>
                <w:color w:val="auto"/>
              </w:rPr>
            </w:pPr>
          </w:p>
        </w:tc>
        <w:tc>
          <w:tcPr>
            <w:tcW w:w="100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216</w:t>
            </w:r>
          </w:p>
        </w:tc>
        <w:tc>
          <w:tcPr>
            <w:tcW w:w="220" w:type="dxa"/>
            <w:vAlign w:val="bottom"/>
          </w:tcPr>
          <w:p>
            <w:pPr>
              <w:spacing w:after="0"/>
              <w:rPr>
                <w:sz w:val="16"/>
                <w:szCs w:val="16"/>
                <w:color w:val="auto"/>
              </w:rPr>
            </w:pPr>
          </w:p>
        </w:tc>
        <w:tc>
          <w:tcPr>
            <w:tcW w:w="1240" w:type="dxa"/>
            <w:vAlign w:val="bottom"/>
          </w:tcPr>
          <w:p>
            <w:pPr>
              <w:jc w:val="right"/>
              <w:ind w:right="55"/>
              <w:spacing w:after="0" w:line="189" w:lineRule="exact"/>
              <w:rPr>
                <w:sz w:val="20"/>
                <w:szCs w:val="20"/>
                <w:color w:val="auto"/>
              </w:rPr>
            </w:pPr>
            <w:r>
              <w:rPr>
                <w:rFonts w:ascii="Arial" w:cs="Arial" w:eastAsia="Arial" w:hAnsi="Arial"/>
                <w:sz w:val="17"/>
                <w:szCs w:val="17"/>
                <w:color w:val="auto"/>
              </w:rPr>
              <w:t>283</w:t>
            </w:r>
          </w:p>
        </w:tc>
        <w:tc>
          <w:tcPr>
            <w:tcW w:w="2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4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660</w:t>
            </w:r>
          </w:p>
        </w:tc>
        <w:tc>
          <w:tcPr>
            <w:tcW w:w="340" w:type="dxa"/>
            <w:vAlign w:val="bottom"/>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930</w:t>
            </w:r>
          </w:p>
        </w:tc>
        <w:tc>
          <w:tcPr>
            <w:tcW w:w="20" w:type="dxa"/>
            <w:vAlign w:val="bottom"/>
          </w:tcPr>
          <w:p>
            <w:pPr>
              <w:spacing w:after="0"/>
              <w:rPr>
                <w:sz w:val="16"/>
                <w:szCs w:val="16"/>
                <w:color w:val="auto"/>
              </w:rPr>
            </w:pPr>
          </w:p>
        </w:tc>
      </w:tr>
      <w:tr>
        <w:trPr>
          <w:trHeight w:val="189"/>
        </w:trPr>
        <w:tc>
          <w:tcPr>
            <w:tcW w:w="3300" w:type="dxa"/>
            <w:vAlign w:val="bottom"/>
            <w:shd w:val="clear" w:color="auto" w:fill="CCEEFF"/>
          </w:tcPr>
          <w:p>
            <w:pPr>
              <w:ind w:left="20"/>
              <w:spacing w:after="0" w:line="189" w:lineRule="exact"/>
              <w:rPr>
                <w:sz w:val="20"/>
                <w:szCs w:val="20"/>
                <w:color w:val="auto"/>
              </w:rPr>
            </w:pPr>
            <w:r>
              <w:rPr>
                <w:rFonts w:ascii="Arial" w:cs="Arial" w:eastAsia="Arial" w:hAnsi="Arial"/>
                <w:sz w:val="15"/>
                <w:szCs w:val="15"/>
                <w:color w:val="auto"/>
              </w:rPr>
              <w:t xml:space="preserve">Less: Impairment and other charges </w:t>
            </w:r>
            <w:r>
              <w:rPr>
                <w:rFonts w:ascii="Arial" w:cs="Arial" w:eastAsia="Arial" w:hAnsi="Arial"/>
                <w:sz w:val="21"/>
                <w:szCs w:val="21"/>
                <w:color w:val="auto"/>
                <w:vertAlign w:val="superscript"/>
              </w:rPr>
              <w:t>(1)</w:t>
            </w:r>
          </w:p>
        </w:tc>
        <w:tc>
          <w:tcPr>
            <w:tcW w:w="5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20</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57</w:t>
            </w: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38</w:t>
            </w: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97</w:t>
            </w:r>
          </w:p>
        </w:tc>
        <w:tc>
          <w:tcPr>
            <w:tcW w:w="20" w:type="dxa"/>
            <w:vAlign w:val="bottom"/>
          </w:tcPr>
          <w:p>
            <w:pPr>
              <w:spacing w:after="0"/>
              <w:rPr>
                <w:sz w:val="16"/>
                <w:szCs w:val="16"/>
                <w:color w:val="auto"/>
              </w:rPr>
            </w:pPr>
          </w:p>
        </w:tc>
      </w:tr>
      <w:tr>
        <w:trPr>
          <w:trHeight w:val="189"/>
        </w:trPr>
        <w:tc>
          <w:tcPr>
            <w:tcW w:w="330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5"/>
                <w:szCs w:val="15"/>
                <w:color w:val="auto"/>
              </w:rPr>
              <w:t xml:space="preserve">Less: Corporate expense </w:t>
            </w:r>
            <w:r>
              <w:rPr>
                <w:rFonts w:ascii="Arial" w:cs="Arial" w:eastAsia="Arial" w:hAnsi="Arial"/>
                <w:sz w:val="21"/>
                <w:szCs w:val="21"/>
                <w:color w:val="auto"/>
                <w:vertAlign w:val="superscript"/>
              </w:rPr>
              <w:t>(2)</w:t>
            </w:r>
          </w:p>
        </w:tc>
        <w:tc>
          <w:tcPr>
            <w:tcW w:w="5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39</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30</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109</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91</w:t>
            </w:r>
          </w:p>
        </w:tc>
        <w:tc>
          <w:tcPr>
            <w:tcW w:w="20" w:type="dxa"/>
            <w:vAlign w:val="bottom"/>
          </w:tcPr>
          <w:p>
            <w:pPr>
              <w:spacing w:after="0"/>
              <w:rPr>
                <w:sz w:val="16"/>
                <w:szCs w:val="16"/>
                <w:color w:val="auto"/>
              </w:rPr>
            </w:pPr>
          </w:p>
        </w:tc>
      </w:tr>
      <w:tr>
        <w:trPr>
          <w:trHeight w:val="183"/>
        </w:trPr>
        <w:tc>
          <w:tcPr>
            <w:tcW w:w="330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Income from operations</w:t>
            </w:r>
          </w:p>
        </w:tc>
        <w:tc>
          <w:tcPr>
            <w:tcW w:w="5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157</w:t>
            </w: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196</w:t>
            </w: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513</w:t>
            </w: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742</w:t>
            </w:r>
          </w:p>
        </w:tc>
        <w:tc>
          <w:tcPr>
            <w:tcW w:w="20" w:type="dxa"/>
            <w:vAlign w:val="bottom"/>
          </w:tcPr>
          <w:p>
            <w:pPr>
              <w:spacing w:after="0"/>
              <w:rPr>
                <w:sz w:val="15"/>
                <w:szCs w:val="15"/>
                <w:color w:val="auto"/>
              </w:rPr>
            </w:pPr>
          </w:p>
        </w:tc>
      </w:tr>
      <w:tr>
        <w:trPr>
          <w:trHeight w:val="189"/>
        </w:trPr>
        <w:tc>
          <w:tcPr>
            <w:tcW w:w="3300" w:type="dxa"/>
            <w:vAlign w:val="bottom"/>
          </w:tcPr>
          <w:p>
            <w:pPr>
              <w:ind w:left="20"/>
              <w:spacing w:after="0" w:line="189" w:lineRule="exact"/>
              <w:rPr>
                <w:sz w:val="20"/>
                <w:szCs w:val="20"/>
                <w:color w:val="auto"/>
              </w:rPr>
            </w:pPr>
            <w:r>
              <w:rPr>
                <w:rFonts w:ascii="Arial" w:cs="Arial" w:eastAsia="Arial" w:hAnsi="Arial"/>
                <w:sz w:val="17"/>
                <w:szCs w:val="17"/>
                <w:color w:val="auto"/>
              </w:rPr>
              <w:t>Interest expense, net</w:t>
            </w:r>
          </w:p>
        </w:tc>
        <w:tc>
          <w:tcPr>
            <w:tcW w:w="580" w:type="dxa"/>
            <w:vAlign w:val="bottom"/>
          </w:tcPr>
          <w:p>
            <w:pPr>
              <w:spacing w:after="0"/>
              <w:rPr>
                <w:sz w:val="16"/>
                <w:szCs w:val="16"/>
                <w:color w:val="auto"/>
              </w:rPr>
            </w:pPr>
          </w:p>
        </w:tc>
        <w:tc>
          <w:tcPr>
            <w:tcW w:w="100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auto"/>
              </w:rPr>
              <w:t>(3)</w:t>
            </w:r>
          </w:p>
        </w:tc>
        <w:tc>
          <w:tcPr>
            <w:tcW w:w="220" w:type="dxa"/>
            <w:vAlign w:val="bottom"/>
          </w:tcPr>
          <w:p>
            <w:pPr>
              <w:spacing w:after="0"/>
              <w:rPr>
                <w:sz w:val="16"/>
                <w:szCs w:val="16"/>
                <w:color w:val="auto"/>
              </w:rPr>
            </w:pPr>
          </w:p>
        </w:tc>
        <w:tc>
          <w:tcPr>
            <w:tcW w:w="1240" w:type="dxa"/>
            <w:vAlign w:val="bottom"/>
          </w:tcPr>
          <w:p>
            <w:pPr>
              <w:jc w:val="right"/>
              <w:ind w:right="15"/>
              <w:spacing w:after="0" w:line="189" w:lineRule="exact"/>
              <w:rPr>
                <w:sz w:val="20"/>
                <w:szCs w:val="20"/>
                <w:color w:val="auto"/>
              </w:rPr>
            </w:pPr>
            <w:r>
              <w:rPr>
                <w:rFonts w:ascii="Arial" w:cs="Arial" w:eastAsia="Arial" w:hAnsi="Arial"/>
                <w:sz w:val="17"/>
                <w:szCs w:val="17"/>
                <w:color w:val="auto"/>
              </w:rPr>
              <w:t>(4)</w:t>
            </w:r>
          </w:p>
        </w:tc>
        <w:tc>
          <w:tcPr>
            <w:tcW w:w="200" w:type="dxa"/>
            <w:vAlign w:val="bottom"/>
          </w:tcPr>
          <w:p>
            <w:pPr>
              <w:spacing w:after="0"/>
              <w:rPr>
                <w:sz w:val="16"/>
                <w:szCs w:val="16"/>
                <w:color w:val="auto"/>
              </w:rPr>
            </w:pPr>
          </w:p>
        </w:tc>
        <w:tc>
          <w:tcPr>
            <w:tcW w:w="114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auto"/>
              </w:rPr>
              <w:t>(13)</w:t>
            </w:r>
          </w:p>
        </w:tc>
        <w:tc>
          <w:tcPr>
            <w:tcW w:w="34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(8)</w:t>
            </w:r>
          </w:p>
        </w:tc>
        <w:tc>
          <w:tcPr>
            <w:tcW w:w="20" w:type="dxa"/>
            <w:vAlign w:val="bottom"/>
          </w:tcPr>
          <w:p>
            <w:pPr>
              <w:spacing w:after="0"/>
              <w:rPr>
                <w:sz w:val="16"/>
                <w:szCs w:val="16"/>
                <w:color w:val="auto"/>
              </w:rPr>
            </w:pPr>
          </w:p>
        </w:tc>
      </w:tr>
      <w:tr>
        <w:trPr>
          <w:trHeight w:val="189"/>
        </w:trPr>
        <w:tc>
          <w:tcPr>
            <w:tcW w:w="330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5"/>
                <w:szCs w:val="15"/>
                <w:color w:val="auto"/>
              </w:rPr>
              <w:t xml:space="preserve">Other income / (expense), net </w:t>
            </w:r>
            <w:r>
              <w:rPr>
                <w:rFonts w:ascii="Arial" w:cs="Arial" w:eastAsia="Arial" w:hAnsi="Arial"/>
                <w:sz w:val="21"/>
                <w:szCs w:val="21"/>
                <w:color w:val="auto"/>
                <w:vertAlign w:val="superscript"/>
              </w:rPr>
              <w:t>(3)</w:t>
            </w:r>
          </w:p>
        </w:tc>
        <w:tc>
          <w:tcPr>
            <w:tcW w:w="5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(11)</w:t>
            </w:r>
          </w:p>
        </w:tc>
        <w:tc>
          <w:tcPr>
            <w:tcW w:w="2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30</w:t>
            </w:r>
          </w:p>
        </w:tc>
        <w:tc>
          <w:tcPr>
            <w:tcW w:w="2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(24)</w:t>
            </w:r>
          </w:p>
        </w:tc>
        <w:tc>
          <w:tcPr>
            <w:tcW w:w="3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359</w:t>
            </w:r>
          </w:p>
        </w:tc>
        <w:tc>
          <w:tcPr>
            <w:tcW w:w="20" w:type="dxa"/>
            <w:vAlign w:val="bottom"/>
          </w:tcPr>
          <w:p>
            <w:pPr>
              <w:spacing w:after="0"/>
              <w:rPr>
                <w:sz w:val="16"/>
                <w:szCs w:val="16"/>
                <w:color w:val="auto"/>
              </w:rPr>
            </w:pPr>
          </w:p>
        </w:tc>
      </w:tr>
      <w:tr>
        <w:trPr>
          <w:trHeight w:val="183"/>
        </w:trPr>
        <w:tc>
          <w:tcPr>
            <w:tcW w:w="330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Income before income taxes</w:t>
            </w:r>
          </w:p>
        </w:tc>
        <w:tc>
          <w:tcPr>
            <w:tcW w:w="58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143</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222</w:t>
            </w:r>
          </w:p>
        </w:tc>
        <w:tc>
          <w:tcPr>
            <w:tcW w:w="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476</w:t>
            </w:r>
          </w:p>
        </w:tc>
        <w:tc>
          <w:tcPr>
            <w:tcW w:w="34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1,093</w:t>
            </w:r>
          </w:p>
        </w:tc>
        <w:tc>
          <w:tcPr>
            <w:tcW w:w="20" w:type="dxa"/>
            <w:vAlign w:val="bottom"/>
          </w:tcPr>
          <w:p>
            <w:pPr>
              <w:spacing w:after="0"/>
              <w:rPr>
                <w:sz w:val="15"/>
                <w:szCs w:val="15"/>
                <w:color w:val="auto"/>
              </w:rPr>
            </w:pPr>
          </w:p>
        </w:tc>
      </w:tr>
      <w:tr>
        <w:trPr>
          <w:trHeight w:val="20"/>
        </w:trPr>
        <w:tc>
          <w:tcPr>
            <w:tcW w:w="3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8" w:lineRule="exact"/>
        <w:rPr>
          <w:sz w:val="20"/>
          <w:szCs w:val="20"/>
          <w:color w:val="auto"/>
        </w:rPr>
      </w:pPr>
    </w:p>
    <w:p>
      <w:pPr>
        <w:ind w:left="380" w:hanging="330"/>
        <w:spacing w:after="0"/>
        <w:tabs>
          <w:tab w:leader="none" w:pos="380" w:val="left"/>
        </w:tabs>
        <w:numPr>
          <w:ilvl w:val="0"/>
          <w:numId w:val="5"/>
        </w:numPr>
        <w:rPr>
          <w:rFonts w:ascii="Arial" w:cs="Arial" w:eastAsia="Arial" w:hAnsi="Arial"/>
          <w:sz w:val="13"/>
          <w:szCs w:val="13"/>
          <w:color w:val="auto"/>
        </w:rPr>
      </w:pPr>
      <w:r>
        <w:rPr>
          <w:rFonts w:ascii="Arial" w:cs="Arial" w:eastAsia="Arial" w:hAnsi="Arial"/>
          <w:sz w:val="13"/>
          <w:szCs w:val="13"/>
          <w:color w:val="auto"/>
        </w:rPr>
        <w:t xml:space="preserve">See Note 5, </w:t>
      </w:r>
      <w:r>
        <w:rPr>
          <w:rFonts w:ascii="Arial" w:cs="Arial" w:eastAsia="Arial" w:hAnsi="Arial"/>
          <w:sz w:val="13"/>
          <w:szCs w:val="13"/>
          <w:i w:val="1"/>
          <w:iCs w:val="1"/>
          <w:color w:val="auto"/>
        </w:rPr>
        <w:t>Impairment and Other Charges</w:t>
      </w:r>
      <w:r>
        <w:rPr>
          <w:rFonts w:ascii="Arial" w:cs="Arial" w:eastAsia="Arial" w:hAnsi="Arial"/>
          <w:sz w:val="13"/>
          <w:szCs w:val="13"/>
          <w:color w:val="auto"/>
        </w:rPr>
        <w:t xml:space="preserve"> for further detail.</w:t>
      </w:r>
    </w:p>
    <w:p>
      <w:pPr>
        <w:jc w:val="both"/>
        <w:ind w:left="380" w:right="79" w:hanging="330"/>
        <w:spacing w:after="0" w:line="216" w:lineRule="auto"/>
        <w:tabs>
          <w:tab w:leader="none" w:pos="380" w:val="left"/>
        </w:tabs>
        <w:numPr>
          <w:ilvl w:val="0"/>
          <w:numId w:val="5"/>
        </w:numPr>
        <w:rPr>
          <w:rFonts w:ascii="Arial" w:cs="Arial" w:eastAsia="Arial" w:hAnsi="Arial"/>
          <w:sz w:val="13"/>
          <w:szCs w:val="13"/>
          <w:color w:val="auto"/>
        </w:rPr>
      </w:pPr>
      <w:r>
        <w:rPr>
          <w:rFonts w:ascii="Arial" w:cs="Arial" w:eastAsia="Arial" w:hAnsi="Arial"/>
          <w:sz w:val="13"/>
          <w:szCs w:val="13"/>
          <w:color w:val="auto"/>
        </w:rPr>
        <w:t>Corporate expense consists of unallocated selling, general and administrative expenses, as well as depreciation and amortization related to our corporate headquarters, centrally managed departments, unallocated insurance and benefit programs, certain foreign exchange transaction gains and losses, and other items.</w:t>
      </w:r>
    </w:p>
    <w:p>
      <w:pPr>
        <w:spacing w:after="0" w:line="1" w:lineRule="exact"/>
        <w:rPr>
          <w:rFonts w:ascii="Arial" w:cs="Arial" w:eastAsia="Arial" w:hAnsi="Arial"/>
          <w:sz w:val="13"/>
          <w:szCs w:val="13"/>
          <w:color w:val="auto"/>
        </w:rPr>
      </w:pPr>
    </w:p>
    <w:p>
      <w:pPr>
        <w:ind w:left="380" w:right="79" w:hanging="330"/>
        <w:spacing w:after="0" w:line="262" w:lineRule="auto"/>
        <w:tabs>
          <w:tab w:leader="none" w:pos="380"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Other income / (expense), net for the thirteen weeks and thirty-nine weeks ended October 29, 2022 represented primarily the loss on the change in fair value of our investment in Retailors, Ltd., a publicly-listed entity, which was partially offset by other income. See Note 6, </w:t>
      </w:r>
      <w:r>
        <w:rPr>
          <w:rFonts w:ascii="Arial" w:cs="Arial" w:eastAsia="Arial" w:hAnsi="Arial"/>
          <w:sz w:val="12"/>
          <w:szCs w:val="12"/>
          <w:i w:val="1"/>
          <w:iCs w:val="1"/>
          <w:color w:val="auto"/>
        </w:rPr>
        <w:t>Other Income / (Expense), net</w:t>
      </w:r>
      <w:r>
        <w:rPr>
          <w:rFonts w:ascii="Arial" w:cs="Arial" w:eastAsia="Arial" w:hAnsi="Arial"/>
          <w:sz w:val="12"/>
          <w:szCs w:val="12"/>
          <w:color w:val="auto"/>
        </w:rPr>
        <w:t>.</w:t>
      </w:r>
    </w:p>
    <w:p>
      <w:pPr>
        <w:spacing w:after="0" w:line="200" w:lineRule="exact"/>
        <w:rPr>
          <w:sz w:val="20"/>
          <w:szCs w:val="20"/>
          <w:color w:val="auto"/>
        </w:rPr>
      </w:pPr>
    </w:p>
    <w:p>
      <w:pPr>
        <w:spacing w:after="0" w:line="32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2022 Form 10-Q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154305</wp:posOffset>
            </wp:positionV>
            <wp:extent cx="1834515" cy="2146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0" w:right="819" w:firstLine="767"/>
        <w:spacing w:after="0" w:line="491" w:lineRule="auto"/>
        <w:rPr>
          <w:sz w:val="20"/>
          <w:szCs w:val="20"/>
          <w:color w:val="auto"/>
        </w:rPr>
      </w:pPr>
      <w:r>
        <w:rPr>
          <w:rFonts w:ascii="Arial" w:cs="Arial" w:eastAsia="Arial" w:hAnsi="Arial"/>
          <w:sz w:val="18"/>
          <w:szCs w:val="18"/>
          <w:b w:val="1"/>
          <w:bCs w:val="1"/>
          <w:color w:val="auto"/>
        </w:rPr>
        <w:t>NOTES TO THE UNAUDITED CONDENSED CONSOLIDATED FINANCIAL STATEMENTS 5. Impairment and Other Charges</w:t>
      </w:r>
    </w:p>
    <w:tbl>
      <w:tblPr>
        <w:tblLayout w:type="fixed"/>
        <w:tblInd w:w="40" w:type="dxa"/>
        <w:tblCellMar>
          <w:top w:w="0" w:type="dxa"/>
          <w:left w:w="0" w:type="dxa"/>
          <w:bottom w:w="0" w:type="dxa"/>
          <w:right w:w="0" w:type="dxa"/>
        </w:tblCellMar>
      </w:tblPr>
      <w:tr>
        <w:trPr>
          <w:trHeight w:val="211"/>
        </w:trPr>
        <w:tc>
          <w:tcPr>
            <w:tcW w:w="35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3"/>
          </w:tcPr>
          <w:p>
            <w:pPr>
              <w:jc w:val="right"/>
              <w:ind w:right="335"/>
              <w:spacing w:after="0"/>
              <w:rPr>
                <w:sz w:val="20"/>
                <w:szCs w:val="20"/>
                <w:color w:val="auto"/>
              </w:rPr>
            </w:pPr>
            <w:r>
              <w:rPr>
                <w:rFonts w:ascii="Arial" w:cs="Arial" w:eastAsia="Arial" w:hAnsi="Arial"/>
                <w:sz w:val="17"/>
                <w:szCs w:val="17"/>
                <w:b w:val="1"/>
                <w:bCs w:val="1"/>
                <w:color w:val="auto"/>
              </w:rPr>
              <w:t>Thirteen weeks ended</w:t>
            </w:r>
          </w:p>
        </w:tc>
        <w:tc>
          <w:tcPr>
            <w:tcW w:w="28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jc w:val="right"/>
              <w:ind w:right="255"/>
              <w:spacing w:after="0"/>
              <w:rPr>
                <w:sz w:val="20"/>
                <w:szCs w:val="20"/>
                <w:color w:val="auto"/>
              </w:rPr>
            </w:pPr>
            <w:r>
              <w:rPr>
                <w:rFonts w:ascii="Arial" w:cs="Arial" w:eastAsia="Arial" w:hAnsi="Arial"/>
                <w:sz w:val="17"/>
                <w:szCs w:val="17"/>
                <w:b w:val="1"/>
                <w:bCs w:val="1"/>
                <w:color w:val="auto"/>
              </w:rPr>
              <w:t>Thirty-nine weeks ended</w:t>
            </w:r>
          </w:p>
        </w:tc>
      </w:tr>
      <w:tr>
        <w:trPr>
          <w:trHeight w:val="160"/>
        </w:trPr>
        <w:tc>
          <w:tcPr>
            <w:tcW w:w="3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right"/>
              <w:ind w:right="75"/>
              <w:spacing w:after="0" w:line="160" w:lineRule="exact"/>
              <w:rPr>
                <w:sz w:val="20"/>
                <w:szCs w:val="20"/>
                <w:color w:val="auto"/>
              </w:rPr>
            </w:pPr>
            <w:r>
              <w:rPr>
                <w:rFonts w:ascii="Arial" w:cs="Arial" w:eastAsia="Arial" w:hAnsi="Arial"/>
                <w:sz w:val="17"/>
                <w:szCs w:val="17"/>
                <w:b w:val="1"/>
                <w:bCs w:val="1"/>
                <w:color w:val="auto"/>
                <w:w w:val="98"/>
              </w:rPr>
              <w:t>October 29,</w:t>
            </w:r>
          </w:p>
        </w:tc>
        <w:tc>
          <w:tcPr>
            <w:tcW w:w="240" w:type="dxa"/>
            <w:vAlign w:val="bottom"/>
          </w:tcPr>
          <w:p>
            <w:pPr>
              <w:spacing w:after="0"/>
              <w:rPr>
                <w:sz w:val="13"/>
                <w:szCs w:val="13"/>
                <w:color w:val="auto"/>
              </w:rPr>
            </w:pPr>
          </w:p>
        </w:tc>
        <w:tc>
          <w:tcPr>
            <w:tcW w:w="1120" w:type="dxa"/>
            <w:vAlign w:val="bottom"/>
          </w:tcPr>
          <w:p>
            <w:pPr>
              <w:jc w:val="right"/>
              <w:ind w:right="95"/>
              <w:spacing w:after="0" w:line="160" w:lineRule="exact"/>
              <w:rPr>
                <w:sz w:val="20"/>
                <w:szCs w:val="20"/>
                <w:color w:val="auto"/>
              </w:rPr>
            </w:pPr>
            <w:r>
              <w:rPr>
                <w:rFonts w:ascii="Arial" w:cs="Arial" w:eastAsia="Arial" w:hAnsi="Arial"/>
                <w:sz w:val="17"/>
                <w:szCs w:val="17"/>
                <w:b w:val="1"/>
                <w:bCs w:val="1"/>
                <w:color w:val="auto"/>
                <w:w w:val="98"/>
              </w:rPr>
              <w:t>October 30,</w:t>
            </w:r>
          </w:p>
        </w:tc>
        <w:tc>
          <w:tcPr>
            <w:tcW w:w="1340" w:type="dxa"/>
            <w:vAlign w:val="bottom"/>
            <w:gridSpan w:val="2"/>
          </w:tcPr>
          <w:p>
            <w:pPr>
              <w:jc w:val="right"/>
              <w:ind w:right="95"/>
              <w:spacing w:after="0" w:line="160" w:lineRule="exact"/>
              <w:rPr>
                <w:sz w:val="20"/>
                <w:szCs w:val="20"/>
                <w:color w:val="auto"/>
              </w:rPr>
            </w:pPr>
            <w:r>
              <w:rPr>
                <w:rFonts w:ascii="Arial" w:cs="Arial" w:eastAsia="Arial" w:hAnsi="Arial"/>
                <w:sz w:val="17"/>
                <w:szCs w:val="17"/>
                <w:b w:val="1"/>
                <w:bCs w:val="1"/>
                <w:color w:val="auto"/>
              </w:rPr>
              <w:t>October 29,</w:t>
            </w:r>
          </w:p>
        </w:tc>
        <w:tc>
          <w:tcPr>
            <w:tcW w:w="1340" w:type="dxa"/>
            <w:vAlign w:val="bottom"/>
            <w:gridSpan w:val="2"/>
          </w:tcPr>
          <w:p>
            <w:pPr>
              <w:jc w:val="right"/>
              <w:ind w:right="135"/>
              <w:spacing w:after="0" w:line="160" w:lineRule="exact"/>
              <w:rPr>
                <w:sz w:val="20"/>
                <w:szCs w:val="20"/>
                <w:color w:val="auto"/>
              </w:rPr>
            </w:pPr>
            <w:r>
              <w:rPr>
                <w:rFonts w:ascii="Arial" w:cs="Arial" w:eastAsia="Arial" w:hAnsi="Arial"/>
                <w:sz w:val="17"/>
                <w:szCs w:val="17"/>
                <w:b w:val="1"/>
                <w:bCs w:val="1"/>
                <w:color w:val="auto"/>
              </w:rPr>
              <w:t>October 30,</w:t>
            </w:r>
          </w:p>
        </w:tc>
      </w:tr>
      <w:tr>
        <w:trPr>
          <w:trHeight w:val="211"/>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2022</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2021</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2022</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2021</w:t>
            </w:r>
          </w:p>
        </w:tc>
      </w:tr>
      <w:tr>
        <w:trPr>
          <w:trHeight w:val="183"/>
        </w:trPr>
        <w:tc>
          <w:tcPr>
            <w:tcW w:w="3500" w:type="dxa"/>
            <w:vAlign w:val="bottom"/>
          </w:tcPr>
          <w:p>
            <w:pPr>
              <w:ind w:left="20"/>
              <w:spacing w:after="0" w:line="183" w:lineRule="exact"/>
              <w:rPr>
                <w:sz w:val="20"/>
                <w:szCs w:val="20"/>
                <w:color w:val="auto"/>
              </w:rPr>
            </w:pPr>
            <w:r>
              <w:rPr>
                <w:rFonts w:ascii="Arial" w:cs="Arial" w:eastAsia="Arial" w:hAnsi="Arial"/>
                <w:sz w:val="17"/>
                <w:szCs w:val="17"/>
                <w:color w:val="auto"/>
              </w:rPr>
              <w:t>Transformation consulting</w:t>
            </w:r>
          </w:p>
        </w:tc>
        <w:tc>
          <w:tcPr>
            <w:tcW w:w="260" w:type="dxa"/>
            <w:vAlign w:val="bottom"/>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00" w:type="dxa"/>
            <w:vAlign w:val="bottom"/>
          </w:tcPr>
          <w:p>
            <w:pPr>
              <w:jc w:val="right"/>
              <w:ind w:right="35"/>
              <w:spacing w:after="0" w:line="183" w:lineRule="exact"/>
              <w:rPr>
                <w:sz w:val="20"/>
                <w:szCs w:val="20"/>
                <w:color w:val="auto"/>
              </w:rPr>
            </w:pPr>
            <w:r>
              <w:rPr>
                <w:rFonts w:ascii="Arial" w:cs="Arial" w:eastAsia="Arial" w:hAnsi="Arial"/>
                <w:sz w:val="17"/>
                <w:szCs w:val="17"/>
                <w:b w:val="1"/>
                <w:bCs w:val="1"/>
                <w:color w:val="auto"/>
              </w:rPr>
              <w:t>17</w:t>
            </w:r>
          </w:p>
        </w:tc>
        <w:tc>
          <w:tcPr>
            <w:tcW w:w="24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1120" w:type="dxa"/>
            <w:vAlign w:val="bottom"/>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280" w:type="dxa"/>
            <w:vAlign w:val="bottom"/>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60" w:type="dxa"/>
            <w:vAlign w:val="bottom"/>
          </w:tcPr>
          <w:p>
            <w:pPr>
              <w:jc w:val="right"/>
              <w:ind w:right="55"/>
              <w:spacing w:after="0" w:line="183" w:lineRule="exact"/>
              <w:rPr>
                <w:sz w:val="20"/>
                <w:szCs w:val="20"/>
                <w:color w:val="auto"/>
              </w:rPr>
            </w:pPr>
            <w:r>
              <w:rPr>
                <w:rFonts w:ascii="Arial" w:cs="Arial" w:eastAsia="Arial" w:hAnsi="Arial"/>
                <w:sz w:val="17"/>
                <w:szCs w:val="17"/>
                <w:b w:val="1"/>
                <w:bCs w:val="1"/>
                <w:color w:val="auto"/>
              </w:rPr>
              <w:t>27</w:t>
            </w:r>
          </w:p>
        </w:tc>
        <w:tc>
          <w:tcPr>
            <w:tcW w:w="340" w:type="dxa"/>
            <w:vAlign w:val="bottom"/>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1000" w:type="dxa"/>
            <w:vAlign w:val="bottom"/>
          </w:tcPr>
          <w:p>
            <w:pPr>
              <w:jc w:val="right"/>
              <w:ind w:right="115"/>
              <w:spacing w:after="0" w:line="183" w:lineRule="exact"/>
              <w:rPr>
                <w:sz w:val="20"/>
                <w:szCs w:val="20"/>
                <w:color w:val="auto"/>
              </w:rPr>
            </w:pPr>
            <w:r>
              <w:rPr>
                <w:rFonts w:ascii="Arial" w:cs="Arial" w:eastAsia="Arial" w:hAnsi="Arial"/>
                <w:sz w:val="17"/>
                <w:szCs w:val="17"/>
                <w:color w:val="auto"/>
              </w:rPr>
              <w:t>—</w:t>
            </w:r>
          </w:p>
        </w:tc>
      </w:tr>
      <w:tr>
        <w:trPr>
          <w:trHeight w:val="167"/>
        </w:trPr>
        <w:tc>
          <w:tcPr>
            <w:tcW w:w="350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rPr>
              <w:t>Impairment of long-lived assets and right-of-</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211"/>
        </w:trPr>
        <w:tc>
          <w:tcPr>
            <w:tcW w:w="3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use assets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13</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5</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52</w:t>
            </w:r>
          </w:p>
        </w:tc>
      </w:tr>
      <w:tr>
        <w:trPr>
          <w:trHeight w:val="189"/>
        </w:trPr>
        <w:tc>
          <w:tcPr>
            <w:tcW w:w="3500" w:type="dxa"/>
            <w:vAlign w:val="bottom"/>
          </w:tcPr>
          <w:p>
            <w:pPr>
              <w:ind w:left="20"/>
              <w:spacing w:after="0" w:line="189" w:lineRule="exact"/>
              <w:rPr>
                <w:sz w:val="20"/>
                <w:szCs w:val="20"/>
                <w:color w:val="auto"/>
              </w:rPr>
            </w:pPr>
            <w:r>
              <w:rPr>
                <w:rFonts w:ascii="Arial" w:cs="Arial" w:eastAsia="Arial" w:hAnsi="Arial"/>
                <w:sz w:val="17"/>
                <w:szCs w:val="17"/>
                <w:color w:val="auto"/>
              </w:rPr>
              <w:t>Acquisition and integration costs</w:t>
            </w:r>
          </w:p>
        </w:tc>
        <w:tc>
          <w:tcPr>
            <w:tcW w:w="260" w:type="dxa"/>
            <w:vAlign w:val="bottom"/>
          </w:tcPr>
          <w:p>
            <w:pPr>
              <w:spacing w:after="0"/>
              <w:rPr>
                <w:sz w:val="16"/>
                <w:szCs w:val="16"/>
                <w:color w:val="auto"/>
              </w:rPr>
            </w:pPr>
          </w:p>
        </w:tc>
        <w:tc>
          <w:tcPr>
            <w:tcW w:w="110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1</w:t>
            </w:r>
          </w:p>
        </w:tc>
        <w:tc>
          <w:tcPr>
            <w:tcW w:w="240" w:type="dxa"/>
            <w:vAlign w:val="bottom"/>
          </w:tcPr>
          <w:p>
            <w:pPr>
              <w:spacing w:after="0"/>
              <w:rPr>
                <w:sz w:val="16"/>
                <w:szCs w:val="16"/>
                <w:color w:val="auto"/>
              </w:rPr>
            </w:pPr>
          </w:p>
        </w:tc>
        <w:tc>
          <w:tcPr>
            <w:tcW w:w="112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14</w:t>
            </w:r>
          </w:p>
        </w:tc>
        <w:tc>
          <w:tcPr>
            <w:tcW w:w="280" w:type="dxa"/>
            <w:vAlign w:val="bottom"/>
          </w:tcPr>
          <w:p>
            <w:pPr>
              <w:spacing w:after="0"/>
              <w:rPr>
                <w:sz w:val="16"/>
                <w:szCs w:val="16"/>
                <w:color w:val="auto"/>
              </w:rPr>
            </w:pPr>
          </w:p>
        </w:tc>
        <w:tc>
          <w:tcPr>
            <w:tcW w:w="106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4</w:t>
            </w:r>
          </w:p>
        </w:tc>
        <w:tc>
          <w:tcPr>
            <w:tcW w:w="340" w:type="dxa"/>
            <w:vAlign w:val="bottom"/>
          </w:tcPr>
          <w:p>
            <w:pPr>
              <w:spacing w:after="0"/>
              <w:rPr>
                <w:sz w:val="16"/>
                <w:szCs w:val="16"/>
                <w:color w:val="auto"/>
              </w:rPr>
            </w:pPr>
          </w:p>
        </w:tc>
        <w:tc>
          <w:tcPr>
            <w:tcW w:w="100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14</w:t>
            </w:r>
          </w:p>
        </w:tc>
      </w:tr>
      <w:tr>
        <w:trPr>
          <w:trHeight w:val="189"/>
        </w:trPr>
        <w:tc>
          <w:tcPr>
            <w:tcW w:w="35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Reorganization costs</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2</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2</w:t>
            </w: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2</w:t>
            </w:r>
          </w:p>
        </w:tc>
      </w:tr>
      <w:tr>
        <w:trPr>
          <w:trHeight w:val="189"/>
        </w:trPr>
        <w:tc>
          <w:tcPr>
            <w:tcW w:w="3500" w:type="dxa"/>
            <w:vAlign w:val="bottom"/>
          </w:tcPr>
          <w:p>
            <w:pPr>
              <w:ind w:left="20"/>
              <w:spacing w:after="0" w:line="189" w:lineRule="exact"/>
              <w:rPr>
                <w:sz w:val="20"/>
                <w:szCs w:val="20"/>
                <w:color w:val="auto"/>
              </w:rPr>
            </w:pPr>
            <w:r>
              <w:rPr>
                <w:rFonts w:ascii="Arial" w:cs="Arial" w:eastAsia="Arial" w:hAnsi="Arial"/>
                <w:sz w:val="17"/>
                <w:szCs w:val="17"/>
                <w:color w:val="auto"/>
              </w:rPr>
              <w:t>Impairment of investments</w:t>
            </w:r>
          </w:p>
        </w:tc>
        <w:tc>
          <w:tcPr>
            <w:tcW w:w="260" w:type="dxa"/>
            <w:vAlign w:val="bottom"/>
          </w:tcPr>
          <w:p>
            <w:pPr>
              <w:spacing w:after="0"/>
              <w:rPr>
                <w:sz w:val="16"/>
                <w:szCs w:val="16"/>
                <w:color w:val="auto"/>
              </w:rPr>
            </w:pPr>
          </w:p>
        </w:tc>
        <w:tc>
          <w:tcPr>
            <w:tcW w:w="110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6"/>
                <w:szCs w:val="16"/>
                <w:color w:val="auto"/>
              </w:rPr>
            </w:pPr>
          </w:p>
        </w:tc>
        <w:tc>
          <w:tcPr>
            <w:tcW w:w="1120" w:type="dxa"/>
            <w:vAlign w:val="bottom"/>
          </w:tcPr>
          <w:p>
            <w:pPr>
              <w:jc w:val="right"/>
              <w:ind w:right="35"/>
              <w:spacing w:after="0" w:line="189" w:lineRule="exact"/>
              <w:rPr>
                <w:sz w:val="20"/>
                <w:szCs w:val="20"/>
                <w:color w:val="auto"/>
              </w:rPr>
            </w:pPr>
            <w:r>
              <w:rPr>
                <w:rFonts w:ascii="Arial" w:cs="Arial" w:eastAsia="Arial" w:hAnsi="Arial"/>
                <w:sz w:val="17"/>
                <w:szCs w:val="17"/>
                <w:color w:val="auto"/>
              </w:rPr>
              <w:t>30</w:t>
            </w:r>
          </w:p>
        </w:tc>
        <w:tc>
          <w:tcPr>
            <w:tcW w:w="280" w:type="dxa"/>
            <w:vAlign w:val="bottom"/>
          </w:tcPr>
          <w:p>
            <w:pPr>
              <w:spacing w:after="0"/>
              <w:rPr>
                <w:sz w:val="16"/>
                <w:szCs w:val="16"/>
                <w:color w:val="auto"/>
              </w:rPr>
            </w:pPr>
          </w:p>
        </w:tc>
        <w:tc>
          <w:tcPr>
            <w:tcW w:w="106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16"/>
                <w:szCs w:val="16"/>
                <w:color w:val="auto"/>
              </w:rPr>
            </w:pPr>
          </w:p>
        </w:tc>
        <w:tc>
          <w:tcPr>
            <w:tcW w:w="100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32</w:t>
            </w:r>
          </w:p>
        </w:tc>
      </w:tr>
      <w:tr>
        <w:trPr>
          <w:trHeight w:val="189"/>
        </w:trPr>
        <w:tc>
          <w:tcPr>
            <w:tcW w:w="35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Lease termination costs</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4</w:t>
            </w:r>
          </w:p>
        </w:tc>
      </w:tr>
      <w:tr>
        <w:trPr>
          <w:trHeight w:val="189"/>
        </w:trPr>
        <w:tc>
          <w:tcPr>
            <w:tcW w:w="350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Insurance recovery</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(7)</w:t>
            </w:r>
          </w:p>
        </w:tc>
      </w:tr>
      <w:tr>
        <w:trPr>
          <w:trHeight w:val="183"/>
        </w:trPr>
        <w:tc>
          <w:tcPr>
            <w:tcW w:w="350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Total impairment and other charges</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20</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57</w:t>
            </w:r>
          </w:p>
        </w:tc>
        <w:tc>
          <w:tcPr>
            <w:tcW w:w="2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38</w:t>
            </w:r>
          </w:p>
        </w:tc>
        <w:tc>
          <w:tcPr>
            <w:tcW w:w="34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97</w:t>
            </w:r>
          </w:p>
        </w:tc>
      </w:tr>
      <w:tr>
        <w:trPr>
          <w:trHeight w:val="20"/>
        </w:trPr>
        <w:tc>
          <w:tcPr>
            <w:tcW w:w="3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For the thirteen and thirty-nine weeks ended October 29, 2022, we incurred $17 million and $27 million of transformation consulting expense, respectively. We recorded $ 1 million and $4 million in acquisition and integration costs related to WSS and atmos for the thirteen and thirty-nine weeks ended October 29, 2022, respectively. We recorded reorganization costs, primarily severance, of $2 million for both the thirteen and thirty-nine weeks ended October 29, 2022, related to the announced closure of a North American distribution center. Additionally, we recorded impairment charges of $5 million related to long-lived assets and right-of-use assets, as well as accelerated tenancy charges for the thirty-nine weeks ended October 29, 2022.</w:t>
      </w:r>
    </w:p>
    <w:p>
      <w:pPr>
        <w:spacing w:after="0" w:line="18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For the thirteen and thirty-nine weeks ended October 30, 2021 we recorded $ 13 million and $52 million of impairment charges related to the decision to exit the Footaction banner, respectively. Impairment of investments was $30 million and $32 million for the thirteen and thirty-nine weeks ended October 30, 2021, respectively, due to continued losses and updated estimates of value. In connection with the acquisitions, we recorded costs of $14 million, for the thirteen and thirty-nine weeks ended October 30, 2021. We recorded charges of $4 million in lease-related termination costs, and a severance charge of $2 million in connection with the reorganization of certain support functions, offset by $7 million of insurance recovery income related to 2020 social unrest losses for the thirty-nine weeks ended October 30, 2021.</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Other Income / (Expense), net</w:t>
      </w:r>
    </w:p>
    <w:p>
      <w:pPr>
        <w:spacing w:after="0" w:line="171"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Effective June 27, 2022, the Company reached a definitive agreement to sell all assets related to the Eastbay Team Sales business, consisting primarily of inventory and accounts receivable. During the second quarter, we received proceeds of $47 million from the transaction. During the third quarter we finalized the net assets sold to purchasers increasing the gain to $19 million for the thirty-nine weeks ended October 29, 2022.</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Cash, Cash Equivalents, and Restricted Cash</w:t>
      </w:r>
    </w:p>
    <w:p>
      <w:pPr>
        <w:spacing w:after="0" w:line="212"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The table below provides a reconciliation of cash and cash equivalents, as reported on our Condensed Consolidated Balance Sheets, to cash, cash equivalents, and restricted cash, as reported on our Condensed Consolidated Statements of Cash Flows.</w:t>
      </w:r>
    </w:p>
    <w:tbl>
      <w:tblPr>
        <w:tblLayout w:type="fixed"/>
        <w:tblInd w:w="40" w:type="dxa"/>
        <w:tblCellMar>
          <w:top w:w="0" w:type="dxa"/>
          <w:left w:w="0" w:type="dxa"/>
          <w:bottom w:w="0" w:type="dxa"/>
          <w:right w:w="0" w:type="dxa"/>
        </w:tblCellMar>
      </w:tblPr>
      <w:tr>
        <w:trPr>
          <w:trHeight w:val="175"/>
        </w:trPr>
        <w:tc>
          <w:tcPr>
            <w:tcW w:w="4640" w:type="dxa"/>
            <w:vAlign w:val="bottom"/>
          </w:tcPr>
          <w:p>
            <w:pPr>
              <w:spacing w:after="0"/>
              <w:rPr>
                <w:sz w:val="15"/>
                <w:szCs w:val="15"/>
                <w:color w:val="auto"/>
              </w:rPr>
            </w:pPr>
          </w:p>
        </w:tc>
        <w:tc>
          <w:tcPr>
            <w:tcW w:w="1980" w:type="dxa"/>
            <w:vAlign w:val="bottom"/>
          </w:tcPr>
          <w:p>
            <w:pPr>
              <w:jc w:val="right"/>
              <w:spacing w:after="0" w:line="176" w:lineRule="exact"/>
              <w:rPr>
                <w:sz w:val="20"/>
                <w:szCs w:val="20"/>
                <w:color w:val="auto"/>
              </w:rPr>
            </w:pPr>
            <w:r>
              <w:rPr>
                <w:rFonts w:ascii="Arial" w:cs="Arial" w:eastAsia="Arial" w:hAnsi="Arial"/>
                <w:sz w:val="17"/>
                <w:szCs w:val="17"/>
                <w:b w:val="1"/>
                <w:bCs w:val="1"/>
                <w:color w:val="auto"/>
              </w:rPr>
              <w:t>October 29,</w:t>
            </w: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jc w:val="right"/>
              <w:ind w:right="275"/>
              <w:spacing w:after="0" w:line="176" w:lineRule="exact"/>
              <w:rPr>
                <w:sz w:val="20"/>
                <w:szCs w:val="20"/>
                <w:color w:val="auto"/>
              </w:rPr>
            </w:pPr>
            <w:r>
              <w:rPr>
                <w:rFonts w:ascii="Arial" w:cs="Arial" w:eastAsia="Arial" w:hAnsi="Arial"/>
                <w:sz w:val="17"/>
                <w:szCs w:val="17"/>
                <w:b w:val="1"/>
                <w:bCs w:val="1"/>
                <w:color w:val="auto"/>
              </w:rPr>
              <w:t>October 30,</w:t>
            </w:r>
          </w:p>
        </w:tc>
      </w:tr>
      <w:tr>
        <w:trPr>
          <w:trHeight w:val="211"/>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198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2022</w:t>
            </w:r>
          </w:p>
        </w:tc>
        <w:tc>
          <w:tcPr>
            <w:tcW w:w="4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2021</w:t>
            </w:r>
          </w:p>
        </w:tc>
      </w:tr>
      <w:tr>
        <w:trPr>
          <w:trHeight w:val="183"/>
        </w:trPr>
        <w:tc>
          <w:tcPr>
            <w:tcW w:w="464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Cash and cash equivalents</w:t>
            </w:r>
          </w:p>
        </w:tc>
        <w:tc>
          <w:tcPr>
            <w:tcW w:w="1980" w:type="dxa"/>
            <w:vAlign w:val="bottom"/>
            <w:shd w:val="clear" w:color="auto" w:fill="CCEEFF"/>
          </w:tcPr>
          <w:p>
            <w:pPr>
              <w:jc w:val="right"/>
              <w:ind w:right="1115"/>
              <w:spacing w:after="0" w:line="183" w:lineRule="exact"/>
              <w:rPr>
                <w:sz w:val="20"/>
                <w:szCs w:val="20"/>
                <w:color w:val="auto"/>
              </w:rPr>
            </w:pPr>
            <w:r>
              <w:rPr>
                <w:rFonts w:ascii="Arial" w:cs="Arial" w:eastAsia="Arial" w:hAnsi="Arial"/>
                <w:sz w:val="17"/>
                <w:szCs w:val="17"/>
                <w:b w:val="1"/>
                <w:bCs w:val="1"/>
                <w:color w:val="auto"/>
              </w:rPr>
              <w:t>$</w:t>
            </w:r>
          </w:p>
        </w:tc>
        <w:tc>
          <w:tcPr>
            <w:tcW w:w="46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w w:val="91"/>
              </w:rPr>
              <w:t>351</w:t>
            </w:r>
          </w:p>
        </w:tc>
        <w:tc>
          <w:tcPr>
            <w:tcW w:w="40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1,339</w:t>
            </w:r>
          </w:p>
        </w:tc>
      </w:tr>
      <w:tr>
        <w:trPr>
          <w:trHeight w:val="189"/>
        </w:trPr>
        <w:tc>
          <w:tcPr>
            <w:tcW w:w="4640" w:type="dxa"/>
            <w:vAlign w:val="bottom"/>
          </w:tcPr>
          <w:p>
            <w:pPr>
              <w:ind w:left="20"/>
              <w:spacing w:after="0" w:line="189" w:lineRule="exact"/>
              <w:rPr>
                <w:sz w:val="20"/>
                <w:szCs w:val="20"/>
                <w:color w:val="auto"/>
              </w:rPr>
            </w:pPr>
            <w:r>
              <w:rPr>
                <w:rFonts w:ascii="Arial" w:cs="Arial" w:eastAsia="Arial" w:hAnsi="Arial"/>
                <w:sz w:val="17"/>
                <w:szCs w:val="17"/>
                <w:color w:val="auto"/>
              </w:rPr>
              <w:t>Restricted cash included in other current assets</w:t>
            </w:r>
          </w:p>
        </w:tc>
        <w:tc>
          <w:tcPr>
            <w:tcW w:w="1980" w:type="dxa"/>
            <w:vAlign w:val="bottom"/>
          </w:tcPr>
          <w:p>
            <w:pPr>
              <w:spacing w:after="0"/>
              <w:rPr>
                <w:sz w:val="16"/>
                <w:szCs w:val="16"/>
                <w:color w:val="auto"/>
              </w:rPr>
            </w:pPr>
          </w:p>
        </w:tc>
        <w:tc>
          <w:tcPr>
            <w:tcW w:w="46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14</w:t>
            </w:r>
          </w:p>
        </w:tc>
        <w:tc>
          <w:tcPr>
            <w:tcW w:w="40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7"/>
                <w:szCs w:val="17"/>
                <w:color w:val="auto"/>
              </w:rPr>
              <w:t>9</w:t>
            </w:r>
          </w:p>
        </w:tc>
      </w:tr>
      <w:tr>
        <w:trPr>
          <w:trHeight w:val="189"/>
        </w:trPr>
        <w:tc>
          <w:tcPr>
            <w:tcW w:w="464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Restricted cash included in other non-current assets</w:t>
            </w:r>
          </w:p>
        </w:tc>
        <w:tc>
          <w:tcPr>
            <w:tcW w:w="19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28</w:t>
            </w:r>
          </w:p>
        </w:tc>
        <w:tc>
          <w:tcPr>
            <w:tcW w:w="40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37</w:t>
            </w:r>
          </w:p>
        </w:tc>
      </w:tr>
      <w:tr>
        <w:trPr>
          <w:trHeight w:val="183"/>
        </w:trPr>
        <w:tc>
          <w:tcPr>
            <w:tcW w:w="464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Cash, cash equivalents, and restricted cash</w:t>
            </w:r>
          </w:p>
        </w:tc>
        <w:tc>
          <w:tcPr>
            <w:tcW w:w="1980" w:type="dxa"/>
            <w:vAlign w:val="bottom"/>
            <w:tcBorders>
              <w:bottom w:val="single" w:sz="8" w:color="auto"/>
            </w:tcBorders>
          </w:tcPr>
          <w:p>
            <w:pPr>
              <w:jc w:val="right"/>
              <w:ind w:right="1115"/>
              <w:spacing w:after="0" w:line="183" w:lineRule="exact"/>
              <w:rPr>
                <w:sz w:val="20"/>
                <w:szCs w:val="20"/>
                <w:color w:val="auto"/>
              </w:rPr>
            </w:pPr>
            <w:r>
              <w:rPr>
                <w:rFonts w:ascii="Arial" w:cs="Arial" w:eastAsia="Arial" w:hAnsi="Arial"/>
                <w:sz w:val="17"/>
                <w:szCs w:val="17"/>
                <w:b w:val="1"/>
                <w:bCs w:val="1"/>
                <w:color w:val="auto"/>
              </w:rPr>
              <w:t>$</w:t>
            </w:r>
          </w:p>
        </w:tc>
        <w:tc>
          <w:tcPr>
            <w:tcW w:w="46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b w:val="1"/>
                <w:bCs w:val="1"/>
                <w:color w:val="auto"/>
                <w:w w:val="91"/>
              </w:rPr>
              <w:t>393</w:t>
            </w:r>
          </w:p>
        </w:tc>
        <w:tc>
          <w:tcPr>
            <w:tcW w:w="40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1,385</w:t>
            </w:r>
          </w:p>
        </w:tc>
      </w:tr>
      <w:tr>
        <w:trPr>
          <w:trHeight w:val="20"/>
        </w:trPr>
        <w:tc>
          <w:tcPr>
            <w:tcW w:w="46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2022 Form 10-Q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154305</wp:posOffset>
            </wp:positionV>
            <wp:extent cx="1834515" cy="2146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0" w:right="819" w:firstLine="767"/>
        <w:spacing w:after="0" w:line="477" w:lineRule="auto"/>
        <w:rPr>
          <w:sz w:val="20"/>
          <w:szCs w:val="20"/>
          <w:color w:val="auto"/>
        </w:rPr>
      </w:pPr>
      <w:r>
        <w:rPr>
          <w:rFonts w:ascii="Arial" w:cs="Arial" w:eastAsia="Arial" w:hAnsi="Arial"/>
          <w:sz w:val="18"/>
          <w:szCs w:val="18"/>
          <w:b w:val="1"/>
          <w:bCs w:val="1"/>
          <w:color w:val="auto"/>
        </w:rPr>
        <w:t>NOTES TO THE UNAUDITED CONDENSED CONSOLIDATED FINANCIAL STATEMENTS 7. Cash, Cash Equivalents, and Restricted Cash (continued)</w:t>
      </w:r>
    </w:p>
    <w:p>
      <w:pPr>
        <w:spacing w:after="0" w:line="1"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Amounts included in restricted cash primarily relate to amounts held in escrow in connection with various leasing arrangements in Europe and deposits held in insurance trusts to satisfy the requirement to collateralize part of the self-insured workers’ compensation and liability claims.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Goodwill</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See footnote 2, </w:t>
      </w:r>
      <w:r>
        <w:rPr>
          <w:rFonts w:ascii="Arial" w:cs="Arial" w:eastAsia="Arial" w:hAnsi="Arial"/>
          <w:sz w:val="18"/>
          <w:szCs w:val="18"/>
          <w:i w:val="1"/>
          <w:iCs w:val="1"/>
          <w:color w:val="auto"/>
        </w:rPr>
        <w:t>Acquisitions</w:t>
      </w:r>
      <w:r>
        <w:rPr>
          <w:rFonts w:ascii="Arial" w:cs="Arial" w:eastAsia="Arial" w:hAnsi="Arial"/>
          <w:sz w:val="18"/>
          <w:szCs w:val="18"/>
          <w:color w:val="auto"/>
        </w:rPr>
        <w:t>, for additional information on our recent acquisitions.</w:t>
      </w:r>
    </w:p>
    <w:p>
      <w:pPr>
        <w:spacing w:after="0" w:line="212"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In conjunction with the sale of the Eastbay Team Sales business, we allocated $6 million of goodwill to the assets sold, representing the allocable share of the fair value of the reporting unit disposed of.</w:t>
      </w:r>
    </w:p>
    <w:p>
      <w:pPr>
        <w:spacing w:after="0" w:line="154"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We review goodwill for impairment annually during the first quarter of each fiscal year, or more frequently if impairment indicators arise. The review of impairment consists of either using a qualitative approach to determine whether it is more likely than not that the fair value of the assets is less than their respective carrying values or a one-step quantitative impairment test. The results of the first quarter analysis did not result in an impairment since the fair value of each reporting unit exceeded its carrying value.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Other Intangible Assets, net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components of finite-lived intangible assets and intangible assets not subject to amortization are as follows: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27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98"/>
              </w:rPr>
              <w:t>October 29, 2022</w:t>
            </w:r>
          </w:p>
        </w:tc>
        <w:tc>
          <w:tcPr>
            <w:tcW w:w="7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October 30, 2021</w:t>
            </w:r>
          </w:p>
        </w:tc>
        <w:tc>
          <w:tcPr>
            <w:tcW w:w="680" w:type="dxa"/>
            <w:vAlign w:val="bottom"/>
            <w:tcBorders>
              <w:bottom w:val="single" w:sz="8" w:color="auto"/>
            </w:tcBorders>
          </w:tcPr>
          <w:p>
            <w:pPr>
              <w:spacing w:after="0"/>
              <w:rPr>
                <w:sz w:val="18"/>
                <w:szCs w:val="18"/>
                <w:color w:val="auto"/>
              </w:rPr>
            </w:pPr>
          </w:p>
        </w:tc>
      </w:tr>
      <w:tr>
        <w:trPr>
          <w:trHeight w:val="160"/>
        </w:trPr>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jc w:val="right"/>
              <w:ind w:right="55"/>
              <w:spacing w:after="0" w:line="160" w:lineRule="exact"/>
              <w:rPr>
                <w:sz w:val="20"/>
                <w:szCs w:val="20"/>
                <w:color w:val="auto"/>
              </w:rPr>
            </w:pPr>
            <w:r>
              <w:rPr>
                <w:rFonts w:ascii="Arial" w:cs="Arial" w:eastAsia="Arial" w:hAnsi="Arial"/>
                <w:sz w:val="17"/>
                <w:szCs w:val="17"/>
                <w:b w:val="1"/>
                <w:bCs w:val="1"/>
                <w:color w:val="auto"/>
              </w:rPr>
              <w:t>Gross</w:t>
            </w:r>
          </w:p>
        </w:tc>
        <w:tc>
          <w:tcPr>
            <w:tcW w:w="280" w:type="dxa"/>
            <w:vAlign w:val="bottom"/>
          </w:tcPr>
          <w:p>
            <w:pPr>
              <w:spacing w:after="0"/>
              <w:rPr>
                <w:sz w:val="13"/>
                <w:szCs w:val="13"/>
                <w:color w:val="auto"/>
              </w:rPr>
            </w:pPr>
          </w:p>
        </w:tc>
        <w:tc>
          <w:tcPr>
            <w:tcW w:w="840" w:type="dxa"/>
            <w:vAlign w:val="bottom"/>
          </w:tcPr>
          <w:p>
            <w:pPr>
              <w:jc w:val="right"/>
              <w:ind w:right="115"/>
              <w:spacing w:after="0" w:line="160" w:lineRule="exact"/>
              <w:rPr>
                <w:sz w:val="20"/>
                <w:szCs w:val="20"/>
                <w:color w:val="auto"/>
              </w:rPr>
            </w:pPr>
            <w:r>
              <w:rPr>
                <w:rFonts w:ascii="Arial" w:cs="Arial" w:eastAsia="Arial" w:hAnsi="Arial"/>
                <w:sz w:val="17"/>
                <w:szCs w:val="17"/>
                <w:b w:val="1"/>
                <w:bCs w:val="1"/>
                <w:color w:val="auto"/>
              </w:rPr>
              <w:t>Accum.</w:t>
            </w:r>
          </w:p>
        </w:tc>
        <w:tc>
          <w:tcPr>
            <w:tcW w:w="260" w:type="dxa"/>
            <w:vAlign w:val="bottom"/>
          </w:tcPr>
          <w:p>
            <w:pPr>
              <w:spacing w:after="0"/>
              <w:rPr>
                <w:sz w:val="13"/>
                <w:szCs w:val="13"/>
                <w:color w:val="auto"/>
              </w:rPr>
            </w:pPr>
          </w:p>
        </w:tc>
        <w:tc>
          <w:tcPr>
            <w:tcW w:w="720" w:type="dxa"/>
            <w:vAlign w:val="bottom"/>
          </w:tcPr>
          <w:p>
            <w:pPr>
              <w:jc w:val="right"/>
              <w:ind w:right="255"/>
              <w:spacing w:after="0" w:line="160" w:lineRule="exact"/>
              <w:rPr>
                <w:sz w:val="20"/>
                <w:szCs w:val="20"/>
                <w:color w:val="auto"/>
              </w:rPr>
            </w:pPr>
            <w:r>
              <w:rPr>
                <w:rFonts w:ascii="Arial" w:cs="Arial" w:eastAsia="Arial" w:hAnsi="Arial"/>
                <w:sz w:val="17"/>
                <w:szCs w:val="17"/>
                <w:b w:val="1"/>
                <w:bCs w:val="1"/>
                <w:color w:val="auto"/>
              </w:rPr>
              <w:t>Net</w:t>
            </w:r>
          </w:p>
        </w:tc>
        <w:tc>
          <w:tcPr>
            <w:tcW w:w="240" w:type="dxa"/>
            <w:vAlign w:val="bottom"/>
          </w:tcPr>
          <w:p>
            <w:pPr>
              <w:spacing w:after="0"/>
              <w:rPr>
                <w:sz w:val="13"/>
                <w:szCs w:val="13"/>
                <w:color w:val="auto"/>
              </w:rPr>
            </w:pPr>
          </w:p>
        </w:tc>
        <w:tc>
          <w:tcPr>
            <w:tcW w:w="780" w:type="dxa"/>
            <w:vAlign w:val="bottom"/>
          </w:tcPr>
          <w:p>
            <w:pPr>
              <w:jc w:val="right"/>
              <w:ind w:right="155"/>
              <w:spacing w:after="0" w:line="160" w:lineRule="exact"/>
              <w:rPr>
                <w:sz w:val="20"/>
                <w:szCs w:val="20"/>
                <w:color w:val="auto"/>
              </w:rPr>
            </w:pPr>
            <w:r>
              <w:rPr>
                <w:rFonts w:ascii="Arial" w:cs="Arial" w:eastAsia="Arial" w:hAnsi="Arial"/>
                <w:sz w:val="17"/>
                <w:szCs w:val="17"/>
                <w:b w:val="1"/>
                <w:bCs w:val="1"/>
                <w:color w:val="auto"/>
              </w:rPr>
              <w:t>Gross</w:t>
            </w:r>
          </w:p>
        </w:tc>
        <w:tc>
          <w:tcPr>
            <w:tcW w:w="200" w:type="dxa"/>
            <w:vAlign w:val="bottom"/>
          </w:tcPr>
          <w:p>
            <w:pPr>
              <w:spacing w:after="0"/>
              <w:rPr>
                <w:sz w:val="13"/>
                <w:szCs w:val="13"/>
                <w:color w:val="auto"/>
              </w:rPr>
            </w:pPr>
          </w:p>
        </w:tc>
        <w:tc>
          <w:tcPr>
            <w:tcW w:w="840" w:type="dxa"/>
            <w:vAlign w:val="bottom"/>
          </w:tcPr>
          <w:p>
            <w:pPr>
              <w:jc w:val="right"/>
              <w:ind w:right="115"/>
              <w:spacing w:after="0" w:line="160" w:lineRule="exact"/>
              <w:rPr>
                <w:sz w:val="20"/>
                <w:szCs w:val="20"/>
                <w:color w:val="auto"/>
              </w:rPr>
            </w:pPr>
            <w:r>
              <w:rPr>
                <w:rFonts w:ascii="Arial" w:cs="Arial" w:eastAsia="Arial" w:hAnsi="Arial"/>
                <w:sz w:val="17"/>
                <w:szCs w:val="17"/>
                <w:b w:val="1"/>
                <w:bCs w:val="1"/>
                <w:color w:val="auto"/>
              </w:rPr>
              <w:t>Accum.</w:t>
            </w:r>
          </w:p>
        </w:tc>
        <w:tc>
          <w:tcPr>
            <w:tcW w:w="260" w:type="dxa"/>
            <w:vAlign w:val="bottom"/>
          </w:tcPr>
          <w:p>
            <w:pPr>
              <w:spacing w:after="0"/>
              <w:rPr>
                <w:sz w:val="13"/>
                <w:szCs w:val="13"/>
                <w:color w:val="auto"/>
              </w:rPr>
            </w:pPr>
          </w:p>
        </w:tc>
        <w:tc>
          <w:tcPr>
            <w:tcW w:w="680" w:type="dxa"/>
            <w:vAlign w:val="bottom"/>
          </w:tcPr>
          <w:p>
            <w:pPr>
              <w:jc w:val="right"/>
              <w:ind w:right="215"/>
              <w:spacing w:after="0" w:line="160" w:lineRule="exact"/>
              <w:rPr>
                <w:sz w:val="20"/>
                <w:szCs w:val="20"/>
                <w:color w:val="auto"/>
              </w:rPr>
            </w:pPr>
            <w:r>
              <w:rPr>
                <w:rFonts w:ascii="Arial" w:cs="Arial" w:eastAsia="Arial" w:hAnsi="Arial"/>
                <w:sz w:val="17"/>
                <w:szCs w:val="17"/>
                <w:b w:val="1"/>
                <w:bCs w:val="1"/>
                <w:color w:val="auto"/>
              </w:rPr>
              <w:t>Net</w:t>
            </w:r>
          </w:p>
        </w:tc>
      </w:tr>
      <w:tr>
        <w:trPr>
          <w:trHeight w:val="211"/>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value</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amort.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value</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value</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amort.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value</w:t>
            </w:r>
          </w:p>
        </w:tc>
      </w:tr>
      <w:tr>
        <w:trPr>
          <w:trHeight w:val="183"/>
        </w:trPr>
        <w:tc>
          <w:tcPr>
            <w:tcW w:w="2760" w:type="dxa"/>
            <w:vAlign w:val="bottom"/>
            <w:shd w:val="clear" w:color="auto" w:fill="CCEEFF"/>
          </w:tcPr>
          <w:p>
            <w:pPr>
              <w:ind w:left="20"/>
              <w:spacing w:after="0" w:line="183" w:lineRule="exact"/>
              <w:rPr>
                <w:sz w:val="20"/>
                <w:szCs w:val="20"/>
                <w:color w:val="auto"/>
              </w:rPr>
            </w:pPr>
            <w:r>
              <w:rPr>
                <w:rFonts w:ascii="Arial" w:cs="Arial" w:eastAsia="Arial" w:hAnsi="Arial"/>
                <w:sz w:val="15"/>
                <w:szCs w:val="15"/>
                <w:color w:val="auto"/>
              </w:rPr>
              <w:t xml:space="preserve">Amortized intangible assets: </w:t>
            </w:r>
            <w:r>
              <w:rPr>
                <w:rFonts w:ascii="Arial" w:cs="Arial" w:eastAsia="Arial" w:hAnsi="Arial"/>
                <w:sz w:val="21"/>
                <w:szCs w:val="21"/>
                <w:color w:val="auto"/>
                <w:vertAlign w:val="superscript"/>
              </w:rPr>
              <w:t>(1)</w:t>
            </w: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189"/>
        </w:trPr>
        <w:tc>
          <w:tcPr>
            <w:tcW w:w="2760" w:type="dxa"/>
            <w:vAlign w:val="bottom"/>
          </w:tcPr>
          <w:p>
            <w:pPr>
              <w:ind w:left="220"/>
              <w:spacing w:after="0" w:line="189" w:lineRule="exact"/>
              <w:rPr>
                <w:sz w:val="20"/>
                <w:szCs w:val="20"/>
                <w:color w:val="auto"/>
              </w:rPr>
            </w:pPr>
            <w:r>
              <w:rPr>
                <w:rFonts w:ascii="Arial" w:cs="Arial" w:eastAsia="Arial" w:hAnsi="Arial"/>
                <w:sz w:val="17"/>
                <w:szCs w:val="17"/>
                <w:color w:val="auto"/>
              </w:rPr>
              <w:t>Lease acquisition costs</w:t>
            </w:r>
          </w:p>
        </w:tc>
        <w:tc>
          <w:tcPr>
            <w:tcW w:w="3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6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94</w:t>
            </w:r>
          </w:p>
        </w:tc>
        <w:tc>
          <w:tcPr>
            <w:tcW w:w="2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8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(92)</w:t>
            </w:r>
          </w:p>
        </w:tc>
        <w:tc>
          <w:tcPr>
            <w:tcW w:w="26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auto"/>
              </w:rPr>
              <w:t>$</w:t>
            </w:r>
          </w:p>
        </w:tc>
        <w:tc>
          <w:tcPr>
            <w:tcW w:w="7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2</w:t>
            </w:r>
          </w:p>
        </w:tc>
        <w:tc>
          <w:tcPr>
            <w:tcW w:w="2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780" w:type="dxa"/>
            <w:vAlign w:val="bottom"/>
          </w:tcPr>
          <w:p>
            <w:pPr>
              <w:jc w:val="right"/>
              <w:ind w:right="15"/>
              <w:spacing w:after="0" w:line="189" w:lineRule="exact"/>
              <w:rPr>
                <w:sz w:val="20"/>
                <w:szCs w:val="20"/>
                <w:color w:val="auto"/>
              </w:rPr>
            </w:pPr>
            <w:r>
              <w:rPr>
                <w:rFonts w:ascii="Arial" w:cs="Arial" w:eastAsia="Arial" w:hAnsi="Arial"/>
                <w:sz w:val="17"/>
                <w:szCs w:val="17"/>
                <w:color w:val="auto"/>
              </w:rPr>
              <w:t>112</w:t>
            </w:r>
          </w:p>
        </w:tc>
        <w:tc>
          <w:tcPr>
            <w:tcW w:w="2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(108)</w:t>
            </w:r>
          </w:p>
        </w:tc>
        <w:tc>
          <w:tcPr>
            <w:tcW w:w="260" w:type="dxa"/>
            <w:vAlign w:val="bottom"/>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680" w:type="dxa"/>
            <w:vAlign w:val="bottom"/>
          </w:tcPr>
          <w:p>
            <w:pPr>
              <w:jc w:val="right"/>
              <w:spacing w:after="0" w:line="189" w:lineRule="exact"/>
              <w:rPr>
                <w:sz w:val="20"/>
                <w:szCs w:val="20"/>
                <w:color w:val="auto"/>
              </w:rPr>
            </w:pPr>
            <w:r>
              <w:rPr>
                <w:rFonts w:ascii="Arial" w:cs="Arial" w:eastAsia="Arial" w:hAnsi="Arial"/>
                <w:sz w:val="17"/>
                <w:szCs w:val="17"/>
                <w:color w:val="auto"/>
              </w:rPr>
              <w:t>4</w:t>
            </w:r>
          </w:p>
        </w:tc>
      </w:tr>
      <w:tr>
        <w:trPr>
          <w:trHeight w:val="189"/>
        </w:trPr>
        <w:tc>
          <w:tcPr>
            <w:tcW w:w="2760" w:type="dxa"/>
            <w:vAlign w:val="bottom"/>
            <w:shd w:val="clear" w:color="auto" w:fill="CCEEFF"/>
          </w:tcPr>
          <w:p>
            <w:pPr>
              <w:ind w:left="220"/>
              <w:spacing w:after="0" w:line="189" w:lineRule="exact"/>
              <w:rPr>
                <w:sz w:val="20"/>
                <w:szCs w:val="20"/>
                <w:color w:val="auto"/>
              </w:rPr>
            </w:pPr>
            <w:r>
              <w:rPr>
                <w:rFonts w:ascii="Arial" w:cs="Arial" w:eastAsia="Arial" w:hAnsi="Arial"/>
                <w:sz w:val="15"/>
                <w:szCs w:val="15"/>
                <w:color w:val="auto"/>
              </w:rPr>
              <w:t xml:space="preserve">Trademarks/tradenames </w:t>
            </w:r>
            <w:r>
              <w:rPr>
                <w:rFonts w:ascii="Arial" w:cs="Arial" w:eastAsia="Arial" w:hAnsi="Arial"/>
                <w:sz w:val="21"/>
                <w:szCs w:val="21"/>
                <w:color w:val="auto"/>
                <w:vertAlign w:val="superscript"/>
              </w:rPr>
              <w:t>(2)</w:t>
            </w: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18</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(18)</w:t>
            </w: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20</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(18)</w:t>
            </w: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w:t>
            </w:r>
          </w:p>
        </w:tc>
      </w:tr>
      <w:tr>
        <w:trPr>
          <w:trHeight w:val="189"/>
        </w:trPr>
        <w:tc>
          <w:tcPr>
            <w:tcW w:w="2760" w:type="dxa"/>
            <w:vAlign w:val="bottom"/>
            <w:tcBorders>
              <w:bottom w:val="single" w:sz="8" w:color="auto"/>
            </w:tcBorders>
          </w:tcPr>
          <w:p>
            <w:pPr>
              <w:ind w:left="220"/>
              <w:spacing w:after="0" w:line="189" w:lineRule="exact"/>
              <w:rPr>
                <w:sz w:val="20"/>
                <w:szCs w:val="20"/>
                <w:color w:val="auto"/>
              </w:rPr>
            </w:pPr>
            <w:r>
              <w:rPr>
                <w:rFonts w:ascii="Arial" w:cs="Arial" w:eastAsia="Arial" w:hAnsi="Arial"/>
                <w:sz w:val="17"/>
                <w:szCs w:val="17"/>
                <w:color w:val="auto"/>
              </w:rPr>
              <w:t>Customer lists</w:t>
            </w:r>
          </w:p>
        </w:tc>
        <w:tc>
          <w:tcPr>
            <w:tcW w:w="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(7)</w:t>
            </w: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13</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b w:val="1"/>
                <w:bCs w:val="1"/>
                <w:color w:val="auto"/>
              </w:rPr>
              <w:t>—</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r>
      <w:tr>
        <w:trPr>
          <w:trHeight w:val="183"/>
        </w:trPr>
        <w:tc>
          <w:tcPr>
            <w:tcW w:w="276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6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132</w:t>
            </w:r>
          </w:p>
        </w:tc>
        <w:tc>
          <w:tcPr>
            <w:tcW w:w="2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(117)</w:t>
            </w:r>
          </w:p>
        </w:tc>
        <w:tc>
          <w:tcPr>
            <w:tcW w:w="26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15</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132</w:t>
            </w:r>
          </w:p>
        </w:tc>
        <w:tc>
          <w:tcPr>
            <w:tcW w:w="2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(126)</w:t>
            </w:r>
          </w:p>
        </w:tc>
        <w:tc>
          <w:tcPr>
            <w:tcW w:w="26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6</w:t>
            </w:r>
          </w:p>
        </w:tc>
      </w:tr>
      <w:tr>
        <w:trPr>
          <w:trHeight w:val="183"/>
        </w:trPr>
        <w:tc>
          <w:tcPr>
            <w:tcW w:w="2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9"/>
        </w:trPr>
        <w:tc>
          <w:tcPr>
            <w:tcW w:w="2760" w:type="dxa"/>
            <w:vAlign w:val="bottom"/>
            <w:shd w:val="clear" w:color="auto" w:fill="CCEEFF"/>
          </w:tcPr>
          <w:p>
            <w:pPr>
              <w:ind w:left="20"/>
              <w:spacing w:after="0" w:line="189" w:lineRule="exact"/>
              <w:rPr>
                <w:sz w:val="20"/>
                <w:szCs w:val="20"/>
                <w:color w:val="auto"/>
              </w:rPr>
            </w:pPr>
            <w:r>
              <w:rPr>
                <w:rFonts w:ascii="Arial" w:cs="Arial" w:eastAsia="Arial" w:hAnsi="Arial"/>
                <w:sz w:val="15"/>
                <w:szCs w:val="15"/>
                <w:color w:val="auto"/>
              </w:rPr>
              <w:t xml:space="preserve">Indefinite life intangible assets: </w:t>
            </w:r>
            <w:r>
              <w:rPr>
                <w:rFonts w:ascii="Arial" w:cs="Arial" w:eastAsia="Arial" w:hAnsi="Arial"/>
                <w:sz w:val="21"/>
                <w:szCs w:val="21"/>
                <w:color w:val="auto"/>
                <w:vertAlign w:val="superscript"/>
              </w:rPr>
              <w:t>(1)</w:t>
            </w: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189"/>
        </w:trPr>
        <w:tc>
          <w:tcPr>
            <w:tcW w:w="2760" w:type="dxa"/>
            <w:vAlign w:val="bottom"/>
            <w:tcBorders>
              <w:bottom w:val="single" w:sz="8" w:color="auto"/>
            </w:tcBorders>
          </w:tcPr>
          <w:p>
            <w:pPr>
              <w:ind w:left="220"/>
              <w:spacing w:after="0" w:line="189" w:lineRule="exact"/>
              <w:rPr>
                <w:sz w:val="20"/>
                <w:szCs w:val="20"/>
                <w:color w:val="auto"/>
              </w:rPr>
            </w:pPr>
            <w:r>
              <w:rPr>
                <w:rFonts w:ascii="Arial" w:cs="Arial" w:eastAsia="Arial" w:hAnsi="Arial"/>
                <w:sz w:val="17"/>
                <w:szCs w:val="17"/>
                <w:color w:val="auto"/>
              </w:rPr>
              <w:t>Trademarks/tradenames</w:t>
            </w:r>
          </w:p>
        </w:tc>
        <w:tc>
          <w:tcPr>
            <w:tcW w:w="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409</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229</w:t>
            </w:r>
          </w:p>
        </w:tc>
      </w:tr>
      <w:tr>
        <w:trPr>
          <w:trHeight w:val="182"/>
        </w:trPr>
        <w:tc>
          <w:tcPr>
            <w:tcW w:w="276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Other intangible assets, net</w:t>
            </w:r>
          </w:p>
        </w:tc>
        <w:tc>
          <w:tcPr>
            <w:tcW w:w="3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424</w:t>
            </w:r>
          </w:p>
        </w:tc>
        <w:tc>
          <w:tcPr>
            <w:tcW w:w="2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235</w:t>
            </w:r>
          </w:p>
        </w:tc>
      </w:tr>
      <w:tr>
        <w:trPr>
          <w:trHeight w:val="20"/>
        </w:trPr>
        <w:tc>
          <w:tcPr>
            <w:tcW w:w="2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380" w:right="79" w:hanging="330"/>
        <w:spacing w:after="0" w:line="251" w:lineRule="auto"/>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change in the ending balances also reflects the effect of foreign currency fluctuations due primarily to movements of the euro in relation to the U.S. dollar.</w:t>
      </w:r>
    </w:p>
    <w:p>
      <w:pPr>
        <w:spacing w:after="0" w:line="1" w:lineRule="exact"/>
        <w:rPr>
          <w:rFonts w:ascii="Arial" w:cs="Arial" w:eastAsia="Arial" w:hAnsi="Arial"/>
          <w:sz w:val="14"/>
          <w:szCs w:val="14"/>
          <w:color w:val="auto"/>
        </w:rPr>
      </w:pPr>
    </w:p>
    <w:p>
      <w:pPr>
        <w:ind w:left="380" w:hanging="330"/>
        <w:spacing w:after="0"/>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During the fourth quarter of 2021, we recorded a non-cash impairment charge related to the Footaction tradename.</w:t>
      </w:r>
    </w:p>
    <w:p>
      <w:pPr>
        <w:spacing w:after="0" w:line="193"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 connection with the acquisitions of WSS and atmos, we recognized indefinite life intangible assets of $296 million for WSS related tradenames and $130 million for atmos related tradenames. Additionally, we recognized customer list intangible assets of $13 million for WSS and $9 million for atmos, both of which will be amortized over 3 years. The intangibles related to atmos were originally recorded at the exchange rate in effect as of the date of acquisition and are presented in the above table at current period exchange rates. Amortizing intangible assets primarily represent the WSS and atmos customer lists, and lease acquisition costs, which are amounts that are required to secure prime lease locations and other lease rights, primarily in Europe.</w:t>
      </w:r>
    </w:p>
    <w:p>
      <w:pPr>
        <w:spacing w:after="0" w:line="200" w:lineRule="exact"/>
        <w:rPr>
          <w:sz w:val="20"/>
          <w:szCs w:val="20"/>
          <w:color w:val="auto"/>
        </w:rPr>
      </w:pPr>
    </w:p>
    <w:p>
      <w:pPr>
        <w:spacing w:after="0" w:line="201"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2022 Form 10-Q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154305</wp:posOffset>
            </wp:positionV>
            <wp:extent cx="1834515" cy="2146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Other Intangible Assets, net (continued)</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Amortization expense recorded is as follows: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26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Thirteen weeks ended</w:t>
            </w:r>
          </w:p>
        </w:tc>
        <w:tc>
          <w:tcPr>
            <w:tcW w:w="3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ind w:right="155"/>
              <w:spacing w:after="0"/>
              <w:rPr>
                <w:sz w:val="20"/>
                <w:szCs w:val="20"/>
                <w:color w:val="auto"/>
              </w:rPr>
            </w:pPr>
            <w:r>
              <w:rPr>
                <w:rFonts w:ascii="Arial" w:cs="Arial" w:eastAsia="Arial" w:hAnsi="Arial"/>
                <w:sz w:val="17"/>
                <w:szCs w:val="17"/>
                <w:b w:val="1"/>
                <w:bCs w:val="1"/>
                <w:color w:val="auto"/>
              </w:rPr>
              <w:t>Thirty-nine weeks ended</w:t>
            </w:r>
          </w:p>
        </w:tc>
      </w:tr>
      <w:tr>
        <w:trPr>
          <w:trHeight w:val="160"/>
        </w:trPr>
        <w:tc>
          <w:tcPr>
            <w:tcW w:w="2620" w:type="dxa"/>
            <w:vAlign w:val="bottom"/>
          </w:tcPr>
          <w:p>
            <w:pPr>
              <w:spacing w:after="0"/>
              <w:rPr>
                <w:sz w:val="13"/>
                <w:szCs w:val="13"/>
                <w:color w:val="auto"/>
              </w:rPr>
            </w:pPr>
          </w:p>
        </w:tc>
        <w:tc>
          <w:tcPr>
            <w:tcW w:w="2180" w:type="dxa"/>
            <w:vAlign w:val="bottom"/>
            <w:gridSpan w:val="2"/>
          </w:tcPr>
          <w:p>
            <w:pPr>
              <w:jc w:val="center"/>
              <w:ind w:left="835"/>
              <w:spacing w:after="0" w:line="160" w:lineRule="exact"/>
              <w:rPr>
                <w:sz w:val="20"/>
                <w:szCs w:val="20"/>
                <w:color w:val="auto"/>
              </w:rPr>
            </w:pPr>
            <w:r>
              <w:rPr>
                <w:rFonts w:ascii="Arial" w:cs="Arial" w:eastAsia="Arial" w:hAnsi="Arial"/>
                <w:sz w:val="17"/>
                <w:szCs w:val="17"/>
                <w:b w:val="1"/>
                <w:bCs w:val="1"/>
                <w:color w:val="auto"/>
              </w:rPr>
              <w:t>October 29,</w:t>
            </w:r>
          </w:p>
        </w:tc>
        <w:tc>
          <w:tcPr>
            <w:tcW w:w="1320" w:type="dxa"/>
            <w:vAlign w:val="bottom"/>
            <w:gridSpan w:val="2"/>
          </w:tcPr>
          <w:p>
            <w:pPr>
              <w:jc w:val="center"/>
              <w:spacing w:after="0" w:line="160" w:lineRule="exact"/>
              <w:rPr>
                <w:sz w:val="20"/>
                <w:szCs w:val="20"/>
                <w:color w:val="auto"/>
              </w:rPr>
            </w:pPr>
            <w:r>
              <w:rPr>
                <w:rFonts w:ascii="Arial" w:cs="Arial" w:eastAsia="Arial" w:hAnsi="Arial"/>
                <w:sz w:val="17"/>
                <w:szCs w:val="17"/>
                <w:b w:val="1"/>
                <w:bCs w:val="1"/>
                <w:color w:val="auto"/>
              </w:rPr>
              <w:t>October 30,</w:t>
            </w:r>
          </w:p>
        </w:tc>
        <w:tc>
          <w:tcPr>
            <w:tcW w:w="1300" w:type="dxa"/>
            <w:vAlign w:val="bottom"/>
            <w:gridSpan w:val="2"/>
          </w:tcPr>
          <w:p>
            <w:pPr>
              <w:jc w:val="center"/>
              <w:spacing w:after="0" w:line="160" w:lineRule="exact"/>
              <w:rPr>
                <w:sz w:val="20"/>
                <w:szCs w:val="20"/>
                <w:color w:val="auto"/>
              </w:rPr>
            </w:pPr>
            <w:r>
              <w:rPr>
                <w:rFonts w:ascii="Arial" w:cs="Arial" w:eastAsia="Arial" w:hAnsi="Arial"/>
                <w:sz w:val="17"/>
                <w:szCs w:val="17"/>
                <w:b w:val="1"/>
                <w:bCs w:val="1"/>
                <w:color w:val="auto"/>
              </w:rPr>
              <w:t>October 29,</w:t>
            </w:r>
          </w:p>
        </w:tc>
        <w:tc>
          <w:tcPr>
            <w:tcW w:w="1480" w:type="dxa"/>
            <w:vAlign w:val="bottom"/>
            <w:gridSpan w:val="2"/>
          </w:tcPr>
          <w:p>
            <w:pPr>
              <w:jc w:val="right"/>
              <w:ind w:right="235"/>
              <w:spacing w:after="0" w:line="160" w:lineRule="exact"/>
              <w:rPr>
                <w:sz w:val="20"/>
                <w:szCs w:val="20"/>
                <w:color w:val="auto"/>
              </w:rPr>
            </w:pPr>
            <w:r>
              <w:rPr>
                <w:rFonts w:ascii="Arial" w:cs="Arial" w:eastAsia="Arial" w:hAnsi="Arial"/>
                <w:sz w:val="17"/>
                <w:szCs w:val="17"/>
                <w:b w:val="1"/>
                <w:bCs w:val="1"/>
                <w:color w:val="auto"/>
              </w:rPr>
              <w:t>October 30,</w:t>
            </w:r>
          </w:p>
        </w:tc>
      </w:tr>
      <w:tr>
        <w:trPr>
          <w:trHeight w:val="211"/>
        </w:trPr>
        <w:tc>
          <w:tcPr>
            <w:tcW w:w="26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1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2022</w:t>
            </w: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2021</w:t>
            </w:r>
          </w:p>
        </w:tc>
        <w:tc>
          <w:tcPr>
            <w:tcW w:w="3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2022</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2021</w:t>
            </w:r>
          </w:p>
        </w:tc>
      </w:tr>
      <w:tr>
        <w:trPr>
          <w:trHeight w:val="183"/>
        </w:trPr>
        <w:tc>
          <w:tcPr>
            <w:tcW w:w="262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Amortization expense</w:t>
            </w:r>
          </w:p>
        </w:tc>
        <w:tc>
          <w:tcPr>
            <w:tcW w:w="120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2</w:t>
            </w:r>
          </w:p>
        </w:tc>
        <w:tc>
          <w:tcPr>
            <w:tcW w:w="960" w:type="dxa"/>
            <w:vAlign w:val="bottom"/>
            <w:tcBorders>
              <w:bottom w:val="single" w:sz="8" w:color="auto"/>
            </w:tcBorders>
            <w:shd w:val="clear" w:color="auto" w:fill="CCEEFF"/>
          </w:tcPr>
          <w:p>
            <w:pPr>
              <w:jc w:val="right"/>
              <w:ind w:right="655"/>
              <w:spacing w:after="0" w:line="183"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shd w:val="clear" w:color="auto" w:fill="CCEEFF"/>
          </w:tcPr>
          <w:p>
            <w:pPr>
              <w:ind w:left="60"/>
              <w:spacing w:after="0" w:line="183" w:lineRule="exact"/>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shd w:val="clear" w:color="auto" w:fill="CCEEFF"/>
          </w:tcPr>
          <w:p>
            <w:pPr>
              <w:jc w:val="right"/>
              <w:ind w:right="135"/>
              <w:spacing w:after="0" w:line="183" w:lineRule="exact"/>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7</w:t>
            </w:r>
          </w:p>
        </w:tc>
        <w:tc>
          <w:tcPr>
            <w:tcW w:w="36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195"/>
              <w:spacing w:after="0" w:line="183" w:lineRule="exact"/>
              <w:rPr>
                <w:sz w:val="20"/>
                <w:szCs w:val="20"/>
                <w:color w:val="auto"/>
              </w:rPr>
            </w:pPr>
            <w:r>
              <w:rPr>
                <w:rFonts w:ascii="Arial" w:cs="Arial" w:eastAsia="Arial" w:hAnsi="Arial"/>
                <w:sz w:val="17"/>
                <w:szCs w:val="17"/>
                <w:color w:val="auto"/>
              </w:rPr>
              <w:t>2</w:t>
            </w:r>
          </w:p>
        </w:tc>
      </w:tr>
      <w:tr>
        <w:trPr>
          <w:trHeight w:val="430"/>
        </w:trPr>
        <w:tc>
          <w:tcPr>
            <w:tcW w:w="6560" w:type="dxa"/>
            <w:vAlign w:val="bottom"/>
            <w:gridSpan w:val="6"/>
          </w:tcPr>
          <w:p>
            <w:pPr>
              <w:ind w:left="20"/>
              <w:spacing w:after="0"/>
              <w:rPr>
                <w:sz w:val="20"/>
                <w:szCs w:val="20"/>
                <w:color w:val="auto"/>
              </w:rPr>
            </w:pPr>
            <w:r>
              <w:rPr>
                <w:rFonts w:ascii="Arial" w:cs="Arial" w:eastAsia="Arial" w:hAnsi="Arial"/>
                <w:sz w:val="18"/>
                <w:szCs w:val="18"/>
                <w:color w:val="auto"/>
              </w:rPr>
              <w:t>Estimated future amortization expense for finite-life intangible assets is as follows:</w:t>
            </w: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01"/>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1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83"/>
        </w:trPr>
        <w:tc>
          <w:tcPr>
            <w:tcW w:w="262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Remainder of 2022</w:t>
            </w:r>
          </w:p>
        </w:tc>
        <w:tc>
          <w:tcPr>
            <w:tcW w:w="1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15"/>
              <w:spacing w:after="0" w:line="183" w:lineRule="exact"/>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w:t>
            </w:r>
          </w:p>
        </w:tc>
      </w:tr>
      <w:tr>
        <w:trPr>
          <w:trHeight w:val="189"/>
        </w:trPr>
        <w:tc>
          <w:tcPr>
            <w:tcW w:w="2620" w:type="dxa"/>
            <w:vAlign w:val="bottom"/>
          </w:tcPr>
          <w:p>
            <w:pPr>
              <w:ind w:left="20"/>
              <w:spacing w:after="0" w:line="189" w:lineRule="exact"/>
              <w:rPr>
                <w:sz w:val="20"/>
                <w:szCs w:val="20"/>
                <w:color w:val="auto"/>
              </w:rPr>
            </w:pPr>
            <w:r>
              <w:rPr>
                <w:rFonts w:ascii="Arial" w:cs="Arial" w:eastAsia="Arial" w:hAnsi="Arial"/>
                <w:sz w:val="17"/>
                <w:szCs w:val="17"/>
                <w:color w:val="auto"/>
              </w:rPr>
              <w:t>2023</w:t>
            </w:r>
          </w:p>
        </w:tc>
        <w:tc>
          <w:tcPr>
            <w:tcW w:w="1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7</w:t>
            </w:r>
          </w:p>
        </w:tc>
      </w:tr>
      <w:tr>
        <w:trPr>
          <w:trHeight w:val="189"/>
        </w:trPr>
        <w:tc>
          <w:tcPr>
            <w:tcW w:w="262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2024</w:t>
            </w:r>
          </w:p>
        </w:tc>
        <w:tc>
          <w:tcPr>
            <w:tcW w:w="1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w:t>
            </w:r>
          </w:p>
        </w:tc>
      </w:tr>
      <w:tr>
        <w:trPr>
          <w:trHeight w:val="189"/>
        </w:trPr>
        <w:tc>
          <w:tcPr>
            <w:tcW w:w="262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2025</w:t>
            </w:r>
          </w:p>
        </w:tc>
        <w:tc>
          <w:tcPr>
            <w:tcW w:w="1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w:t>
            </w: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Accumulated Other Comprehensive Loss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Accumulated other comprehensive loss (“AOCL”), net of tax, is comprised of the following:</w:t>
      </w:r>
    </w:p>
    <w:p>
      <w:pPr>
        <w:spacing w:after="0" w:line="188"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4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jc w:val="right"/>
              <w:ind w:right="235"/>
              <w:spacing w:after="0"/>
              <w:rPr>
                <w:sz w:val="20"/>
                <w:szCs w:val="20"/>
                <w:color w:val="auto"/>
              </w:rPr>
            </w:pPr>
            <w:r>
              <w:rPr>
                <w:rFonts w:ascii="Arial" w:cs="Arial" w:eastAsia="Arial" w:hAnsi="Arial"/>
                <w:sz w:val="17"/>
                <w:szCs w:val="17"/>
                <w:b w:val="1"/>
                <w:bCs w:val="1"/>
                <w:color w:val="auto"/>
              </w:rPr>
              <w:t>October 29,</w:t>
            </w:r>
          </w:p>
        </w:tc>
        <w:tc>
          <w:tcPr>
            <w:tcW w:w="260" w:type="dxa"/>
            <w:vAlign w:val="bottom"/>
          </w:tcPr>
          <w:p>
            <w:pPr>
              <w:spacing w:after="0"/>
              <w:rPr>
                <w:sz w:val="16"/>
                <w:szCs w:val="16"/>
                <w:color w:val="auto"/>
              </w:rPr>
            </w:pPr>
          </w:p>
        </w:tc>
        <w:tc>
          <w:tcPr>
            <w:tcW w:w="1320" w:type="dxa"/>
            <w:vAlign w:val="bottom"/>
          </w:tcPr>
          <w:p>
            <w:pPr>
              <w:jc w:val="right"/>
              <w:ind w:right="235"/>
              <w:spacing w:after="0"/>
              <w:rPr>
                <w:sz w:val="20"/>
                <w:szCs w:val="20"/>
                <w:color w:val="auto"/>
              </w:rPr>
            </w:pPr>
            <w:r>
              <w:rPr>
                <w:rFonts w:ascii="Arial" w:cs="Arial" w:eastAsia="Arial" w:hAnsi="Arial"/>
                <w:sz w:val="17"/>
                <w:szCs w:val="17"/>
                <w:b w:val="1"/>
                <w:bCs w:val="1"/>
                <w:color w:val="auto"/>
              </w:rPr>
              <w:t>October 30,</w:t>
            </w:r>
          </w:p>
        </w:tc>
        <w:tc>
          <w:tcPr>
            <w:tcW w:w="260" w:type="dxa"/>
            <w:vAlign w:val="bottom"/>
          </w:tcPr>
          <w:p>
            <w:pPr>
              <w:spacing w:after="0"/>
              <w:rPr>
                <w:sz w:val="16"/>
                <w:szCs w:val="16"/>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b w:val="1"/>
                <w:bCs w:val="1"/>
                <w:color w:val="auto"/>
              </w:rPr>
              <w:t>January 29,</w:t>
            </w:r>
          </w:p>
        </w:tc>
      </w:tr>
      <w:tr>
        <w:trPr>
          <w:trHeight w:val="211"/>
        </w:trPr>
        <w:tc>
          <w:tcPr>
            <w:tcW w:w="42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2022</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2021</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2022</w:t>
            </w:r>
          </w:p>
        </w:tc>
      </w:tr>
      <w:tr>
        <w:trPr>
          <w:trHeight w:val="182"/>
        </w:trPr>
        <w:tc>
          <w:tcPr>
            <w:tcW w:w="42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Foreign currency translation adjustments</w:t>
            </w:r>
          </w:p>
        </w:tc>
        <w:tc>
          <w:tcPr>
            <w:tcW w:w="3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32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(211)</w:t>
            </w:r>
          </w:p>
        </w:tc>
        <w:tc>
          <w:tcPr>
            <w:tcW w:w="2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(81)</w:t>
            </w:r>
          </w:p>
        </w:tc>
        <w:tc>
          <w:tcPr>
            <w:tcW w:w="2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(107)</w:t>
            </w:r>
          </w:p>
        </w:tc>
      </w:tr>
      <w:tr>
        <w:trPr>
          <w:trHeight w:val="189"/>
        </w:trPr>
        <w:tc>
          <w:tcPr>
            <w:tcW w:w="4220" w:type="dxa"/>
            <w:vAlign w:val="bottom"/>
          </w:tcPr>
          <w:p>
            <w:pPr>
              <w:spacing w:after="0" w:line="189" w:lineRule="exact"/>
              <w:rPr>
                <w:sz w:val="20"/>
                <w:szCs w:val="20"/>
                <w:color w:val="auto"/>
              </w:rPr>
            </w:pPr>
            <w:r>
              <w:rPr>
                <w:rFonts w:ascii="Arial" w:cs="Arial" w:eastAsia="Arial" w:hAnsi="Arial"/>
                <w:sz w:val="17"/>
                <w:szCs w:val="17"/>
                <w:color w:val="auto"/>
              </w:rPr>
              <w:t>Hedge contracts</w:t>
            </w:r>
          </w:p>
        </w:tc>
        <w:tc>
          <w:tcPr>
            <w:tcW w:w="300" w:type="dxa"/>
            <w:vAlign w:val="bottom"/>
          </w:tcPr>
          <w:p>
            <w:pPr>
              <w:spacing w:after="0"/>
              <w:rPr>
                <w:sz w:val="16"/>
                <w:szCs w:val="16"/>
                <w:color w:val="auto"/>
              </w:rPr>
            </w:pPr>
          </w:p>
        </w:tc>
        <w:tc>
          <w:tcPr>
            <w:tcW w:w="132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(3)</w:t>
            </w:r>
          </w:p>
        </w:tc>
        <w:tc>
          <w:tcPr>
            <w:tcW w:w="260" w:type="dxa"/>
            <w:vAlign w:val="bottom"/>
          </w:tcPr>
          <w:p>
            <w:pPr>
              <w:spacing w:after="0"/>
              <w:rPr>
                <w:sz w:val="16"/>
                <w:szCs w:val="16"/>
                <w:color w:val="auto"/>
              </w:rPr>
            </w:pPr>
          </w:p>
        </w:tc>
        <w:tc>
          <w:tcPr>
            <w:tcW w:w="1320" w:type="dxa"/>
            <w:vAlign w:val="bottom"/>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r>
      <w:tr>
        <w:trPr>
          <w:trHeight w:val="189"/>
        </w:trPr>
        <w:tc>
          <w:tcPr>
            <w:tcW w:w="42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Unrecognized pension cost and postretirement benefit</w:t>
            </w:r>
          </w:p>
        </w:tc>
        <w:tc>
          <w:tcPr>
            <w:tcW w:w="30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(229)</w:t>
            </w:r>
          </w:p>
        </w:tc>
        <w:tc>
          <w:tcPr>
            <w:tcW w:w="26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(262)</w:t>
            </w:r>
          </w:p>
        </w:tc>
        <w:tc>
          <w:tcPr>
            <w:tcW w:w="2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(236)</w:t>
            </w:r>
          </w:p>
        </w:tc>
      </w:tr>
      <w:tr>
        <w:trPr>
          <w:trHeight w:val="183"/>
        </w:trPr>
        <w:tc>
          <w:tcPr>
            <w:tcW w:w="42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(443)</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color w:val="auto"/>
              </w:rPr>
              <w:t>(343)</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(343)</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changes in AOCL for the thirty-nine weeks ended October 29, 2022 were as follows: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95"/>
              <w:spacing w:after="0"/>
              <w:rPr>
                <w:sz w:val="20"/>
                <w:szCs w:val="20"/>
                <w:color w:val="auto"/>
              </w:rPr>
            </w:pPr>
            <w:r>
              <w:rPr>
                <w:rFonts w:ascii="Arial" w:cs="Arial" w:eastAsia="Arial" w:hAnsi="Arial"/>
                <w:sz w:val="17"/>
                <w:szCs w:val="17"/>
                <w:b w:val="1"/>
                <w:bCs w:val="1"/>
                <w:color w:val="auto"/>
                <w:w w:val="99"/>
              </w:rPr>
              <w:t>Foreign</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40" w:type="dxa"/>
            <w:vAlign w:val="bottom"/>
            <w:gridSpan w:val="2"/>
          </w:tcPr>
          <w:p>
            <w:pPr>
              <w:jc w:val="right"/>
              <w:ind w:right="75"/>
              <w:spacing w:after="0"/>
              <w:rPr>
                <w:sz w:val="20"/>
                <w:szCs w:val="20"/>
                <w:color w:val="auto"/>
              </w:rPr>
            </w:pPr>
            <w:r>
              <w:rPr>
                <w:rFonts w:ascii="Arial" w:cs="Arial" w:eastAsia="Arial" w:hAnsi="Arial"/>
                <w:sz w:val="17"/>
                <w:szCs w:val="17"/>
                <w:b w:val="1"/>
                <w:bCs w:val="1"/>
                <w:color w:val="auto"/>
              </w:rPr>
              <w:t>Items Related</w:t>
            </w: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115"/>
              <w:spacing w:after="0" w:line="189" w:lineRule="exact"/>
              <w:rPr>
                <w:sz w:val="20"/>
                <w:szCs w:val="20"/>
                <w:color w:val="auto"/>
              </w:rPr>
            </w:pPr>
            <w:r>
              <w:rPr>
                <w:rFonts w:ascii="Arial" w:cs="Arial" w:eastAsia="Arial" w:hAnsi="Arial"/>
                <w:sz w:val="17"/>
                <w:szCs w:val="17"/>
                <w:b w:val="1"/>
                <w:bCs w:val="1"/>
                <w:color w:val="auto"/>
              </w:rPr>
              <w:t>Currency</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40" w:type="dxa"/>
            <w:vAlign w:val="bottom"/>
            <w:gridSpan w:val="2"/>
          </w:tcPr>
          <w:p>
            <w:pPr>
              <w:ind w:left="100"/>
              <w:spacing w:after="0" w:line="189" w:lineRule="exact"/>
              <w:rPr>
                <w:sz w:val="20"/>
                <w:szCs w:val="20"/>
                <w:color w:val="auto"/>
              </w:rPr>
            </w:pPr>
            <w:r>
              <w:rPr>
                <w:rFonts w:ascii="Arial" w:cs="Arial" w:eastAsia="Arial" w:hAnsi="Arial"/>
                <w:sz w:val="17"/>
                <w:szCs w:val="17"/>
                <w:b w:val="1"/>
                <w:bCs w:val="1"/>
                <w:color w:val="auto"/>
              </w:rPr>
              <w:t>to Pension and</w:t>
            </w: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115"/>
              <w:spacing w:after="0" w:line="189" w:lineRule="exact"/>
              <w:rPr>
                <w:sz w:val="20"/>
                <w:szCs w:val="20"/>
                <w:color w:val="auto"/>
              </w:rPr>
            </w:pPr>
            <w:r>
              <w:rPr>
                <w:rFonts w:ascii="Arial" w:cs="Arial" w:eastAsia="Arial" w:hAnsi="Arial"/>
                <w:sz w:val="17"/>
                <w:szCs w:val="17"/>
                <w:b w:val="1"/>
                <w:bCs w:val="1"/>
                <w:color w:val="auto"/>
              </w:rPr>
              <w:t>Translation</w:t>
            </w:r>
          </w:p>
        </w:tc>
        <w:tc>
          <w:tcPr>
            <w:tcW w:w="220" w:type="dxa"/>
            <w:vAlign w:val="bottom"/>
          </w:tcPr>
          <w:p>
            <w:pPr>
              <w:spacing w:after="0"/>
              <w:rPr>
                <w:sz w:val="16"/>
                <w:szCs w:val="16"/>
                <w:color w:val="auto"/>
              </w:rPr>
            </w:pPr>
          </w:p>
        </w:tc>
        <w:tc>
          <w:tcPr>
            <w:tcW w:w="1040" w:type="dxa"/>
            <w:vAlign w:val="bottom"/>
          </w:tcPr>
          <w:p>
            <w:pPr>
              <w:jc w:val="right"/>
              <w:ind w:right="295"/>
              <w:spacing w:after="0" w:line="189" w:lineRule="exact"/>
              <w:rPr>
                <w:sz w:val="20"/>
                <w:szCs w:val="20"/>
                <w:color w:val="auto"/>
              </w:rPr>
            </w:pPr>
            <w:r>
              <w:rPr>
                <w:rFonts w:ascii="Arial" w:cs="Arial" w:eastAsia="Arial" w:hAnsi="Arial"/>
                <w:sz w:val="17"/>
                <w:szCs w:val="17"/>
                <w:b w:val="1"/>
                <w:bCs w:val="1"/>
                <w:color w:val="auto"/>
              </w:rPr>
              <w:t>Hedge</w:t>
            </w:r>
          </w:p>
        </w:tc>
        <w:tc>
          <w:tcPr>
            <w:tcW w:w="1440" w:type="dxa"/>
            <w:vAlign w:val="bottom"/>
            <w:gridSpan w:val="2"/>
          </w:tcPr>
          <w:p>
            <w:pPr>
              <w:ind w:left="120"/>
              <w:spacing w:after="0" w:line="189" w:lineRule="exact"/>
              <w:rPr>
                <w:sz w:val="20"/>
                <w:szCs w:val="20"/>
                <w:color w:val="auto"/>
              </w:rPr>
            </w:pPr>
            <w:r>
              <w:rPr>
                <w:rFonts w:ascii="Arial" w:cs="Arial" w:eastAsia="Arial" w:hAnsi="Arial"/>
                <w:sz w:val="17"/>
                <w:szCs w:val="17"/>
                <w:b w:val="1"/>
                <w:bCs w:val="1"/>
                <w:color w:val="auto"/>
              </w:rPr>
              <w:t>Postretirement</w:t>
            </w: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720" w:type="dxa"/>
            <w:vAlign w:val="bottom"/>
            <w:gridSpan w:val="2"/>
          </w:tcPr>
          <w:p>
            <w:pPr>
              <w:spacing w:after="0"/>
              <w:rPr>
                <w:sz w:val="20"/>
                <w:szCs w:val="20"/>
                <w:color w:val="auto"/>
              </w:rPr>
            </w:pPr>
            <w:r>
              <w:rPr>
                <w:rFonts w:ascii="Arial" w:cs="Arial" w:eastAsia="Arial" w:hAnsi="Arial"/>
                <w:sz w:val="17"/>
                <w:szCs w:val="17"/>
                <w:color w:val="auto"/>
              </w:rPr>
              <w:t>($ in millions)</w:t>
            </w:r>
          </w:p>
        </w:tc>
        <w:tc>
          <w:tcPr>
            <w:tcW w:w="1320" w:type="dxa"/>
            <w:vAlign w:val="bottom"/>
            <w:gridSpan w:val="2"/>
          </w:tcPr>
          <w:p>
            <w:pPr>
              <w:jc w:val="center"/>
              <w:spacing w:after="0"/>
              <w:rPr>
                <w:sz w:val="20"/>
                <w:szCs w:val="20"/>
                <w:color w:val="auto"/>
              </w:rPr>
            </w:pPr>
            <w:r>
              <w:rPr>
                <w:rFonts w:ascii="Arial" w:cs="Arial" w:eastAsia="Arial" w:hAnsi="Arial"/>
                <w:sz w:val="17"/>
                <w:szCs w:val="17"/>
                <w:b w:val="1"/>
                <w:bCs w:val="1"/>
                <w:color w:val="auto"/>
              </w:rPr>
              <w:t>Adjustments</w:t>
            </w:r>
          </w:p>
        </w:tc>
        <w:tc>
          <w:tcPr>
            <w:tcW w:w="220" w:type="dxa"/>
            <w:vAlign w:val="bottom"/>
          </w:tcPr>
          <w:p>
            <w:pPr>
              <w:spacing w:after="0"/>
              <w:rPr>
                <w:sz w:val="18"/>
                <w:szCs w:val="18"/>
                <w:color w:val="auto"/>
              </w:rPr>
            </w:pPr>
          </w:p>
        </w:tc>
        <w:tc>
          <w:tcPr>
            <w:tcW w:w="1040" w:type="dxa"/>
            <w:vAlign w:val="bottom"/>
          </w:tcPr>
          <w:p>
            <w:pPr>
              <w:jc w:val="right"/>
              <w:ind w:right="155"/>
              <w:spacing w:after="0"/>
              <w:rPr>
                <w:sz w:val="20"/>
                <w:szCs w:val="20"/>
                <w:color w:val="auto"/>
              </w:rPr>
            </w:pPr>
            <w:r>
              <w:rPr>
                <w:rFonts w:ascii="Arial" w:cs="Arial" w:eastAsia="Arial" w:hAnsi="Arial"/>
                <w:sz w:val="17"/>
                <w:szCs w:val="17"/>
                <w:b w:val="1"/>
                <w:bCs w:val="1"/>
                <w:color w:val="auto"/>
                <w:w w:val="98"/>
              </w:rPr>
              <w:t>Contracts</w:t>
            </w:r>
          </w:p>
        </w:tc>
        <w:tc>
          <w:tcPr>
            <w:tcW w:w="280" w:type="dxa"/>
            <w:vAlign w:val="bottom"/>
          </w:tcPr>
          <w:p>
            <w:pPr>
              <w:spacing w:after="0"/>
              <w:rPr>
                <w:sz w:val="18"/>
                <w:szCs w:val="18"/>
                <w:color w:val="auto"/>
              </w:rPr>
            </w:pPr>
          </w:p>
        </w:tc>
        <w:tc>
          <w:tcPr>
            <w:tcW w:w="1160" w:type="dxa"/>
            <w:vAlign w:val="bottom"/>
          </w:tcPr>
          <w:p>
            <w:pPr>
              <w:jc w:val="right"/>
              <w:ind w:right="295"/>
              <w:spacing w:after="0"/>
              <w:rPr>
                <w:sz w:val="20"/>
                <w:szCs w:val="20"/>
                <w:color w:val="auto"/>
              </w:rPr>
            </w:pPr>
            <w:r>
              <w:rPr>
                <w:rFonts w:ascii="Arial" w:cs="Arial" w:eastAsia="Arial" w:hAnsi="Arial"/>
                <w:sz w:val="17"/>
                <w:szCs w:val="17"/>
                <w:b w:val="1"/>
                <w:bCs w:val="1"/>
                <w:color w:val="auto"/>
              </w:rPr>
              <w:t>Benefits</w:t>
            </w:r>
          </w:p>
        </w:tc>
        <w:tc>
          <w:tcPr>
            <w:tcW w:w="320" w:type="dxa"/>
            <w:vAlign w:val="bottom"/>
          </w:tcPr>
          <w:p>
            <w:pPr>
              <w:spacing w:after="0"/>
              <w:rPr>
                <w:sz w:val="18"/>
                <w:szCs w:val="18"/>
                <w:color w:val="auto"/>
              </w:rPr>
            </w:pPr>
          </w:p>
        </w:tc>
        <w:tc>
          <w:tcPr>
            <w:tcW w:w="840" w:type="dxa"/>
            <w:vAlign w:val="bottom"/>
          </w:tcPr>
          <w:p>
            <w:pPr>
              <w:jc w:val="right"/>
              <w:ind w:right="255"/>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0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Balance as of January 29, 2022</w:t>
            </w:r>
          </w:p>
        </w:tc>
        <w:tc>
          <w:tcPr>
            <w:tcW w:w="2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(107)</w:t>
            </w:r>
          </w:p>
        </w:tc>
        <w:tc>
          <w:tcPr>
            <w:tcW w:w="2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280" w:type="dxa"/>
            <w:vAlign w:val="bottom"/>
            <w:tcBorders>
              <w:top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(236)</w:t>
            </w:r>
          </w:p>
        </w:tc>
        <w:tc>
          <w:tcPr>
            <w:tcW w:w="320" w:type="dxa"/>
            <w:vAlign w:val="bottom"/>
            <w:tcBorders>
              <w:top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(343)</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7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OCI before reclassification</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(104)</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5</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w:t>
            </w: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00" w:type="dxa"/>
            <w:vAlign w:val="bottom"/>
          </w:tcPr>
          <w:p>
            <w:pPr>
              <w:spacing w:after="0" w:line="189" w:lineRule="exact"/>
              <w:rPr>
                <w:sz w:val="20"/>
                <w:szCs w:val="20"/>
                <w:color w:val="auto"/>
              </w:rPr>
            </w:pPr>
            <w:r>
              <w:rPr>
                <w:rFonts w:ascii="Arial" w:cs="Arial" w:eastAsia="Arial" w:hAnsi="Arial"/>
                <w:sz w:val="17"/>
                <w:szCs w:val="17"/>
                <w:color w:val="auto"/>
              </w:rPr>
              <w:t>Reclassification of hedges, net of tax</w:t>
            </w:r>
          </w:p>
        </w:tc>
        <w:tc>
          <w:tcPr>
            <w:tcW w:w="200" w:type="dxa"/>
            <w:vAlign w:val="bottom"/>
          </w:tcPr>
          <w:p>
            <w:pPr>
              <w:spacing w:after="0"/>
              <w:rPr>
                <w:sz w:val="16"/>
                <w:szCs w:val="16"/>
                <w:color w:val="auto"/>
              </w:rPr>
            </w:pPr>
          </w:p>
        </w:tc>
        <w:tc>
          <w:tcPr>
            <w:tcW w:w="112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040" w:type="dxa"/>
            <w:vAlign w:val="bottom"/>
          </w:tcPr>
          <w:p>
            <w:pPr>
              <w:jc w:val="right"/>
              <w:ind w:right="15"/>
              <w:spacing w:after="0" w:line="189" w:lineRule="exact"/>
              <w:rPr>
                <w:sz w:val="20"/>
                <w:szCs w:val="20"/>
                <w:color w:val="auto"/>
              </w:rPr>
            </w:pPr>
            <w:r>
              <w:rPr>
                <w:rFonts w:ascii="Arial" w:cs="Arial" w:eastAsia="Arial" w:hAnsi="Arial"/>
                <w:sz w:val="17"/>
                <w:szCs w:val="17"/>
                <w:color w:val="auto"/>
              </w:rPr>
              <w:t>(8)</w:t>
            </w:r>
          </w:p>
        </w:tc>
        <w:tc>
          <w:tcPr>
            <w:tcW w:w="280" w:type="dxa"/>
            <w:vAlign w:val="bottom"/>
          </w:tcPr>
          <w:p>
            <w:pPr>
              <w:spacing w:after="0"/>
              <w:rPr>
                <w:sz w:val="16"/>
                <w:szCs w:val="16"/>
                <w:color w:val="auto"/>
              </w:rPr>
            </w:pPr>
          </w:p>
        </w:tc>
        <w:tc>
          <w:tcPr>
            <w:tcW w:w="11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3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0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Amortization of pension actuarial loss, net of tax</w:t>
            </w:r>
          </w:p>
        </w:tc>
        <w:tc>
          <w:tcPr>
            <w:tcW w:w="2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6</w:t>
            </w:r>
          </w:p>
        </w:tc>
        <w:tc>
          <w:tcPr>
            <w:tcW w:w="3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0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Other comprehensive income</w:t>
            </w: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color w:val="auto"/>
              </w:rPr>
              <w:t>(104)</w:t>
            </w: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color w:val="auto"/>
              </w:rPr>
              <w:t>(3)</w:t>
            </w: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7</w:t>
            </w: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Balance as of October 29, 2022</w:t>
            </w:r>
          </w:p>
        </w:tc>
        <w:tc>
          <w:tcPr>
            <w:tcW w:w="2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(211)</w:t>
            </w:r>
          </w:p>
        </w:tc>
        <w:tc>
          <w:tcPr>
            <w:tcW w:w="2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(3)</w:t>
            </w:r>
          </w:p>
        </w:tc>
        <w:tc>
          <w:tcPr>
            <w:tcW w:w="280" w:type="dxa"/>
            <w:vAlign w:val="bottom"/>
            <w:tcBorders>
              <w:bottom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(229)</w:t>
            </w:r>
          </w:p>
        </w:tc>
        <w:tc>
          <w:tcPr>
            <w:tcW w:w="32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(443)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2022 Form 10-Q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154305</wp:posOffset>
            </wp:positionV>
            <wp:extent cx="1834515" cy="2146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0" w:right="819" w:firstLine="767"/>
        <w:spacing w:after="0" w:line="477" w:lineRule="auto"/>
        <w:rPr>
          <w:sz w:val="20"/>
          <w:szCs w:val="20"/>
          <w:color w:val="auto"/>
        </w:rPr>
      </w:pPr>
      <w:r>
        <w:rPr>
          <w:rFonts w:ascii="Arial" w:cs="Arial" w:eastAsia="Arial" w:hAnsi="Arial"/>
          <w:sz w:val="18"/>
          <w:szCs w:val="18"/>
          <w:b w:val="1"/>
          <w:bCs w:val="1"/>
          <w:color w:val="auto"/>
        </w:rPr>
        <w:t>NOTES TO THE UNAUDITED CONDENSED CONSOLIDATED FINANCIAL STATEMENTS 10. Accumulated Other Comprehensive Loss (continued)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Reclassifications from AOCL for the thirty-nine weeks ended October 29, 2022 were as follows: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7"/>
          <w:szCs w:val="17"/>
          <w:color w:val="auto"/>
        </w:rPr>
        <w:t>($ in millions)</w:t>
      </w:r>
    </w:p>
    <w:p>
      <w:pPr>
        <w:spacing w:after="0" w:line="16" w:lineRule="exact"/>
        <w:rPr>
          <w:sz w:val="20"/>
          <w:szCs w:val="20"/>
          <w:color w:val="auto"/>
        </w:rPr>
      </w:pPr>
    </w:p>
    <w:tbl>
      <w:tblPr>
        <w:tblLayout w:type="fixed"/>
        <w:tblInd w:w="6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500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Reclassification of hedge loss:</w:t>
            </w:r>
          </w:p>
        </w:tc>
        <w:tc>
          <w:tcPr>
            <w:tcW w:w="29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0" w:type="dxa"/>
            <w:vAlign w:val="bottom"/>
          </w:tcPr>
          <w:p>
            <w:pPr>
              <w:spacing w:after="0" w:line="189" w:lineRule="exact"/>
              <w:rPr>
                <w:sz w:val="20"/>
                <w:szCs w:val="20"/>
                <w:color w:val="auto"/>
              </w:rPr>
            </w:pPr>
            <w:r>
              <w:rPr>
                <w:rFonts w:ascii="Arial" w:cs="Arial" w:eastAsia="Arial" w:hAnsi="Arial"/>
                <w:sz w:val="17"/>
                <w:szCs w:val="17"/>
                <w:color w:val="auto"/>
              </w:rPr>
              <w:t>Cross-currency swap</w:t>
            </w:r>
          </w:p>
        </w:tc>
        <w:tc>
          <w:tcPr>
            <w:tcW w:w="2900" w:type="dxa"/>
            <w:vAlign w:val="bottom"/>
          </w:tcPr>
          <w:p>
            <w:pPr>
              <w:jc w:val="right"/>
              <w:ind w:right="695"/>
              <w:spacing w:after="0" w:line="189" w:lineRule="exact"/>
              <w:rPr>
                <w:sz w:val="20"/>
                <w:szCs w:val="20"/>
                <w:color w:val="auto"/>
              </w:rPr>
            </w:pPr>
            <w:r>
              <w:rPr>
                <w:rFonts w:ascii="Arial" w:cs="Arial" w:eastAsia="Arial" w:hAnsi="Arial"/>
                <w:sz w:val="17"/>
                <w:szCs w:val="17"/>
                <w:b w:val="1"/>
                <w:bCs w:val="1"/>
                <w:color w:val="auto"/>
              </w:rPr>
              <w:t>$</w:t>
            </w:r>
          </w:p>
        </w:tc>
        <w:tc>
          <w:tcPr>
            <w:tcW w:w="9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Income tax</w:t>
            </w:r>
          </w:p>
        </w:tc>
        <w:tc>
          <w:tcPr>
            <w:tcW w:w="29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0" w:type="dxa"/>
            <w:vAlign w:val="bottom"/>
          </w:tcPr>
          <w:p>
            <w:pPr>
              <w:spacing w:after="0" w:line="183" w:lineRule="exact"/>
              <w:rPr>
                <w:sz w:val="20"/>
                <w:szCs w:val="20"/>
                <w:color w:val="auto"/>
              </w:rPr>
            </w:pPr>
            <w:r>
              <w:rPr>
                <w:rFonts w:ascii="Arial" w:cs="Arial" w:eastAsia="Arial" w:hAnsi="Arial"/>
                <w:sz w:val="17"/>
                <w:szCs w:val="17"/>
                <w:color w:val="auto"/>
              </w:rPr>
              <w:t>Reclassification of hedges, net of tax</w:t>
            </w:r>
          </w:p>
        </w:tc>
        <w:tc>
          <w:tcPr>
            <w:tcW w:w="2900" w:type="dxa"/>
            <w:vAlign w:val="bottom"/>
          </w:tcPr>
          <w:p>
            <w:pPr>
              <w:jc w:val="right"/>
              <w:ind w:right="695"/>
              <w:spacing w:after="0" w:line="183" w:lineRule="exact"/>
              <w:rPr>
                <w:sz w:val="20"/>
                <w:szCs w:val="20"/>
                <w:color w:val="auto"/>
              </w:rPr>
            </w:pPr>
            <w:r>
              <w:rPr>
                <w:rFonts w:ascii="Arial" w:cs="Arial" w:eastAsia="Arial" w:hAnsi="Arial"/>
                <w:sz w:val="17"/>
                <w:szCs w:val="17"/>
                <w:b w:val="1"/>
                <w:bCs w:val="1"/>
                <w:color w:val="auto"/>
              </w:rPr>
              <w:t>$</w:t>
            </w:r>
          </w:p>
        </w:tc>
        <w:tc>
          <w:tcPr>
            <w:tcW w:w="980" w:type="dxa"/>
            <w:vAlign w:val="bottom"/>
          </w:tcPr>
          <w:p>
            <w:pPr>
              <w:jc w:val="right"/>
              <w:spacing w:after="0" w:line="183" w:lineRule="exact"/>
              <w:rPr>
                <w:sz w:val="20"/>
                <w:szCs w:val="20"/>
                <w:color w:val="auto"/>
              </w:rPr>
            </w:pPr>
            <w:r>
              <w:rPr>
                <w:rFonts w:ascii="Arial" w:cs="Arial" w:eastAsia="Arial" w:hAnsi="Arial"/>
                <w:sz w:val="17"/>
                <w:szCs w:val="17"/>
                <w:b w:val="1"/>
                <w:bCs w:val="1"/>
                <w:color w:val="auto"/>
              </w:rPr>
              <w:t>(8)</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000" w:type="dxa"/>
            <w:vAlign w:val="bottom"/>
            <w:shd w:val="clear" w:color="auto" w:fill="CCEEFF"/>
          </w:tcPr>
          <w:p>
            <w:pPr>
              <w:spacing w:after="0"/>
              <w:rPr>
                <w:sz w:val="16"/>
                <w:szCs w:val="16"/>
                <w:color w:val="auto"/>
              </w:rPr>
            </w:pPr>
          </w:p>
        </w:tc>
        <w:tc>
          <w:tcPr>
            <w:tcW w:w="29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000" w:type="dxa"/>
            <w:vAlign w:val="bottom"/>
          </w:tcPr>
          <w:p>
            <w:pPr>
              <w:spacing w:after="0" w:line="189" w:lineRule="exact"/>
              <w:rPr>
                <w:sz w:val="20"/>
                <w:szCs w:val="20"/>
                <w:color w:val="auto"/>
              </w:rPr>
            </w:pPr>
            <w:r>
              <w:rPr>
                <w:rFonts w:ascii="Arial" w:cs="Arial" w:eastAsia="Arial" w:hAnsi="Arial"/>
                <w:sz w:val="17"/>
                <w:szCs w:val="17"/>
                <w:color w:val="auto"/>
              </w:rPr>
              <w:t>Amortization of actuarial loss:</w:t>
            </w:r>
          </w:p>
        </w:tc>
        <w:tc>
          <w:tcPr>
            <w:tcW w:w="2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Pension benefits</w:t>
            </w:r>
          </w:p>
        </w:tc>
        <w:tc>
          <w:tcPr>
            <w:tcW w:w="2900" w:type="dxa"/>
            <w:vAlign w:val="bottom"/>
            <w:shd w:val="clear" w:color="auto" w:fill="CCEEFF"/>
          </w:tcPr>
          <w:p>
            <w:pPr>
              <w:jc w:val="right"/>
              <w:ind w:right="695"/>
              <w:spacing w:after="0" w:line="189" w:lineRule="exact"/>
              <w:rPr>
                <w:sz w:val="20"/>
                <w:szCs w:val="20"/>
                <w:color w:val="auto"/>
              </w:rPr>
            </w:pPr>
            <w:r>
              <w:rPr>
                <w:rFonts w:ascii="Arial" w:cs="Arial" w:eastAsia="Arial" w:hAnsi="Arial"/>
                <w:sz w:val="17"/>
                <w:szCs w:val="17"/>
                <w:b w:val="1"/>
                <w:bCs w:val="1"/>
                <w:color w:val="auto"/>
              </w:rPr>
              <w:t>$</w:t>
            </w: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Income tax benefit</w:t>
            </w:r>
          </w:p>
        </w:tc>
        <w:tc>
          <w:tcPr>
            <w:tcW w:w="29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Amortization of actuarial loss, net of tax</w:t>
            </w:r>
          </w:p>
        </w:tc>
        <w:tc>
          <w:tcPr>
            <w:tcW w:w="2900" w:type="dxa"/>
            <w:vAlign w:val="bottom"/>
            <w:tcBorders>
              <w:bottom w:val="single" w:sz="8" w:color="auto"/>
            </w:tcBorders>
            <w:shd w:val="clear" w:color="auto" w:fill="CCEEFF"/>
          </w:tcPr>
          <w:p>
            <w:pPr>
              <w:jc w:val="right"/>
              <w:ind w:right="695"/>
              <w:spacing w:after="0" w:line="183" w:lineRule="exact"/>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6</w:t>
            </w: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500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Total, net of tax</w:t>
            </w:r>
          </w:p>
        </w:tc>
        <w:tc>
          <w:tcPr>
            <w:tcW w:w="2900" w:type="dxa"/>
            <w:vAlign w:val="bottom"/>
            <w:tcBorders>
              <w:bottom w:val="single" w:sz="8" w:color="auto"/>
            </w:tcBorders>
          </w:tcPr>
          <w:p>
            <w:pPr>
              <w:jc w:val="right"/>
              <w:ind w:right="695"/>
              <w:spacing w:after="0" w:line="183" w:lineRule="exact"/>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Financial Instruments and Risk Management</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Fair Value Hedge</w:t>
      </w:r>
    </w:p>
    <w:p>
      <w:pPr>
        <w:spacing w:after="0" w:line="21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On May 6, 2022, we entered into a cross-currency swap contract to reduce the effect of the fluctuating U.S. Dollar (“USD”) to Japanese Yen (“JPY”) foreign exchange rate on our foreign currency-denominated intercompany loan between our Japanese and U.S. subsidiary. We expect the gains and losses on this contract to offset losses and gains on the hedged transaction in an effort to reduce the earnings volatility resulting from the remeasurement of the principal and interest accrued on the loan. Though the intercompany loan eliminates in consolidation, the foreign currency remeasurement of the loan and interest by the U.S. subsidiary is reflected in the consolidated financial statements.</w:t>
      </w:r>
    </w:p>
    <w:p>
      <w:pPr>
        <w:spacing w:after="0" w:line="185"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The cross-currency swap contract has a notional amount of JPY 11 billion and final receipt of $85 million. The cross-currency swap contract, which matures on November 2, 2031, swaps Yen-denominated interest payments for U.S. dollar-denominated interest payments, thereby economically converting the JPY 11 billion fixed-rate 3.51% intercompany loan to a fixed-rate 6.77% USD-denominated receivable for our U.S. subsidiary.</w:t>
      </w:r>
    </w:p>
    <w:p>
      <w:pPr>
        <w:spacing w:after="0" w:line="17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designated the cross-currency swap contract to hedge the changes in value of the intercompany loan and its variability on earnings. We will apply fair value hedge accounting, and we will consider market factors other than the change in the spot exchange rate on the notional amount of the swap to be excluded components. The foreign currency spot rate fluctuations on the cross-currency swap notional amount and interest accruals are reported in earnings each period, while all other changes are reported in other comprehensive income. Because the terms of the hedged item and the hedging instrument match and the likelihood of swap counterparty default is not probable, the hedge is expected to exactly offset changes in the fair value of the foreign currency debt resulting from to foreign currency fluctuations over the term of the swap.</w:t>
      </w:r>
    </w:p>
    <w:p>
      <w:pPr>
        <w:spacing w:after="0" w:line="18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As of October 29, 2022, the cross-currency swap had a fair value of $4 million and was included in other assets. We record the changes in the fair value of the contract to AOCL. Each period, we reclassify an amount out of AOCL equal to the remeasurement gain or loss on the hedged intercompany loan that is recorded in selling, general and administrative expenses. As of October 29, 2022, there was $4 million in AOCL, net of tax, related to the cross-currency swap. In addition, we recognize swap interest income based on the differential in fixed interest rates per the contract. For the thirteen and thirty-nine weeks ended October 29, 2022, we recorded $1 million and $2 million of income in interest expense, net, respectively. Refer to Note 10 for further information regarding amounts recorded in AOCL.</w:t>
      </w:r>
    </w:p>
    <w:p>
      <w:pPr>
        <w:spacing w:after="0" w:line="396"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2022 Form 10-Q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154305</wp:posOffset>
            </wp:positionV>
            <wp:extent cx="1834515" cy="2146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0" w:right="819" w:firstLine="767"/>
        <w:spacing w:after="0" w:line="453" w:lineRule="auto"/>
        <w:rPr>
          <w:sz w:val="20"/>
          <w:szCs w:val="20"/>
          <w:color w:val="auto"/>
        </w:rPr>
      </w:pPr>
      <w:r>
        <w:rPr>
          <w:rFonts w:ascii="Arial" w:cs="Arial" w:eastAsia="Arial" w:hAnsi="Arial"/>
          <w:sz w:val="18"/>
          <w:szCs w:val="18"/>
          <w:b w:val="1"/>
          <w:bCs w:val="1"/>
          <w:color w:val="auto"/>
        </w:rPr>
        <w:t>NOTES TO THE UNAUDITED CONDENSED CONSOLIDATED FINANCIAL STATEMENTS 12. Fair Value Measurements</w:t>
      </w:r>
    </w:p>
    <w:p>
      <w:pPr>
        <w:spacing w:after="0" w:line="2"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Our financial assets are recorded at fair value, using a three-level fair value hierarchy that prioritizes the inputs used to measure fair value. The three levels of inputs used to measure fair value are categorized as follows:</w:t>
      </w:r>
    </w:p>
    <w:p>
      <w:pPr>
        <w:spacing w:after="0" w:line="154" w:lineRule="exact"/>
        <w:rPr>
          <w:sz w:val="20"/>
          <w:szCs w:val="20"/>
          <w:color w:val="auto"/>
        </w:rPr>
      </w:pPr>
    </w:p>
    <w:p>
      <w:pPr>
        <w:ind w:left="380"/>
        <w:spacing w:after="0"/>
        <w:tabs>
          <w:tab w:leader="none" w:pos="1320" w:val="left"/>
        </w:tabs>
        <w:rPr>
          <w:sz w:val="20"/>
          <w:szCs w:val="20"/>
          <w:color w:val="auto"/>
        </w:rPr>
      </w:pPr>
      <w:r>
        <w:rPr>
          <w:rFonts w:ascii="Arial" w:cs="Arial" w:eastAsia="Arial" w:hAnsi="Arial"/>
          <w:sz w:val="18"/>
          <w:szCs w:val="18"/>
          <w:b w:val="1"/>
          <w:bCs w:val="1"/>
          <w:color w:val="auto"/>
        </w:rPr>
        <w:t>Level 1 –</w:t>
      </w:r>
      <w:r>
        <w:rPr>
          <w:sz w:val="20"/>
          <w:szCs w:val="20"/>
          <w:color w:val="auto"/>
        </w:rPr>
        <w:tab/>
      </w:r>
      <w:r>
        <w:rPr>
          <w:rFonts w:ascii="Arial" w:cs="Arial" w:eastAsia="Arial" w:hAnsi="Arial"/>
          <w:sz w:val="17"/>
          <w:szCs w:val="17"/>
          <w:color w:val="auto"/>
        </w:rPr>
        <w:t>Quoted prices for identical instruments in active markets.</w:t>
      </w:r>
    </w:p>
    <w:p>
      <w:pPr>
        <w:spacing w:after="0" w:line="212" w:lineRule="exact"/>
        <w:rPr>
          <w:sz w:val="20"/>
          <w:szCs w:val="20"/>
          <w:color w:val="auto"/>
        </w:rPr>
      </w:pPr>
    </w:p>
    <w:p>
      <w:pPr>
        <w:jc w:val="both"/>
        <w:ind w:left="1340" w:right="79" w:hanging="971"/>
        <w:spacing w:after="0" w:line="247" w:lineRule="auto"/>
        <w:tabs>
          <w:tab w:leader="none" w:pos="1320" w:val="left"/>
        </w:tabs>
        <w:rPr>
          <w:sz w:val="20"/>
          <w:szCs w:val="20"/>
          <w:color w:val="auto"/>
        </w:rPr>
      </w:pPr>
      <w:r>
        <w:rPr>
          <w:rFonts w:ascii="Arial" w:cs="Arial" w:eastAsia="Arial" w:hAnsi="Arial"/>
          <w:sz w:val="18"/>
          <w:szCs w:val="18"/>
          <w:b w:val="1"/>
          <w:bCs w:val="1"/>
          <w:color w:val="auto"/>
        </w:rPr>
        <w:t>Level 2 –</w:t>
      </w:r>
      <w:r>
        <w:rPr>
          <w:sz w:val="20"/>
          <w:szCs w:val="20"/>
          <w:color w:val="auto"/>
        </w:rPr>
        <w:tab/>
      </w:r>
      <w:r>
        <w:rPr>
          <w:rFonts w:ascii="Arial" w:cs="Arial" w:eastAsia="Arial" w:hAnsi="Arial"/>
          <w:sz w:val="18"/>
          <w:szCs w:val="18"/>
          <w:color w:val="auto"/>
        </w:rPr>
        <w:t>Observable inputs other than quoted prices included within Level 1, including quoted prices for similar instruments in active markets; quoted prices for identical or similar instruments in markets that are not active; and model-derived valuations in which all significant inputs or significant value-drivers are observable in active markets.</w:t>
      </w:r>
    </w:p>
    <w:p>
      <w:pPr>
        <w:spacing w:after="0" w:line="174" w:lineRule="exact"/>
        <w:rPr>
          <w:sz w:val="20"/>
          <w:szCs w:val="20"/>
          <w:color w:val="auto"/>
        </w:rPr>
      </w:pPr>
    </w:p>
    <w:p>
      <w:pPr>
        <w:jc w:val="both"/>
        <w:ind w:left="1340" w:right="79" w:hanging="971"/>
        <w:spacing w:after="0" w:line="271" w:lineRule="auto"/>
        <w:tabs>
          <w:tab w:leader="none" w:pos="1320" w:val="left"/>
        </w:tabs>
        <w:rPr>
          <w:sz w:val="20"/>
          <w:szCs w:val="20"/>
          <w:color w:val="auto"/>
        </w:rPr>
      </w:pPr>
      <w:r>
        <w:rPr>
          <w:rFonts w:ascii="Arial" w:cs="Arial" w:eastAsia="Arial" w:hAnsi="Arial"/>
          <w:sz w:val="18"/>
          <w:szCs w:val="18"/>
          <w:b w:val="1"/>
          <w:bCs w:val="1"/>
          <w:color w:val="auto"/>
        </w:rPr>
        <w:t>Level 3 –</w:t>
      </w:r>
      <w:r>
        <w:rPr>
          <w:sz w:val="20"/>
          <w:szCs w:val="20"/>
          <w:color w:val="auto"/>
        </w:rPr>
        <w:tab/>
      </w:r>
      <w:r>
        <w:rPr>
          <w:rFonts w:ascii="Arial" w:cs="Arial" w:eastAsia="Arial" w:hAnsi="Arial"/>
          <w:sz w:val="18"/>
          <w:szCs w:val="18"/>
          <w:color w:val="auto"/>
        </w:rPr>
        <w:t>Model-derived valuations in which one or more significant inputs or significant value-drivers are unobservable.</w:t>
      </w:r>
    </w:p>
    <w:p>
      <w:pPr>
        <w:spacing w:after="0" w:line="113"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In 2021, we invested $68 million to take a common stock minority stake in a public entity, Retailors, Ltd, which is traded on the Tel Aviv stock exchange. This investment is classified as a Level 1 instrument since the fair value is readily available in an active market.</w:t>
      </w:r>
    </w:p>
    <w:p>
      <w:pPr>
        <w:spacing w:after="0" w:line="16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The fair value of the auction rate security, classified as available-for-sale, is determined by using quoted prices for similar instruments in active markets and accordingly is classified as a Level 2 instrument.</w:t>
      </w:r>
    </w:p>
    <w:p>
      <w:pPr>
        <w:spacing w:after="0" w:line="15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 fair value of the contingent consideration liability associated with the atmos acquisition is estimated using an option pricing model simulation that determines an average projected payment value across numerous iterations.</w:t>
      </w:r>
    </w:p>
    <w:p>
      <w:pPr>
        <w:spacing w:after="0" w:line="169"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Our derivative financial instruments are valued using market-based inputs to valuation models. These valuation models require a variety of inputs, including contractual terms, market prices, yield curves, and measures of volatility and, therefore, are classified as Level 2 instruments.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2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5"/>
          </w:tcPr>
          <w:p>
            <w:pPr>
              <w:jc w:val="right"/>
              <w:ind w:right="555"/>
              <w:spacing w:after="0"/>
              <w:rPr>
                <w:sz w:val="20"/>
                <w:szCs w:val="20"/>
                <w:color w:val="auto"/>
              </w:rPr>
            </w:pPr>
            <w:r>
              <w:rPr>
                <w:rFonts w:ascii="Arial" w:cs="Arial" w:eastAsia="Arial" w:hAnsi="Arial"/>
                <w:sz w:val="17"/>
                <w:szCs w:val="17"/>
                <w:b w:val="1"/>
                <w:bCs w:val="1"/>
                <w:color w:val="auto"/>
              </w:rPr>
              <w:t>As of October 29, 2022</w:t>
            </w:r>
          </w:p>
        </w:tc>
        <w:tc>
          <w:tcPr>
            <w:tcW w:w="2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5"/>
          </w:tcPr>
          <w:p>
            <w:pPr>
              <w:ind w:left="460"/>
              <w:spacing w:after="0"/>
              <w:rPr>
                <w:sz w:val="20"/>
                <w:szCs w:val="20"/>
                <w:color w:val="auto"/>
              </w:rPr>
            </w:pPr>
            <w:r>
              <w:rPr>
                <w:rFonts w:ascii="Arial" w:cs="Arial" w:eastAsia="Arial" w:hAnsi="Arial"/>
                <w:sz w:val="17"/>
                <w:szCs w:val="17"/>
                <w:b w:val="1"/>
                <w:bCs w:val="1"/>
                <w:color w:val="auto"/>
              </w:rPr>
              <w:t>As of October 30, 2021</w:t>
            </w:r>
          </w:p>
        </w:tc>
      </w:tr>
      <w:tr>
        <w:trPr>
          <w:trHeight w:val="183"/>
        </w:trPr>
        <w:tc>
          <w:tcPr>
            <w:tcW w:w="25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b w:val="1"/>
                <w:bCs w:val="1"/>
                <w:color w:val="auto"/>
              </w:rPr>
              <w:t>Level 1</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35"/>
              <w:spacing w:after="0" w:line="183" w:lineRule="exact"/>
              <w:rPr>
                <w:sz w:val="20"/>
                <w:szCs w:val="20"/>
                <w:color w:val="auto"/>
              </w:rPr>
            </w:pPr>
            <w:r>
              <w:rPr>
                <w:rFonts w:ascii="Arial" w:cs="Arial" w:eastAsia="Arial" w:hAnsi="Arial"/>
                <w:sz w:val="17"/>
                <w:szCs w:val="17"/>
                <w:b w:val="1"/>
                <w:bCs w:val="1"/>
                <w:color w:val="auto"/>
              </w:rPr>
              <w:t>Level 2</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35"/>
              <w:spacing w:after="0" w:line="183" w:lineRule="exact"/>
              <w:rPr>
                <w:sz w:val="20"/>
                <w:szCs w:val="20"/>
                <w:color w:val="auto"/>
              </w:rPr>
            </w:pPr>
            <w:r>
              <w:rPr>
                <w:rFonts w:ascii="Arial" w:cs="Arial" w:eastAsia="Arial" w:hAnsi="Arial"/>
                <w:sz w:val="17"/>
                <w:szCs w:val="17"/>
                <w:b w:val="1"/>
                <w:bCs w:val="1"/>
                <w:color w:val="auto"/>
              </w:rPr>
              <w:t>Level 3</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35"/>
              <w:spacing w:after="0" w:line="183" w:lineRule="exact"/>
              <w:rPr>
                <w:sz w:val="20"/>
                <w:szCs w:val="20"/>
                <w:color w:val="auto"/>
              </w:rPr>
            </w:pPr>
            <w:r>
              <w:rPr>
                <w:rFonts w:ascii="Arial" w:cs="Arial" w:eastAsia="Arial" w:hAnsi="Arial"/>
                <w:sz w:val="17"/>
                <w:szCs w:val="17"/>
                <w:b w:val="1"/>
                <w:bCs w:val="1"/>
                <w:color w:val="auto"/>
              </w:rPr>
              <w:t>Level 1</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35"/>
              <w:spacing w:after="0" w:line="183" w:lineRule="exact"/>
              <w:rPr>
                <w:sz w:val="20"/>
                <w:szCs w:val="20"/>
                <w:color w:val="auto"/>
              </w:rPr>
            </w:pPr>
            <w:r>
              <w:rPr>
                <w:rFonts w:ascii="Arial" w:cs="Arial" w:eastAsia="Arial" w:hAnsi="Arial"/>
                <w:sz w:val="17"/>
                <w:szCs w:val="17"/>
                <w:b w:val="1"/>
                <w:bCs w:val="1"/>
                <w:color w:val="auto"/>
              </w:rPr>
              <w:t>Level 2</w:t>
            </w: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b w:val="1"/>
                <w:bCs w:val="1"/>
                <w:color w:val="auto"/>
              </w:rPr>
              <w:t>Level 3</w:t>
            </w:r>
          </w:p>
        </w:tc>
      </w:tr>
      <w:tr>
        <w:trPr>
          <w:trHeight w:val="183"/>
        </w:trPr>
        <w:tc>
          <w:tcPr>
            <w:tcW w:w="254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Assets</w:t>
            </w: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67"/>
        </w:trPr>
        <w:tc>
          <w:tcPr>
            <w:tcW w:w="2540" w:type="dxa"/>
            <w:vAlign w:val="bottom"/>
          </w:tcPr>
          <w:p>
            <w:pPr>
              <w:ind w:left="20"/>
              <w:spacing w:after="0" w:line="167" w:lineRule="exact"/>
              <w:rPr>
                <w:sz w:val="20"/>
                <w:szCs w:val="20"/>
                <w:color w:val="auto"/>
              </w:rPr>
            </w:pPr>
            <w:r>
              <w:rPr>
                <w:rFonts w:ascii="Arial" w:cs="Arial" w:eastAsia="Arial" w:hAnsi="Arial"/>
                <w:sz w:val="17"/>
                <w:szCs w:val="17"/>
                <w:color w:val="auto"/>
              </w:rPr>
              <w:t>Minority investment in common</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11"/>
        </w:trPr>
        <w:tc>
          <w:tcPr>
            <w:tcW w:w="2540" w:type="dxa"/>
            <w:vAlign w:val="bottom"/>
          </w:tcPr>
          <w:p>
            <w:pPr>
              <w:ind w:left="20"/>
              <w:spacing w:after="0"/>
              <w:rPr>
                <w:sz w:val="20"/>
                <w:szCs w:val="20"/>
                <w:color w:val="auto"/>
              </w:rPr>
            </w:pPr>
            <w:r>
              <w:rPr>
                <w:rFonts w:ascii="Arial" w:cs="Arial" w:eastAsia="Arial" w:hAnsi="Arial"/>
                <w:sz w:val="17"/>
                <w:szCs w:val="17"/>
                <w:color w:val="auto"/>
              </w:rPr>
              <w:t>stock</w:t>
            </w:r>
          </w:p>
        </w:tc>
        <w:tc>
          <w:tcPr>
            <w:tcW w:w="2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ind w:right="35"/>
              <w:spacing w:after="0"/>
              <w:rPr>
                <w:sz w:val="20"/>
                <w:szCs w:val="20"/>
                <w:color w:val="auto"/>
              </w:rPr>
            </w:pPr>
            <w:r>
              <w:rPr>
                <w:rFonts w:ascii="Arial" w:cs="Arial" w:eastAsia="Arial" w:hAnsi="Arial"/>
                <w:sz w:val="17"/>
                <w:szCs w:val="17"/>
                <w:b w:val="1"/>
                <w:bCs w:val="1"/>
                <w:color w:val="auto"/>
              </w:rPr>
              <w:t>93</w:t>
            </w:r>
          </w:p>
        </w:tc>
        <w:tc>
          <w:tcPr>
            <w:tcW w:w="2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20" w:type="dxa"/>
            <w:vAlign w:val="bottom"/>
          </w:tcPr>
          <w:p>
            <w:pPr>
              <w:jc w:val="right"/>
              <w:ind w:right="55"/>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20" w:type="dxa"/>
            <w:vAlign w:val="bottom"/>
          </w:tcPr>
          <w:p>
            <w:pPr>
              <w:jc w:val="right"/>
              <w:ind w:right="35"/>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118</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ind w:left="520"/>
              <w:spacing w:after="0"/>
              <w:rPr>
                <w:sz w:val="20"/>
                <w:szCs w:val="20"/>
                <w:color w:val="auto"/>
              </w:rPr>
            </w:pPr>
            <w:r>
              <w:rPr>
                <w:rFonts w:ascii="Arial" w:cs="Arial" w:eastAsia="Arial" w:hAnsi="Arial"/>
                <w:sz w:val="17"/>
                <w:szCs w:val="17"/>
                <w:color w:val="auto"/>
              </w:rPr>
              <w:t>—</w:t>
            </w:r>
          </w:p>
        </w:tc>
      </w:tr>
      <w:tr>
        <w:trPr>
          <w:trHeight w:val="189"/>
        </w:trPr>
        <w:tc>
          <w:tcPr>
            <w:tcW w:w="25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Available-for-sale security</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5</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7</w:t>
            </w: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ind w:left="520"/>
              <w:spacing w:after="0" w:line="189" w:lineRule="exact"/>
              <w:rPr>
                <w:sz w:val="20"/>
                <w:szCs w:val="20"/>
                <w:color w:val="auto"/>
              </w:rPr>
            </w:pPr>
            <w:r>
              <w:rPr>
                <w:rFonts w:ascii="Arial" w:cs="Arial" w:eastAsia="Arial" w:hAnsi="Arial"/>
                <w:sz w:val="17"/>
                <w:szCs w:val="17"/>
                <w:color w:val="auto"/>
              </w:rPr>
              <w:t>—</w:t>
            </w:r>
          </w:p>
        </w:tc>
      </w:tr>
      <w:tr>
        <w:trPr>
          <w:trHeight w:val="167"/>
        </w:trPr>
        <w:tc>
          <w:tcPr>
            <w:tcW w:w="2540" w:type="dxa"/>
            <w:vAlign w:val="bottom"/>
          </w:tcPr>
          <w:p>
            <w:pPr>
              <w:ind w:left="20"/>
              <w:spacing w:after="0" w:line="167" w:lineRule="exact"/>
              <w:rPr>
                <w:sz w:val="20"/>
                <w:szCs w:val="20"/>
                <w:color w:val="auto"/>
              </w:rPr>
            </w:pPr>
            <w:r>
              <w:rPr>
                <w:rFonts w:ascii="Arial" w:cs="Arial" w:eastAsia="Arial" w:hAnsi="Arial"/>
                <w:sz w:val="17"/>
                <w:szCs w:val="17"/>
                <w:color w:val="auto"/>
              </w:rPr>
              <w:t>Foreign exchange forward</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11"/>
        </w:trPr>
        <w:tc>
          <w:tcPr>
            <w:tcW w:w="2540" w:type="dxa"/>
            <w:vAlign w:val="bottom"/>
          </w:tcPr>
          <w:p>
            <w:pPr>
              <w:ind w:left="20"/>
              <w:spacing w:after="0"/>
              <w:rPr>
                <w:sz w:val="20"/>
                <w:szCs w:val="20"/>
                <w:color w:val="auto"/>
              </w:rPr>
            </w:pPr>
            <w:r>
              <w:rPr>
                <w:rFonts w:ascii="Arial" w:cs="Arial" w:eastAsia="Arial" w:hAnsi="Arial"/>
                <w:sz w:val="17"/>
                <w:szCs w:val="17"/>
                <w:color w:val="auto"/>
              </w:rPr>
              <w:t>contracts</w:t>
            </w:r>
          </w:p>
        </w:tc>
        <w:tc>
          <w:tcPr>
            <w:tcW w:w="280" w:type="dxa"/>
            <w:vAlign w:val="bottom"/>
          </w:tcPr>
          <w:p>
            <w:pPr>
              <w:spacing w:after="0"/>
              <w:rPr>
                <w:sz w:val="18"/>
                <w:szCs w:val="18"/>
                <w:color w:val="auto"/>
              </w:rPr>
            </w:pPr>
          </w:p>
        </w:tc>
        <w:tc>
          <w:tcPr>
            <w:tcW w:w="800" w:type="dxa"/>
            <w:vAlign w:val="bottom"/>
          </w:tcPr>
          <w:p>
            <w:pPr>
              <w:jc w:val="right"/>
              <w:ind w:right="35"/>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8"/>
                <w:szCs w:val="18"/>
                <w:color w:val="auto"/>
              </w:rPr>
            </w:pPr>
          </w:p>
        </w:tc>
        <w:tc>
          <w:tcPr>
            <w:tcW w:w="820" w:type="dxa"/>
            <w:vAlign w:val="bottom"/>
          </w:tcPr>
          <w:p>
            <w:pPr>
              <w:jc w:val="right"/>
              <w:ind w:right="55"/>
              <w:spacing w:after="0"/>
              <w:rPr>
                <w:sz w:val="20"/>
                <w:szCs w:val="20"/>
                <w:color w:val="auto"/>
              </w:rPr>
            </w:pPr>
            <w:r>
              <w:rPr>
                <w:rFonts w:ascii="Arial" w:cs="Arial" w:eastAsia="Arial" w:hAnsi="Arial"/>
                <w:sz w:val="17"/>
                <w:szCs w:val="17"/>
                <w:b w:val="1"/>
                <w:bCs w:val="1"/>
                <w:color w:val="auto"/>
              </w:rPr>
              <w:t>2</w:t>
            </w:r>
          </w:p>
        </w:tc>
        <w:tc>
          <w:tcPr>
            <w:tcW w:w="240" w:type="dxa"/>
            <w:vAlign w:val="bottom"/>
          </w:tcPr>
          <w:p>
            <w:pPr>
              <w:spacing w:after="0"/>
              <w:rPr>
                <w:sz w:val="18"/>
                <w:szCs w:val="18"/>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18"/>
                <w:szCs w:val="18"/>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740" w:type="dxa"/>
            <w:vAlign w:val="bottom"/>
          </w:tcPr>
          <w:p>
            <w:pPr>
              <w:ind w:left="520"/>
              <w:spacing w:after="0"/>
              <w:rPr>
                <w:sz w:val="20"/>
                <w:szCs w:val="20"/>
                <w:color w:val="auto"/>
              </w:rPr>
            </w:pPr>
            <w:r>
              <w:rPr>
                <w:rFonts w:ascii="Arial" w:cs="Arial" w:eastAsia="Arial" w:hAnsi="Arial"/>
                <w:sz w:val="17"/>
                <w:szCs w:val="17"/>
                <w:color w:val="auto"/>
              </w:rPr>
              <w:t>—</w:t>
            </w:r>
          </w:p>
        </w:tc>
      </w:tr>
      <w:tr>
        <w:trPr>
          <w:trHeight w:val="189"/>
        </w:trPr>
        <w:tc>
          <w:tcPr>
            <w:tcW w:w="254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Cross-currency swap contract</w:t>
            </w:r>
          </w:p>
        </w:tc>
        <w:tc>
          <w:tcPr>
            <w:tcW w:w="2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4</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ind w:left="520"/>
              <w:spacing w:after="0" w:line="189" w:lineRule="exact"/>
              <w:rPr>
                <w:sz w:val="20"/>
                <w:szCs w:val="20"/>
                <w:color w:val="auto"/>
              </w:rPr>
            </w:pPr>
            <w:r>
              <w:rPr>
                <w:rFonts w:ascii="Arial" w:cs="Arial" w:eastAsia="Arial" w:hAnsi="Arial"/>
                <w:sz w:val="17"/>
                <w:szCs w:val="17"/>
                <w:color w:val="auto"/>
              </w:rPr>
              <w:t>—</w:t>
            </w:r>
          </w:p>
        </w:tc>
      </w:tr>
      <w:tr>
        <w:trPr>
          <w:trHeight w:val="223"/>
        </w:trPr>
        <w:tc>
          <w:tcPr>
            <w:tcW w:w="254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Total assets</w:t>
            </w:r>
          </w:p>
        </w:tc>
        <w:tc>
          <w:tcPr>
            <w:tcW w:w="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93</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11</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color w:val="auto"/>
              </w:rPr>
              <w:t>118</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color w:val="auto"/>
              </w:rPr>
              <w:t>7</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ind w:left="520"/>
              <w:spacing w:after="0" w:line="183" w:lineRule="exact"/>
              <w:rPr>
                <w:sz w:val="20"/>
                <w:szCs w:val="20"/>
                <w:color w:val="auto"/>
              </w:rPr>
            </w:pPr>
            <w:r>
              <w:rPr>
                <w:rFonts w:ascii="Arial" w:cs="Arial" w:eastAsia="Arial" w:hAnsi="Arial"/>
                <w:sz w:val="17"/>
                <w:szCs w:val="17"/>
                <w:b w:val="1"/>
                <w:bCs w:val="1"/>
                <w:color w:val="auto"/>
              </w:rPr>
              <w:t>—</w:t>
            </w:r>
          </w:p>
        </w:tc>
      </w:tr>
      <w:tr>
        <w:trPr>
          <w:trHeight w:val="170"/>
        </w:trPr>
        <w:tc>
          <w:tcPr>
            <w:tcW w:w="2540" w:type="dxa"/>
            <w:vAlign w:val="bottom"/>
            <w:shd w:val="clear" w:color="auto" w:fill="CCEEFF"/>
          </w:tcPr>
          <w:p>
            <w:pPr>
              <w:ind w:left="20"/>
              <w:spacing w:after="0" w:line="170" w:lineRule="exact"/>
              <w:rPr>
                <w:sz w:val="20"/>
                <w:szCs w:val="20"/>
                <w:color w:val="auto"/>
              </w:rPr>
            </w:pPr>
            <w:r>
              <w:rPr>
                <w:rFonts w:ascii="Arial" w:cs="Arial" w:eastAsia="Arial" w:hAnsi="Arial"/>
                <w:sz w:val="17"/>
                <w:szCs w:val="17"/>
                <w:b w:val="1"/>
                <w:bCs w:val="1"/>
                <w:color w:val="auto"/>
              </w:rPr>
              <w:t>Liabilities</w:t>
            </w: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89"/>
        </w:trPr>
        <w:tc>
          <w:tcPr>
            <w:tcW w:w="2540" w:type="dxa"/>
            <w:vAlign w:val="bottom"/>
          </w:tcPr>
          <w:p>
            <w:pPr>
              <w:ind w:left="20"/>
              <w:spacing w:after="0" w:line="189" w:lineRule="exact"/>
              <w:rPr>
                <w:sz w:val="20"/>
                <w:szCs w:val="20"/>
                <w:color w:val="auto"/>
              </w:rPr>
            </w:pPr>
            <w:r>
              <w:rPr>
                <w:rFonts w:ascii="Arial" w:cs="Arial" w:eastAsia="Arial" w:hAnsi="Arial"/>
                <w:sz w:val="17"/>
                <w:szCs w:val="17"/>
                <w:color w:val="auto"/>
              </w:rPr>
              <w:t>Contingent consideration</w:t>
            </w:r>
          </w:p>
        </w:tc>
        <w:tc>
          <w:tcPr>
            <w:tcW w:w="2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80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2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82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2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82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35</w:t>
            </w:r>
          </w:p>
        </w:tc>
        <w:tc>
          <w:tcPr>
            <w:tcW w:w="2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820" w:type="dxa"/>
            <w:vAlign w:val="bottom"/>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820" w:type="dxa"/>
            <w:vAlign w:val="bottom"/>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740" w:type="dxa"/>
            <w:vAlign w:val="bottom"/>
          </w:tcPr>
          <w:p>
            <w:pPr>
              <w:ind w:left="520"/>
              <w:spacing w:after="0" w:line="189" w:lineRule="exact"/>
              <w:rPr>
                <w:sz w:val="20"/>
                <w:szCs w:val="20"/>
                <w:color w:val="auto"/>
              </w:rPr>
            </w:pPr>
            <w:r>
              <w:rPr>
                <w:rFonts w:ascii="Arial" w:cs="Arial" w:eastAsia="Arial" w:hAnsi="Arial"/>
                <w:sz w:val="17"/>
                <w:szCs w:val="17"/>
                <w:color w:val="auto"/>
              </w:rPr>
              <w:t>—</w:t>
            </w:r>
          </w:p>
        </w:tc>
      </w:tr>
      <w:tr>
        <w:trPr>
          <w:trHeight w:val="167"/>
        </w:trPr>
        <w:tc>
          <w:tcPr>
            <w:tcW w:w="254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rPr>
              <w:t>Foreign exchange forward</w:t>
            </w: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211"/>
        </w:trPr>
        <w:tc>
          <w:tcPr>
            <w:tcW w:w="2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contracts</w:t>
            </w: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w:t>
            </w: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7"/>
                <w:szCs w:val="17"/>
                <w:color w:val="auto"/>
              </w:rPr>
              <w:t>—</w:t>
            </w:r>
          </w:p>
        </w:tc>
      </w:tr>
      <w:tr>
        <w:trPr>
          <w:trHeight w:val="183"/>
        </w:trPr>
        <w:tc>
          <w:tcPr>
            <w:tcW w:w="254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Total liabilities</w:t>
            </w:r>
          </w:p>
        </w:tc>
        <w:tc>
          <w:tcPr>
            <w:tcW w:w="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35</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color w:val="auto"/>
              </w:rPr>
              <w:t>1</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ind w:left="520"/>
              <w:spacing w:after="0" w:line="183" w:lineRule="exact"/>
              <w:rPr>
                <w:sz w:val="20"/>
                <w:szCs w:val="20"/>
                <w:color w:val="auto"/>
              </w:rPr>
            </w:pPr>
            <w:r>
              <w:rPr>
                <w:rFonts w:ascii="Arial" w:cs="Arial" w:eastAsia="Arial" w:hAnsi="Arial"/>
                <w:sz w:val="17"/>
                <w:szCs w:val="17"/>
                <w:color w:val="auto"/>
              </w:rPr>
              <w:t>—</w:t>
            </w:r>
          </w:p>
        </w:tc>
      </w:tr>
      <w:tr>
        <w:trPr>
          <w:trHeight w:val="20"/>
        </w:trPr>
        <w:tc>
          <w:tcPr>
            <w:tcW w:w="2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There were no transfers into or out of Level 1, Level 2, or Level 3 assets and liabilities for any of the periods presented.</w:t>
      </w:r>
    </w:p>
    <w:p>
      <w:pPr>
        <w:spacing w:after="0" w:line="370"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2022 Form 10-Q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154305</wp:posOffset>
            </wp:positionV>
            <wp:extent cx="1834515" cy="2146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210"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Assets and liabilities recognized or disclosed at fair value on the consolidated financial statements on a nonrecurring basis include items such as property, plant and equipment, operating lease right-of-use assets, goodwill, other intangible assets, and minority investments that are not accounted for under the equity method of accounting. These assets are measured using Level 3 inputs, if determined to be impaired. Minority investments measured using the fair value measurement alternative had a carrying value of $579 million and $618 million as of October 29, 2022 and October 30, 2021, respectively.</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Long-Term Debt</w:t>
      </w:r>
    </w:p>
    <w:p>
      <w:pPr>
        <w:spacing w:after="0" w:line="210"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The fair value of long-term debt is determined by using model-derived valuations in which all significant inputs or significant value drivers are observable in active markets and, therefore, are classified as Level 2. The balance as of October 29, 2022 includes the $400 million 4% Notes. The carrying value and estimated fair value of long-term debt were as follows: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2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w w:val="99"/>
              </w:rPr>
              <w:t>October 29, 2022</w:t>
            </w: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October 30, 2021</w:t>
            </w:r>
          </w:p>
        </w:tc>
      </w:tr>
      <w:tr>
        <w:trPr>
          <w:trHeight w:val="183"/>
        </w:trPr>
        <w:tc>
          <w:tcPr>
            <w:tcW w:w="3320" w:type="dxa"/>
            <w:vAlign w:val="bottom"/>
            <w:shd w:val="clear" w:color="auto" w:fill="CCEEFF"/>
          </w:tcPr>
          <w:p>
            <w:pPr>
              <w:ind w:left="20"/>
              <w:spacing w:after="0" w:line="183" w:lineRule="exact"/>
              <w:rPr>
                <w:sz w:val="20"/>
                <w:szCs w:val="20"/>
                <w:color w:val="auto"/>
              </w:rPr>
            </w:pPr>
            <w:r>
              <w:rPr>
                <w:rFonts w:ascii="Arial" w:cs="Arial" w:eastAsia="Arial" w:hAnsi="Arial"/>
                <w:sz w:val="15"/>
                <w:szCs w:val="15"/>
                <w:color w:val="auto"/>
              </w:rPr>
              <w:t xml:space="preserve">Carrying value </w:t>
            </w:r>
            <w:r>
              <w:rPr>
                <w:rFonts w:ascii="Arial" w:cs="Arial" w:eastAsia="Arial" w:hAnsi="Arial"/>
                <w:sz w:val="21"/>
                <w:szCs w:val="21"/>
                <w:color w:val="auto"/>
                <w:vertAlign w:val="superscript"/>
              </w:rPr>
              <w:t>(1)</w:t>
            </w:r>
          </w:p>
        </w:tc>
        <w:tc>
          <w:tcPr>
            <w:tcW w:w="2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64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395</w:t>
            </w:r>
          </w:p>
        </w:tc>
        <w:tc>
          <w:tcPr>
            <w:tcW w:w="2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492</w:t>
            </w:r>
          </w:p>
        </w:tc>
      </w:tr>
      <w:tr>
        <w:trPr>
          <w:trHeight w:val="189"/>
        </w:trPr>
        <w:tc>
          <w:tcPr>
            <w:tcW w:w="332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Fair value</w:t>
            </w:r>
          </w:p>
        </w:tc>
        <w:tc>
          <w:tcPr>
            <w:tcW w:w="2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64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308</w:t>
            </w:r>
          </w:p>
        </w:tc>
        <w:tc>
          <w:tcPr>
            <w:tcW w:w="2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497</w:t>
            </w:r>
          </w:p>
        </w:tc>
      </w:tr>
    </w:tbl>
    <w:p>
      <w:pPr>
        <w:spacing w:after="0" w:line="90" w:lineRule="exact"/>
        <w:rPr>
          <w:sz w:val="20"/>
          <w:szCs w:val="20"/>
          <w:color w:val="auto"/>
        </w:rPr>
      </w:pPr>
    </w:p>
    <w:p>
      <w:pPr>
        <w:ind w:left="380" w:hanging="330"/>
        <w:spacing w:after="0"/>
        <w:tabs>
          <w:tab w:leader="none" w:pos="38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carrying value of debt as of October 29, 2022 reflects $5 million of issuer’s discount and costs related to the 4% Notes.</w:t>
      </w:r>
    </w:p>
    <w:p>
      <w:pPr>
        <w:spacing w:after="0" w:line="201"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The carrying values of cash and cash equivalents, and other current receivables and payables approximate their fair value.</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Earnings Per Share</w:t>
      </w:r>
    </w:p>
    <w:p>
      <w:pPr>
        <w:spacing w:after="0" w:line="171"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We account for earnings per share (“EPS”) using the treasury stock method. Basic EPS is computed by dividing net income for the period by the weighted-average number of common shares outstanding at the end of the period. Diluted earnings per share reflects the weighted-average number of common shares outstanding during the period used in the basic EPS computation plus dilutive common stock equivalents. The computation of diluted earnings per share does not assume conversion, exercise, or contingent issuance of securities that would have an anti-dilutive effect on EPS. The computation of basic and diluted EPS is as follows:</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34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3"/>
          </w:tcPr>
          <w:p>
            <w:pPr>
              <w:jc w:val="right"/>
              <w:ind w:right="355"/>
              <w:spacing w:after="0"/>
              <w:rPr>
                <w:sz w:val="20"/>
                <w:szCs w:val="20"/>
                <w:color w:val="auto"/>
              </w:rPr>
            </w:pPr>
            <w:r>
              <w:rPr>
                <w:rFonts w:ascii="Arial" w:cs="Arial" w:eastAsia="Arial" w:hAnsi="Arial"/>
                <w:sz w:val="17"/>
                <w:szCs w:val="17"/>
                <w:b w:val="1"/>
                <w:bCs w:val="1"/>
                <w:color w:val="auto"/>
              </w:rPr>
              <w:t>Thirteen weeks ended</w:t>
            </w:r>
          </w:p>
        </w:tc>
        <w:tc>
          <w:tcPr>
            <w:tcW w:w="22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175"/>
              <w:spacing w:after="0"/>
              <w:rPr>
                <w:sz w:val="20"/>
                <w:szCs w:val="20"/>
                <w:color w:val="auto"/>
              </w:rPr>
            </w:pPr>
            <w:r>
              <w:rPr>
                <w:rFonts w:ascii="Arial" w:cs="Arial" w:eastAsia="Arial" w:hAnsi="Arial"/>
                <w:sz w:val="17"/>
                <w:szCs w:val="17"/>
                <w:b w:val="1"/>
                <w:bCs w:val="1"/>
                <w:color w:val="auto"/>
              </w:rPr>
              <w:t>Thirty-nine weeks ended</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75"/>
              <w:spacing w:after="0" w:line="160" w:lineRule="exact"/>
              <w:rPr>
                <w:sz w:val="20"/>
                <w:szCs w:val="20"/>
                <w:color w:val="auto"/>
              </w:rPr>
            </w:pPr>
            <w:r>
              <w:rPr>
                <w:rFonts w:ascii="Arial" w:cs="Arial" w:eastAsia="Arial" w:hAnsi="Arial"/>
                <w:sz w:val="17"/>
                <w:szCs w:val="17"/>
                <w:b w:val="1"/>
                <w:bCs w:val="1"/>
                <w:color w:val="auto"/>
                <w:w w:val="98"/>
              </w:rPr>
              <w:t>October 29,</w:t>
            </w:r>
          </w:p>
        </w:tc>
        <w:tc>
          <w:tcPr>
            <w:tcW w:w="240" w:type="dxa"/>
            <w:vAlign w:val="bottom"/>
          </w:tcPr>
          <w:p>
            <w:pPr>
              <w:spacing w:after="0"/>
              <w:rPr>
                <w:sz w:val="13"/>
                <w:szCs w:val="13"/>
                <w:color w:val="auto"/>
              </w:rPr>
            </w:pPr>
          </w:p>
        </w:tc>
        <w:tc>
          <w:tcPr>
            <w:tcW w:w="1120" w:type="dxa"/>
            <w:vAlign w:val="bottom"/>
          </w:tcPr>
          <w:p>
            <w:pPr>
              <w:jc w:val="right"/>
              <w:ind w:right="95"/>
              <w:spacing w:after="0" w:line="160" w:lineRule="exact"/>
              <w:rPr>
                <w:sz w:val="20"/>
                <w:szCs w:val="20"/>
                <w:color w:val="auto"/>
              </w:rPr>
            </w:pPr>
            <w:r>
              <w:rPr>
                <w:rFonts w:ascii="Arial" w:cs="Arial" w:eastAsia="Arial" w:hAnsi="Arial"/>
                <w:sz w:val="17"/>
                <w:szCs w:val="17"/>
                <w:b w:val="1"/>
                <w:bCs w:val="1"/>
                <w:color w:val="auto"/>
                <w:w w:val="98"/>
              </w:rPr>
              <w:t>October 30,</w:t>
            </w:r>
          </w:p>
        </w:tc>
        <w:tc>
          <w:tcPr>
            <w:tcW w:w="220" w:type="dxa"/>
            <w:vAlign w:val="bottom"/>
          </w:tcPr>
          <w:p>
            <w:pPr>
              <w:spacing w:after="0"/>
              <w:rPr>
                <w:sz w:val="13"/>
                <w:szCs w:val="13"/>
                <w:color w:val="auto"/>
              </w:rPr>
            </w:pPr>
          </w:p>
        </w:tc>
        <w:tc>
          <w:tcPr>
            <w:tcW w:w="1120" w:type="dxa"/>
            <w:vAlign w:val="bottom"/>
          </w:tcPr>
          <w:p>
            <w:pPr>
              <w:jc w:val="right"/>
              <w:ind w:right="95"/>
              <w:spacing w:after="0" w:line="160" w:lineRule="exact"/>
              <w:rPr>
                <w:sz w:val="20"/>
                <w:szCs w:val="20"/>
                <w:color w:val="auto"/>
              </w:rPr>
            </w:pPr>
            <w:r>
              <w:rPr>
                <w:rFonts w:ascii="Arial" w:cs="Arial" w:eastAsia="Arial" w:hAnsi="Arial"/>
                <w:sz w:val="17"/>
                <w:szCs w:val="17"/>
                <w:b w:val="1"/>
                <w:bCs w:val="1"/>
                <w:color w:val="auto"/>
                <w:w w:val="98"/>
              </w:rPr>
              <w:t>October 29,</w:t>
            </w:r>
          </w:p>
        </w:tc>
        <w:tc>
          <w:tcPr>
            <w:tcW w:w="240" w:type="dxa"/>
            <w:vAlign w:val="bottom"/>
          </w:tcPr>
          <w:p>
            <w:pPr>
              <w:spacing w:after="0"/>
              <w:rPr>
                <w:sz w:val="13"/>
                <w:szCs w:val="13"/>
                <w:color w:val="auto"/>
              </w:rPr>
            </w:pPr>
          </w:p>
        </w:tc>
        <w:tc>
          <w:tcPr>
            <w:tcW w:w="1060" w:type="dxa"/>
            <w:vAlign w:val="bottom"/>
          </w:tcPr>
          <w:p>
            <w:pPr>
              <w:jc w:val="right"/>
              <w:ind w:right="35"/>
              <w:spacing w:after="0" w:line="160" w:lineRule="exact"/>
              <w:rPr>
                <w:sz w:val="20"/>
                <w:szCs w:val="20"/>
                <w:color w:val="auto"/>
              </w:rPr>
            </w:pPr>
            <w:r>
              <w:rPr>
                <w:rFonts w:ascii="Arial" w:cs="Arial" w:eastAsia="Arial" w:hAnsi="Arial"/>
                <w:sz w:val="17"/>
                <w:szCs w:val="17"/>
                <w:b w:val="1"/>
                <w:bCs w:val="1"/>
                <w:color w:val="auto"/>
                <w:w w:val="98"/>
              </w:rPr>
              <w:t>October 30,</w:t>
            </w:r>
          </w:p>
        </w:tc>
        <w:tc>
          <w:tcPr>
            <w:tcW w:w="0" w:type="dxa"/>
            <w:vAlign w:val="bottom"/>
          </w:tcPr>
          <w:p>
            <w:pPr>
              <w:spacing w:after="0"/>
              <w:rPr>
                <w:sz w:val="1"/>
                <w:szCs w:val="1"/>
                <w:color w:val="auto"/>
              </w:rPr>
            </w:pPr>
          </w:p>
        </w:tc>
      </w:tr>
      <w:tr>
        <w:trPr>
          <w:trHeight w:val="211"/>
        </w:trPr>
        <w:tc>
          <w:tcPr>
            <w:tcW w:w="3480" w:type="dxa"/>
            <w:vAlign w:val="bottom"/>
            <w:gridSpan w:val="2"/>
          </w:tcPr>
          <w:p>
            <w:pPr>
              <w:spacing w:after="0"/>
              <w:rPr>
                <w:sz w:val="20"/>
                <w:szCs w:val="20"/>
                <w:color w:val="auto"/>
              </w:rPr>
            </w:pPr>
            <w:r>
              <w:rPr>
                <w:rFonts w:ascii="Arial" w:cs="Arial" w:eastAsia="Arial" w:hAnsi="Arial"/>
                <w:sz w:val="17"/>
                <w:szCs w:val="17"/>
                <w:color w:val="auto"/>
              </w:rPr>
              <w:t>(in millions, except per share data)</w:t>
            </w:r>
          </w:p>
        </w:tc>
        <w:tc>
          <w:tcPr>
            <w:tcW w:w="320" w:type="dxa"/>
            <w:vAlign w:val="bottom"/>
          </w:tcPr>
          <w:p>
            <w:pPr>
              <w:spacing w:after="0"/>
              <w:rPr>
                <w:sz w:val="18"/>
                <w:szCs w:val="18"/>
                <w:color w:val="auto"/>
              </w:rPr>
            </w:pPr>
          </w:p>
        </w:tc>
        <w:tc>
          <w:tcPr>
            <w:tcW w:w="1100" w:type="dxa"/>
            <w:vAlign w:val="bottom"/>
          </w:tcPr>
          <w:p>
            <w:pPr>
              <w:jc w:val="right"/>
              <w:ind w:right="355"/>
              <w:spacing w:after="0"/>
              <w:rPr>
                <w:sz w:val="20"/>
                <w:szCs w:val="20"/>
                <w:color w:val="auto"/>
              </w:rPr>
            </w:pPr>
            <w:r>
              <w:rPr>
                <w:rFonts w:ascii="Arial" w:cs="Arial" w:eastAsia="Arial" w:hAnsi="Arial"/>
                <w:sz w:val="17"/>
                <w:szCs w:val="17"/>
                <w:b w:val="1"/>
                <w:bCs w:val="1"/>
                <w:color w:val="auto"/>
              </w:rPr>
              <w:t>2022</w:t>
            </w:r>
          </w:p>
        </w:tc>
        <w:tc>
          <w:tcPr>
            <w:tcW w:w="240" w:type="dxa"/>
            <w:vAlign w:val="bottom"/>
          </w:tcPr>
          <w:p>
            <w:pPr>
              <w:spacing w:after="0"/>
              <w:rPr>
                <w:sz w:val="18"/>
                <w:szCs w:val="18"/>
                <w:color w:val="auto"/>
              </w:rPr>
            </w:pPr>
          </w:p>
        </w:tc>
        <w:tc>
          <w:tcPr>
            <w:tcW w:w="1120" w:type="dxa"/>
            <w:vAlign w:val="bottom"/>
          </w:tcPr>
          <w:p>
            <w:pPr>
              <w:jc w:val="right"/>
              <w:ind w:right="375"/>
              <w:spacing w:after="0"/>
              <w:rPr>
                <w:sz w:val="20"/>
                <w:szCs w:val="20"/>
                <w:color w:val="auto"/>
              </w:rPr>
            </w:pPr>
            <w:r>
              <w:rPr>
                <w:rFonts w:ascii="Arial" w:cs="Arial" w:eastAsia="Arial" w:hAnsi="Arial"/>
                <w:sz w:val="17"/>
                <w:szCs w:val="17"/>
                <w:b w:val="1"/>
                <w:bCs w:val="1"/>
                <w:color w:val="auto"/>
              </w:rPr>
              <w:t>2021</w:t>
            </w:r>
          </w:p>
        </w:tc>
        <w:tc>
          <w:tcPr>
            <w:tcW w:w="220" w:type="dxa"/>
            <w:vAlign w:val="bottom"/>
          </w:tcPr>
          <w:p>
            <w:pPr>
              <w:spacing w:after="0"/>
              <w:rPr>
                <w:sz w:val="18"/>
                <w:szCs w:val="18"/>
                <w:color w:val="auto"/>
              </w:rPr>
            </w:pPr>
          </w:p>
        </w:tc>
        <w:tc>
          <w:tcPr>
            <w:tcW w:w="1120" w:type="dxa"/>
            <w:vAlign w:val="bottom"/>
          </w:tcPr>
          <w:p>
            <w:pPr>
              <w:jc w:val="right"/>
              <w:ind w:right="375"/>
              <w:spacing w:after="0"/>
              <w:rPr>
                <w:sz w:val="20"/>
                <w:szCs w:val="20"/>
                <w:color w:val="auto"/>
              </w:rPr>
            </w:pPr>
            <w:r>
              <w:rPr>
                <w:rFonts w:ascii="Arial" w:cs="Arial" w:eastAsia="Arial" w:hAnsi="Arial"/>
                <w:sz w:val="17"/>
                <w:szCs w:val="17"/>
                <w:b w:val="1"/>
                <w:bCs w:val="1"/>
                <w:color w:val="auto"/>
              </w:rPr>
              <w:t>2022</w:t>
            </w:r>
          </w:p>
        </w:tc>
        <w:tc>
          <w:tcPr>
            <w:tcW w:w="240" w:type="dxa"/>
            <w:vAlign w:val="bottom"/>
          </w:tcPr>
          <w:p>
            <w:pPr>
              <w:spacing w:after="0"/>
              <w:rPr>
                <w:sz w:val="18"/>
                <w:szCs w:val="18"/>
                <w:color w:val="auto"/>
              </w:rPr>
            </w:pPr>
          </w:p>
        </w:tc>
        <w:tc>
          <w:tcPr>
            <w:tcW w:w="1060" w:type="dxa"/>
            <w:vAlign w:val="bottom"/>
          </w:tcPr>
          <w:p>
            <w:pPr>
              <w:jc w:val="right"/>
              <w:ind w:right="315"/>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Net income attributable to Foot Locker, Inc.</w:t>
            </w:r>
          </w:p>
        </w:tc>
        <w:tc>
          <w:tcPr>
            <w:tcW w:w="3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00" w:type="dxa"/>
            <w:vAlign w:val="bottom"/>
            <w:tcBorders>
              <w:top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96</w:t>
            </w:r>
          </w:p>
        </w:tc>
        <w:tc>
          <w:tcPr>
            <w:tcW w:w="2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158</w:t>
            </w:r>
          </w:p>
        </w:tc>
        <w:tc>
          <w:tcPr>
            <w:tcW w:w="2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20" w:type="dxa"/>
            <w:vAlign w:val="bottom"/>
            <w:tcBorders>
              <w:top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323</w:t>
            </w:r>
          </w:p>
        </w:tc>
        <w:tc>
          <w:tcPr>
            <w:tcW w:w="2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790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60" w:type="dxa"/>
            <w:vAlign w:val="bottom"/>
          </w:tcPr>
          <w:p>
            <w:pPr>
              <w:spacing w:after="0" w:line="167" w:lineRule="exact"/>
              <w:rPr>
                <w:sz w:val="20"/>
                <w:szCs w:val="20"/>
                <w:color w:val="auto"/>
              </w:rPr>
            </w:pPr>
            <w:r>
              <w:rPr>
                <w:rFonts w:ascii="Arial" w:cs="Arial" w:eastAsia="Arial" w:hAnsi="Arial"/>
                <w:sz w:val="17"/>
                <w:szCs w:val="17"/>
                <w:color w:val="auto"/>
              </w:rPr>
              <w:t>Weighted-average common shares</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480" w:type="dxa"/>
            <w:vAlign w:val="bottom"/>
            <w:gridSpan w:val="2"/>
          </w:tcPr>
          <w:p>
            <w:pPr>
              <w:spacing w:after="0"/>
              <w:rPr>
                <w:sz w:val="20"/>
                <w:szCs w:val="20"/>
                <w:color w:val="auto"/>
              </w:rPr>
            </w:pPr>
            <w:r>
              <w:rPr>
                <w:rFonts w:ascii="Arial" w:cs="Arial" w:eastAsia="Arial" w:hAnsi="Arial"/>
                <w:sz w:val="17"/>
                <w:szCs w:val="17"/>
                <w:color w:val="auto"/>
              </w:rPr>
              <w:t>outstanding</w:t>
            </w:r>
          </w:p>
        </w:tc>
        <w:tc>
          <w:tcPr>
            <w:tcW w:w="32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b w:val="1"/>
                <w:bCs w:val="1"/>
                <w:color w:val="auto"/>
              </w:rPr>
              <w:t>93.4</w:t>
            </w:r>
          </w:p>
        </w:tc>
        <w:tc>
          <w:tcPr>
            <w:tcW w:w="240" w:type="dxa"/>
            <w:vAlign w:val="bottom"/>
          </w:tcPr>
          <w:p>
            <w:pPr>
              <w:spacing w:after="0"/>
              <w:rPr>
                <w:sz w:val="18"/>
                <w:szCs w:val="18"/>
                <w:color w:val="auto"/>
              </w:rPr>
            </w:pP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103.2</w:t>
            </w:r>
          </w:p>
        </w:tc>
        <w:tc>
          <w:tcPr>
            <w:tcW w:w="22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b w:val="1"/>
                <w:bCs w:val="1"/>
                <w:color w:val="auto"/>
              </w:rPr>
              <w:t>94.6</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103.5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Dilutive effect of potential common shares</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1.3</w:t>
            </w:r>
          </w:p>
        </w:tc>
        <w:tc>
          <w:tcPr>
            <w:tcW w:w="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1.2</w:t>
            </w:r>
          </w:p>
        </w:tc>
        <w:tc>
          <w:tcPr>
            <w:tcW w:w="2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1.1</w:t>
            </w:r>
          </w:p>
        </w:tc>
        <w:tc>
          <w:tcPr>
            <w:tcW w:w="2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460" w:type="dxa"/>
            <w:vAlign w:val="bottom"/>
          </w:tcPr>
          <w:p>
            <w:pPr>
              <w:spacing w:after="0" w:line="160" w:lineRule="exact"/>
              <w:rPr>
                <w:sz w:val="20"/>
                <w:szCs w:val="20"/>
                <w:color w:val="auto"/>
              </w:rPr>
            </w:pPr>
            <w:r>
              <w:rPr>
                <w:rFonts w:ascii="Arial" w:cs="Arial" w:eastAsia="Arial" w:hAnsi="Arial"/>
                <w:sz w:val="17"/>
                <w:szCs w:val="17"/>
                <w:color w:val="auto"/>
              </w:rPr>
              <w:t>Weighted-average common shares</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3480" w:type="dxa"/>
            <w:vAlign w:val="bottom"/>
            <w:gridSpan w:val="2"/>
          </w:tcPr>
          <w:p>
            <w:pPr>
              <w:spacing w:after="0"/>
              <w:rPr>
                <w:sz w:val="20"/>
                <w:szCs w:val="20"/>
                <w:color w:val="auto"/>
              </w:rPr>
            </w:pPr>
            <w:r>
              <w:rPr>
                <w:rFonts w:ascii="Arial" w:cs="Arial" w:eastAsia="Arial" w:hAnsi="Arial"/>
                <w:sz w:val="17"/>
                <w:szCs w:val="17"/>
                <w:color w:val="auto"/>
              </w:rPr>
              <w:t>outstanding assuming dilution</w:t>
            </w:r>
          </w:p>
        </w:tc>
        <w:tc>
          <w:tcPr>
            <w:tcW w:w="32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b w:val="1"/>
                <w:bCs w:val="1"/>
                <w:color w:val="auto"/>
              </w:rPr>
              <w:t>94.7</w:t>
            </w:r>
          </w:p>
        </w:tc>
        <w:tc>
          <w:tcPr>
            <w:tcW w:w="240" w:type="dxa"/>
            <w:vAlign w:val="bottom"/>
          </w:tcPr>
          <w:p>
            <w:pPr>
              <w:spacing w:after="0"/>
              <w:rPr>
                <w:sz w:val="21"/>
                <w:szCs w:val="21"/>
                <w:color w:val="auto"/>
              </w:rPr>
            </w:pP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104.4</w:t>
            </w:r>
          </w:p>
        </w:tc>
        <w:tc>
          <w:tcPr>
            <w:tcW w:w="22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b w:val="1"/>
                <w:bCs w:val="1"/>
                <w:color w:val="auto"/>
              </w:rPr>
              <w:t>95.7</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104.9</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34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460" w:type="dxa"/>
            <w:vAlign w:val="bottom"/>
          </w:tcPr>
          <w:p>
            <w:pPr>
              <w:spacing w:after="0" w:line="189" w:lineRule="exact"/>
              <w:rPr>
                <w:sz w:val="20"/>
                <w:szCs w:val="20"/>
                <w:color w:val="auto"/>
              </w:rPr>
            </w:pPr>
            <w:r>
              <w:rPr>
                <w:rFonts w:ascii="Arial" w:cs="Arial" w:eastAsia="Arial" w:hAnsi="Arial"/>
                <w:sz w:val="17"/>
                <w:szCs w:val="17"/>
                <w:color w:val="auto"/>
              </w:rPr>
              <w:t>Earnings per share - basic</w:t>
            </w:r>
          </w:p>
        </w:tc>
        <w:tc>
          <w:tcPr>
            <w:tcW w:w="3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0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1.02</w:t>
            </w:r>
          </w:p>
        </w:tc>
        <w:tc>
          <w:tcPr>
            <w:tcW w:w="2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120" w:type="dxa"/>
            <w:vAlign w:val="bottom"/>
          </w:tcPr>
          <w:p>
            <w:pPr>
              <w:jc w:val="right"/>
              <w:ind w:right="55"/>
              <w:spacing w:after="0" w:line="189" w:lineRule="exact"/>
              <w:rPr>
                <w:sz w:val="20"/>
                <w:szCs w:val="20"/>
                <w:color w:val="auto"/>
              </w:rPr>
            </w:pPr>
            <w:r>
              <w:rPr>
                <w:rFonts w:ascii="Arial" w:cs="Arial" w:eastAsia="Arial" w:hAnsi="Arial"/>
                <w:sz w:val="17"/>
                <w:szCs w:val="17"/>
                <w:color w:val="auto"/>
              </w:rPr>
              <w:t>1.53</w:t>
            </w:r>
          </w:p>
        </w:tc>
        <w:tc>
          <w:tcPr>
            <w:tcW w:w="2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2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3.41</w:t>
            </w:r>
          </w:p>
        </w:tc>
        <w:tc>
          <w:tcPr>
            <w:tcW w:w="2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7.63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Earnings per share - diluted</w:t>
            </w:r>
          </w:p>
        </w:tc>
        <w:tc>
          <w:tcPr>
            <w:tcW w:w="3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0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1.01</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1.52</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3.38</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7.54</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346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Anti-dilutive share-based awards excluded</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from diluted calculation</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2.8</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1.8</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2.7</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2022 Form 10-Q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154305</wp:posOffset>
            </wp:positionV>
            <wp:extent cx="1834515" cy="2146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0" w:right="819" w:firstLine="767"/>
        <w:spacing w:after="0" w:line="477" w:lineRule="auto"/>
        <w:rPr>
          <w:sz w:val="20"/>
          <w:szCs w:val="20"/>
          <w:color w:val="auto"/>
        </w:rPr>
      </w:pPr>
      <w:r>
        <w:rPr>
          <w:rFonts w:ascii="Arial" w:cs="Arial" w:eastAsia="Arial" w:hAnsi="Arial"/>
          <w:sz w:val="18"/>
          <w:szCs w:val="18"/>
          <w:b w:val="1"/>
          <w:bCs w:val="1"/>
          <w:color w:val="auto"/>
        </w:rPr>
        <w:t>NOTES TO THE UNAUDITED CONDENSED CONSOLIDATED FINANCIAL STATEMENTS 13. Earnings Per Share (continued)</w:t>
      </w:r>
    </w:p>
    <w:p>
      <w:pPr>
        <w:spacing w:after="0" w:line="1"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Performance stock units related to our long-term incentive programs of 0.8 million and 0.5 million have been excluded from diluted weighted-average shares for the periods ended October 29, 2022 and October 30, 2021, respectively. The issuance of these shares is contingent on our performance metrics as compared to the pre-established performance goals, which have not been achieved.</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Pension</w:t>
      </w:r>
    </w:p>
    <w:p>
      <w:pPr>
        <w:spacing w:after="0" w:line="171"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The components of net periodic pension benefit expense are presented in the table below. Service cost is recognized as part of SG&amp;A expense, while the other components are recognized as part of Other income / (expense), net.</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3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0" w:type="dxa"/>
            <w:vAlign w:val="bottom"/>
            <w:gridSpan w:val="3"/>
          </w:tcPr>
          <w:p>
            <w:pPr>
              <w:jc w:val="right"/>
              <w:ind w:right="335"/>
              <w:spacing w:after="0"/>
              <w:rPr>
                <w:sz w:val="20"/>
                <w:szCs w:val="20"/>
                <w:color w:val="auto"/>
              </w:rPr>
            </w:pPr>
            <w:r>
              <w:rPr>
                <w:rFonts w:ascii="Arial" w:cs="Arial" w:eastAsia="Arial" w:hAnsi="Arial"/>
                <w:sz w:val="17"/>
                <w:szCs w:val="17"/>
                <w:b w:val="1"/>
                <w:bCs w:val="1"/>
                <w:color w:val="auto"/>
              </w:rPr>
              <w:t>Thirteen weeks ended</w:t>
            </w:r>
          </w:p>
        </w:tc>
        <w:tc>
          <w:tcPr>
            <w:tcW w:w="220" w:type="dxa"/>
            <w:vAlign w:val="bottom"/>
          </w:tcPr>
          <w:p>
            <w:pPr>
              <w:spacing w:after="0"/>
              <w:rPr>
                <w:sz w:val="18"/>
                <w:szCs w:val="18"/>
                <w:color w:val="auto"/>
              </w:rPr>
            </w:pPr>
          </w:p>
        </w:tc>
        <w:tc>
          <w:tcPr>
            <w:tcW w:w="2360" w:type="dxa"/>
            <w:vAlign w:val="bottom"/>
            <w:gridSpan w:val="4"/>
          </w:tcPr>
          <w:p>
            <w:pPr>
              <w:ind w:left="120"/>
              <w:spacing w:after="0"/>
              <w:rPr>
                <w:sz w:val="20"/>
                <w:szCs w:val="20"/>
                <w:color w:val="auto"/>
              </w:rPr>
            </w:pPr>
            <w:r>
              <w:rPr>
                <w:rFonts w:ascii="Arial" w:cs="Arial" w:eastAsia="Arial" w:hAnsi="Arial"/>
                <w:sz w:val="17"/>
                <w:szCs w:val="17"/>
                <w:b w:val="1"/>
                <w:bCs w:val="1"/>
                <w:color w:val="auto"/>
              </w:rPr>
              <w:t>Thirty-nine weeks ended</w:t>
            </w:r>
          </w:p>
        </w:tc>
      </w:tr>
      <w:tr>
        <w:trPr>
          <w:trHeight w:val="160"/>
        </w:trPr>
        <w:tc>
          <w:tcPr>
            <w:tcW w:w="3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35"/>
              <w:spacing w:after="0" w:line="160" w:lineRule="exact"/>
              <w:rPr>
                <w:sz w:val="20"/>
                <w:szCs w:val="20"/>
                <w:color w:val="auto"/>
              </w:rPr>
            </w:pPr>
            <w:r>
              <w:rPr>
                <w:rFonts w:ascii="Arial" w:cs="Arial" w:eastAsia="Arial" w:hAnsi="Arial"/>
                <w:sz w:val="17"/>
                <w:szCs w:val="17"/>
                <w:b w:val="1"/>
                <w:bCs w:val="1"/>
                <w:color w:val="auto"/>
              </w:rPr>
              <w:t>October 29,</w:t>
            </w:r>
          </w:p>
        </w:tc>
        <w:tc>
          <w:tcPr>
            <w:tcW w:w="2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35"/>
              <w:spacing w:after="0" w:line="160" w:lineRule="exact"/>
              <w:rPr>
                <w:sz w:val="20"/>
                <w:szCs w:val="20"/>
                <w:color w:val="auto"/>
              </w:rPr>
            </w:pPr>
            <w:r>
              <w:rPr>
                <w:rFonts w:ascii="Arial" w:cs="Arial" w:eastAsia="Arial" w:hAnsi="Arial"/>
                <w:sz w:val="17"/>
                <w:szCs w:val="17"/>
                <w:b w:val="1"/>
                <w:bCs w:val="1"/>
                <w:color w:val="auto"/>
              </w:rPr>
              <w:t>October 30,</w:t>
            </w:r>
          </w:p>
        </w:tc>
        <w:tc>
          <w:tcPr>
            <w:tcW w:w="2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35"/>
              <w:spacing w:after="0" w:line="160" w:lineRule="exact"/>
              <w:rPr>
                <w:sz w:val="20"/>
                <w:szCs w:val="20"/>
                <w:color w:val="auto"/>
              </w:rPr>
            </w:pPr>
            <w:r>
              <w:rPr>
                <w:rFonts w:ascii="Arial" w:cs="Arial" w:eastAsia="Arial" w:hAnsi="Arial"/>
                <w:sz w:val="17"/>
                <w:szCs w:val="17"/>
                <w:b w:val="1"/>
                <w:bCs w:val="1"/>
                <w:color w:val="auto"/>
              </w:rPr>
              <w:t>October 29,</w:t>
            </w:r>
          </w:p>
        </w:tc>
        <w:tc>
          <w:tcPr>
            <w:tcW w:w="2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7"/>
                <w:szCs w:val="17"/>
                <w:b w:val="1"/>
                <w:bCs w:val="1"/>
                <w:color w:val="auto"/>
              </w:rPr>
              <w:t>October 30,</w:t>
            </w:r>
          </w:p>
        </w:tc>
        <w:tc>
          <w:tcPr>
            <w:tcW w:w="20" w:type="dxa"/>
            <w:vAlign w:val="bottom"/>
          </w:tcPr>
          <w:p>
            <w:pPr>
              <w:spacing w:after="0"/>
              <w:rPr>
                <w:sz w:val="13"/>
                <w:szCs w:val="13"/>
                <w:color w:val="auto"/>
              </w:rPr>
            </w:pPr>
          </w:p>
        </w:tc>
      </w:tr>
      <w:tr>
        <w:trPr>
          <w:trHeight w:val="211"/>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8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2022</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2021</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2022</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2021</w:t>
            </w:r>
          </w:p>
        </w:tc>
        <w:tc>
          <w:tcPr>
            <w:tcW w:w="20" w:type="dxa"/>
            <w:vAlign w:val="bottom"/>
          </w:tcPr>
          <w:p>
            <w:pPr>
              <w:spacing w:after="0"/>
              <w:rPr>
                <w:sz w:val="18"/>
                <w:szCs w:val="18"/>
                <w:color w:val="auto"/>
              </w:rPr>
            </w:pPr>
          </w:p>
        </w:tc>
      </w:tr>
      <w:tr>
        <w:trPr>
          <w:trHeight w:val="183"/>
        </w:trPr>
        <w:tc>
          <w:tcPr>
            <w:tcW w:w="310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Service cost</w:t>
            </w: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8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4</w:t>
            </w:r>
          </w:p>
        </w:tc>
        <w:tc>
          <w:tcPr>
            <w:tcW w:w="2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4</w:t>
            </w:r>
          </w:p>
        </w:tc>
        <w:tc>
          <w:tcPr>
            <w:tcW w:w="2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11</w:t>
            </w:r>
          </w:p>
        </w:tc>
        <w:tc>
          <w:tcPr>
            <w:tcW w:w="2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12</w:t>
            </w:r>
          </w:p>
        </w:tc>
        <w:tc>
          <w:tcPr>
            <w:tcW w:w="20" w:type="dxa"/>
            <w:vAlign w:val="bottom"/>
          </w:tcPr>
          <w:p>
            <w:pPr>
              <w:spacing w:after="0"/>
              <w:rPr>
                <w:sz w:val="15"/>
                <w:szCs w:val="15"/>
                <w:color w:val="auto"/>
              </w:rPr>
            </w:pPr>
          </w:p>
        </w:tc>
      </w:tr>
      <w:tr>
        <w:trPr>
          <w:trHeight w:val="189"/>
        </w:trPr>
        <w:tc>
          <w:tcPr>
            <w:tcW w:w="3100" w:type="dxa"/>
            <w:vAlign w:val="bottom"/>
          </w:tcPr>
          <w:p>
            <w:pPr>
              <w:ind w:left="20"/>
              <w:spacing w:after="0" w:line="189" w:lineRule="exact"/>
              <w:rPr>
                <w:sz w:val="20"/>
                <w:szCs w:val="20"/>
                <w:color w:val="auto"/>
              </w:rPr>
            </w:pPr>
            <w:r>
              <w:rPr>
                <w:rFonts w:ascii="Arial" w:cs="Arial" w:eastAsia="Arial" w:hAnsi="Arial"/>
                <w:sz w:val="17"/>
                <w:szCs w:val="17"/>
                <w:color w:val="auto"/>
              </w:rPr>
              <w:t>Interest cost</w:t>
            </w:r>
          </w:p>
        </w:tc>
        <w:tc>
          <w:tcPr>
            <w:tcW w:w="840" w:type="dxa"/>
            <w:vAlign w:val="bottom"/>
          </w:tcPr>
          <w:p>
            <w:pPr>
              <w:spacing w:after="0"/>
              <w:rPr>
                <w:sz w:val="16"/>
                <w:szCs w:val="16"/>
                <w:color w:val="auto"/>
              </w:rPr>
            </w:pPr>
          </w:p>
        </w:tc>
        <w:tc>
          <w:tcPr>
            <w:tcW w:w="108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5</w:t>
            </w:r>
          </w:p>
        </w:tc>
        <w:tc>
          <w:tcPr>
            <w:tcW w:w="220" w:type="dxa"/>
            <w:vAlign w:val="bottom"/>
          </w:tcPr>
          <w:p>
            <w:pPr>
              <w:spacing w:after="0"/>
              <w:rPr>
                <w:sz w:val="16"/>
                <w:szCs w:val="16"/>
                <w:color w:val="auto"/>
              </w:rPr>
            </w:pPr>
          </w:p>
        </w:tc>
        <w:tc>
          <w:tcPr>
            <w:tcW w:w="1100" w:type="dxa"/>
            <w:vAlign w:val="bottom"/>
          </w:tcPr>
          <w:p>
            <w:pPr>
              <w:jc w:val="right"/>
              <w:ind w:right="75"/>
              <w:spacing w:after="0" w:line="189" w:lineRule="exact"/>
              <w:rPr>
                <w:sz w:val="20"/>
                <w:szCs w:val="20"/>
                <w:color w:val="auto"/>
              </w:rPr>
            </w:pPr>
            <w:r>
              <w:rPr>
                <w:rFonts w:ascii="Arial" w:cs="Arial" w:eastAsia="Arial" w:hAnsi="Arial"/>
                <w:sz w:val="17"/>
                <w:szCs w:val="17"/>
                <w:color w:val="auto"/>
              </w:rPr>
              <w:t>4</w:t>
            </w:r>
          </w:p>
        </w:tc>
        <w:tc>
          <w:tcPr>
            <w:tcW w:w="220" w:type="dxa"/>
            <w:vAlign w:val="bottom"/>
          </w:tcPr>
          <w:p>
            <w:pPr>
              <w:spacing w:after="0"/>
              <w:rPr>
                <w:sz w:val="16"/>
                <w:szCs w:val="16"/>
                <w:color w:val="auto"/>
              </w:rPr>
            </w:pPr>
          </w:p>
        </w:tc>
        <w:tc>
          <w:tcPr>
            <w:tcW w:w="110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15</w:t>
            </w:r>
          </w:p>
        </w:tc>
        <w:tc>
          <w:tcPr>
            <w:tcW w:w="24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7"/>
                <w:szCs w:val="17"/>
                <w:color w:val="auto"/>
              </w:rPr>
              <w:t>13</w:t>
            </w:r>
          </w:p>
        </w:tc>
        <w:tc>
          <w:tcPr>
            <w:tcW w:w="20" w:type="dxa"/>
            <w:vAlign w:val="bottom"/>
          </w:tcPr>
          <w:p>
            <w:pPr>
              <w:spacing w:after="0"/>
              <w:rPr>
                <w:sz w:val="16"/>
                <w:szCs w:val="16"/>
                <w:color w:val="auto"/>
              </w:rPr>
            </w:pPr>
          </w:p>
        </w:tc>
      </w:tr>
      <w:tr>
        <w:trPr>
          <w:trHeight w:val="189"/>
        </w:trPr>
        <w:tc>
          <w:tcPr>
            <w:tcW w:w="31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Expected return on plan assets</w:t>
            </w:r>
          </w:p>
        </w:tc>
        <w:tc>
          <w:tcPr>
            <w:tcW w:w="8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(8)</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(9)</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(23)</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(26)</w:t>
            </w:r>
          </w:p>
        </w:tc>
        <w:tc>
          <w:tcPr>
            <w:tcW w:w="20" w:type="dxa"/>
            <w:vAlign w:val="bottom"/>
          </w:tcPr>
          <w:p>
            <w:pPr>
              <w:spacing w:after="0"/>
              <w:rPr>
                <w:sz w:val="16"/>
                <w:szCs w:val="16"/>
                <w:color w:val="auto"/>
              </w:rPr>
            </w:pPr>
          </w:p>
        </w:tc>
      </w:tr>
      <w:tr>
        <w:trPr>
          <w:trHeight w:val="189"/>
        </w:trPr>
        <w:tc>
          <w:tcPr>
            <w:tcW w:w="310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Amortization of net loss</w:t>
            </w:r>
          </w:p>
        </w:tc>
        <w:tc>
          <w:tcPr>
            <w:tcW w:w="8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3</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3</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8</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8</w:t>
            </w:r>
          </w:p>
        </w:tc>
        <w:tc>
          <w:tcPr>
            <w:tcW w:w="20" w:type="dxa"/>
            <w:vAlign w:val="bottom"/>
          </w:tcPr>
          <w:p>
            <w:pPr>
              <w:spacing w:after="0"/>
              <w:rPr>
                <w:sz w:val="16"/>
                <w:szCs w:val="16"/>
                <w:color w:val="auto"/>
              </w:rPr>
            </w:pPr>
          </w:p>
        </w:tc>
      </w:tr>
      <w:tr>
        <w:trPr>
          <w:trHeight w:val="183"/>
        </w:trPr>
        <w:tc>
          <w:tcPr>
            <w:tcW w:w="310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Net benefit expense</w:t>
            </w: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4</w:t>
            </w:r>
          </w:p>
        </w:tc>
        <w:tc>
          <w:tcPr>
            <w:tcW w:w="2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2</w:t>
            </w:r>
          </w:p>
        </w:tc>
        <w:tc>
          <w:tcPr>
            <w:tcW w:w="2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11</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7</w:t>
            </w:r>
          </w:p>
        </w:tc>
        <w:tc>
          <w:tcPr>
            <w:tcW w:w="20" w:type="dxa"/>
            <w:vAlign w:val="bottom"/>
          </w:tcPr>
          <w:p>
            <w:pPr>
              <w:spacing w:after="0"/>
              <w:rPr>
                <w:sz w:val="15"/>
                <w:szCs w:val="15"/>
                <w:color w:val="auto"/>
              </w:rPr>
            </w:pPr>
          </w:p>
        </w:tc>
      </w:tr>
      <w:tr>
        <w:trPr>
          <w:trHeight w:val="20"/>
        </w:trPr>
        <w:tc>
          <w:tcPr>
            <w:tcW w:w="3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Share-Based Compensation</w:t>
      </w:r>
    </w:p>
    <w:p>
      <w:pPr>
        <w:spacing w:after="0" w:line="171"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Total compensation expense, included in SG&amp;A, and the associated tax benefits recognized related to our share-based compensation plans, were as follows:</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39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right"/>
              <w:ind w:right="195"/>
              <w:spacing w:after="0"/>
              <w:rPr>
                <w:sz w:val="20"/>
                <w:szCs w:val="20"/>
                <w:color w:val="auto"/>
              </w:rPr>
            </w:pPr>
            <w:r>
              <w:rPr>
                <w:rFonts w:ascii="Arial" w:cs="Arial" w:eastAsia="Arial" w:hAnsi="Arial"/>
                <w:sz w:val="17"/>
                <w:szCs w:val="17"/>
                <w:b w:val="1"/>
                <w:bCs w:val="1"/>
                <w:color w:val="auto"/>
              </w:rPr>
              <w:t>Thirteen weeks ended</w:t>
            </w:r>
          </w:p>
        </w:tc>
        <w:tc>
          <w:tcPr>
            <w:tcW w:w="2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3"/>
          </w:tcPr>
          <w:p>
            <w:pPr>
              <w:jc w:val="right"/>
              <w:ind w:right="135"/>
              <w:spacing w:after="0"/>
              <w:rPr>
                <w:sz w:val="20"/>
                <w:szCs w:val="20"/>
                <w:color w:val="auto"/>
              </w:rPr>
            </w:pPr>
            <w:r>
              <w:rPr>
                <w:rFonts w:ascii="Arial" w:cs="Arial" w:eastAsia="Arial" w:hAnsi="Arial"/>
                <w:sz w:val="17"/>
                <w:szCs w:val="17"/>
                <w:b w:val="1"/>
                <w:bCs w:val="1"/>
                <w:color w:val="auto"/>
              </w:rPr>
              <w:t>Thirty-nine weeks ended</w:t>
            </w:r>
          </w:p>
        </w:tc>
      </w:tr>
      <w:tr>
        <w:trPr>
          <w:trHeight w:val="160"/>
        </w:trPr>
        <w:tc>
          <w:tcPr>
            <w:tcW w:w="3940" w:type="dxa"/>
            <w:vAlign w:val="bottom"/>
          </w:tcPr>
          <w:p>
            <w:pPr>
              <w:spacing w:after="0"/>
              <w:rPr>
                <w:sz w:val="13"/>
                <w:szCs w:val="13"/>
                <w:color w:val="auto"/>
              </w:rPr>
            </w:pPr>
          </w:p>
        </w:tc>
        <w:tc>
          <w:tcPr>
            <w:tcW w:w="1180" w:type="dxa"/>
            <w:vAlign w:val="bottom"/>
            <w:gridSpan w:val="2"/>
          </w:tcPr>
          <w:p>
            <w:pPr>
              <w:jc w:val="right"/>
              <w:spacing w:after="0" w:line="160" w:lineRule="exact"/>
              <w:rPr>
                <w:sz w:val="20"/>
                <w:szCs w:val="20"/>
                <w:color w:val="auto"/>
              </w:rPr>
            </w:pPr>
            <w:r>
              <w:rPr>
                <w:rFonts w:ascii="Arial" w:cs="Arial" w:eastAsia="Arial" w:hAnsi="Arial"/>
                <w:sz w:val="17"/>
                <w:szCs w:val="17"/>
                <w:b w:val="1"/>
                <w:bCs w:val="1"/>
                <w:color w:val="auto"/>
              </w:rPr>
              <w:t>October 29,</w:t>
            </w:r>
          </w:p>
        </w:tc>
        <w:tc>
          <w:tcPr>
            <w:tcW w:w="180" w:type="dxa"/>
            <w:vAlign w:val="bottom"/>
          </w:tcPr>
          <w:p>
            <w:pPr>
              <w:spacing w:after="0"/>
              <w:rPr>
                <w:sz w:val="13"/>
                <w:szCs w:val="13"/>
                <w:color w:val="auto"/>
              </w:rPr>
            </w:pPr>
          </w:p>
        </w:tc>
        <w:tc>
          <w:tcPr>
            <w:tcW w:w="1080" w:type="dxa"/>
            <w:vAlign w:val="bottom"/>
          </w:tcPr>
          <w:p>
            <w:pPr>
              <w:jc w:val="right"/>
              <w:ind w:right="55"/>
              <w:spacing w:after="0" w:line="160" w:lineRule="exact"/>
              <w:rPr>
                <w:sz w:val="20"/>
                <w:szCs w:val="20"/>
                <w:color w:val="auto"/>
              </w:rPr>
            </w:pPr>
            <w:r>
              <w:rPr>
                <w:rFonts w:ascii="Arial" w:cs="Arial" w:eastAsia="Arial" w:hAnsi="Arial"/>
                <w:sz w:val="17"/>
                <w:szCs w:val="17"/>
                <w:b w:val="1"/>
                <w:bCs w:val="1"/>
                <w:color w:val="auto"/>
                <w:w w:val="98"/>
              </w:rPr>
              <w:t>October 30,</w:t>
            </w:r>
          </w:p>
        </w:tc>
        <w:tc>
          <w:tcPr>
            <w:tcW w:w="200" w:type="dxa"/>
            <w:vAlign w:val="bottom"/>
          </w:tcPr>
          <w:p>
            <w:pPr>
              <w:spacing w:after="0"/>
              <w:rPr>
                <w:sz w:val="13"/>
                <w:szCs w:val="13"/>
                <w:color w:val="auto"/>
              </w:rPr>
            </w:pPr>
          </w:p>
        </w:tc>
        <w:tc>
          <w:tcPr>
            <w:tcW w:w="1080" w:type="dxa"/>
            <w:vAlign w:val="bottom"/>
          </w:tcPr>
          <w:p>
            <w:pPr>
              <w:jc w:val="right"/>
              <w:ind w:right="55"/>
              <w:spacing w:after="0" w:line="160" w:lineRule="exact"/>
              <w:rPr>
                <w:sz w:val="20"/>
                <w:szCs w:val="20"/>
                <w:color w:val="auto"/>
              </w:rPr>
            </w:pPr>
            <w:r>
              <w:rPr>
                <w:rFonts w:ascii="Arial" w:cs="Arial" w:eastAsia="Arial" w:hAnsi="Arial"/>
                <w:sz w:val="17"/>
                <w:szCs w:val="17"/>
                <w:b w:val="1"/>
                <w:bCs w:val="1"/>
                <w:color w:val="auto"/>
                <w:w w:val="98"/>
              </w:rPr>
              <w:t>October 29,</w:t>
            </w:r>
          </w:p>
        </w:tc>
        <w:tc>
          <w:tcPr>
            <w:tcW w:w="200" w:type="dxa"/>
            <w:vAlign w:val="bottom"/>
          </w:tcPr>
          <w:p>
            <w:pPr>
              <w:spacing w:after="0"/>
              <w:rPr>
                <w:sz w:val="13"/>
                <w:szCs w:val="13"/>
                <w:color w:val="auto"/>
              </w:rPr>
            </w:pPr>
          </w:p>
        </w:tc>
        <w:tc>
          <w:tcPr>
            <w:tcW w:w="1040" w:type="dxa"/>
            <w:vAlign w:val="bottom"/>
          </w:tcPr>
          <w:p>
            <w:pPr>
              <w:jc w:val="right"/>
              <w:ind w:right="15"/>
              <w:spacing w:after="0" w:line="160" w:lineRule="exact"/>
              <w:rPr>
                <w:sz w:val="20"/>
                <w:szCs w:val="20"/>
                <w:color w:val="auto"/>
              </w:rPr>
            </w:pPr>
            <w:r>
              <w:rPr>
                <w:rFonts w:ascii="Arial" w:cs="Arial" w:eastAsia="Arial" w:hAnsi="Arial"/>
                <w:sz w:val="17"/>
                <w:szCs w:val="17"/>
                <w:b w:val="1"/>
                <w:bCs w:val="1"/>
                <w:color w:val="auto"/>
                <w:w w:val="98"/>
              </w:rPr>
              <w:t>October 30,</w:t>
            </w:r>
          </w:p>
        </w:tc>
      </w:tr>
      <w:tr>
        <w:trPr>
          <w:trHeight w:val="211"/>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2022</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2021</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2022</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2021</w:t>
            </w:r>
          </w:p>
        </w:tc>
      </w:tr>
      <w:tr>
        <w:trPr>
          <w:trHeight w:val="183"/>
        </w:trPr>
        <w:tc>
          <w:tcPr>
            <w:tcW w:w="394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Options and employee stock purchase plan</w:t>
            </w:r>
          </w:p>
        </w:tc>
        <w:tc>
          <w:tcPr>
            <w:tcW w:w="3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8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1</w:t>
            </w:r>
          </w:p>
        </w:tc>
        <w:tc>
          <w:tcPr>
            <w:tcW w:w="1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4</w:t>
            </w:r>
          </w:p>
        </w:tc>
        <w:tc>
          <w:tcPr>
            <w:tcW w:w="2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5</w:t>
            </w:r>
          </w:p>
        </w:tc>
      </w:tr>
      <w:tr>
        <w:trPr>
          <w:trHeight w:val="189"/>
        </w:trPr>
        <w:tc>
          <w:tcPr>
            <w:tcW w:w="394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Restricted stock units and performance stock units</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8</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color w:val="auto"/>
              </w:rPr>
              <w:t>6</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21</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18</w:t>
            </w:r>
          </w:p>
        </w:tc>
      </w:tr>
      <w:tr>
        <w:trPr>
          <w:trHeight w:val="182"/>
        </w:trPr>
        <w:tc>
          <w:tcPr>
            <w:tcW w:w="394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Total share-based compensation expense</w:t>
            </w:r>
          </w:p>
        </w:tc>
        <w:tc>
          <w:tcPr>
            <w:tcW w:w="3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8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9</w:t>
            </w:r>
          </w:p>
        </w:tc>
        <w:tc>
          <w:tcPr>
            <w:tcW w:w="1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7</w:t>
            </w:r>
          </w:p>
        </w:tc>
        <w:tc>
          <w:tcPr>
            <w:tcW w:w="2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25</w:t>
            </w:r>
          </w:p>
        </w:tc>
        <w:tc>
          <w:tcPr>
            <w:tcW w:w="2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23</w:t>
            </w:r>
          </w:p>
        </w:tc>
      </w:tr>
      <w:tr>
        <w:trPr>
          <w:trHeight w:val="20"/>
        </w:trPr>
        <w:tc>
          <w:tcPr>
            <w:tcW w:w="3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70"/>
        </w:trPr>
        <w:tc>
          <w:tcPr>
            <w:tcW w:w="3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9"/>
        </w:trPr>
        <w:tc>
          <w:tcPr>
            <w:tcW w:w="394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Tax benefit recognized</w:t>
            </w:r>
          </w:p>
        </w:tc>
        <w:tc>
          <w:tcPr>
            <w:tcW w:w="3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88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2</w:t>
            </w:r>
          </w:p>
        </w:tc>
        <w:tc>
          <w:tcPr>
            <w:tcW w:w="2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w:t>
            </w:r>
          </w:p>
        </w:tc>
      </w:tr>
    </w:tbl>
    <w:p>
      <w:pPr>
        <w:spacing w:after="0" w:line="19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Valuation Model and Assumptions</w:t>
      </w:r>
    </w:p>
    <w:p>
      <w:pPr>
        <w:spacing w:after="0" w:line="21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use the Black-Scholes option-pricing model to estimate the fair value of options and the stock purchase plan. The Black-Scholes option-pricing model incorporates various and subjective assumptions, including expected term and expected volatility.</w:t>
      </w:r>
    </w:p>
    <w:p>
      <w:pPr>
        <w:spacing w:after="0" w:line="385"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2022 Form 10-Q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154305</wp:posOffset>
            </wp:positionV>
            <wp:extent cx="1834515" cy="2146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0" w:right="819" w:firstLine="767"/>
        <w:spacing w:after="0" w:line="453" w:lineRule="auto"/>
        <w:rPr>
          <w:sz w:val="20"/>
          <w:szCs w:val="20"/>
          <w:color w:val="auto"/>
        </w:rPr>
      </w:pPr>
      <w:r>
        <w:rPr>
          <w:rFonts w:ascii="Arial" w:cs="Arial" w:eastAsia="Arial" w:hAnsi="Arial"/>
          <w:sz w:val="18"/>
          <w:szCs w:val="18"/>
          <w:b w:val="1"/>
          <w:bCs w:val="1"/>
          <w:color w:val="auto"/>
        </w:rPr>
        <w:t>NOTES TO THE UNAUDITED CONDENSED CONSOLIDATED FINANCIAL STATEMENTS 15. Share-Based Compensation (continued)</w:t>
      </w:r>
    </w:p>
    <w:p>
      <w:pPr>
        <w:spacing w:after="0" w:line="2"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The table below shows assumptions used to compute share-based compensation expense for awards granted during the thirty-nine weeks ended October 29, 2022 and October 30, 2021.</w:t>
      </w:r>
    </w:p>
    <w:p>
      <w:pPr>
        <w:spacing w:after="0" w:line="164"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33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3"/>
          </w:tcPr>
          <w:p>
            <w:pPr>
              <w:jc w:val="right"/>
              <w:ind w:right="435"/>
              <w:spacing w:after="0"/>
              <w:rPr>
                <w:sz w:val="20"/>
                <w:szCs w:val="20"/>
                <w:color w:val="auto"/>
              </w:rPr>
            </w:pPr>
            <w:r>
              <w:rPr>
                <w:rFonts w:ascii="Arial" w:cs="Arial" w:eastAsia="Arial" w:hAnsi="Arial"/>
                <w:sz w:val="17"/>
                <w:szCs w:val="17"/>
                <w:b w:val="1"/>
                <w:bCs w:val="1"/>
                <w:color w:val="auto"/>
              </w:rPr>
              <w:t>Stock Option Plans</w:t>
            </w:r>
          </w:p>
        </w:tc>
        <w:tc>
          <w:tcPr>
            <w:tcW w:w="28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3"/>
          </w:tcPr>
          <w:p>
            <w:pPr>
              <w:jc w:val="right"/>
              <w:ind w:right="475"/>
              <w:spacing w:after="0"/>
              <w:rPr>
                <w:sz w:val="20"/>
                <w:szCs w:val="20"/>
                <w:color w:val="auto"/>
              </w:rPr>
            </w:pPr>
            <w:r>
              <w:rPr>
                <w:rFonts w:ascii="Arial" w:cs="Arial" w:eastAsia="Arial" w:hAnsi="Arial"/>
                <w:sz w:val="17"/>
                <w:szCs w:val="17"/>
                <w:b w:val="1"/>
                <w:bCs w:val="1"/>
                <w:color w:val="auto"/>
              </w:rPr>
              <w:t>Stock Purchase Plan</w:t>
            </w:r>
          </w:p>
        </w:tc>
      </w:tr>
      <w:tr>
        <w:trPr>
          <w:trHeight w:val="160"/>
        </w:trPr>
        <w:tc>
          <w:tcPr>
            <w:tcW w:w="3380" w:type="dxa"/>
            <w:vAlign w:val="bottom"/>
          </w:tcPr>
          <w:p>
            <w:pPr>
              <w:spacing w:after="0"/>
              <w:rPr>
                <w:sz w:val="13"/>
                <w:szCs w:val="13"/>
                <w:color w:val="auto"/>
              </w:rPr>
            </w:pPr>
          </w:p>
        </w:tc>
        <w:tc>
          <w:tcPr>
            <w:tcW w:w="1440" w:type="dxa"/>
            <w:vAlign w:val="bottom"/>
            <w:gridSpan w:val="2"/>
          </w:tcPr>
          <w:p>
            <w:pPr>
              <w:jc w:val="right"/>
              <w:ind w:right="175"/>
              <w:spacing w:after="0" w:line="160" w:lineRule="exact"/>
              <w:rPr>
                <w:sz w:val="20"/>
                <w:szCs w:val="20"/>
                <w:color w:val="auto"/>
              </w:rPr>
            </w:pPr>
            <w:r>
              <w:rPr>
                <w:rFonts w:ascii="Arial" w:cs="Arial" w:eastAsia="Arial" w:hAnsi="Arial"/>
                <w:sz w:val="17"/>
                <w:szCs w:val="17"/>
                <w:b w:val="1"/>
                <w:bCs w:val="1"/>
                <w:color w:val="auto"/>
              </w:rPr>
              <w:t>October 29,</w:t>
            </w:r>
          </w:p>
        </w:tc>
        <w:tc>
          <w:tcPr>
            <w:tcW w:w="1320" w:type="dxa"/>
            <w:vAlign w:val="bottom"/>
            <w:gridSpan w:val="2"/>
          </w:tcPr>
          <w:p>
            <w:pPr>
              <w:jc w:val="right"/>
              <w:ind w:right="175"/>
              <w:spacing w:after="0" w:line="160" w:lineRule="exact"/>
              <w:rPr>
                <w:sz w:val="20"/>
                <w:szCs w:val="20"/>
                <w:color w:val="auto"/>
              </w:rPr>
            </w:pPr>
            <w:r>
              <w:rPr>
                <w:rFonts w:ascii="Arial" w:cs="Arial" w:eastAsia="Arial" w:hAnsi="Arial"/>
                <w:sz w:val="17"/>
                <w:szCs w:val="17"/>
                <w:b w:val="1"/>
                <w:bCs w:val="1"/>
                <w:color w:val="auto"/>
              </w:rPr>
              <w:t>October 30,</w:t>
            </w:r>
          </w:p>
        </w:tc>
        <w:tc>
          <w:tcPr>
            <w:tcW w:w="1340" w:type="dxa"/>
            <w:vAlign w:val="bottom"/>
            <w:gridSpan w:val="2"/>
          </w:tcPr>
          <w:p>
            <w:pPr>
              <w:jc w:val="right"/>
              <w:ind w:right="195"/>
              <w:spacing w:after="0" w:line="160" w:lineRule="exact"/>
              <w:rPr>
                <w:sz w:val="20"/>
                <w:szCs w:val="20"/>
                <w:color w:val="auto"/>
              </w:rPr>
            </w:pPr>
            <w:r>
              <w:rPr>
                <w:rFonts w:ascii="Arial" w:cs="Arial" w:eastAsia="Arial" w:hAnsi="Arial"/>
                <w:sz w:val="17"/>
                <w:szCs w:val="17"/>
                <w:b w:val="1"/>
                <w:bCs w:val="1"/>
                <w:color w:val="auto"/>
              </w:rPr>
              <w:t>October 29,</w:t>
            </w:r>
          </w:p>
        </w:tc>
        <w:tc>
          <w:tcPr>
            <w:tcW w:w="1420" w:type="dxa"/>
            <w:vAlign w:val="bottom"/>
            <w:gridSpan w:val="2"/>
          </w:tcPr>
          <w:p>
            <w:pPr>
              <w:jc w:val="right"/>
              <w:ind w:right="275"/>
              <w:spacing w:after="0" w:line="160" w:lineRule="exact"/>
              <w:rPr>
                <w:sz w:val="20"/>
                <w:szCs w:val="20"/>
                <w:color w:val="auto"/>
              </w:rPr>
            </w:pPr>
            <w:r>
              <w:rPr>
                <w:rFonts w:ascii="Arial" w:cs="Arial" w:eastAsia="Arial" w:hAnsi="Arial"/>
                <w:sz w:val="17"/>
                <w:szCs w:val="17"/>
                <w:b w:val="1"/>
                <w:bCs w:val="1"/>
                <w:color w:val="auto"/>
              </w:rPr>
              <w:t>October 30,</w:t>
            </w:r>
          </w:p>
        </w:tc>
      </w:tr>
      <w:tr>
        <w:trPr>
          <w:trHeight w:val="211"/>
        </w:trPr>
        <w:tc>
          <w:tcPr>
            <w:tcW w:w="33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2022</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2021</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2022</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2021</w:t>
            </w:r>
          </w:p>
        </w:tc>
      </w:tr>
      <w:tr>
        <w:trPr>
          <w:trHeight w:val="183"/>
        </w:trPr>
        <w:tc>
          <w:tcPr>
            <w:tcW w:w="33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Weighted-average risk free rate of interest</w:t>
            </w: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1.7 %</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 xml:space="preserve">0.9 </w:t>
            </w:r>
            <w:r>
              <w:rPr>
                <w:rFonts w:ascii="Arial" w:cs="Arial" w:eastAsia="Arial" w:hAnsi="Arial"/>
                <w:sz w:val="17"/>
                <w:szCs w:val="17"/>
                <w:b w:val="1"/>
                <w:bCs w:val="1"/>
                <w:color w:val="auto"/>
              </w:rPr>
              <w:t>%</w:t>
            </w: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0.7 %</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 xml:space="preserve">0.1 </w:t>
            </w:r>
            <w:r>
              <w:rPr>
                <w:rFonts w:ascii="Arial" w:cs="Arial" w:eastAsia="Arial" w:hAnsi="Arial"/>
                <w:sz w:val="17"/>
                <w:szCs w:val="17"/>
                <w:b w:val="1"/>
                <w:bCs w:val="1"/>
                <w:color w:val="auto"/>
              </w:rPr>
              <w:t>%</w:t>
            </w:r>
          </w:p>
        </w:tc>
      </w:tr>
      <w:tr>
        <w:trPr>
          <w:trHeight w:val="189"/>
        </w:trPr>
        <w:tc>
          <w:tcPr>
            <w:tcW w:w="3380" w:type="dxa"/>
            <w:vAlign w:val="bottom"/>
          </w:tcPr>
          <w:p>
            <w:pPr>
              <w:spacing w:after="0" w:line="189" w:lineRule="exact"/>
              <w:rPr>
                <w:sz w:val="20"/>
                <w:szCs w:val="20"/>
                <w:color w:val="auto"/>
              </w:rPr>
            </w:pPr>
            <w:r>
              <w:rPr>
                <w:rFonts w:ascii="Arial" w:cs="Arial" w:eastAsia="Arial" w:hAnsi="Arial"/>
                <w:sz w:val="17"/>
                <w:szCs w:val="17"/>
                <w:color w:val="auto"/>
              </w:rPr>
              <w:t>Expected volatility</w:t>
            </w:r>
          </w:p>
        </w:tc>
        <w:tc>
          <w:tcPr>
            <w:tcW w:w="40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35.0 %</w:t>
            </w:r>
          </w:p>
        </w:tc>
        <w:tc>
          <w:tcPr>
            <w:tcW w:w="26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b w:val="1"/>
                <w:bCs w:val="1"/>
                <w:color w:val="auto"/>
              </w:rPr>
              <w:t>%</w:t>
            </w:r>
          </w:p>
        </w:tc>
        <w:tc>
          <w:tcPr>
            <w:tcW w:w="28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40 %</w:t>
            </w:r>
          </w:p>
        </w:tc>
        <w:tc>
          <w:tcPr>
            <w:tcW w:w="280" w:type="dxa"/>
            <w:vAlign w:val="bottom"/>
          </w:tcPr>
          <w:p>
            <w:pPr>
              <w:spacing w:after="0"/>
              <w:rPr>
                <w:sz w:val="16"/>
                <w:szCs w:val="16"/>
                <w:color w:val="auto"/>
              </w:rPr>
            </w:pPr>
          </w:p>
        </w:tc>
        <w:tc>
          <w:tcPr>
            <w:tcW w:w="1140" w:type="dxa"/>
            <w:vAlign w:val="bottom"/>
          </w:tcPr>
          <w:p>
            <w:pPr>
              <w:jc w:val="right"/>
              <w:ind w:right="35"/>
              <w:spacing w:after="0" w:line="189" w:lineRule="exact"/>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b w:val="1"/>
                <w:bCs w:val="1"/>
                <w:color w:val="auto"/>
              </w:rPr>
              <w:t>%</w:t>
            </w:r>
          </w:p>
        </w:tc>
      </w:tr>
      <w:tr>
        <w:trPr>
          <w:trHeight w:val="167"/>
        </w:trPr>
        <w:tc>
          <w:tcPr>
            <w:tcW w:w="338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Weighted-average expected award life (in</w:t>
            </w:r>
          </w:p>
        </w:tc>
        <w:tc>
          <w:tcPr>
            <w:tcW w:w="4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11"/>
        </w:trPr>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years)</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3.8</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5.5</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1.0</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1.0</w:t>
            </w:r>
          </w:p>
        </w:tc>
      </w:tr>
      <w:tr>
        <w:trPr>
          <w:trHeight w:val="189"/>
        </w:trPr>
        <w:tc>
          <w:tcPr>
            <w:tcW w:w="3380" w:type="dxa"/>
            <w:vAlign w:val="bottom"/>
          </w:tcPr>
          <w:p>
            <w:pPr>
              <w:spacing w:after="0" w:line="189" w:lineRule="exact"/>
              <w:rPr>
                <w:sz w:val="20"/>
                <w:szCs w:val="20"/>
                <w:color w:val="auto"/>
              </w:rPr>
            </w:pPr>
            <w:r>
              <w:rPr>
                <w:rFonts w:ascii="Arial" w:cs="Arial" w:eastAsia="Arial" w:hAnsi="Arial"/>
                <w:sz w:val="17"/>
                <w:szCs w:val="17"/>
                <w:color w:val="auto"/>
              </w:rPr>
              <w:t>Dividend yield</w:t>
            </w:r>
          </w:p>
        </w:tc>
        <w:tc>
          <w:tcPr>
            <w:tcW w:w="40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2.7 %</w:t>
            </w:r>
          </w:p>
        </w:tc>
        <w:tc>
          <w:tcPr>
            <w:tcW w:w="26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b w:val="1"/>
                <w:bCs w:val="1"/>
                <w:color w:val="auto"/>
              </w:rPr>
              <w:t>%</w:t>
            </w:r>
          </w:p>
        </w:tc>
        <w:tc>
          <w:tcPr>
            <w:tcW w:w="28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2.3 %</w:t>
            </w:r>
          </w:p>
        </w:tc>
        <w:tc>
          <w:tcPr>
            <w:tcW w:w="280" w:type="dxa"/>
            <w:vAlign w:val="bottom"/>
          </w:tcPr>
          <w:p>
            <w:pPr>
              <w:spacing w:after="0"/>
              <w:rPr>
                <w:sz w:val="16"/>
                <w:szCs w:val="16"/>
                <w:color w:val="auto"/>
              </w:rPr>
            </w:pPr>
          </w:p>
        </w:tc>
        <w:tc>
          <w:tcPr>
            <w:tcW w:w="1140" w:type="dxa"/>
            <w:vAlign w:val="bottom"/>
          </w:tcPr>
          <w:p>
            <w:pPr>
              <w:jc w:val="right"/>
              <w:ind w:right="35"/>
              <w:spacing w:after="0" w:line="189" w:lineRule="exact"/>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b w:val="1"/>
                <w:bCs w:val="1"/>
                <w:color w:val="auto"/>
              </w:rPr>
              <w:t>%</w:t>
            </w:r>
          </w:p>
        </w:tc>
      </w:tr>
      <w:tr>
        <w:trPr>
          <w:trHeight w:val="189"/>
        </w:trPr>
        <w:tc>
          <w:tcPr>
            <w:tcW w:w="338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Weighted-average fair value</w:t>
            </w:r>
          </w:p>
        </w:tc>
        <w:tc>
          <w:tcPr>
            <w:tcW w:w="40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10.71</w:t>
            </w:r>
          </w:p>
        </w:tc>
        <w:tc>
          <w:tcPr>
            <w:tcW w:w="26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20.22</w:t>
            </w:r>
          </w:p>
        </w:tc>
        <w:tc>
          <w:tcPr>
            <w:tcW w:w="28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20.51</w:t>
            </w:r>
          </w:p>
        </w:tc>
        <w:tc>
          <w:tcPr>
            <w:tcW w:w="28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255"/>
              <w:spacing w:after="0" w:line="189" w:lineRule="exact"/>
              <w:rPr>
                <w:sz w:val="20"/>
                <w:szCs w:val="20"/>
                <w:color w:val="auto"/>
              </w:rPr>
            </w:pPr>
            <w:r>
              <w:rPr>
                <w:rFonts w:ascii="Arial" w:cs="Arial" w:eastAsia="Arial" w:hAnsi="Arial"/>
                <w:sz w:val="17"/>
                <w:szCs w:val="17"/>
                <w:color w:val="auto"/>
              </w:rPr>
              <w:t>8.78</w:t>
            </w:r>
          </w:p>
        </w:tc>
      </w:tr>
    </w:tbl>
    <w:p>
      <w:pPr>
        <w:spacing w:after="0" w:line="18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The information in the table below provides activity under our stock option plans for the thirty-nine weeks ended October 29, 2022.</w:t>
      </w:r>
    </w:p>
    <w:p>
      <w:pPr>
        <w:spacing w:after="0" w:line="157"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5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7"/>
                <w:szCs w:val="17"/>
                <w:b w:val="1"/>
                <w:bCs w:val="1"/>
                <w:color w:val="auto"/>
                <w:w w:val="99"/>
              </w:rPr>
              <w:t>Weighted-</w:t>
            </w:r>
          </w:p>
        </w:tc>
        <w:tc>
          <w:tcPr>
            <w:tcW w:w="300" w:type="dxa"/>
            <w:vAlign w:val="bottom"/>
          </w:tcPr>
          <w:p>
            <w:pPr>
              <w:spacing w:after="0"/>
              <w:rPr>
                <w:sz w:val="16"/>
                <w:szCs w:val="16"/>
                <w:color w:val="auto"/>
              </w:rPr>
            </w:pPr>
          </w:p>
        </w:tc>
        <w:tc>
          <w:tcPr>
            <w:tcW w:w="1200" w:type="dxa"/>
            <w:vAlign w:val="bottom"/>
          </w:tcPr>
          <w:p>
            <w:pPr>
              <w:jc w:val="center"/>
              <w:ind w:right="95"/>
              <w:spacing w:after="0"/>
              <w:rPr>
                <w:sz w:val="20"/>
                <w:szCs w:val="20"/>
                <w:color w:val="auto"/>
              </w:rPr>
            </w:pPr>
            <w:r>
              <w:rPr>
                <w:rFonts w:ascii="Arial" w:cs="Arial" w:eastAsia="Arial" w:hAnsi="Arial"/>
                <w:sz w:val="17"/>
                <w:szCs w:val="17"/>
                <w:b w:val="1"/>
                <w:bCs w:val="1"/>
                <w:color w:val="auto"/>
                <w:w w:val="99"/>
              </w:rPr>
              <w:t>Weighted-</w:t>
            </w:r>
          </w:p>
        </w:tc>
      </w:tr>
      <w:tr>
        <w:trPr>
          <w:trHeight w:val="189"/>
        </w:trPr>
        <w:tc>
          <w:tcPr>
            <w:tcW w:w="5860" w:type="dxa"/>
            <w:vAlign w:val="bottom"/>
            <w:gridSpan w:val="2"/>
          </w:tcPr>
          <w:p>
            <w:pPr>
              <w:jc w:val="center"/>
              <w:ind w:left="4415"/>
              <w:spacing w:after="0" w:line="189" w:lineRule="exact"/>
              <w:rPr>
                <w:sz w:val="20"/>
                <w:szCs w:val="20"/>
                <w:color w:val="auto"/>
              </w:rPr>
            </w:pPr>
            <w:r>
              <w:rPr>
                <w:rFonts w:ascii="Arial" w:cs="Arial" w:eastAsia="Arial" w:hAnsi="Arial"/>
                <w:sz w:val="17"/>
                <w:szCs w:val="17"/>
                <w:b w:val="1"/>
                <w:bCs w:val="1"/>
                <w:color w:val="auto"/>
                <w:w w:val="99"/>
              </w:rPr>
              <w:t>Number</w:t>
            </w:r>
          </w:p>
        </w:tc>
        <w:tc>
          <w:tcPr>
            <w:tcW w:w="15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Average</w:t>
            </w:r>
          </w:p>
        </w:tc>
        <w:tc>
          <w:tcPr>
            <w:tcW w:w="300" w:type="dxa"/>
            <w:vAlign w:val="bottom"/>
          </w:tcPr>
          <w:p>
            <w:pPr>
              <w:spacing w:after="0"/>
              <w:rPr>
                <w:sz w:val="16"/>
                <w:szCs w:val="16"/>
                <w:color w:val="auto"/>
              </w:rPr>
            </w:pPr>
          </w:p>
        </w:tc>
        <w:tc>
          <w:tcPr>
            <w:tcW w:w="1200" w:type="dxa"/>
            <w:vAlign w:val="bottom"/>
          </w:tcPr>
          <w:p>
            <w:pPr>
              <w:jc w:val="center"/>
              <w:ind w:right="95"/>
              <w:spacing w:after="0" w:line="189" w:lineRule="exact"/>
              <w:rPr>
                <w:sz w:val="20"/>
                <w:szCs w:val="20"/>
                <w:color w:val="auto"/>
              </w:rPr>
            </w:pPr>
            <w:r>
              <w:rPr>
                <w:rFonts w:ascii="Arial" w:cs="Arial" w:eastAsia="Arial" w:hAnsi="Arial"/>
                <w:sz w:val="17"/>
                <w:szCs w:val="17"/>
                <w:b w:val="1"/>
                <w:bCs w:val="1"/>
                <w:color w:val="auto"/>
                <w:w w:val="98"/>
              </w:rPr>
              <w:t>Average</w:t>
            </w:r>
          </w:p>
        </w:tc>
      </w:tr>
      <w:tr>
        <w:trPr>
          <w:trHeight w:val="189"/>
        </w:trPr>
        <w:tc>
          <w:tcPr>
            <w:tcW w:w="5260" w:type="dxa"/>
            <w:vAlign w:val="bottom"/>
          </w:tcPr>
          <w:p>
            <w:pPr>
              <w:jc w:val="center"/>
              <w:ind w:left="5015"/>
              <w:spacing w:after="0" w:line="189" w:lineRule="exact"/>
              <w:rPr>
                <w:sz w:val="20"/>
                <w:szCs w:val="20"/>
                <w:color w:val="auto"/>
              </w:rPr>
            </w:pPr>
            <w:r>
              <w:rPr>
                <w:rFonts w:ascii="Arial" w:cs="Arial" w:eastAsia="Arial" w:hAnsi="Arial"/>
                <w:sz w:val="17"/>
                <w:szCs w:val="17"/>
                <w:b w:val="1"/>
                <w:bCs w:val="1"/>
                <w:color w:val="auto"/>
                <w:w w:val="99"/>
              </w:rPr>
              <w:t>of</w:t>
            </w:r>
          </w:p>
        </w:tc>
        <w:tc>
          <w:tcPr>
            <w:tcW w:w="600" w:type="dxa"/>
            <w:vAlign w:val="bottom"/>
          </w:tcPr>
          <w:p>
            <w:pPr>
              <w:spacing w:after="0"/>
              <w:rPr>
                <w:sz w:val="16"/>
                <w:szCs w:val="16"/>
                <w:color w:val="auto"/>
              </w:rPr>
            </w:pPr>
          </w:p>
        </w:tc>
        <w:tc>
          <w:tcPr>
            <w:tcW w:w="15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Remaining</w:t>
            </w:r>
          </w:p>
        </w:tc>
        <w:tc>
          <w:tcPr>
            <w:tcW w:w="300" w:type="dxa"/>
            <w:vAlign w:val="bottom"/>
          </w:tcPr>
          <w:p>
            <w:pPr>
              <w:spacing w:after="0"/>
              <w:rPr>
                <w:sz w:val="16"/>
                <w:szCs w:val="16"/>
                <w:color w:val="auto"/>
              </w:rPr>
            </w:pPr>
          </w:p>
        </w:tc>
        <w:tc>
          <w:tcPr>
            <w:tcW w:w="1200" w:type="dxa"/>
            <w:vAlign w:val="bottom"/>
          </w:tcPr>
          <w:p>
            <w:pPr>
              <w:jc w:val="center"/>
              <w:ind w:right="95"/>
              <w:spacing w:after="0" w:line="189" w:lineRule="exact"/>
              <w:rPr>
                <w:sz w:val="20"/>
                <w:szCs w:val="20"/>
                <w:color w:val="auto"/>
              </w:rPr>
            </w:pPr>
            <w:r>
              <w:rPr>
                <w:rFonts w:ascii="Arial" w:cs="Arial" w:eastAsia="Arial" w:hAnsi="Arial"/>
                <w:sz w:val="17"/>
                <w:szCs w:val="17"/>
                <w:b w:val="1"/>
                <w:bCs w:val="1"/>
                <w:color w:val="auto"/>
              </w:rPr>
              <w:t>Exercise</w:t>
            </w:r>
          </w:p>
        </w:tc>
      </w:tr>
      <w:tr>
        <w:trPr>
          <w:trHeight w:val="211"/>
        </w:trPr>
        <w:tc>
          <w:tcPr>
            <w:tcW w:w="5860" w:type="dxa"/>
            <w:vAlign w:val="bottom"/>
            <w:tcBorders>
              <w:bottom w:val="single" w:sz="8" w:color="auto"/>
            </w:tcBorders>
            <w:gridSpan w:val="2"/>
          </w:tcPr>
          <w:p>
            <w:pPr>
              <w:jc w:val="center"/>
              <w:ind w:left="4415"/>
              <w:spacing w:after="0"/>
              <w:rPr>
                <w:sz w:val="20"/>
                <w:szCs w:val="20"/>
                <w:color w:val="auto"/>
              </w:rPr>
            </w:pPr>
            <w:r>
              <w:rPr>
                <w:rFonts w:ascii="Arial" w:cs="Arial" w:eastAsia="Arial" w:hAnsi="Arial"/>
                <w:sz w:val="17"/>
                <w:szCs w:val="17"/>
                <w:b w:val="1"/>
                <w:bCs w:val="1"/>
                <w:color w:val="auto"/>
                <w:w w:val="98"/>
              </w:rPr>
              <w:t>Shares</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Contractual Life</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b w:val="1"/>
                <w:bCs w:val="1"/>
                <w:color w:val="auto"/>
              </w:rPr>
              <w:t>Price</w:t>
            </w:r>
          </w:p>
        </w:tc>
      </w:tr>
      <w:tr>
        <w:trPr>
          <w:trHeight w:val="183"/>
        </w:trPr>
        <w:tc>
          <w:tcPr>
            <w:tcW w:w="5860" w:type="dxa"/>
            <w:vAlign w:val="bottom"/>
            <w:gridSpan w:val="2"/>
          </w:tcPr>
          <w:p>
            <w:pPr>
              <w:jc w:val="center"/>
              <w:ind w:left="4415"/>
              <w:spacing w:after="0" w:line="183" w:lineRule="exact"/>
              <w:rPr>
                <w:sz w:val="20"/>
                <w:szCs w:val="20"/>
                <w:color w:val="auto"/>
              </w:rPr>
            </w:pPr>
            <w:r>
              <w:rPr>
                <w:rFonts w:ascii="Arial" w:cs="Arial" w:eastAsia="Arial" w:hAnsi="Arial"/>
                <w:sz w:val="17"/>
                <w:szCs w:val="17"/>
                <w:color w:val="auto"/>
              </w:rPr>
              <w:t>(in thousands)</w:t>
            </w:r>
          </w:p>
        </w:tc>
        <w:tc>
          <w:tcPr>
            <w:tcW w:w="1540" w:type="dxa"/>
            <w:vAlign w:val="bottom"/>
          </w:tcPr>
          <w:p>
            <w:pPr>
              <w:jc w:val="center"/>
              <w:spacing w:after="0" w:line="183" w:lineRule="exact"/>
              <w:rPr>
                <w:sz w:val="20"/>
                <w:szCs w:val="20"/>
                <w:color w:val="auto"/>
              </w:rPr>
            </w:pPr>
            <w:r>
              <w:rPr>
                <w:rFonts w:ascii="Arial" w:cs="Arial" w:eastAsia="Arial" w:hAnsi="Arial"/>
                <w:sz w:val="17"/>
                <w:szCs w:val="17"/>
                <w:color w:val="auto"/>
              </w:rPr>
              <w:t>(in years)</w:t>
            </w:r>
          </w:p>
        </w:tc>
        <w:tc>
          <w:tcPr>
            <w:tcW w:w="300" w:type="dxa"/>
            <w:vAlign w:val="bottom"/>
          </w:tcPr>
          <w:p>
            <w:pPr>
              <w:spacing w:after="0"/>
              <w:rPr>
                <w:sz w:val="15"/>
                <w:szCs w:val="15"/>
                <w:color w:val="auto"/>
              </w:rPr>
            </w:pPr>
          </w:p>
        </w:tc>
        <w:tc>
          <w:tcPr>
            <w:tcW w:w="1200" w:type="dxa"/>
            <w:vAlign w:val="bottom"/>
          </w:tcPr>
          <w:p>
            <w:pPr>
              <w:jc w:val="center"/>
              <w:ind w:right="95"/>
              <w:spacing w:after="0" w:line="183" w:lineRule="exact"/>
              <w:rPr>
                <w:sz w:val="20"/>
                <w:szCs w:val="20"/>
                <w:color w:val="auto"/>
              </w:rPr>
            </w:pPr>
            <w:r>
              <w:rPr>
                <w:rFonts w:ascii="Arial" w:cs="Arial" w:eastAsia="Arial" w:hAnsi="Arial"/>
                <w:sz w:val="17"/>
                <w:szCs w:val="17"/>
                <w:color w:val="auto"/>
                <w:w w:val="98"/>
              </w:rPr>
              <w:t>(per share)</w:t>
            </w:r>
          </w:p>
        </w:tc>
      </w:tr>
      <w:tr>
        <w:trPr>
          <w:trHeight w:val="189"/>
        </w:trPr>
        <w:tc>
          <w:tcPr>
            <w:tcW w:w="5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Options outstanding at the beginning of the year</w:t>
            </w:r>
          </w:p>
        </w:tc>
        <w:tc>
          <w:tcPr>
            <w:tcW w:w="6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w w:val="98"/>
              </w:rPr>
              <w:t>3,211</w:t>
            </w:r>
          </w:p>
        </w:tc>
        <w:tc>
          <w:tcPr>
            <w:tcW w:w="154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48.84</w:t>
            </w:r>
          </w:p>
        </w:tc>
      </w:tr>
      <w:tr>
        <w:trPr>
          <w:trHeight w:val="189"/>
        </w:trPr>
        <w:tc>
          <w:tcPr>
            <w:tcW w:w="5260" w:type="dxa"/>
            <w:vAlign w:val="bottom"/>
          </w:tcPr>
          <w:p>
            <w:pPr>
              <w:spacing w:after="0" w:line="189" w:lineRule="exact"/>
              <w:rPr>
                <w:sz w:val="20"/>
                <w:szCs w:val="20"/>
                <w:color w:val="auto"/>
              </w:rPr>
            </w:pPr>
            <w:r>
              <w:rPr>
                <w:rFonts w:ascii="Arial" w:cs="Arial" w:eastAsia="Arial" w:hAnsi="Arial"/>
                <w:sz w:val="17"/>
                <w:szCs w:val="17"/>
                <w:color w:val="auto"/>
              </w:rPr>
              <w:t>Granted</w:t>
            </w:r>
          </w:p>
        </w:tc>
        <w:tc>
          <w:tcPr>
            <w:tcW w:w="600" w:type="dxa"/>
            <w:vAlign w:val="bottom"/>
          </w:tcPr>
          <w:p>
            <w:pPr>
              <w:jc w:val="right"/>
              <w:ind w:right="75"/>
              <w:spacing w:after="0" w:line="189" w:lineRule="exact"/>
              <w:rPr>
                <w:sz w:val="20"/>
                <w:szCs w:val="20"/>
                <w:color w:val="auto"/>
              </w:rPr>
            </w:pPr>
            <w:r>
              <w:rPr>
                <w:rFonts w:ascii="Arial" w:cs="Arial" w:eastAsia="Arial" w:hAnsi="Arial"/>
                <w:sz w:val="17"/>
                <w:szCs w:val="17"/>
                <w:color w:val="auto"/>
              </w:rPr>
              <w:t>576</w:t>
            </w:r>
          </w:p>
        </w:tc>
        <w:tc>
          <w:tcPr>
            <w:tcW w:w="1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31.53</w:t>
            </w:r>
          </w:p>
        </w:tc>
      </w:tr>
      <w:tr>
        <w:trPr>
          <w:trHeight w:val="189"/>
        </w:trPr>
        <w:tc>
          <w:tcPr>
            <w:tcW w:w="5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Exercised</w:t>
            </w:r>
          </w:p>
        </w:tc>
        <w:tc>
          <w:tcPr>
            <w:tcW w:w="60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(134)</w:t>
            </w:r>
          </w:p>
        </w:tc>
        <w:tc>
          <w:tcPr>
            <w:tcW w:w="15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25.99</w:t>
            </w:r>
          </w:p>
        </w:tc>
      </w:tr>
      <w:tr>
        <w:trPr>
          <w:trHeight w:val="189"/>
        </w:trPr>
        <w:tc>
          <w:tcPr>
            <w:tcW w:w="52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Expired or cancelled</w:t>
            </w:r>
          </w:p>
        </w:tc>
        <w:tc>
          <w:tcPr>
            <w:tcW w:w="60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(282)</w:t>
            </w:r>
          </w:p>
        </w:tc>
        <w:tc>
          <w:tcPr>
            <w:tcW w:w="15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42.62</w:t>
            </w:r>
          </w:p>
        </w:tc>
      </w:tr>
      <w:tr>
        <w:trPr>
          <w:trHeight w:val="183"/>
        </w:trPr>
        <w:tc>
          <w:tcPr>
            <w:tcW w:w="52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Options outstanding at October 29, 2022</w:t>
            </w:r>
          </w:p>
        </w:tc>
        <w:tc>
          <w:tcPr>
            <w:tcW w:w="6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w w:val="98"/>
              </w:rPr>
              <w:t>3,371</w:t>
            </w:r>
          </w:p>
        </w:tc>
        <w:tc>
          <w:tcPr>
            <w:tcW w:w="154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4.8</w:t>
            </w:r>
          </w:p>
        </w:tc>
        <w:tc>
          <w:tcPr>
            <w:tcW w:w="3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47.31</w:t>
            </w:r>
          </w:p>
        </w:tc>
      </w:tr>
      <w:tr>
        <w:trPr>
          <w:trHeight w:val="189"/>
        </w:trPr>
        <w:tc>
          <w:tcPr>
            <w:tcW w:w="52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Options exercisable at October 29, 2022</w:t>
            </w:r>
          </w:p>
        </w:tc>
        <w:tc>
          <w:tcPr>
            <w:tcW w:w="6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w w:val="98"/>
              </w:rPr>
              <w:t>2,610</w:t>
            </w:r>
          </w:p>
        </w:tc>
        <w:tc>
          <w:tcPr>
            <w:tcW w:w="15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3.6</w:t>
            </w:r>
          </w:p>
        </w:tc>
        <w:tc>
          <w:tcPr>
            <w:tcW w:w="3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51.82</w:t>
            </w:r>
          </w:p>
        </w:tc>
      </w:tr>
      <w:tr>
        <w:trPr>
          <w:trHeight w:val="160"/>
        </w:trPr>
        <w:tc>
          <w:tcPr>
            <w:tcW w:w="5260" w:type="dxa"/>
            <w:vAlign w:val="bottom"/>
            <w:shd w:val="clear" w:color="auto" w:fill="CCEEFF"/>
          </w:tcPr>
          <w:p>
            <w:pPr>
              <w:spacing w:after="0" w:line="160" w:lineRule="exact"/>
              <w:rPr>
                <w:sz w:val="20"/>
                <w:szCs w:val="20"/>
                <w:color w:val="auto"/>
              </w:rPr>
            </w:pPr>
            <w:r>
              <w:rPr>
                <w:rFonts w:ascii="Arial" w:cs="Arial" w:eastAsia="Arial" w:hAnsi="Arial"/>
                <w:sz w:val="17"/>
                <w:szCs w:val="17"/>
                <w:color w:val="auto"/>
              </w:rPr>
              <w:t>Shares available for future grant at October 29, 2022</w:t>
            </w:r>
          </w:p>
        </w:tc>
        <w:tc>
          <w:tcPr>
            <w:tcW w:w="6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211"/>
        </w:trPr>
        <w:tc>
          <w:tcPr>
            <w:tcW w:w="5260" w:type="dxa"/>
            <w:vAlign w:val="bottom"/>
            <w:shd w:val="clear" w:color="auto" w:fill="CCEEFF"/>
          </w:tcPr>
          <w:p>
            <w:pPr>
              <w:spacing w:after="0"/>
              <w:rPr>
                <w:sz w:val="20"/>
                <w:szCs w:val="20"/>
                <w:color w:val="auto"/>
              </w:rPr>
            </w:pPr>
            <w:r>
              <w:rPr>
                <w:rFonts w:ascii="Arial" w:cs="Arial" w:eastAsia="Arial" w:hAnsi="Arial"/>
                <w:sz w:val="17"/>
                <w:szCs w:val="17"/>
                <w:color w:val="auto"/>
              </w:rPr>
              <w:t>under the 2007 Stock Incentive Plan</w:t>
            </w:r>
          </w:p>
        </w:tc>
        <w:tc>
          <w:tcPr>
            <w:tcW w:w="6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98"/>
              </w:rPr>
              <w:t>2,822</w:t>
            </w:r>
          </w:p>
        </w:tc>
        <w:tc>
          <w:tcPr>
            <w:tcW w:w="1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167"/>
        </w:trPr>
        <w:tc>
          <w:tcPr>
            <w:tcW w:w="5260" w:type="dxa"/>
            <w:vAlign w:val="bottom"/>
          </w:tcPr>
          <w:p>
            <w:pPr>
              <w:spacing w:after="0" w:line="167" w:lineRule="exact"/>
              <w:rPr>
                <w:sz w:val="20"/>
                <w:szCs w:val="20"/>
                <w:color w:val="auto"/>
              </w:rPr>
            </w:pPr>
            <w:r>
              <w:rPr>
                <w:rFonts w:ascii="Arial" w:cs="Arial" w:eastAsia="Arial" w:hAnsi="Arial"/>
                <w:sz w:val="17"/>
                <w:szCs w:val="17"/>
                <w:color w:val="auto"/>
              </w:rPr>
              <w:t>Shares available for future grant at October 29, 2022</w:t>
            </w: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11"/>
        </w:trPr>
        <w:tc>
          <w:tcPr>
            <w:tcW w:w="5260" w:type="dxa"/>
            <w:vAlign w:val="bottom"/>
            <w:tcBorders>
              <w:bottom w:val="single" w:sz="8" w:color="auto"/>
            </w:tcBorders>
          </w:tcPr>
          <w:p>
            <w:pPr>
              <w:spacing w:after="0" w:line="211" w:lineRule="exact"/>
              <w:rPr>
                <w:sz w:val="20"/>
                <w:szCs w:val="20"/>
                <w:color w:val="auto"/>
              </w:rPr>
            </w:pPr>
            <w:r>
              <w:rPr>
                <w:rFonts w:ascii="Arial" w:cs="Arial" w:eastAsia="Arial" w:hAnsi="Arial"/>
                <w:sz w:val="16"/>
                <w:szCs w:val="16"/>
                <w:color w:val="auto"/>
              </w:rPr>
              <w:t xml:space="preserve">under the employment inducement award plan </w:t>
            </w:r>
            <w:r>
              <w:rPr>
                <w:rFonts w:ascii="Arial" w:cs="Arial" w:eastAsia="Arial" w:hAnsi="Arial"/>
                <w:sz w:val="24"/>
                <w:szCs w:val="24"/>
                <w:color w:val="auto"/>
                <w:vertAlign w:val="superscript"/>
              </w:rPr>
              <w:t>(1)</w:t>
            </w:r>
          </w:p>
        </w:tc>
        <w:tc>
          <w:tcPr>
            <w:tcW w:w="6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546</w:t>
            </w:r>
          </w:p>
        </w:tc>
        <w:tc>
          <w:tcPr>
            <w:tcW w:w="15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bl>
    <w:p>
      <w:pPr>
        <w:spacing w:after="0" w:line="90" w:lineRule="exact"/>
        <w:rPr>
          <w:sz w:val="20"/>
          <w:szCs w:val="20"/>
          <w:color w:val="auto"/>
        </w:rPr>
      </w:pPr>
    </w:p>
    <w:p>
      <w:pPr>
        <w:jc w:val="both"/>
        <w:ind w:left="380" w:right="79" w:hanging="330"/>
        <w:spacing w:after="0" w:line="229" w:lineRule="auto"/>
        <w:tabs>
          <w:tab w:leader="none" w:pos="380" w:val="left"/>
        </w:tabs>
        <w:numPr>
          <w:ilvl w:val="0"/>
          <w:numId w:val="8"/>
        </w:numPr>
        <w:rPr>
          <w:rFonts w:ascii="Arial" w:cs="Arial" w:eastAsia="Arial" w:hAnsi="Arial"/>
          <w:sz w:val="13"/>
          <w:szCs w:val="13"/>
          <w:color w:val="auto"/>
        </w:rPr>
      </w:pPr>
      <w:r>
        <w:rPr>
          <w:rFonts w:ascii="Arial" w:cs="Arial" w:eastAsia="Arial" w:hAnsi="Arial"/>
          <w:sz w:val="13"/>
          <w:szCs w:val="13"/>
          <w:color w:val="auto"/>
        </w:rPr>
        <w:t>On August 24, 2022, the Company granted options and other awards to its new President and Chief Executive Officer, Mary N. Dillon. These awards were granted outside of the 2007 Stock Incentive Plan as employment inducement awards and do not require shareholder approval under the rules of the New York Stock Exchange or otherwise. Shares available for future grant under this plan are reserved for the sole purpose to issue shares pursuant to her employment inducement awards.</w:t>
      </w:r>
    </w:p>
    <w:p>
      <w:pPr>
        <w:spacing w:after="0" w:line="18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total fair value of options vested October 29, 2022 and October 30, 2021 was $ 4 million for both periods. The cash received from option exercises during the thirteen and thirty-nine weeks ended October 29, 2022 were $1 million and $4 million, respectively. The related tax benefits realized from option exercises during the thirteen and thirty-nine weeks ended October 29, 2022 were not significant. The cash received from option exercises during the thirteen and thirty-nine weeks ended October 30, 2021 were not significant and $10 million, respectively. The related tax benefits realized from option exercises during the thirteen and thirty-nine weeks ended October 30, 2021 were not significant and $2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Third Quarter 2022 Form 10-Q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154305</wp:posOffset>
            </wp:positionV>
            <wp:extent cx="1834515" cy="2146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0" w:right="819" w:firstLine="767"/>
        <w:spacing w:after="0" w:line="453" w:lineRule="auto"/>
        <w:rPr>
          <w:sz w:val="20"/>
          <w:szCs w:val="20"/>
          <w:color w:val="auto"/>
        </w:rPr>
      </w:pPr>
      <w:r>
        <w:rPr>
          <w:rFonts w:ascii="Arial" w:cs="Arial" w:eastAsia="Arial" w:hAnsi="Arial"/>
          <w:sz w:val="18"/>
          <w:szCs w:val="18"/>
          <w:b w:val="1"/>
          <w:bCs w:val="1"/>
          <w:color w:val="auto"/>
        </w:rPr>
        <w:t>NOTES TO THE UNAUDITED CONDENSED CONSOLIDATED FINANCIAL STATEMENTS 15. Share-Based Compensation (continued)</w:t>
      </w:r>
    </w:p>
    <w:p>
      <w:pPr>
        <w:spacing w:after="0" w:line="2"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The total intrinsic value of options exercised (the difference between the market price of our common stock on the exercise date and the price paid by the optionee to exercise the option) is presented below:</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2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2"/>
          </w:tcPr>
          <w:p>
            <w:pPr>
              <w:ind w:left="260"/>
              <w:spacing w:after="0"/>
              <w:rPr>
                <w:sz w:val="20"/>
                <w:szCs w:val="20"/>
                <w:color w:val="auto"/>
              </w:rPr>
            </w:pPr>
            <w:r>
              <w:rPr>
                <w:rFonts w:ascii="Arial" w:cs="Arial" w:eastAsia="Arial" w:hAnsi="Arial"/>
                <w:sz w:val="17"/>
                <w:szCs w:val="17"/>
                <w:b w:val="1"/>
                <w:bCs w:val="1"/>
                <w:color w:val="auto"/>
              </w:rPr>
              <w:t>Thirteen weeks ended</w:t>
            </w:r>
          </w:p>
        </w:tc>
        <w:tc>
          <w:tcPr>
            <w:tcW w:w="2400" w:type="dxa"/>
            <w:vAlign w:val="bottom"/>
            <w:tcBorders>
              <w:bottom w:val="single" w:sz="8" w:color="auto"/>
            </w:tcBorders>
            <w:gridSpan w:val="3"/>
          </w:tcPr>
          <w:p>
            <w:pPr>
              <w:jc w:val="right"/>
              <w:ind w:right="175"/>
              <w:spacing w:after="0"/>
              <w:rPr>
                <w:sz w:val="20"/>
                <w:szCs w:val="20"/>
                <w:color w:val="auto"/>
              </w:rPr>
            </w:pPr>
            <w:r>
              <w:rPr>
                <w:rFonts w:ascii="Arial" w:cs="Arial" w:eastAsia="Arial" w:hAnsi="Arial"/>
                <w:sz w:val="17"/>
                <w:szCs w:val="17"/>
                <w:b w:val="1"/>
                <w:bCs w:val="1"/>
                <w:color w:val="auto"/>
              </w:rPr>
              <w:t>Thirty-nine weeks ended</w:t>
            </w:r>
          </w:p>
        </w:tc>
      </w:tr>
      <w:tr>
        <w:trPr>
          <w:trHeight w:val="160"/>
        </w:trPr>
        <w:tc>
          <w:tcPr>
            <w:tcW w:w="23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40" w:type="dxa"/>
            <w:vAlign w:val="bottom"/>
          </w:tcPr>
          <w:p>
            <w:pPr>
              <w:jc w:val="center"/>
              <w:ind w:right="315"/>
              <w:spacing w:after="0" w:line="160" w:lineRule="exact"/>
              <w:rPr>
                <w:sz w:val="20"/>
                <w:szCs w:val="20"/>
                <w:color w:val="auto"/>
              </w:rPr>
            </w:pPr>
            <w:r>
              <w:rPr>
                <w:rFonts w:ascii="Arial" w:cs="Arial" w:eastAsia="Arial" w:hAnsi="Arial"/>
                <w:sz w:val="17"/>
                <w:szCs w:val="17"/>
                <w:b w:val="1"/>
                <w:bCs w:val="1"/>
                <w:color w:val="auto"/>
              </w:rPr>
              <w:t>October 29,</w:t>
            </w:r>
          </w:p>
        </w:tc>
        <w:tc>
          <w:tcPr>
            <w:tcW w:w="1360" w:type="dxa"/>
            <w:vAlign w:val="bottom"/>
          </w:tcPr>
          <w:p>
            <w:pPr>
              <w:jc w:val="center"/>
              <w:ind w:right="335"/>
              <w:spacing w:after="0" w:line="160" w:lineRule="exact"/>
              <w:rPr>
                <w:sz w:val="20"/>
                <w:szCs w:val="20"/>
                <w:color w:val="auto"/>
              </w:rPr>
            </w:pPr>
            <w:r>
              <w:rPr>
                <w:rFonts w:ascii="Arial" w:cs="Arial" w:eastAsia="Arial" w:hAnsi="Arial"/>
                <w:sz w:val="17"/>
                <w:szCs w:val="17"/>
                <w:b w:val="1"/>
                <w:bCs w:val="1"/>
                <w:color w:val="auto"/>
              </w:rPr>
              <w:t>October 30,</w:t>
            </w:r>
          </w:p>
        </w:tc>
        <w:tc>
          <w:tcPr>
            <w:tcW w:w="1120" w:type="dxa"/>
            <w:vAlign w:val="bottom"/>
          </w:tcPr>
          <w:p>
            <w:pPr>
              <w:jc w:val="center"/>
              <w:ind w:right="95"/>
              <w:spacing w:after="0" w:line="160" w:lineRule="exact"/>
              <w:rPr>
                <w:sz w:val="20"/>
                <w:szCs w:val="20"/>
                <w:color w:val="auto"/>
              </w:rPr>
            </w:pPr>
            <w:r>
              <w:rPr>
                <w:rFonts w:ascii="Arial" w:cs="Arial" w:eastAsia="Arial" w:hAnsi="Arial"/>
                <w:sz w:val="17"/>
                <w:szCs w:val="17"/>
                <w:b w:val="1"/>
                <w:bCs w:val="1"/>
                <w:color w:val="auto"/>
              </w:rPr>
              <w:t>October 29,</w:t>
            </w:r>
          </w:p>
        </w:tc>
        <w:tc>
          <w:tcPr>
            <w:tcW w:w="220" w:type="dxa"/>
            <w:vAlign w:val="bottom"/>
          </w:tcPr>
          <w:p>
            <w:pPr>
              <w:spacing w:after="0"/>
              <w:rPr>
                <w:sz w:val="13"/>
                <w:szCs w:val="13"/>
                <w:color w:val="auto"/>
              </w:rPr>
            </w:pPr>
          </w:p>
        </w:tc>
        <w:tc>
          <w:tcPr>
            <w:tcW w:w="1060" w:type="dxa"/>
            <w:vAlign w:val="bottom"/>
          </w:tcPr>
          <w:p>
            <w:pPr>
              <w:jc w:val="center"/>
              <w:spacing w:after="0" w:line="160" w:lineRule="exact"/>
              <w:rPr>
                <w:sz w:val="20"/>
                <w:szCs w:val="20"/>
                <w:color w:val="auto"/>
              </w:rPr>
            </w:pPr>
            <w:r>
              <w:rPr>
                <w:rFonts w:ascii="Arial" w:cs="Arial" w:eastAsia="Arial" w:hAnsi="Arial"/>
                <w:sz w:val="17"/>
                <w:szCs w:val="17"/>
                <w:b w:val="1"/>
                <w:bCs w:val="1"/>
                <w:color w:val="auto"/>
              </w:rPr>
              <w:t>October 30,</w:t>
            </w:r>
          </w:p>
        </w:tc>
      </w:tr>
      <w:tr>
        <w:trPr>
          <w:trHeight w:val="211"/>
        </w:trPr>
        <w:tc>
          <w:tcPr>
            <w:tcW w:w="23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1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5"/>
              <w:spacing w:after="0"/>
              <w:rPr>
                <w:sz w:val="20"/>
                <w:szCs w:val="20"/>
                <w:color w:val="auto"/>
              </w:rPr>
            </w:pPr>
            <w:r>
              <w:rPr>
                <w:rFonts w:ascii="Arial" w:cs="Arial" w:eastAsia="Arial" w:hAnsi="Arial"/>
                <w:sz w:val="17"/>
                <w:szCs w:val="17"/>
                <w:b w:val="1"/>
                <w:bCs w:val="1"/>
                <w:color w:val="auto"/>
              </w:rPr>
              <w:t>2022</w:t>
            </w:r>
          </w:p>
        </w:tc>
        <w:tc>
          <w:tcPr>
            <w:tcW w:w="1360" w:type="dxa"/>
            <w:vAlign w:val="bottom"/>
            <w:tcBorders>
              <w:bottom w:val="single" w:sz="8" w:color="auto"/>
            </w:tcBorders>
          </w:tcPr>
          <w:p>
            <w:pPr>
              <w:jc w:val="right"/>
              <w:ind w:right="615"/>
              <w:spacing w:after="0"/>
              <w:rPr>
                <w:sz w:val="20"/>
                <w:szCs w:val="20"/>
                <w:color w:val="auto"/>
              </w:rPr>
            </w:pPr>
            <w:r>
              <w:rPr>
                <w:rFonts w:ascii="Arial" w:cs="Arial" w:eastAsia="Arial" w:hAnsi="Arial"/>
                <w:sz w:val="17"/>
                <w:szCs w:val="17"/>
                <w:b w:val="1"/>
                <w:bCs w:val="1"/>
                <w:color w:val="auto"/>
              </w:rPr>
              <w:t>2021</w:t>
            </w:r>
          </w:p>
        </w:tc>
        <w:tc>
          <w:tcPr>
            <w:tcW w:w="112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2022</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2021</w:t>
            </w:r>
          </w:p>
        </w:tc>
      </w:tr>
      <w:tr>
        <w:trPr>
          <w:trHeight w:val="183"/>
        </w:trPr>
        <w:tc>
          <w:tcPr>
            <w:tcW w:w="236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Exercised</w:t>
            </w:r>
          </w:p>
        </w:tc>
        <w:tc>
          <w:tcPr>
            <w:tcW w:w="14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340" w:type="dxa"/>
            <w:vAlign w:val="bottom"/>
            <w:tcBorders>
              <w:bottom w:val="single" w:sz="8" w:color="auto"/>
            </w:tcBorders>
            <w:shd w:val="clear" w:color="auto" w:fill="CCEEFF"/>
          </w:tcPr>
          <w:p>
            <w:pPr>
              <w:ind w:left="820"/>
              <w:spacing w:after="0" w:line="183" w:lineRule="exact"/>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ind w:left="820"/>
              <w:spacing w:after="0" w:line="183" w:lineRule="exact"/>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p>
        </w:tc>
        <w:tc>
          <w:tcPr>
            <w:tcW w:w="112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1</w:t>
            </w:r>
          </w:p>
        </w:tc>
        <w:tc>
          <w:tcPr>
            <w:tcW w:w="2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8</w:t>
            </w:r>
          </w:p>
        </w:tc>
      </w:tr>
    </w:tbl>
    <w:p>
      <w:pPr>
        <w:spacing w:after="0" w:line="197"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 aggregate intrinsic value for stock options outstanding, and outstanding and exercisable (the difference between our closing stock price on the last trading day of the period and the exercise price of the options, multiplied by the number of in-the-money stock options) is presented below:</w:t>
      </w:r>
    </w:p>
    <w:p>
      <w:pPr>
        <w:spacing w:after="0" w:line="179" w:lineRule="exact"/>
        <w:rPr>
          <w:sz w:val="20"/>
          <w:szCs w:val="20"/>
          <w:color w:val="auto"/>
        </w:rPr>
      </w:pPr>
    </w:p>
    <w:p>
      <w:pPr>
        <w:ind w:left="6160"/>
        <w:spacing w:after="0"/>
        <w:rPr>
          <w:sz w:val="20"/>
          <w:szCs w:val="20"/>
          <w:color w:val="auto"/>
        </w:rPr>
      </w:pPr>
      <w:r>
        <w:rPr>
          <w:rFonts w:ascii="Arial" w:cs="Arial" w:eastAsia="Arial" w:hAnsi="Arial"/>
          <w:sz w:val="17"/>
          <w:szCs w:val="17"/>
          <w:b w:val="1"/>
          <w:bCs w:val="1"/>
          <w:color w:val="auto"/>
        </w:rPr>
        <w:t>Thirty-nine weeks ended</w:t>
      </w:r>
    </w:p>
    <w:p>
      <w:pPr>
        <w:spacing w:after="0" w:line="16" w:lineRule="exact"/>
        <w:rPr>
          <w:sz w:val="20"/>
          <w:szCs w:val="20"/>
          <w:color w:val="auto"/>
        </w:rPr>
      </w:pPr>
    </w:p>
    <w:tbl>
      <w:tblPr>
        <w:tblLayout w:type="fixed"/>
        <w:tblInd w:w="60" w:type="dxa"/>
        <w:tblCellMar>
          <w:top w:w="0" w:type="dxa"/>
          <w:left w:w="0" w:type="dxa"/>
          <w:bottom w:w="0" w:type="dxa"/>
          <w:right w:w="0" w:type="dxa"/>
        </w:tblCellMar>
      </w:tblPr>
      <w:tr>
        <w:trPr>
          <w:trHeight w:val="160"/>
        </w:trPr>
        <w:tc>
          <w:tcPr>
            <w:tcW w:w="3740" w:type="dxa"/>
            <w:vAlign w:val="bottom"/>
            <w:tcBorders>
              <w:top w:val="single" w:sz="8" w:color="auto"/>
            </w:tcBorders>
          </w:tcPr>
          <w:p>
            <w:pPr>
              <w:spacing w:after="0"/>
              <w:rPr>
                <w:sz w:val="13"/>
                <w:szCs w:val="13"/>
                <w:color w:val="auto"/>
              </w:rPr>
            </w:pPr>
          </w:p>
        </w:tc>
        <w:tc>
          <w:tcPr>
            <w:tcW w:w="2960" w:type="dxa"/>
            <w:vAlign w:val="bottom"/>
            <w:tcBorders>
              <w:top w:val="single" w:sz="8" w:color="auto"/>
            </w:tcBorders>
          </w:tcPr>
          <w:p>
            <w:pPr>
              <w:jc w:val="right"/>
              <w:ind w:right="15"/>
              <w:spacing w:after="0" w:line="160" w:lineRule="exact"/>
              <w:rPr>
                <w:sz w:val="20"/>
                <w:szCs w:val="20"/>
                <w:color w:val="auto"/>
              </w:rPr>
            </w:pPr>
            <w:r>
              <w:rPr>
                <w:rFonts w:ascii="Arial" w:cs="Arial" w:eastAsia="Arial" w:hAnsi="Arial"/>
                <w:sz w:val="17"/>
                <w:szCs w:val="17"/>
                <w:b w:val="1"/>
                <w:bCs w:val="1"/>
                <w:color w:val="auto"/>
              </w:rPr>
              <w:t>October 29,</w:t>
            </w:r>
          </w:p>
        </w:tc>
        <w:tc>
          <w:tcPr>
            <w:tcW w:w="3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right"/>
              <w:ind w:right="275"/>
              <w:spacing w:after="0" w:line="160" w:lineRule="exact"/>
              <w:rPr>
                <w:sz w:val="20"/>
                <w:szCs w:val="20"/>
                <w:color w:val="auto"/>
              </w:rPr>
            </w:pPr>
            <w:r>
              <w:rPr>
                <w:rFonts w:ascii="Arial" w:cs="Arial" w:eastAsia="Arial" w:hAnsi="Arial"/>
                <w:sz w:val="17"/>
                <w:szCs w:val="17"/>
                <w:b w:val="1"/>
                <w:bCs w:val="1"/>
                <w:color w:val="auto"/>
              </w:rPr>
              <w:t>October 30,</w:t>
            </w:r>
          </w:p>
        </w:tc>
      </w:tr>
      <w:tr>
        <w:trPr>
          <w:trHeight w:val="211"/>
        </w:trPr>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29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2022</w:t>
            </w:r>
          </w:p>
        </w:tc>
        <w:tc>
          <w:tcPr>
            <w:tcW w:w="3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2021</w:t>
            </w:r>
          </w:p>
        </w:tc>
      </w:tr>
      <w:tr>
        <w:trPr>
          <w:trHeight w:val="183"/>
        </w:trPr>
        <w:tc>
          <w:tcPr>
            <w:tcW w:w="37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Outstanding</w:t>
            </w:r>
          </w:p>
        </w:tc>
        <w:tc>
          <w:tcPr>
            <w:tcW w:w="2960" w:type="dxa"/>
            <w:vAlign w:val="bottom"/>
            <w:shd w:val="clear" w:color="auto" w:fill="CCEEFF"/>
          </w:tcPr>
          <w:p>
            <w:pPr>
              <w:jc w:val="right"/>
              <w:ind w:right="1215"/>
              <w:spacing w:after="0" w:line="183" w:lineRule="exact"/>
              <w:rPr>
                <w:sz w:val="20"/>
                <w:szCs w:val="20"/>
                <w:color w:val="auto"/>
              </w:rPr>
            </w:pPr>
            <w:r>
              <w:rPr>
                <w:rFonts w:ascii="Arial" w:cs="Arial" w:eastAsia="Arial" w:hAnsi="Arial"/>
                <w:sz w:val="17"/>
                <w:szCs w:val="17"/>
                <w:b w:val="1"/>
                <w:bCs w:val="1"/>
                <w:color w:val="auto"/>
              </w:rPr>
              <w:t>$</w:t>
            </w:r>
          </w:p>
        </w:tc>
        <w:tc>
          <w:tcPr>
            <w:tcW w:w="36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7</w:t>
            </w:r>
          </w:p>
        </w:tc>
        <w:tc>
          <w:tcPr>
            <w:tcW w:w="40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25</w:t>
            </w:r>
          </w:p>
        </w:tc>
      </w:tr>
      <w:tr>
        <w:trPr>
          <w:trHeight w:val="189"/>
        </w:trPr>
        <w:tc>
          <w:tcPr>
            <w:tcW w:w="37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Outstanding and exercisable</w:t>
            </w:r>
          </w:p>
        </w:tc>
        <w:tc>
          <w:tcPr>
            <w:tcW w:w="2960" w:type="dxa"/>
            <w:vAlign w:val="bottom"/>
            <w:tcBorders>
              <w:bottom w:val="single" w:sz="8" w:color="auto"/>
            </w:tcBorders>
          </w:tcPr>
          <w:p>
            <w:pPr>
              <w:jc w:val="right"/>
              <w:ind w:right="1215"/>
              <w:spacing w:after="0" w:line="189" w:lineRule="exact"/>
              <w:rPr>
                <w:sz w:val="20"/>
                <w:szCs w:val="20"/>
                <w:color w:val="auto"/>
              </w:rPr>
            </w:pPr>
            <w:r>
              <w:rPr>
                <w:rFonts w:ascii="Arial" w:cs="Arial" w:eastAsia="Arial" w:hAnsi="Arial"/>
                <w:sz w:val="17"/>
                <w:szCs w:val="17"/>
                <w:b w:val="1"/>
                <w:bCs w:val="1"/>
                <w:color w:val="auto"/>
              </w:rPr>
              <w:t>$</w:t>
            </w:r>
          </w:p>
        </w:tc>
        <w:tc>
          <w:tcPr>
            <w:tcW w:w="36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5</w:t>
            </w:r>
          </w:p>
        </w:tc>
        <w:tc>
          <w:tcPr>
            <w:tcW w:w="40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11</w:t>
            </w:r>
          </w:p>
        </w:tc>
      </w:tr>
    </w:tbl>
    <w:p>
      <w:pPr>
        <w:spacing w:after="0" w:line="197"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As of October 29, 2022, there was $4 million of total unrecognized compensation cost related to nonvested stock options which is expected to be recognized over a remaining weighted-average period of 1.5 years.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table below summarizes information about stock options outstanding and exercisable at October 29, 2022</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18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3"/>
          </w:tcPr>
          <w:p>
            <w:pPr>
              <w:jc w:val="right"/>
              <w:ind w:right="995"/>
              <w:spacing w:after="0"/>
              <w:rPr>
                <w:sz w:val="20"/>
                <w:szCs w:val="20"/>
                <w:color w:val="auto"/>
              </w:rPr>
            </w:pPr>
            <w:r>
              <w:rPr>
                <w:rFonts w:ascii="Arial" w:cs="Arial" w:eastAsia="Arial" w:hAnsi="Arial"/>
                <w:sz w:val="17"/>
                <w:szCs w:val="17"/>
                <w:b w:val="1"/>
                <w:bCs w:val="1"/>
                <w:color w:val="auto"/>
              </w:rPr>
              <w:t>Options Outstanding</w:t>
            </w:r>
          </w:p>
        </w:tc>
        <w:tc>
          <w:tcPr>
            <w:tcW w:w="2700" w:type="dxa"/>
            <w:vAlign w:val="bottom"/>
            <w:tcBorders>
              <w:bottom w:val="single" w:sz="8" w:color="auto"/>
            </w:tcBorders>
            <w:gridSpan w:val="3"/>
          </w:tcPr>
          <w:p>
            <w:pPr>
              <w:jc w:val="right"/>
              <w:ind w:right="375"/>
              <w:spacing w:after="0"/>
              <w:rPr>
                <w:sz w:val="20"/>
                <w:szCs w:val="20"/>
                <w:color w:val="auto"/>
              </w:rPr>
            </w:pPr>
            <w:r>
              <w:rPr>
                <w:rFonts w:ascii="Arial" w:cs="Arial" w:eastAsia="Arial" w:hAnsi="Arial"/>
                <w:sz w:val="17"/>
                <w:szCs w:val="17"/>
                <w:b w:val="1"/>
                <w:bCs w:val="1"/>
                <w:color w:val="auto"/>
              </w:rPr>
              <w:t>Options Exercisable</w:t>
            </w:r>
          </w:p>
        </w:tc>
      </w:tr>
      <w:tr>
        <w:trPr>
          <w:trHeight w:val="160"/>
        </w:trPr>
        <w:tc>
          <w:tcPr>
            <w:tcW w:w="1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60" w:type="dxa"/>
            <w:vAlign w:val="bottom"/>
          </w:tcPr>
          <w:p>
            <w:pPr>
              <w:jc w:val="center"/>
              <w:ind w:left="35"/>
              <w:spacing w:after="0" w:line="160" w:lineRule="exact"/>
              <w:rPr>
                <w:sz w:val="20"/>
                <w:szCs w:val="20"/>
                <w:color w:val="auto"/>
              </w:rPr>
            </w:pPr>
            <w:r>
              <w:rPr>
                <w:rFonts w:ascii="Arial" w:cs="Arial" w:eastAsia="Arial" w:hAnsi="Arial"/>
                <w:sz w:val="17"/>
                <w:szCs w:val="17"/>
                <w:b w:val="1"/>
                <w:bCs w:val="1"/>
                <w:color w:val="auto"/>
              </w:rPr>
              <w:t>Weighted-</w:t>
            </w:r>
          </w:p>
        </w:tc>
        <w:tc>
          <w:tcPr>
            <w:tcW w:w="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9"/>
        </w:trPr>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60" w:type="dxa"/>
            <w:vAlign w:val="bottom"/>
          </w:tcPr>
          <w:p>
            <w:pPr>
              <w:jc w:val="center"/>
              <w:ind w:left="35"/>
              <w:spacing w:after="0" w:line="189" w:lineRule="exact"/>
              <w:rPr>
                <w:sz w:val="20"/>
                <w:szCs w:val="20"/>
                <w:color w:val="auto"/>
              </w:rPr>
            </w:pPr>
            <w:r>
              <w:rPr>
                <w:rFonts w:ascii="Arial" w:cs="Arial" w:eastAsia="Arial" w:hAnsi="Arial"/>
                <w:sz w:val="17"/>
                <w:szCs w:val="17"/>
                <w:b w:val="1"/>
                <w:bCs w:val="1"/>
                <w:color w:val="auto"/>
              </w:rPr>
              <w:t>Average</w:t>
            </w:r>
          </w:p>
        </w:tc>
        <w:tc>
          <w:tcPr>
            <w:tcW w:w="300" w:type="dxa"/>
            <w:vAlign w:val="bottom"/>
          </w:tcPr>
          <w:p>
            <w:pPr>
              <w:spacing w:after="0"/>
              <w:rPr>
                <w:sz w:val="16"/>
                <w:szCs w:val="16"/>
                <w:color w:val="auto"/>
              </w:rPr>
            </w:pPr>
          </w:p>
        </w:tc>
        <w:tc>
          <w:tcPr>
            <w:tcW w:w="1240" w:type="dxa"/>
            <w:vAlign w:val="bottom"/>
          </w:tcPr>
          <w:p>
            <w:pPr>
              <w:jc w:val="center"/>
              <w:ind w:right="215"/>
              <w:spacing w:after="0" w:line="189" w:lineRule="exact"/>
              <w:rPr>
                <w:sz w:val="20"/>
                <w:szCs w:val="20"/>
                <w:color w:val="auto"/>
              </w:rPr>
            </w:pPr>
            <w:r>
              <w:rPr>
                <w:rFonts w:ascii="Arial" w:cs="Arial" w:eastAsia="Arial" w:hAnsi="Arial"/>
                <w:sz w:val="17"/>
                <w:szCs w:val="17"/>
                <w:b w:val="1"/>
                <w:bCs w:val="1"/>
                <w:color w:val="auto"/>
                <w:w w:val="99"/>
              </w:rPr>
              <w:t>Weighted-</w:t>
            </w: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center"/>
              <w:ind w:right="115"/>
              <w:spacing w:after="0" w:line="189" w:lineRule="exact"/>
              <w:rPr>
                <w:sz w:val="20"/>
                <w:szCs w:val="20"/>
                <w:color w:val="auto"/>
              </w:rPr>
            </w:pPr>
            <w:r>
              <w:rPr>
                <w:rFonts w:ascii="Arial" w:cs="Arial" w:eastAsia="Arial" w:hAnsi="Arial"/>
                <w:sz w:val="17"/>
                <w:szCs w:val="17"/>
                <w:b w:val="1"/>
                <w:bCs w:val="1"/>
                <w:color w:val="auto"/>
                <w:w w:val="99"/>
              </w:rPr>
              <w:t>Weighted-</w:t>
            </w:r>
          </w:p>
        </w:tc>
      </w:tr>
      <w:tr>
        <w:trPr>
          <w:trHeight w:val="189"/>
        </w:trPr>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60" w:type="dxa"/>
            <w:vAlign w:val="bottom"/>
          </w:tcPr>
          <w:p>
            <w:pPr>
              <w:jc w:val="center"/>
              <w:ind w:left="35"/>
              <w:spacing w:after="0" w:line="189" w:lineRule="exact"/>
              <w:rPr>
                <w:sz w:val="20"/>
                <w:szCs w:val="20"/>
                <w:color w:val="auto"/>
              </w:rPr>
            </w:pPr>
            <w:r>
              <w:rPr>
                <w:rFonts w:ascii="Arial" w:cs="Arial" w:eastAsia="Arial" w:hAnsi="Arial"/>
                <w:sz w:val="17"/>
                <w:szCs w:val="17"/>
                <w:b w:val="1"/>
                <w:bCs w:val="1"/>
                <w:color w:val="auto"/>
              </w:rPr>
              <w:t>Remaining</w:t>
            </w:r>
          </w:p>
        </w:tc>
        <w:tc>
          <w:tcPr>
            <w:tcW w:w="300" w:type="dxa"/>
            <w:vAlign w:val="bottom"/>
          </w:tcPr>
          <w:p>
            <w:pPr>
              <w:spacing w:after="0"/>
              <w:rPr>
                <w:sz w:val="16"/>
                <w:szCs w:val="16"/>
                <w:color w:val="auto"/>
              </w:rPr>
            </w:pPr>
          </w:p>
        </w:tc>
        <w:tc>
          <w:tcPr>
            <w:tcW w:w="1240" w:type="dxa"/>
            <w:vAlign w:val="bottom"/>
          </w:tcPr>
          <w:p>
            <w:pPr>
              <w:jc w:val="center"/>
              <w:ind w:right="195"/>
              <w:spacing w:after="0" w:line="189" w:lineRule="exact"/>
              <w:rPr>
                <w:sz w:val="20"/>
                <w:szCs w:val="20"/>
                <w:color w:val="auto"/>
              </w:rPr>
            </w:pPr>
            <w:r>
              <w:rPr>
                <w:rFonts w:ascii="Arial" w:cs="Arial" w:eastAsia="Arial" w:hAnsi="Arial"/>
                <w:sz w:val="17"/>
                <w:szCs w:val="17"/>
                <w:b w:val="1"/>
                <w:bCs w:val="1"/>
                <w:color w:val="auto"/>
              </w:rPr>
              <w:t>Average</w:t>
            </w: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center"/>
              <w:ind w:right="115"/>
              <w:spacing w:after="0" w:line="189" w:lineRule="exact"/>
              <w:rPr>
                <w:sz w:val="20"/>
                <w:szCs w:val="20"/>
                <w:color w:val="auto"/>
              </w:rPr>
            </w:pPr>
            <w:r>
              <w:rPr>
                <w:rFonts w:ascii="Arial" w:cs="Arial" w:eastAsia="Arial" w:hAnsi="Arial"/>
                <w:sz w:val="17"/>
                <w:szCs w:val="17"/>
                <w:b w:val="1"/>
                <w:bCs w:val="1"/>
                <w:color w:val="auto"/>
                <w:w w:val="98"/>
              </w:rPr>
              <w:t>Average</w:t>
            </w:r>
          </w:p>
        </w:tc>
      </w:tr>
      <w:tr>
        <w:trPr>
          <w:trHeight w:val="189"/>
        </w:trPr>
        <w:tc>
          <w:tcPr>
            <w:tcW w:w="1860" w:type="dxa"/>
            <w:vAlign w:val="bottom"/>
          </w:tcPr>
          <w:p>
            <w:pPr>
              <w:ind w:left="20"/>
              <w:spacing w:after="0" w:line="189" w:lineRule="exact"/>
              <w:rPr>
                <w:sz w:val="20"/>
                <w:szCs w:val="20"/>
                <w:color w:val="auto"/>
              </w:rPr>
            </w:pPr>
            <w:r>
              <w:rPr>
                <w:rFonts w:ascii="Arial" w:cs="Arial" w:eastAsia="Arial" w:hAnsi="Arial"/>
                <w:sz w:val="17"/>
                <w:szCs w:val="17"/>
                <w:b w:val="1"/>
                <w:bCs w:val="1"/>
                <w:color w:val="auto"/>
              </w:rPr>
              <w:t>Range of Exercise</w:t>
            </w:r>
          </w:p>
        </w:tc>
        <w:tc>
          <w:tcPr>
            <w:tcW w:w="1440" w:type="dxa"/>
            <w:vAlign w:val="bottom"/>
          </w:tcPr>
          <w:p>
            <w:pPr>
              <w:jc w:val="right"/>
              <w:ind w:right="135"/>
              <w:spacing w:after="0" w:line="189" w:lineRule="exact"/>
              <w:rPr>
                <w:sz w:val="20"/>
                <w:szCs w:val="20"/>
                <w:color w:val="auto"/>
              </w:rPr>
            </w:pPr>
            <w:r>
              <w:rPr>
                <w:rFonts w:ascii="Arial" w:cs="Arial" w:eastAsia="Arial" w:hAnsi="Arial"/>
                <w:sz w:val="17"/>
                <w:szCs w:val="17"/>
                <w:b w:val="1"/>
                <w:bCs w:val="1"/>
                <w:color w:val="auto"/>
              </w:rPr>
              <w:t>Number</w:t>
            </w:r>
          </w:p>
        </w:tc>
        <w:tc>
          <w:tcPr>
            <w:tcW w:w="136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Contractual</w:t>
            </w:r>
          </w:p>
        </w:tc>
        <w:tc>
          <w:tcPr>
            <w:tcW w:w="300" w:type="dxa"/>
            <w:vAlign w:val="bottom"/>
          </w:tcPr>
          <w:p>
            <w:pPr>
              <w:spacing w:after="0"/>
              <w:rPr>
                <w:sz w:val="16"/>
                <w:szCs w:val="16"/>
                <w:color w:val="auto"/>
              </w:rPr>
            </w:pPr>
          </w:p>
        </w:tc>
        <w:tc>
          <w:tcPr>
            <w:tcW w:w="1240" w:type="dxa"/>
            <w:vAlign w:val="bottom"/>
          </w:tcPr>
          <w:p>
            <w:pPr>
              <w:jc w:val="center"/>
              <w:ind w:right="215"/>
              <w:spacing w:after="0" w:line="189" w:lineRule="exact"/>
              <w:rPr>
                <w:sz w:val="20"/>
                <w:szCs w:val="20"/>
                <w:color w:val="auto"/>
              </w:rPr>
            </w:pPr>
            <w:r>
              <w:rPr>
                <w:rFonts w:ascii="Arial" w:cs="Arial" w:eastAsia="Arial" w:hAnsi="Arial"/>
                <w:sz w:val="17"/>
                <w:szCs w:val="17"/>
                <w:b w:val="1"/>
                <w:bCs w:val="1"/>
                <w:color w:val="auto"/>
              </w:rPr>
              <w:t>Exercise</w:t>
            </w:r>
          </w:p>
        </w:tc>
        <w:tc>
          <w:tcPr>
            <w:tcW w:w="1260" w:type="dxa"/>
            <w:vAlign w:val="bottom"/>
          </w:tcPr>
          <w:p>
            <w:pPr>
              <w:jc w:val="right"/>
              <w:ind w:right="195"/>
              <w:spacing w:after="0" w:line="189" w:lineRule="exact"/>
              <w:rPr>
                <w:sz w:val="20"/>
                <w:szCs w:val="20"/>
                <w:color w:val="auto"/>
              </w:rPr>
            </w:pPr>
            <w:r>
              <w:rPr>
                <w:rFonts w:ascii="Arial" w:cs="Arial" w:eastAsia="Arial" w:hAnsi="Arial"/>
                <w:sz w:val="17"/>
                <w:szCs w:val="17"/>
                <w:b w:val="1"/>
                <w:bCs w:val="1"/>
                <w:color w:val="auto"/>
              </w:rPr>
              <w:t>Number</w:t>
            </w:r>
          </w:p>
        </w:tc>
        <w:tc>
          <w:tcPr>
            <w:tcW w:w="340" w:type="dxa"/>
            <w:vAlign w:val="bottom"/>
          </w:tcPr>
          <w:p>
            <w:pPr>
              <w:spacing w:after="0"/>
              <w:rPr>
                <w:sz w:val="16"/>
                <w:szCs w:val="16"/>
                <w:color w:val="auto"/>
              </w:rPr>
            </w:pPr>
          </w:p>
        </w:tc>
        <w:tc>
          <w:tcPr>
            <w:tcW w:w="1100" w:type="dxa"/>
            <w:vAlign w:val="bottom"/>
          </w:tcPr>
          <w:p>
            <w:pPr>
              <w:jc w:val="center"/>
              <w:ind w:right="115"/>
              <w:spacing w:after="0" w:line="189" w:lineRule="exact"/>
              <w:rPr>
                <w:sz w:val="20"/>
                <w:szCs w:val="20"/>
                <w:color w:val="auto"/>
              </w:rPr>
            </w:pPr>
            <w:r>
              <w:rPr>
                <w:rFonts w:ascii="Arial" w:cs="Arial" w:eastAsia="Arial" w:hAnsi="Arial"/>
                <w:sz w:val="17"/>
                <w:szCs w:val="17"/>
                <w:b w:val="1"/>
                <w:bCs w:val="1"/>
                <w:color w:val="auto"/>
              </w:rPr>
              <w:t>Exercise</w:t>
            </w:r>
          </w:p>
        </w:tc>
      </w:tr>
      <w:tr>
        <w:trPr>
          <w:trHeight w:val="211"/>
        </w:trPr>
        <w:tc>
          <w:tcPr>
            <w:tcW w:w="18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Prices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Outstanding</w:t>
            </w:r>
          </w:p>
        </w:tc>
        <w:tc>
          <w:tcPr>
            <w:tcW w:w="1360" w:type="dxa"/>
            <w:vAlign w:val="bottom"/>
            <w:tcBorders>
              <w:bottom w:val="single" w:sz="8" w:color="auto"/>
            </w:tcBorders>
          </w:tcPr>
          <w:p>
            <w:pPr>
              <w:jc w:val="center"/>
              <w:ind w:left="35"/>
              <w:spacing w:after="0"/>
              <w:rPr>
                <w:sz w:val="20"/>
                <w:szCs w:val="20"/>
                <w:color w:val="auto"/>
              </w:rPr>
            </w:pPr>
            <w:r>
              <w:rPr>
                <w:rFonts w:ascii="Arial" w:cs="Arial" w:eastAsia="Arial" w:hAnsi="Arial"/>
                <w:sz w:val="17"/>
                <w:szCs w:val="17"/>
                <w:b w:val="1"/>
                <w:bCs w:val="1"/>
                <w:color w:val="auto"/>
              </w:rPr>
              <w:t>Life</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215"/>
              <w:spacing w:after="0"/>
              <w:rPr>
                <w:sz w:val="20"/>
                <w:szCs w:val="20"/>
                <w:color w:val="auto"/>
              </w:rPr>
            </w:pPr>
            <w:r>
              <w:rPr>
                <w:rFonts w:ascii="Arial" w:cs="Arial" w:eastAsia="Arial" w:hAnsi="Arial"/>
                <w:sz w:val="17"/>
                <w:szCs w:val="17"/>
                <w:b w:val="1"/>
                <w:bCs w:val="1"/>
                <w:color w:val="auto"/>
              </w:rPr>
              <w:t>Price</w:t>
            </w:r>
          </w:p>
        </w:tc>
        <w:tc>
          <w:tcPr>
            <w:tcW w:w="12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Exercisable</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15"/>
              <w:spacing w:after="0"/>
              <w:rPr>
                <w:sz w:val="20"/>
                <w:szCs w:val="20"/>
                <w:color w:val="auto"/>
              </w:rPr>
            </w:pPr>
            <w:r>
              <w:rPr>
                <w:rFonts w:ascii="Arial" w:cs="Arial" w:eastAsia="Arial" w:hAnsi="Arial"/>
                <w:sz w:val="17"/>
                <w:szCs w:val="17"/>
                <w:b w:val="1"/>
                <w:bCs w:val="1"/>
                <w:color w:val="auto"/>
              </w:rPr>
              <w:t>Price</w:t>
            </w:r>
          </w:p>
        </w:tc>
      </w:tr>
      <w:tr>
        <w:trPr>
          <w:trHeight w:val="183"/>
        </w:trPr>
        <w:tc>
          <w:tcPr>
            <w:tcW w:w="18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500" w:type="dxa"/>
            <w:vAlign w:val="bottom"/>
            <w:gridSpan w:val="5"/>
          </w:tcPr>
          <w:p>
            <w:pPr>
              <w:jc w:val="right"/>
              <w:spacing w:after="0" w:line="183" w:lineRule="exact"/>
              <w:rPr>
                <w:sz w:val="20"/>
                <w:szCs w:val="20"/>
                <w:color w:val="auto"/>
              </w:rPr>
            </w:pPr>
            <w:r>
              <w:rPr>
                <w:rFonts w:ascii="Arial" w:cs="Arial" w:eastAsia="Arial" w:hAnsi="Arial"/>
                <w:sz w:val="17"/>
                <w:szCs w:val="17"/>
                <w:color w:val="auto"/>
              </w:rPr>
              <w:t>(in thousands, except prices per share and contractual life)</w:t>
            </w:r>
          </w:p>
        </w:tc>
        <w:tc>
          <w:tcPr>
            <w:tcW w:w="1100" w:type="dxa"/>
            <w:vAlign w:val="bottom"/>
          </w:tcPr>
          <w:p>
            <w:pPr>
              <w:spacing w:after="0"/>
              <w:rPr>
                <w:sz w:val="15"/>
                <w:szCs w:val="15"/>
                <w:color w:val="auto"/>
              </w:rPr>
            </w:pPr>
          </w:p>
        </w:tc>
      </w:tr>
      <w:tr>
        <w:trPr>
          <w:trHeight w:val="189"/>
        </w:trPr>
        <w:tc>
          <w:tcPr>
            <w:tcW w:w="18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$21.60 - $36.51</w:t>
            </w:r>
          </w:p>
        </w:tc>
        <w:tc>
          <w:tcPr>
            <w:tcW w:w="14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1,241</w:t>
            </w:r>
          </w:p>
        </w:tc>
        <w:tc>
          <w:tcPr>
            <w:tcW w:w="13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7.1</w:t>
            </w:r>
          </w:p>
        </w:tc>
        <w:tc>
          <w:tcPr>
            <w:tcW w:w="3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26.41</w:t>
            </w:r>
          </w:p>
        </w:tc>
        <w:tc>
          <w:tcPr>
            <w:tcW w:w="12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584</w:t>
            </w:r>
          </w:p>
        </w:tc>
        <w:tc>
          <w:tcPr>
            <w:tcW w:w="34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24.22</w:t>
            </w:r>
          </w:p>
        </w:tc>
      </w:tr>
      <w:tr>
        <w:trPr>
          <w:trHeight w:val="189"/>
        </w:trPr>
        <w:tc>
          <w:tcPr>
            <w:tcW w:w="1860" w:type="dxa"/>
            <w:vAlign w:val="bottom"/>
          </w:tcPr>
          <w:p>
            <w:pPr>
              <w:ind w:left="20"/>
              <w:spacing w:after="0" w:line="189" w:lineRule="exact"/>
              <w:rPr>
                <w:sz w:val="20"/>
                <w:szCs w:val="20"/>
                <w:color w:val="auto"/>
              </w:rPr>
            </w:pPr>
            <w:r>
              <w:rPr>
                <w:rFonts w:ascii="Arial" w:cs="Arial" w:eastAsia="Arial" w:hAnsi="Arial"/>
                <w:sz w:val="17"/>
                <w:szCs w:val="17"/>
                <w:color w:val="auto"/>
              </w:rPr>
              <w:t>$44.78 - $48.98</w:t>
            </w:r>
          </w:p>
        </w:tc>
        <w:tc>
          <w:tcPr>
            <w:tcW w:w="1440" w:type="dxa"/>
            <w:vAlign w:val="bottom"/>
          </w:tcPr>
          <w:p>
            <w:pPr>
              <w:jc w:val="right"/>
              <w:spacing w:after="0" w:line="189" w:lineRule="exact"/>
              <w:rPr>
                <w:sz w:val="20"/>
                <w:szCs w:val="20"/>
                <w:color w:val="auto"/>
              </w:rPr>
            </w:pPr>
            <w:r>
              <w:rPr>
                <w:rFonts w:ascii="Arial" w:cs="Arial" w:eastAsia="Arial" w:hAnsi="Arial"/>
                <w:sz w:val="17"/>
                <w:szCs w:val="17"/>
                <w:color w:val="auto"/>
              </w:rPr>
              <w:t>446</w:t>
            </w:r>
          </w:p>
        </w:tc>
        <w:tc>
          <w:tcPr>
            <w:tcW w:w="1360" w:type="dxa"/>
            <w:vAlign w:val="bottom"/>
          </w:tcPr>
          <w:p>
            <w:pPr>
              <w:jc w:val="right"/>
              <w:ind w:right="55"/>
              <w:spacing w:after="0" w:line="189" w:lineRule="exact"/>
              <w:rPr>
                <w:sz w:val="20"/>
                <w:szCs w:val="20"/>
                <w:color w:val="auto"/>
              </w:rPr>
            </w:pPr>
            <w:r>
              <w:rPr>
                <w:rFonts w:ascii="Arial" w:cs="Arial" w:eastAsia="Arial" w:hAnsi="Arial"/>
                <w:sz w:val="17"/>
                <w:szCs w:val="17"/>
                <w:color w:val="auto"/>
              </w:rPr>
              <w:t>3.0</w:t>
            </w:r>
          </w:p>
        </w:tc>
        <w:tc>
          <w:tcPr>
            <w:tcW w:w="300" w:type="dxa"/>
            <w:vAlign w:val="bottom"/>
          </w:tcPr>
          <w:p>
            <w:pPr>
              <w:spacing w:after="0"/>
              <w:rPr>
                <w:sz w:val="16"/>
                <w:szCs w:val="16"/>
                <w:color w:val="auto"/>
              </w:rPr>
            </w:pPr>
          </w:p>
        </w:tc>
        <w:tc>
          <w:tcPr>
            <w:tcW w:w="1240" w:type="dxa"/>
            <w:vAlign w:val="bottom"/>
          </w:tcPr>
          <w:p>
            <w:pPr>
              <w:jc w:val="right"/>
              <w:ind w:right="75"/>
              <w:spacing w:after="0" w:line="189" w:lineRule="exact"/>
              <w:rPr>
                <w:sz w:val="20"/>
                <w:szCs w:val="20"/>
                <w:color w:val="auto"/>
              </w:rPr>
            </w:pPr>
            <w:r>
              <w:rPr>
                <w:rFonts w:ascii="Arial" w:cs="Arial" w:eastAsia="Arial" w:hAnsi="Arial"/>
                <w:sz w:val="17"/>
                <w:szCs w:val="17"/>
                <w:color w:val="auto"/>
              </w:rPr>
              <w:t>45.02</w:t>
            </w:r>
          </w:p>
        </w:tc>
        <w:tc>
          <w:tcPr>
            <w:tcW w:w="1260" w:type="dxa"/>
            <w:vAlign w:val="bottom"/>
          </w:tcPr>
          <w:p>
            <w:pPr>
              <w:jc w:val="right"/>
              <w:ind w:right="55"/>
              <w:spacing w:after="0" w:line="189" w:lineRule="exact"/>
              <w:rPr>
                <w:sz w:val="20"/>
                <w:szCs w:val="20"/>
                <w:color w:val="auto"/>
              </w:rPr>
            </w:pPr>
            <w:r>
              <w:rPr>
                <w:rFonts w:ascii="Arial" w:cs="Arial" w:eastAsia="Arial" w:hAnsi="Arial"/>
                <w:sz w:val="17"/>
                <w:szCs w:val="17"/>
                <w:color w:val="auto"/>
              </w:rPr>
              <w:t>446</w:t>
            </w:r>
          </w:p>
        </w:tc>
        <w:tc>
          <w:tcPr>
            <w:tcW w:w="34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45.02</w:t>
            </w:r>
          </w:p>
        </w:tc>
      </w:tr>
      <w:tr>
        <w:trPr>
          <w:trHeight w:val="189"/>
        </w:trPr>
        <w:tc>
          <w:tcPr>
            <w:tcW w:w="18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$53.61 - $58.94</w:t>
            </w:r>
          </w:p>
        </w:tc>
        <w:tc>
          <w:tcPr>
            <w:tcW w:w="14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501</w:t>
            </w:r>
          </w:p>
        </w:tc>
        <w:tc>
          <w:tcPr>
            <w:tcW w:w="13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5.5</w:t>
            </w: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56.69</w:t>
            </w:r>
          </w:p>
        </w:tc>
        <w:tc>
          <w:tcPr>
            <w:tcW w:w="12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397</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57.44</w:t>
            </w:r>
          </w:p>
        </w:tc>
      </w:tr>
      <w:tr>
        <w:trPr>
          <w:trHeight w:val="189"/>
        </w:trPr>
        <w:tc>
          <w:tcPr>
            <w:tcW w:w="186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$62.02 - $72.83</w:t>
            </w:r>
          </w:p>
        </w:tc>
        <w:tc>
          <w:tcPr>
            <w:tcW w:w="14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1,183</w:t>
            </w:r>
          </w:p>
        </w:tc>
        <w:tc>
          <w:tcPr>
            <w:tcW w:w="136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2.7</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66.14</w:t>
            </w:r>
          </w:p>
        </w:tc>
        <w:tc>
          <w:tcPr>
            <w:tcW w:w="126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1,183</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66.14</w:t>
            </w:r>
          </w:p>
        </w:tc>
      </w:tr>
      <w:tr>
        <w:trPr>
          <w:trHeight w:val="182"/>
        </w:trPr>
        <w:tc>
          <w:tcPr>
            <w:tcW w:w="18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3,371</w:t>
            </w:r>
          </w:p>
        </w:tc>
        <w:tc>
          <w:tcPr>
            <w:tcW w:w="136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4.8</w:t>
            </w:r>
          </w:p>
        </w:tc>
        <w:tc>
          <w:tcPr>
            <w:tcW w:w="3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47.31</w:t>
            </w:r>
          </w:p>
        </w:tc>
        <w:tc>
          <w:tcPr>
            <w:tcW w:w="126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2,610</w:t>
            </w:r>
          </w:p>
        </w:tc>
        <w:tc>
          <w:tcPr>
            <w:tcW w:w="34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51.82</w:t>
            </w:r>
          </w:p>
        </w:tc>
      </w:tr>
      <w:tr>
        <w:trPr>
          <w:trHeight w:val="20"/>
        </w:trPr>
        <w:tc>
          <w:tcPr>
            <w:tcW w:w="18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 Units and Performance Stock Units</w:t>
      </w:r>
    </w:p>
    <w:p>
      <w:pPr>
        <w:spacing w:after="0" w:line="169"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Restricted stock units (“RSU”) are awarded to certain officers, key employees of the Company, and nonemployee directors. Additionally, performance stock units (“PSU”) are awarded to officers and certain key employees in connection with our long-term incentive program. Each RSU and PSU represents the right to receive one share of our common stock provided that the applicable performance and vesting conditions are satisfied. PSU awards granted in 2022 also include a performance objective based on our relative total shareholder return over the performance period to a pre-determined peer group, assuming the reinvestment of dividends. The fair value of these awards is determined using a Monte Carlo simulation as of the date of the grant and share-based compensation expense will not be adjusted should the target awards vary from actual awards.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2022 Form 10-Q 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154305</wp:posOffset>
            </wp:positionV>
            <wp:extent cx="1834515" cy="2146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0" w:right="819" w:firstLine="767"/>
        <w:spacing w:after="0" w:line="453" w:lineRule="auto"/>
        <w:rPr>
          <w:sz w:val="20"/>
          <w:szCs w:val="20"/>
          <w:color w:val="auto"/>
        </w:rPr>
      </w:pPr>
      <w:r>
        <w:rPr>
          <w:rFonts w:ascii="Arial" w:cs="Arial" w:eastAsia="Arial" w:hAnsi="Arial"/>
          <w:sz w:val="18"/>
          <w:szCs w:val="18"/>
          <w:b w:val="1"/>
          <w:bCs w:val="1"/>
          <w:color w:val="auto"/>
        </w:rPr>
        <w:t>NOTES TO THE UNAUDITED CONDENSED CONSOLIDATED FINANCIAL STATEMENTS 15. Share-Based Compensation (continued)</w:t>
      </w:r>
    </w:p>
    <w:p>
      <w:pPr>
        <w:spacing w:after="0" w:line="2"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Generally, RSU awards fully vest after the passage of time, typically three years for employees and one year for nonemployee directors, provided there is continued service with the Company until the vesting date, subject to the terms of the award. PSU awards are earned only after the attainment of performance goals in connection with the relevant performance period and vest after an additional one-year period. No dividends are paid or accumulated on any RSU or PSU awards. Compensation expense is recognized over the vesting period.</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RSU and PSU activity for the thirty-nine weeks ended October 29, 2022 is summarized as follows:</w:t>
      </w:r>
    </w:p>
    <w:p>
      <w:pPr>
        <w:spacing w:after="0" w:line="202"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20" w:type="dxa"/>
            <w:vAlign w:val="bottom"/>
          </w:tcPr>
          <w:p>
            <w:pPr>
              <w:jc w:val="center"/>
              <w:ind w:left="15"/>
              <w:spacing w:after="0"/>
              <w:rPr>
                <w:sz w:val="20"/>
                <w:szCs w:val="20"/>
                <w:color w:val="auto"/>
              </w:rPr>
            </w:pPr>
            <w:r>
              <w:rPr>
                <w:rFonts w:ascii="Arial" w:cs="Arial" w:eastAsia="Arial" w:hAnsi="Arial"/>
                <w:sz w:val="17"/>
                <w:szCs w:val="17"/>
                <w:b w:val="1"/>
                <w:bCs w:val="1"/>
                <w:color w:val="auto"/>
                <w:w w:val="99"/>
              </w:rPr>
              <w:t>Weighted-Average</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1620" w:type="dxa"/>
            <w:vAlign w:val="bottom"/>
          </w:tcPr>
          <w:p>
            <w:pPr>
              <w:jc w:val="center"/>
              <w:ind w:left="15"/>
              <w:spacing w:after="0" w:line="189" w:lineRule="exact"/>
              <w:rPr>
                <w:sz w:val="20"/>
                <w:szCs w:val="20"/>
                <w:color w:val="auto"/>
              </w:rPr>
            </w:pPr>
            <w:r>
              <w:rPr>
                <w:rFonts w:ascii="Arial" w:cs="Arial" w:eastAsia="Arial" w:hAnsi="Arial"/>
                <w:sz w:val="17"/>
                <w:szCs w:val="17"/>
                <w:b w:val="1"/>
                <w:bCs w:val="1"/>
                <w:color w:val="auto"/>
              </w:rPr>
              <w:t>Remaining</w:t>
            </w:r>
          </w:p>
        </w:tc>
        <w:tc>
          <w:tcPr>
            <w:tcW w:w="1540" w:type="dxa"/>
            <w:vAlign w:val="bottom"/>
            <w:gridSpan w:val="2"/>
          </w:tcPr>
          <w:p>
            <w:pPr>
              <w:ind w:left="20"/>
              <w:spacing w:after="0" w:line="189" w:lineRule="exact"/>
              <w:rPr>
                <w:sz w:val="20"/>
                <w:szCs w:val="20"/>
                <w:color w:val="auto"/>
              </w:rPr>
            </w:pPr>
            <w:r>
              <w:rPr>
                <w:rFonts w:ascii="Arial" w:cs="Arial" w:eastAsia="Arial" w:hAnsi="Arial"/>
                <w:sz w:val="17"/>
                <w:szCs w:val="17"/>
                <w:b w:val="1"/>
                <w:bCs w:val="1"/>
                <w:color w:val="auto"/>
              </w:rPr>
              <w:t>Weighted-Average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of</w:t>
            </w:r>
          </w:p>
        </w:tc>
        <w:tc>
          <w:tcPr>
            <w:tcW w:w="1620" w:type="dxa"/>
            <w:vAlign w:val="bottom"/>
          </w:tcPr>
          <w:p>
            <w:pPr>
              <w:jc w:val="center"/>
              <w:ind w:left="15"/>
              <w:spacing w:after="0" w:line="189" w:lineRule="exact"/>
              <w:rPr>
                <w:sz w:val="20"/>
                <w:szCs w:val="20"/>
                <w:color w:val="auto"/>
              </w:rPr>
            </w:pPr>
            <w:r>
              <w:rPr>
                <w:rFonts w:ascii="Arial" w:cs="Arial" w:eastAsia="Arial" w:hAnsi="Arial"/>
                <w:sz w:val="17"/>
                <w:szCs w:val="17"/>
                <w:b w:val="1"/>
                <w:bCs w:val="1"/>
                <w:color w:val="auto"/>
              </w:rPr>
              <w:t>Contractual</w:t>
            </w:r>
          </w:p>
        </w:tc>
        <w:tc>
          <w:tcPr>
            <w:tcW w:w="220" w:type="dxa"/>
            <w:vAlign w:val="bottom"/>
          </w:tcPr>
          <w:p>
            <w:pPr>
              <w:spacing w:after="0"/>
              <w:rPr>
                <w:sz w:val="16"/>
                <w:szCs w:val="16"/>
                <w:color w:val="auto"/>
              </w:rPr>
            </w:pPr>
          </w:p>
        </w:tc>
        <w:tc>
          <w:tcPr>
            <w:tcW w:w="1320" w:type="dxa"/>
            <w:vAlign w:val="bottom"/>
          </w:tcPr>
          <w:p>
            <w:pPr>
              <w:jc w:val="right"/>
              <w:ind w:right="255"/>
              <w:spacing w:after="0" w:line="189" w:lineRule="exact"/>
              <w:rPr>
                <w:sz w:val="20"/>
                <w:szCs w:val="20"/>
                <w:color w:val="auto"/>
              </w:rPr>
            </w:pPr>
            <w:r>
              <w:rPr>
                <w:rFonts w:ascii="Arial" w:cs="Arial" w:eastAsia="Arial" w:hAnsi="Arial"/>
                <w:sz w:val="17"/>
                <w:szCs w:val="17"/>
                <w:b w:val="1"/>
                <w:bCs w:val="1"/>
                <w:color w:val="auto"/>
              </w:rPr>
              <w:t>Grant Date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8"/>
              </w:rPr>
              <w:t>Shares</w:t>
            </w:r>
          </w:p>
        </w:tc>
        <w:tc>
          <w:tcPr>
            <w:tcW w:w="1620" w:type="dxa"/>
            <w:vAlign w:val="bottom"/>
            <w:tcBorders>
              <w:bottom w:val="single" w:sz="8" w:color="auto"/>
            </w:tcBorders>
          </w:tcPr>
          <w:p>
            <w:pPr>
              <w:jc w:val="center"/>
              <w:ind w:left="35"/>
              <w:spacing w:after="0"/>
              <w:rPr>
                <w:sz w:val="20"/>
                <w:szCs w:val="20"/>
                <w:color w:val="auto"/>
              </w:rPr>
            </w:pPr>
            <w:r>
              <w:rPr>
                <w:rFonts w:ascii="Arial" w:cs="Arial" w:eastAsia="Arial" w:hAnsi="Arial"/>
                <w:sz w:val="17"/>
                <w:szCs w:val="17"/>
                <w:b w:val="1"/>
                <w:bCs w:val="1"/>
                <w:color w:val="auto"/>
                <w:w w:val="99"/>
              </w:rPr>
              <w:t>Life</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Fair Value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tcPr>
          <w:p>
            <w:pPr>
              <w:jc w:val="center"/>
              <w:spacing w:after="0" w:line="183" w:lineRule="exact"/>
              <w:rPr>
                <w:sz w:val="20"/>
                <w:szCs w:val="20"/>
                <w:color w:val="auto"/>
              </w:rPr>
            </w:pPr>
            <w:r>
              <w:rPr>
                <w:rFonts w:ascii="Arial" w:cs="Arial" w:eastAsia="Arial" w:hAnsi="Arial"/>
                <w:sz w:val="17"/>
                <w:szCs w:val="17"/>
                <w:color w:val="auto"/>
              </w:rPr>
              <w:t>(in thousands)</w:t>
            </w:r>
          </w:p>
        </w:tc>
        <w:tc>
          <w:tcPr>
            <w:tcW w:w="1620" w:type="dxa"/>
            <w:vAlign w:val="bottom"/>
          </w:tcPr>
          <w:p>
            <w:pPr>
              <w:jc w:val="center"/>
              <w:ind w:left="15"/>
              <w:spacing w:after="0" w:line="183" w:lineRule="exact"/>
              <w:rPr>
                <w:sz w:val="20"/>
                <w:szCs w:val="20"/>
                <w:color w:val="auto"/>
              </w:rPr>
            </w:pPr>
            <w:r>
              <w:rPr>
                <w:rFonts w:ascii="Arial" w:cs="Arial" w:eastAsia="Arial" w:hAnsi="Arial"/>
                <w:sz w:val="17"/>
                <w:szCs w:val="17"/>
                <w:color w:val="auto"/>
              </w:rPr>
              <w:t>(in years)</w:t>
            </w:r>
          </w:p>
        </w:tc>
        <w:tc>
          <w:tcPr>
            <w:tcW w:w="220" w:type="dxa"/>
            <w:vAlign w:val="bottom"/>
          </w:tcPr>
          <w:p>
            <w:pPr>
              <w:spacing w:after="0"/>
              <w:rPr>
                <w:sz w:val="15"/>
                <w:szCs w:val="15"/>
                <w:color w:val="auto"/>
              </w:rPr>
            </w:pPr>
          </w:p>
        </w:tc>
        <w:tc>
          <w:tcPr>
            <w:tcW w:w="1320" w:type="dxa"/>
            <w:vAlign w:val="bottom"/>
          </w:tcPr>
          <w:p>
            <w:pPr>
              <w:jc w:val="right"/>
              <w:ind w:right="135"/>
              <w:spacing w:after="0" w:line="183" w:lineRule="exact"/>
              <w:rPr>
                <w:sz w:val="20"/>
                <w:szCs w:val="20"/>
                <w:color w:val="auto"/>
              </w:rPr>
            </w:pPr>
            <w:r>
              <w:rPr>
                <w:rFonts w:ascii="Arial" w:cs="Arial" w:eastAsia="Arial" w:hAnsi="Arial"/>
                <w:sz w:val="17"/>
                <w:szCs w:val="17"/>
                <w:color w:val="auto"/>
              </w:rPr>
              <w:t>(per share)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Nonvested at beginning of year</w:t>
            </w:r>
          </w:p>
        </w:tc>
        <w:tc>
          <w:tcPr>
            <w:tcW w:w="114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1,391</w:t>
            </w:r>
          </w:p>
        </w:tc>
        <w:tc>
          <w:tcPr>
            <w:tcW w:w="1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43.95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Pr>
          <w:p>
            <w:pPr>
              <w:spacing w:after="0" w:line="189" w:lineRule="exact"/>
              <w:rPr>
                <w:sz w:val="20"/>
                <w:szCs w:val="20"/>
                <w:color w:val="auto"/>
              </w:rPr>
            </w:pPr>
            <w:r>
              <w:rPr>
                <w:rFonts w:ascii="Arial" w:cs="Arial" w:eastAsia="Arial" w:hAnsi="Arial"/>
                <w:sz w:val="17"/>
                <w:szCs w:val="17"/>
                <w:color w:val="auto"/>
              </w:rPr>
              <w:t>Granted</w:t>
            </w:r>
          </w:p>
        </w:tc>
        <w:tc>
          <w:tcPr>
            <w:tcW w:w="1140" w:type="dxa"/>
            <w:vAlign w:val="bottom"/>
          </w:tcPr>
          <w:p>
            <w:pPr>
              <w:spacing w:after="0"/>
              <w:rPr>
                <w:sz w:val="16"/>
                <w:szCs w:val="16"/>
                <w:color w:val="auto"/>
              </w:rPr>
            </w:pPr>
          </w:p>
        </w:tc>
        <w:tc>
          <w:tcPr>
            <w:tcW w:w="12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1,221</w:t>
            </w: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line="189" w:lineRule="exact"/>
              <w:rPr>
                <w:sz w:val="20"/>
                <w:szCs w:val="20"/>
                <w:color w:val="auto"/>
              </w:rPr>
            </w:pPr>
            <w:r>
              <w:rPr>
                <w:rFonts w:ascii="Arial" w:cs="Arial" w:eastAsia="Arial" w:hAnsi="Arial"/>
                <w:sz w:val="17"/>
                <w:szCs w:val="17"/>
                <w:color w:val="auto"/>
              </w:rPr>
              <w:t>30.60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Vested</w:t>
            </w:r>
          </w:p>
        </w:tc>
        <w:tc>
          <w:tcPr>
            <w:tcW w:w="114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(112)</w:t>
            </w:r>
          </w:p>
        </w:tc>
        <w:tc>
          <w:tcPr>
            <w:tcW w:w="1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55.20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Pr>
          <w:p>
            <w:pPr>
              <w:spacing w:after="0" w:line="189" w:lineRule="exact"/>
              <w:rPr>
                <w:sz w:val="20"/>
                <w:szCs w:val="20"/>
                <w:color w:val="auto"/>
              </w:rPr>
            </w:pPr>
            <w:r>
              <w:rPr>
                <w:rFonts w:ascii="Arial" w:cs="Arial" w:eastAsia="Arial" w:hAnsi="Arial"/>
                <w:sz w:val="15"/>
                <w:szCs w:val="15"/>
                <w:color w:val="auto"/>
              </w:rPr>
              <w:t xml:space="preserve">Performance adjustment </w:t>
            </w:r>
            <w:r>
              <w:rPr>
                <w:rFonts w:ascii="Arial" w:cs="Arial" w:eastAsia="Arial" w:hAnsi="Arial"/>
                <w:sz w:val="21"/>
                <w:szCs w:val="21"/>
                <w:color w:val="auto"/>
                <w:vertAlign w:val="superscript"/>
              </w:rPr>
              <w:t>(1)</w:t>
            </w:r>
          </w:p>
        </w:tc>
        <w:tc>
          <w:tcPr>
            <w:tcW w:w="1140" w:type="dxa"/>
            <w:vAlign w:val="bottom"/>
          </w:tcPr>
          <w:p>
            <w:pPr>
              <w:spacing w:after="0"/>
              <w:rPr>
                <w:sz w:val="16"/>
                <w:szCs w:val="16"/>
                <w:color w:val="auto"/>
              </w:rPr>
            </w:pPr>
          </w:p>
        </w:tc>
        <w:tc>
          <w:tcPr>
            <w:tcW w:w="1260" w:type="dxa"/>
            <w:vAlign w:val="bottom"/>
          </w:tcPr>
          <w:p>
            <w:pPr>
              <w:jc w:val="right"/>
              <w:ind w:right="15"/>
              <w:spacing w:after="0" w:line="189" w:lineRule="exact"/>
              <w:rPr>
                <w:sz w:val="20"/>
                <w:szCs w:val="20"/>
                <w:color w:val="auto"/>
              </w:rPr>
            </w:pPr>
            <w:r>
              <w:rPr>
                <w:rFonts w:ascii="Arial" w:cs="Arial" w:eastAsia="Arial" w:hAnsi="Arial"/>
                <w:sz w:val="17"/>
                <w:szCs w:val="17"/>
                <w:color w:val="auto"/>
              </w:rPr>
              <w:t>(40)</w:t>
            </w: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Forfeited</w:t>
            </w:r>
          </w:p>
        </w:tc>
        <w:tc>
          <w:tcPr>
            <w:tcW w:w="114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(314)</w:t>
            </w:r>
          </w:p>
        </w:tc>
        <w:tc>
          <w:tcPr>
            <w:tcW w:w="16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32.89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Nonvested at October 29, 2022</w:t>
            </w:r>
          </w:p>
        </w:tc>
        <w:tc>
          <w:tcPr>
            <w:tcW w:w="1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2,146</w:t>
            </w:r>
          </w:p>
        </w:tc>
        <w:tc>
          <w:tcPr>
            <w:tcW w:w="1620" w:type="dxa"/>
            <w:vAlign w:val="bottom"/>
            <w:tcBorders>
              <w:bottom w:val="single" w:sz="8" w:color="auto"/>
            </w:tcBorders>
          </w:tcPr>
          <w:p>
            <w:pPr>
              <w:jc w:val="right"/>
              <w:ind w:right="175"/>
              <w:spacing w:after="0" w:line="183" w:lineRule="exact"/>
              <w:rPr>
                <w:sz w:val="20"/>
                <w:szCs w:val="20"/>
                <w:color w:val="auto"/>
              </w:rPr>
            </w:pPr>
            <w:r>
              <w:rPr>
                <w:rFonts w:ascii="Arial" w:cs="Arial" w:eastAsia="Arial" w:hAnsi="Arial"/>
                <w:sz w:val="17"/>
                <w:szCs w:val="17"/>
                <w:color w:val="auto"/>
              </w:rPr>
              <w:t>1.6</w:t>
            </w:r>
          </w:p>
        </w:tc>
        <w:tc>
          <w:tcPr>
            <w:tcW w:w="22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37.15</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vMerge w:val="continue"/>
          </w:tcPr>
          <w:p>
            <w:pPr>
              <w:spacing w:after="0"/>
              <w:rPr>
                <w:sz w:val="16"/>
                <w:szCs w:val="16"/>
                <w:color w:val="auto"/>
              </w:rPr>
            </w:pPr>
          </w:p>
        </w:tc>
        <w:tc>
          <w:tcPr>
            <w:tcW w:w="33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Aggregate value ($ in millions)</w:t>
            </w:r>
          </w:p>
        </w:tc>
        <w:tc>
          <w:tcPr>
            <w:tcW w:w="11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80</w:t>
            </w:r>
          </w:p>
        </w:tc>
        <w:tc>
          <w:tcPr>
            <w:tcW w:w="16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80" w:right="79" w:hanging="330"/>
        <w:spacing w:after="0" w:line="285" w:lineRule="auto"/>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This represents adjustments made to PSUs reflecting changes in estimates based upon our current performance against predefined financial targets.</w:t>
      </w:r>
    </w:p>
    <w:p>
      <w:pPr>
        <w:spacing w:after="0" w:line="148"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 total value of RSU and PSU awards that vested during the thirty-nine weeks ended October 29, 2022 and October 30, 2021 was $6 million and $23 million, respectively. As of October 29, 2022, there was $37 million of total unrecognized compensation cost related to nonvested awards.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Legal Proceedings</w:t>
      </w:r>
    </w:p>
    <w:p>
      <w:pPr>
        <w:spacing w:after="0" w:line="171"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Legal proceedings pending against the Company or its consolidated subsidiaries consist of ordinary, routine litigation, including administrative proceedings, incidental to the business of the Company or businesses that have been sold or discontinued by the Company in past years. These legal proceedings include commercial, intellectual property, customer, environmental, and employment-related claims. Additionally, the Company is a defendant in a purported wage/hour and wage statement violation class action in California.</w:t>
      </w:r>
    </w:p>
    <w:p>
      <w:pPr>
        <w:spacing w:after="0" w:line="176"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We do not believe that the outcome of any such legal proceedings pending against the Company or its consolidated subsidiaries, as described above, would have a material adverse effect on our consolidated financial position, liquidity, or results of operations, taken as a whole, based upon current knowledge and taking into consideration current accruals. Litigation is inherently unpredictable. Judgments could be rendered or settlements made that could adversely affect the Company’s operating results or cash flows in a particular period.</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Subsequent Events</w:t>
      </w:r>
    </w:p>
    <w:p>
      <w:pPr>
        <w:spacing w:after="0" w:line="18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Subsequent to the end of the third quarter, the Company entered into an agreement to sell its shares in Retailors, Ltd. at a discount to the publicly traded value. We expect to receive net proceeds of approximately $84 million in the fourth quarter of 2022.</w:t>
      </w:r>
    </w:p>
    <w:p>
      <w:pPr>
        <w:spacing w:after="0" w:line="385"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2022 Form 10-Q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Business Overview</w:t>
      </w:r>
    </w:p>
    <w:p>
      <w:pPr>
        <w:spacing w:after="0" w:line="21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Foot Locker, Inc. leads the celebration of sneaker and youth culture around the globe through a portfolio of brands including Foot Locker, Lady Foot Locker, Kids Foot Locker, Champs Sports, Eastbay, atmos, WSS, Footaction, and Sidestep. As of October 29, 2022, we operated 2,794 primarily mall-based stores, as well as stores in high-traffic urban retail areas and high streets, in 28 countries across the United States, Canada, Europe, Australia, New Zealand, and Asia, as well as websites and mobile apps. Our purpose is to inspire and empower youth culture around the world, by fueling a shared passion for self-expression and creating unrivaled experiences at the heart of the global sneaker community.</w:t>
      </w:r>
    </w:p>
    <w:p>
      <w:pPr>
        <w:spacing w:after="0" w:line="18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use our omni-channel capabilities to bridge the digital world and physical stores, including order-in-store, buy online and pickup-in-store, and buy online and ship-from-store, as well as e-commerce. We operate websites and mobile apps aligned with the brand names of our store banners including footlocker.com, kidsfootlocker.com, champssports.com, atmosusa.com, shopwss.com and related e-commerce sites in the various international countries that we operate. These sites offer some of the largest online product selections and provide a seamless link between e-commerce and physical stores. We also operate the website for eastbay.com.</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Store Count</w:t>
      </w:r>
    </w:p>
    <w:p>
      <w:pPr>
        <w:spacing w:after="0" w:line="210"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At October 29, 2022, we operated 2,794 stores as compared with 2,858 and 2,956 stores at January 29, 2022 and October 30, 2021, respectively.</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Franchise Operations</w:t>
      </w:r>
    </w:p>
    <w:p>
      <w:pPr>
        <w:spacing w:after="0" w:line="210"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A total of 155 franchised stores were operating at October 29, 2022, as compared with 142 and 136 stores at January 29, 2022 and October 30, 2021, respectively, operating in the Middle East and Asia. Revenue from franchised stores was not significant for any of the periods presented. These stores are not included in the operating store count above.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Leadership Transition</w:t>
      </w:r>
    </w:p>
    <w:p>
      <w:pPr>
        <w:spacing w:after="0" w:line="21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As part of a planned succession process, Richard A. Johnson retired as President and Chief Executive Officer, effective September 1, 2022. Mary N. Dillon, former Executive Chair and CEO of Ulta Beauty, Inc., was appointed President and Chief Executive Officer and a member of the Foot Locker Board, also effective September 1, 2022.</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Reconciliation of Non-GAAP Measures</w:t>
      </w:r>
    </w:p>
    <w:p>
      <w:pPr>
        <w:spacing w:after="0" w:line="185"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In addition to reporting our financial results in accordance with U.S. generally accepted accounting principles (“GAAP”), we report certain financial results that differ from what is reported under GAAP. We have presented certain financial measures identified as non-GAAP, such as sales changes excluding foreign currency fluctuations, adjusted income before income taxes, adjusted net income, and adjusted diluted earnings per share.</w:t>
      </w:r>
    </w:p>
    <w:p>
      <w:pPr>
        <w:spacing w:after="0" w:line="136"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We present certain amounts as excluding the effects of foreign currency fluctuations, which are also considered non-GAAP measures. Where amounts are expressed as excluding the effects of foreign currency fluctuations, such changes are determined by translating all amounts in both years using the prior-year average foreign exchange rates. Presenting amounts on a constant currency basis is useful to investors because it enables them to better understand the changes in our business that are not related to currency movements.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2022 Form 10-Q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These non-GAAP measures are presented because we believe they assist investors in comparing our performance across reporting periods on a consistent basis by excluding items that we do not believe are indicative of our core business or affect comparability. In addition, these non-GAAP measures are useful in assessing our progress in achieving our long-term financial objectives. We estimate the tax effect of all non-GAAP adjustments by applying a marginal tax rate to each item. The income tax items represent the discrete amount that affected the period. The non-GAAP financial information is provided in addition, and not as an alternative, to our reported results prepared in accordance with GAAP.</w:t>
      </w:r>
    </w:p>
    <w:p>
      <w:pPr>
        <w:spacing w:after="0" w:line="158"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Effective with the first quarter of 2022, the calculation for non-GAAP earnings excludes gains and losses from all minority investments, including the adjustments related to the investment in Retailors, Ltd. We believe this is a more representative measure of our recurring earnings, assists in the comparability of results, and is consistent with how management reviews performance. The non-GAAP results for 2021 have been recast, as applicable, to conform to the current year’s presentation. As we report quarterly results through 2022, we will provide updated non-GAAP reconciliations for the corresponding prior year’s quarter under this revised definition.</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Presented below is a reconciliation of GAAP and non-GAAP.</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35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3"/>
          </w:tcPr>
          <w:p>
            <w:pPr>
              <w:jc w:val="right"/>
              <w:ind w:right="375"/>
              <w:spacing w:after="0"/>
              <w:rPr>
                <w:sz w:val="20"/>
                <w:szCs w:val="20"/>
                <w:color w:val="auto"/>
              </w:rPr>
            </w:pPr>
            <w:r>
              <w:rPr>
                <w:rFonts w:ascii="Arial" w:cs="Arial" w:eastAsia="Arial" w:hAnsi="Arial"/>
                <w:sz w:val="17"/>
                <w:szCs w:val="17"/>
                <w:b w:val="1"/>
                <w:bCs w:val="1"/>
                <w:color w:val="auto"/>
              </w:rPr>
              <w:t>Thirteen weeks ended</w:t>
            </w:r>
          </w:p>
        </w:tc>
        <w:tc>
          <w:tcPr>
            <w:tcW w:w="20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175"/>
              <w:spacing w:after="0"/>
              <w:rPr>
                <w:sz w:val="20"/>
                <w:szCs w:val="20"/>
                <w:color w:val="auto"/>
              </w:rPr>
            </w:pPr>
            <w:r>
              <w:rPr>
                <w:rFonts w:ascii="Arial" w:cs="Arial" w:eastAsia="Arial" w:hAnsi="Arial"/>
                <w:sz w:val="17"/>
                <w:szCs w:val="17"/>
                <w:b w:val="1"/>
                <w:bCs w:val="1"/>
                <w:color w:val="auto"/>
              </w:rPr>
              <w:t>Thirty-nine weeks ended</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ind w:right="95"/>
              <w:spacing w:after="0" w:line="160" w:lineRule="exact"/>
              <w:rPr>
                <w:sz w:val="20"/>
                <w:szCs w:val="20"/>
                <w:color w:val="auto"/>
              </w:rPr>
            </w:pPr>
            <w:r>
              <w:rPr>
                <w:rFonts w:ascii="Arial" w:cs="Arial" w:eastAsia="Arial" w:hAnsi="Arial"/>
                <w:sz w:val="17"/>
                <w:szCs w:val="17"/>
                <w:b w:val="1"/>
                <w:bCs w:val="1"/>
                <w:color w:val="auto"/>
                <w:w w:val="98"/>
              </w:rPr>
              <w:t>October 29,</w:t>
            </w:r>
          </w:p>
        </w:tc>
        <w:tc>
          <w:tcPr>
            <w:tcW w:w="240" w:type="dxa"/>
            <w:vAlign w:val="bottom"/>
          </w:tcPr>
          <w:p>
            <w:pPr>
              <w:spacing w:after="0"/>
              <w:rPr>
                <w:sz w:val="13"/>
                <w:szCs w:val="13"/>
                <w:color w:val="auto"/>
              </w:rPr>
            </w:pPr>
          </w:p>
        </w:tc>
        <w:tc>
          <w:tcPr>
            <w:tcW w:w="1140" w:type="dxa"/>
            <w:vAlign w:val="bottom"/>
          </w:tcPr>
          <w:p>
            <w:pPr>
              <w:jc w:val="right"/>
              <w:ind w:right="115"/>
              <w:spacing w:after="0" w:line="160" w:lineRule="exact"/>
              <w:rPr>
                <w:sz w:val="20"/>
                <w:szCs w:val="20"/>
                <w:color w:val="auto"/>
              </w:rPr>
            </w:pPr>
            <w:r>
              <w:rPr>
                <w:rFonts w:ascii="Arial" w:cs="Arial" w:eastAsia="Arial" w:hAnsi="Arial"/>
                <w:sz w:val="17"/>
                <w:szCs w:val="17"/>
                <w:b w:val="1"/>
                <w:bCs w:val="1"/>
                <w:color w:val="auto"/>
                <w:w w:val="98"/>
              </w:rPr>
              <w:t>October 30,</w:t>
            </w:r>
          </w:p>
        </w:tc>
        <w:tc>
          <w:tcPr>
            <w:tcW w:w="200" w:type="dxa"/>
            <w:vAlign w:val="bottom"/>
          </w:tcPr>
          <w:p>
            <w:pPr>
              <w:spacing w:after="0"/>
              <w:rPr>
                <w:sz w:val="13"/>
                <w:szCs w:val="13"/>
                <w:color w:val="auto"/>
              </w:rPr>
            </w:pPr>
          </w:p>
        </w:tc>
        <w:tc>
          <w:tcPr>
            <w:tcW w:w="1120" w:type="dxa"/>
            <w:vAlign w:val="bottom"/>
          </w:tcPr>
          <w:p>
            <w:pPr>
              <w:jc w:val="right"/>
              <w:ind w:right="95"/>
              <w:spacing w:after="0" w:line="160" w:lineRule="exact"/>
              <w:rPr>
                <w:sz w:val="20"/>
                <w:szCs w:val="20"/>
                <w:color w:val="auto"/>
              </w:rPr>
            </w:pPr>
            <w:r>
              <w:rPr>
                <w:rFonts w:ascii="Arial" w:cs="Arial" w:eastAsia="Arial" w:hAnsi="Arial"/>
                <w:sz w:val="17"/>
                <w:szCs w:val="17"/>
                <w:b w:val="1"/>
                <w:bCs w:val="1"/>
                <w:color w:val="auto"/>
                <w:w w:val="98"/>
              </w:rPr>
              <w:t>October 29,</w:t>
            </w:r>
          </w:p>
        </w:tc>
        <w:tc>
          <w:tcPr>
            <w:tcW w:w="240" w:type="dxa"/>
            <w:vAlign w:val="bottom"/>
          </w:tcPr>
          <w:p>
            <w:pPr>
              <w:spacing w:after="0"/>
              <w:rPr>
                <w:sz w:val="13"/>
                <w:szCs w:val="13"/>
                <w:color w:val="auto"/>
              </w:rPr>
            </w:pPr>
          </w:p>
        </w:tc>
        <w:tc>
          <w:tcPr>
            <w:tcW w:w="1060" w:type="dxa"/>
            <w:vAlign w:val="bottom"/>
          </w:tcPr>
          <w:p>
            <w:pPr>
              <w:jc w:val="right"/>
              <w:ind w:right="35"/>
              <w:spacing w:after="0" w:line="160" w:lineRule="exact"/>
              <w:rPr>
                <w:sz w:val="20"/>
                <w:szCs w:val="20"/>
                <w:color w:val="auto"/>
              </w:rPr>
            </w:pPr>
            <w:r>
              <w:rPr>
                <w:rFonts w:ascii="Arial" w:cs="Arial" w:eastAsia="Arial" w:hAnsi="Arial"/>
                <w:sz w:val="17"/>
                <w:szCs w:val="17"/>
                <w:b w:val="1"/>
                <w:bCs w:val="1"/>
                <w:color w:val="auto"/>
                <w:w w:val="98"/>
              </w:rPr>
              <w:t>October 30,</w:t>
            </w:r>
          </w:p>
        </w:tc>
        <w:tc>
          <w:tcPr>
            <w:tcW w:w="0" w:type="dxa"/>
            <w:vAlign w:val="bottom"/>
          </w:tcPr>
          <w:p>
            <w:pPr>
              <w:spacing w:after="0"/>
              <w:rPr>
                <w:sz w:val="1"/>
                <w:szCs w:val="1"/>
                <w:color w:val="auto"/>
              </w:rPr>
            </w:pPr>
          </w:p>
        </w:tc>
      </w:tr>
      <w:tr>
        <w:trPr>
          <w:trHeight w:val="211"/>
        </w:trPr>
        <w:tc>
          <w:tcPr>
            <w:tcW w:w="3580" w:type="dxa"/>
            <w:vAlign w:val="bottom"/>
            <w:gridSpan w:val="2"/>
          </w:tcPr>
          <w:p>
            <w:pPr>
              <w:spacing w:after="0"/>
              <w:rPr>
                <w:sz w:val="20"/>
                <w:szCs w:val="20"/>
                <w:color w:val="auto"/>
              </w:rPr>
            </w:pPr>
            <w:r>
              <w:rPr>
                <w:rFonts w:ascii="Arial" w:cs="Arial" w:eastAsia="Arial" w:hAnsi="Arial"/>
                <w:sz w:val="17"/>
                <w:szCs w:val="17"/>
                <w:color w:val="auto"/>
              </w:rPr>
              <w:t>($ in millions, except per share amounts)</w:t>
            </w:r>
          </w:p>
        </w:tc>
        <w:tc>
          <w:tcPr>
            <w:tcW w:w="200" w:type="dxa"/>
            <w:vAlign w:val="bottom"/>
          </w:tcPr>
          <w:p>
            <w:pPr>
              <w:spacing w:after="0"/>
              <w:rPr>
                <w:sz w:val="18"/>
                <w:szCs w:val="18"/>
                <w:color w:val="auto"/>
              </w:rPr>
            </w:pPr>
          </w:p>
        </w:tc>
        <w:tc>
          <w:tcPr>
            <w:tcW w:w="1120" w:type="dxa"/>
            <w:vAlign w:val="bottom"/>
          </w:tcPr>
          <w:p>
            <w:pPr>
              <w:jc w:val="right"/>
              <w:ind w:right="375"/>
              <w:spacing w:after="0"/>
              <w:rPr>
                <w:sz w:val="20"/>
                <w:szCs w:val="20"/>
                <w:color w:val="auto"/>
              </w:rPr>
            </w:pPr>
            <w:r>
              <w:rPr>
                <w:rFonts w:ascii="Arial" w:cs="Arial" w:eastAsia="Arial" w:hAnsi="Arial"/>
                <w:sz w:val="17"/>
                <w:szCs w:val="17"/>
                <w:b w:val="1"/>
                <w:bCs w:val="1"/>
                <w:color w:val="auto"/>
              </w:rPr>
              <w:t>2022</w:t>
            </w:r>
          </w:p>
        </w:tc>
        <w:tc>
          <w:tcPr>
            <w:tcW w:w="240" w:type="dxa"/>
            <w:vAlign w:val="bottom"/>
          </w:tcPr>
          <w:p>
            <w:pPr>
              <w:spacing w:after="0"/>
              <w:rPr>
                <w:sz w:val="18"/>
                <w:szCs w:val="18"/>
                <w:color w:val="auto"/>
              </w:rPr>
            </w:pPr>
          </w:p>
        </w:tc>
        <w:tc>
          <w:tcPr>
            <w:tcW w:w="1140" w:type="dxa"/>
            <w:vAlign w:val="bottom"/>
          </w:tcPr>
          <w:p>
            <w:pPr>
              <w:jc w:val="right"/>
              <w:ind w:right="395"/>
              <w:spacing w:after="0"/>
              <w:rPr>
                <w:sz w:val="20"/>
                <w:szCs w:val="20"/>
                <w:color w:val="auto"/>
              </w:rPr>
            </w:pPr>
            <w:r>
              <w:rPr>
                <w:rFonts w:ascii="Arial" w:cs="Arial" w:eastAsia="Arial" w:hAnsi="Arial"/>
                <w:sz w:val="17"/>
                <w:szCs w:val="17"/>
                <w:b w:val="1"/>
                <w:bCs w:val="1"/>
                <w:color w:val="auto"/>
              </w:rPr>
              <w:t>2021</w:t>
            </w:r>
          </w:p>
        </w:tc>
        <w:tc>
          <w:tcPr>
            <w:tcW w:w="200" w:type="dxa"/>
            <w:vAlign w:val="bottom"/>
          </w:tcPr>
          <w:p>
            <w:pPr>
              <w:spacing w:after="0"/>
              <w:rPr>
                <w:sz w:val="18"/>
                <w:szCs w:val="18"/>
                <w:color w:val="auto"/>
              </w:rPr>
            </w:pPr>
          </w:p>
        </w:tc>
        <w:tc>
          <w:tcPr>
            <w:tcW w:w="1120" w:type="dxa"/>
            <w:vAlign w:val="bottom"/>
          </w:tcPr>
          <w:p>
            <w:pPr>
              <w:jc w:val="right"/>
              <w:ind w:right="375"/>
              <w:spacing w:after="0"/>
              <w:rPr>
                <w:sz w:val="20"/>
                <w:szCs w:val="20"/>
                <w:color w:val="auto"/>
              </w:rPr>
            </w:pPr>
            <w:r>
              <w:rPr>
                <w:rFonts w:ascii="Arial" w:cs="Arial" w:eastAsia="Arial" w:hAnsi="Arial"/>
                <w:sz w:val="17"/>
                <w:szCs w:val="17"/>
                <w:b w:val="1"/>
                <w:bCs w:val="1"/>
                <w:color w:val="auto"/>
              </w:rPr>
              <w:t>2022</w:t>
            </w:r>
          </w:p>
        </w:tc>
        <w:tc>
          <w:tcPr>
            <w:tcW w:w="240" w:type="dxa"/>
            <w:vAlign w:val="bottom"/>
          </w:tcPr>
          <w:p>
            <w:pPr>
              <w:spacing w:after="0"/>
              <w:rPr>
                <w:sz w:val="18"/>
                <w:szCs w:val="18"/>
                <w:color w:val="auto"/>
              </w:rPr>
            </w:pPr>
          </w:p>
        </w:tc>
        <w:tc>
          <w:tcPr>
            <w:tcW w:w="1060" w:type="dxa"/>
            <w:vAlign w:val="bottom"/>
          </w:tcPr>
          <w:p>
            <w:pPr>
              <w:jc w:val="right"/>
              <w:ind w:right="315"/>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Pre-tax income:</w:t>
            </w:r>
          </w:p>
        </w:tc>
        <w:tc>
          <w:tcPr>
            <w:tcW w:w="2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tcPr>
          <w:p>
            <w:pPr>
              <w:spacing w:after="0" w:line="189" w:lineRule="exact"/>
              <w:rPr>
                <w:sz w:val="20"/>
                <w:szCs w:val="20"/>
                <w:color w:val="auto"/>
              </w:rPr>
            </w:pPr>
            <w:r>
              <w:rPr>
                <w:rFonts w:ascii="Arial" w:cs="Arial" w:eastAsia="Arial" w:hAnsi="Arial"/>
                <w:sz w:val="17"/>
                <w:szCs w:val="17"/>
                <w:color w:val="auto"/>
              </w:rPr>
              <w:t>Income before income taxes</w:t>
            </w:r>
          </w:p>
        </w:tc>
        <w:tc>
          <w:tcPr>
            <w:tcW w:w="2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2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143</w:t>
            </w:r>
          </w:p>
        </w:tc>
        <w:tc>
          <w:tcPr>
            <w:tcW w:w="2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140" w:type="dxa"/>
            <w:vAlign w:val="bottom"/>
          </w:tcPr>
          <w:p>
            <w:pPr>
              <w:jc w:val="right"/>
              <w:ind w:right="75"/>
              <w:spacing w:after="0" w:line="189" w:lineRule="exact"/>
              <w:rPr>
                <w:sz w:val="20"/>
                <w:szCs w:val="20"/>
                <w:color w:val="auto"/>
              </w:rPr>
            </w:pPr>
            <w:r>
              <w:rPr>
                <w:rFonts w:ascii="Arial" w:cs="Arial" w:eastAsia="Arial" w:hAnsi="Arial"/>
                <w:sz w:val="17"/>
                <w:szCs w:val="17"/>
                <w:color w:val="auto"/>
              </w:rPr>
              <w:t>222</w:t>
            </w:r>
          </w:p>
        </w:tc>
        <w:tc>
          <w:tcPr>
            <w:tcW w:w="2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2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476</w:t>
            </w:r>
          </w:p>
        </w:tc>
        <w:tc>
          <w:tcPr>
            <w:tcW w:w="2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1,093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Pre-tax amounts excluded from GAAP:</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tcPr>
          <w:p>
            <w:pPr>
              <w:ind w:left="200"/>
              <w:spacing w:after="0" w:line="189" w:lineRule="exact"/>
              <w:rPr>
                <w:sz w:val="20"/>
                <w:szCs w:val="20"/>
                <w:color w:val="auto"/>
              </w:rPr>
            </w:pPr>
            <w:r>
              <w:rPr>
                <w:rFonts w:ascii="Arial" w:cs="Arial" w:eastAsia="Arial" w:hAnsi="Arial"/>
                <w:sz w:val="17"/>
                <w:szCs w:val="17"/>
                <w:color w:val="auto"/>
              </w:rPr>
              <w:t>Impairment and other charges</w:t>
            </w:r>
          </w:p>
        </w:tc>
        <w:tc>
          <w:tcPr>
            <w:tcW w:w="200" w:type="dxa"/>
            <w:vAlign w:val="bottom"/>
          </w:tcPr>
          <w:p>
            <w:pPr>
              <w:spacing w:after="0"/>
              <w:rPr>
                <w:sz w:val="16"/>
                <w:szCs w:val="16"/>
                <w:color w:val="auto"/>
              </w:rPr>
            </w:pPr>
          </w:p>
        </w:tc>
        <w:tc>
          <w:tcPr>
            <w:tcW w:w="112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20</w:t>
            </w:r>
          </w:p>
        </w:tc>
        <w:tc>
          <w:tcPr>
            <w:tcW w:w="240" w:type="dxa"/>
            <w:vAlign w:val="bottom"/>
          </w:tcPr>
          <w:p>
            <w:pPr>
              <w:spacing w:after="0"/>
              <w:rPr>
                <w:sz w:val="16"/>
                <w:szCs w:val="16"/>
                <w:color w:val="auto"/>
              </w:rPr>
            </w:pPr>
          </w:p>
        </w:tc>
        <w:tc>
          <w:tcPr>
            <w:tcW w:w="1140" w:type="dxa"/>
            <w:vAlign w:val="bottom"/>
          </w:tcPr>
          <w:p>
            <w:pPr>
              <w:jc w:val="right"/>
              <w:ind w:right="75"/>
              <w:spacing w:after="0" w:line="189" w:lineRule="exact"/>
              <w:rPr>
                <w:sz w:val="20"/>
                <w:szCs w:val="20"/>
                <w:color w:val="auto"/>
              </w:rPr>
            </w:pPr>
            <w:r>
              <w:rPr>
                <w:rFonts w:ascii="Arial" w:cs="Arial" w:eastAsia="Arial" w:hAnsi="Arial"/>
                <w:sz w:val="17"/>
                <w:szCs w:val="17"/>
                <w:color w:val="auto"/>
              </w:rPr>
              <w:t>57</w:t>
            </w:r>
          </w:p>
        </w:tc>
        <w:tc>
          <w:tcPr>
            <w:tcW w:w="200" w:type="dxa"/>
            <w:vAlign w:val="bottom"/>
          </w:tcPr>
          <w:p>
            <w:pPr>
              <w:spacing w:after="0"/>
              <w:rPr>
                <w:sz w:val="16"/>
                <w:szCs w:val="16"/>
                <w:color w:val="auto"/>
              </w:rPr>
            </w:pPr>
          </w:p>
        </w:tc>
        <w:tc>
          <w:tcPr>
            <w:tcW w:w="112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38</w:t>
            </w:r>
          </w:p>
        </w:tc>
        <w:tc>
          <w:tcPr>
            <w:tcW w:w="24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tcBorders>
              <w:bottom w:val="single" w:sz="8" w:color="auto"/>
            </w:tcBorders>
            <w:shd w:val="clear" w:color="auto" w:fill="CCEEFF"/>
          </w:tcPr>
          <w:p>
            <w:pPr>
              <w:ind w:left="200"/>
              <w:spacing w:after="0" w:line="189" w:lineRule="exact"/>
              <w:rPr>
                <w:sz w:val="20"/>
                <w:szCs w:val="20"/>
                <w:color w:val="auto"/>
              </w:rPr>
            </w:pPr>
            <w:r>
              <w:rPr>
                <w:rFonts w:ascii="Arial" w:cs="Arial" w:eastAsia="Arial" w:hAnsi="Arial"/>
                <w:sz w:val="17"/>
                <w:szCs w:val="17"/>
                <w:color w:val="auto"/>
              </w:rPr>
              <w:t>Other income / expense, net</w:t>
            </w:r>
          </w:p>
        </w:tc>
        <w:tc>
          <w:tcPr>
            <w:tcW w:w="2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14</w:t>
            </w: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(27)</w:t>
            </w:r>
          </w:p>
        </w:tc>
        <w:tc>
          <w:tcPr>
            <w:tcW w:w="2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32</w:t>
            </w:r>
          </w:p>
        </w:tc>
        <w:tc>
          <w:tcPr>
            <w:tcW w:w="2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(347)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60" w:type="dxa"/>
            <w:vAlign w:val="bottom"/>
          </w:tcPr>
          <w:p>
            <w:pPr>
              <w:spacing w:after="0" w:line="160" w:lineRule="exact"/>
              <w:rPr>
                <w:sz w:val="20"/>
                <w:szCs w:val="20"/>
                <w:color w:val="auto"/>
              </w:rPr>
            </w:pPr>
            <w:r>
              <w:rPr>
                <w:rFonts w:ascii="Arial" w:cs="Arial" w:eastAsia="Arial" w:hAnsi="Arial"/>
                <w:sz w:val="17"/>
                <w:szCs w:val="17"/>
                <w:color w:val="auto"/>
              </w:rPr>
              <w:t>Adjusted income before income taxes (non-</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3580" w:type="dxa"/>
            <w:vAlign w:val="bottom"/>
            <w:gridSpan w:val="2"/>
          </w:tcPr>
          <w:p>
            <w:pPr>
              <w:spacing w:after="0"/>
              <w:rPr>
                <w:sz w:val="20"/>
                <w:szCs w:val="20"/>
                <w:color w:val="auto"/>
              </w:rPr>
            </w:pPr>
            <w:r>
              <w:rPr>
                <w:rFonts w:ascii="Arial" w:cs="Arial" w:eastAsia="Arial" w:hAnsi="Arial"/>
                <w:sz w:val="17"/>
                <w:szCs w:val="17"/>
                <w:color w:val="auto"/>
              </w:rPr>
              <w:t>GAAP)</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tcPr>
          <w:p>
            <w:pPr>
              <w:jc w:val="right"/>
              <w:ind w:right="35"/>
              <w:spacing w:after="0"/>
              <w:rPr>
                <w:sz w:val="20"/>
                <w:szCs w:val="20"/>
                <w:color w:val="auto"/>
              </w:rPr>
            </w:pPr>
            <w:r>
              <w:rPr>
                <w:rFonts w:ascii="Arial" w:cs="Arial" w:eastAsia="Arial" w:hAnsi="Arial"/>
                <w:sz w:val="17"/>
                <w:szCs w:val="17"/>
                <w:b w:val="1"/>
                <w:bCs w:val="1"/>
                <w:color w:val="auto"/>
              </w:rPr>
              <w:t>177</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252</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tcPr>
          <w:p>
            <w:pPr>
              <w:jc w:val="right"/>
              <w:ind w:right="35"/>
              <w:spacing w:after="0"/>
              <w:rPr>
                <w:sz w:val="20"/>
                <w:szCs w:val="20"/>
                <w:color w:val="auto"/>
              </w:rPr>
            </w:pPr>
            <w:r>
              <w:rPr>
                <w:rFonts w:ascii="Arial" w:cs="Arial" w:eastAsia="Arial" w:hAnsi="Arial"/>
                <w:sz w:val="17"/>
                <w:szCs w:val="17"/>
                <w:b w:val="1"/>
                <w:bCs w:val="1"/>
                <w:color w:val="auto"/>
              </w:rPr>
              <w:t>546</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843</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5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560" w:type="dxa"/>
            <w:vAlign w:val="bottom"/>
          </w:tcPr>
          <w:p>
            <w:pPr>
              <w:spacing w:after="0" w:line="189" w:lineRule="exact"/>
              <w:rPr>
                <w:sz w:val="20"/>
                <w:szCs w:val="20"/>
                <w:color w:val="auto"/>
              </w:rPr>
            </w:pPr>
            <w:r>
              <w:rPr>
                <w:rFonts w:ascii="Arial" w:cs="Arial" w:eastAsia="Arial" w:hAnsi="Arial"/>
                <w:sz w:val="17"/>
                <w:szCs w:val="17"/>
                <w:b w:val="1"/>
                <w:bCs w:val="1"/>
                <w:color w:val="auto"/>
              </w:rPr>
              <w:t>After-tax income:</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income attributable to Foot Locker, Inc.</w:t>
            </w: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96</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158</w:t>
            </w: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323</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790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tcPr>
          <w:p>
            <w:pPr>
              <w:spacing w:after="0" w:line="189" w:lineRule="exact"/>
              <w:rPr>
                <w:sz w:val="20"/>
                <w:szCs w:val="20"/>
                <w:color w:val="auto"/>
              </w:rPr>
            </w:pPr>
            <w:r>
              <w:rPr>
                <w:rFonts w:ascii="Arial" w:cs="Arial" w:eastAsia="Arial" w:hAnsi="Arial"/>
                <w:sz w:val="17"/>
                <w:szCs w:val="17"/>
                <w:color w:val="auto"/>
              </w:rPr>
              <w:t>After-tax adjustments excluded from GAAP:</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shd w:val="clear" w:color="auto" w:fill="CCEEFF"/>
          </w:tcPr>
          <w:p>
            <w:pPr>
              <w:ind w:left="200"/>
              <w:spacing w:after="0" w:line="167" w:lineRule="exact"/>
              <w:rPr>
                <w:sz w:val="20"/>
                <w:szCs w:val="20"/>
                <w:color w:val="auto"/>
              </w:rPr>
            </w:pPr>
            <w:r>
              <w:rPr>
                <w:rFonts w:ascii="Arial" w:cs="Arial" w:eastAsia="Arial" w:hAnsi="Arial"/>
                <w:sz w:val="17"/>
                <w:szCs w:val="17"/>
                <w:color w:val="auto"/>
              </w:rPr>
              <w:t>Impairment and other charges, net of</w:t>
            </w: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income tax benefit of $5, $14, $10, and</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$24 million, respectively</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15</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43</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28</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tcPr>
          <w:p>
            <w:pPr>
              <w:ind w:left="200"/>
              <w:spacing w:after="0" w:line="167" w:lineRule="exact"/>
              <w:rPr>
                <w:sz w:val="20"/>
                <w:szCs w:val="20"/>
                <w:color w:val="auto"/>
              </w:rPr>
            </w:pPr>
            <w:r>
              <w:rPr>
                <w:rFonts w:ascii="Arial" w:cs="Arial" w:eastAsia="Arial" w:hAnsi="Arial"/>
                <w:sz w:val="17"/>
                <w:szCs w:val="17"/>
                <w:color w:val="auto"/>
              </w:rPr>
              <w:t>Other income / expense, net of income tax</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tcPr>
          <w:p>
            <w:pPr>
              <w:ind w:left="200"/>
              <w:spacing w:after="0" w:line="189" w:lineRule="exact"/>
              <w:rPr>
                <w:sz w:val="20"/>
                <w:szCs w:val="20"/>
                <w:color w:val="auto"/>
              </w:rPr>
            </w:pPr>
            <w:r>
              <w:rPr>
                <w:rFonts w:ascii="Arial" w:cs="Arial" w:eastAsia="Arial" w:hAnsi="Arial"/>
                <w:sz w:val="17"/>
                <w:szCs w:val="17"/>
                <w:color w:val="auto"/>
              </w:rPr>
              <w:t>benefit/(expense) of $4, ($7), $7, and $(91)</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560" w:type="dxa"/>
            <w:vAlign w:val="bottom"/>
          </w:tcPr>
          <w:p>
            <w:pPr>
              <w:ind w:left="200"/>
              <w:spacing w:after="0"/>
              <w:rPr>
                <w:sz w:val="20"/>
                <w:szCs w:val="20"/>
                <w:color w:val="auto"/>
              </w:rPr>
            </w:pPr>
            <w:r>
              <w:rPr>
                <w:rFonts w:ascii="Arial" w:cs="Arial" w:eastAsia="Arial" w:hAnsi="Arial"/>
                <w:sz w:val="17"/>
                <w:szCs w:val="17"/>
                <w:color w:val="auto"/>
              </w:rPr>
              <w:t>million, respectively</w:t>
            </w:r>
          </w:p>
        </w:tc>
        <w:tc>
          <w:tcPr>
            <w:tcW w:w="20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b w:val="1"/>
                <w:bCs w:val="1"/>
                <w:color w:val="auto"/>
              </w:rPr>
              <w:t>10</w:t>
            </w:r>
          </w:p>
        </w:tc>
        <w:tc>
          <w:tcPr>
            <w:tcW w:w="240" w:type="dxa"/>
            <w:vAlign w:val="bottom"/>
          </w:tcPr>
          <w:p>
            <w:pPr>
              <w:spacing w:after="0"/>
              <w:rPr>
                <w:sz w:val="18"/>
                <w:szCs w:val="18"/>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(20)</w:t>
            </w:r>
          </w:p>
        </w:tc>
        <w:tc>
          <w:tcPr>
            <w:tcW w:w="20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b w:val="1"/>
                <w:bCs w:val="1"/>
                <w:color w:val="auto"/>
              </w:rPr>
              <w:t>25</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(256)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tcBorders>
              <w:bottom w:val="single" w:sz="8" w:color="auto"/>
            </w:tcBorders>
            <w:shd w:val="clear" w:color="auto" w:fill="CCEEFF"/>
          </w:tcPr>
          <w:p>
            <w:pPr>
              <w:ind w:left="200"/>
              <w:spacing w:after="0" w:line="189" w:lineRule="exact"/>
              <w:rPr>
                <w:sz w:val="20"/>
                <w:szCs w:val="20"/>
                <w:color w:val="auto"/>
              </w:rPr>
            </w:pPr>
            <w:r>
              <w:rPr>
                <w:rFonts w:ascii="Arial" w:cs="Arial" w:eastAsia="Arial" w:hAnsi="Arial"/>
                <w:sz w:val="17"/>
                <w:szCs w:val="17"/>
                <w:color w:val="auto"/>
              </w:rPr>
              <w:t>Tax reserves charge</w:t>
            </w:r>
          </w:p>
        </w:tc>
        <w:tc>
          <w:tcPr>
            <w:tcW w:w="2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5</w:t>
            </w:r>
          </w:p>
        </w:tc>
        <w:tc>
          <w:tcPr>
            <w:tcW w:w="2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Adjusted net income (non-GAAP)</w:t>
            </w:r>
          </w:p>
        </w:tc>
        <w:tc>
          <w:tcPr>
            <w:tcW w:w="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121</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181</w:t>
            </w:r>
          </w:p>
        </w:tc>
        <w:tc>
          <w:tcPr>
            <w:tcW w:w="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381</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607</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3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560" w:type="dxa"/>
            <w:vAlign w:val="bottom"/>
          </w:tcPr>
          <w:p>
            <w:pPr>
              <w:spacing w:after="0" w:line="189" w:lineRule="exact"/>
              <w:rPr>
                <w:sz w:val="20"/>
                <w:szCs w:val="20"/>
                <w:color w:val="auto"/>
              </w:rPr>
            </w:pPr>
            <w:r>
              <w:rPr>
                <w:rFonts w:ascii="Arial" w:cs="Arial" w:eastAsia="Arial" w:hAnsi="Arial"/>
                <w:sz w:val="17"/>
                <w:szCs w:val="17"/>
                <w:b w:val="1"/>
                <w:bCs w:val="1"/>
                <w:color w:val="auto"/>
              </w:rPr>
              <w:t>Earnings per share:</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Diluted earnings per share</w:t>
            </w: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1.01</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1.52</w:t>
            </w: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3.38</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7.54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tcPr>
          <w:p>
            <w:pPr>
              <w:spacing w:after="0" w:line="189" w:lineRule="exact"/>
              <w:rPr>
                <w:sz w:val="20"/>
                <w:szCs w:val="20"/>
                <w:color w:val="auto"/>
              </w:rPr>
            </w:pPr>
            <w:r>
              <w:rPr>
                <w:rFonts w:ascii="Arial" w:cs="Arial" w:eastAsia="Arial" w:hAnsi="Arial"/>
                <w:sz w:val="17"/>
                <w:szCs w:val="17"/>
                <w:color w:val="auto"/>
              </w:rPr>
              <w:t>Diluted EPS amounts excluded from GAAP:</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Impairment and other charges</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0.16</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0.41</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0.29</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0.69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tcPr>
          <w:p>
            <w:pPr>
              <w:ind w:left="200"/>
              <w:spacing w:after="0" w:line="189" w:lineRule="exact"/>
              <w:rPr>
                <w:sz w:val="20"/>
                <w:szCs w:val="20"/>
                <w:color w:val="auto"/>
              </w:rPr>
            </w:pPr>
            <w:r>
              <w:rPr>
                <w:rFonts w:ascii="Arial" w:cs="Arial" w:eastAsia="Arial" w:hAnsi="Arial"/>
                <w:sz w:val="17"/>
                <w:szCs w:val="17"/>
                <w:color w:val="auto"/>
              </w:rPr>
              <w:t>Other income / expense, net</w:t>
            </w:r>
          </w:p>
        </w:tc>
        <w:tc>
          <w:tcPr>
            <w:tcW w:w="200" w:type="dxa"/>
            <w:vAlign w:val="bottom"/>
          </w:tcPr>
          <w:p>
            <w:pPr>
              <w:spacing w:after="0"/>
              <w:rPr>
                <w:sz w:val="16"/>
                <w:szCs w:val="16"/>
                <w:color w:val="auto"/>
              </w:rPr>
            </w:pPr>
          </w:p>
        </w:tc>
        <w:tc>
          <w:tcPr>
            <w:tcW w:w="112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0.10</w:t>
            </w:r>
          </w:p>
        </w:tc>
        <w:tc>
          <w:tcPr>
            <w:tcW w:w="240" w:type="dxa"/>
            <w:vAlign w:val="bottom"/>
          </w:tcPr>
          <w:p>
            <w:pPr>
              <w:spacing w:after="0"/>
              <w:rPr>
                <w:sz w:val="16"/>
                <w:szCs w:val="16"/>
                <w:color w:val="auto"/>
              </w:rPr>
            </w:pPr>
          </w:p>
        </w:tc>
        <w:tc>
          <w:tcPr>
            <w:tcW w:w="1140" w:type="dxa"/>
            <w:vAlign w:val="bottom"/>
          </w:tcPr>
          <w:p>
            <w:pPr>
              <w:jc w:val="right"/>
              <w:ind w:right="15"/>
              <w:spacing w:after="0" w:line="189" w:lineRule="exact"/>
              <w:rPr>
                <w:sz w:val="20"/>
                <w:szCs w:val="20"/>
                <w:color w:val="auto"/>
              </w:rPr>
            </w:pPr>
            <w:r>
              <w:rPr>
                <w:rFonts w:ascii="Arial" w:cs="Arial" w:eastAsia="Arial" w:hAnsi="Arial"/>
                <w:sz w:val="17"/>
                <w:szCs w:val="17"/>
                <w:color w:val="auto"/>
              </w:rPr>
              <w:t>(0.19)</w:t>
            </w:r>
          </w:p>
        </w:tc>
        <w:tc>
          <w:tcPr>
            <w:tcW w:w="200" w:type="dxa"/>
            <w:vAlign w:val="bottom"/>
          </w:tcPr>
          <w:p>
            <w:pPr>
              <w:spacing w:after="0"/>
              <w:rPr>
                <w:sz w:val="16"/>
                <w:szCs w:val="16"/>
                <w:color w:val="auto"/>
              </w:rPr>
            </w:pPr>
          </w:p>
        </w:tc>
        <w:tc>
          <w:tcPr>
            <w:tcW w:w="112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0.26</w:t>
            </w:r>
          </w:p>
        </w:tc>
        <w:tc>
          <w:tcPr>
            <w:tcW w:w="24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(2.43)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tcBorders>
              <w:bottom w:val="single" w:sz="8" w:color="auto"/>
            </w:tcBorders>
            <w:shd w:val="clear" w:color="auto" w:fill="CCEEFF"/>
          </w:tcPr>
          <w:p>
            <w:pPr>
              <w:ind w:left="200"/>
              <w:spacing w:after="0" w:line="189" w:lineRule="exact"/>
              <w:rPr>
                <w:sz w:val="20"/>
                <w:szCs w:val="20"/>
                <w:color w:val="auto"/>
              </w:rPr>
            </w:pPr>
            <w:r>
              <w:rPr>
                <w:rFonts w:ascii="Arial" w:cs="Arial" w:eastAsia="Arial" w:hAnsi="Arial"/>
                <w:sz w:val="17"/>
                <w:szCs w:val="17"/>
                <w:color w:val="auto"/>
              </w:rPr>
              <w:t>Tax reserves charge</w:t>
            </w:r>
          </w:p>
        </w:tc>
        <w:tc>
          <w:tcPr>
            <w:tcW w:w="2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0.05</w:t>
            </w:r>
          </w:p>
        </w:tc>
        <w:tc>
          <w:tcPr>
            <w:tcW w:w="2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60" w:type="dxa"/>
            <w:vAlign w:val="bottom"/>
          </w:tcPr>
          <w:p>
            <w:pPr>
              <w:spacing w:after="0" w:line="160" w:lineRule="exact"/>
              <w:rPr>
                <w:sz w:val="20"/>
                <w:szCs w:val="20"/>
                <w:color w:val="auto"/>
              </w:rPr>
            </w:pPr>
            <w:r>
              <w:rPr>
                <w:rFonts w:ascii="Arial" w:cs="Arial" w:eastAsia="Arial" w:hAnsi="Arial"/>
                <w:sz w:val="17"/>
                <w:szCs w:val="17"/>
                <w:color w:val="auto"/>
              </w:rPr>
              <w:t>Adjusted diluted earnings per share (non-</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3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GAAP)</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1.27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1.74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3.98</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 xml:space="preserve">During the thirteen and thirty-nine weeks ended October 29, 2022, we recorded pre-tax charges of $20 million and $38 million, respectively, classified as Impairment and Other. See the </w:t>
      </w:r>
      <w:r>
        <w:rPr>
          <w:rFonts w:ascii="Arial" w:cs="Arial" w:eastAsia="Arial" w:hAnsi="Arial"/>
          <w:sz w:val="18"/>
          <w:szCs w:val="18"/>
          <w:i w:val="1"/>
          <w:iCs w:val="1"/>
          <w:color w:val="auto"/>
        </w:rPr>
        <w:t>Impairment and Other Charges</w:t>
      </w:r>
      <w:r>
        <w:rPr>
          <w:rFonts w:ascii="Arial" w:cs="Arial" w:eastAsia="Arial" w:hAnsi="Arial"/>
          <w:sz w:val="18"/>
          <w:szCs w:val="18"/>
          <w:color w:val="auto"/>
        </w:rPr>
        <w:t xml:space="preserve"> section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Third Quarter 2022 Form 10-Q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 xml:space="preserve">The adjustments made to other income / (expense), net reflect gains or losses primarily associated with our minority investments. See the </w:t>
      </w:r>
      <w:r>
        <w:rPr>
          <w:rFonts w:ascii="Arial" w:cs="Arial" w:eastAsia="Arial" w:hAnsi="Arial"/>
          <w:sz w:val="18"/>
          <w:szCs w:val="18"/>
          <w:i w:val="1"/>
          <w:iCs w:val="1"/>
          <w:color w:val="auto"/>
        </w:rPr>
        <w:t>Other Income / (Expense), net</w:t>
      </w:r>
      <w:r>
        <w:rPr>
          <w:rFonts w:ascii="Arial" w:cs="Arial" w:eastAsia="Arial" w:hAnsi="Arial"/>
          <w:sz w:val="18"/>
          <w:szCs w:val="18"/>
          <w:color w:val="auto"/>
        </w:rPr>
        <w:t xml:space="preserve"> section for further information.</w:t>
      </w:r>
    </w:p>
    <w:p>
      <w:pPr>
        <w:spacing w:after="0" w:line="15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In the second quarter of 2022, we recorded a $5 million charge related to our income tax reserves due to the resolution of a foreign tax settlement.</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 Reporting</w:t>
      </w:r>
    </w:p>
    <w:p>
      <w:pPr>
        <w:spacing w:after="0" w:line="212"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We have determined that we have three operating segments, North America, EMEA, and Asia Pacific. Our North America operating segment includes the results of the following banners operating in the U.S. and Canada: Foot Locker, Kids Foot Locker, Lady Foot Locker, Champs Sports, WSS, and Footaction, including each of their related e -commerce businesses, as well as our Eastbay business. Our EMEA operating segment includes the results of the following banners operating in Europe: Foot Locker, Sidestep, and Kids Foot Locker, including each of their related e-commerce businesses. Our Asia Pacific operating segment includes the results of the Foot Locker banner and its related e-commerce business operating in Australia, New Zealand, and Asia, as well as atmos, which operates primarily in Asia. We have further aggregated these operating segments into one reportable segment based upon their shared customer base and similar economic characteristics.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1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evaluate performance based on several factors, primarily the banner’s financial results, referred to as division profit. Division profit reflects income before income taxes, impairment and other charges, corporate expenses, non-operating income, and net interest expense.</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table below summarizes our results.</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right"/>
              <w:ind w:right="435"/>
              <w:spacing w:after="0"/>
              <w:rPr>
                <w:sz w:val="20"/>
                <w:szCs w:val="20"/>
                <w:color w:val="auto"/>
              </w:rPr>
            </w:pPr>
            <w:r>
              <w:rPr>
                <w:rFonts w:ascii="Arial" w:cs="Arial" w:eastAsia="Arial" w:hAnsi="Arial"/>
                <w:sz w:val="17"/>
                <w:szCs w:val="17"/>
                <w:b w:val="1"/>
                <w:bCs w:val="1"/>
                <w:color w:val="auto"/>
              </w:rPr>
              <w:t>Thirteen weeks ended</w:t>
            </w:r>
          </w:p>
        </w:tc>
        <w:tc>
          <w:tcPr>
            <w:tcW w:w="2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jc w:val="right"/>
              <w:ind w:right="175"/>
              <w:spacing w:after="0"/>
              <w:rPr>
                <w:sz w:val="20"/>
                <w:szCs w:val="20"/>
                <w:color w:val="auto"/>
              </w:rPr>
            </w:pPr>
            <w:r>
              <w:rPr>
                <w:rFonts w:ascii="Arial" w:cs="Arial" w:eastAsia="Arial" w:hAnsi="Arial"/>
                <w:sz w:val="17"/>
                <w:szCs w:val="17"/>
                <w:b w:val="1"/>
                <w:bCs w:val="1"/>
                <w:color w:val="auto"/>
              </w:rPr>
              <w:t>Thirty-nine weeks ended</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640" w:type="dxa"/>
            <w:vAlign w:val="bottom"/>
            <w:gridSpan w:val="2"/>
          </w:tcPr>
          <w:p>
            <w:pPr>
              <w:ind w:left="400"/>
              <w:spacing w:after="0" w:line="160" w:lineRule="exact"/>
              <w:rPr>
                <w:sz w:val="20"/>
                <w:szCs w:val="20"/>
                <w:color w:val="auto"/>
              </w:rPr>
            </w:pPr>
            <w:r>
              <w:rPr>
                <w:rFonts w:ascii="Arial" w:cs="Arial" w:eastAsia="Arial" w:hAnsi="Arial"/>
                <w:sz w:val="17"/>
                <w:szCs w:val="17"/>
                <w:b w:val="1"/>
                <w:bCs w:val="1"/>
                <w:color w:val="auto"/>
              </w:rPr>
              <w:t>October 29,</w:t>
            </w:r>
          </w:p>
        </w:tc>
        <w:tc>
          <w:tcPr>
            <w:tcW w:w="180" w:type="dxa"/>
            <w:vAlign w:val="bottom"/>
          </w:tcPr>
          <w:p>
            <w:pPr>
              <w:spacing w:after="0"/>
              <w:rPr>
                <w:sz w:val="13"/>
                <w:szCs w:val="13"/>
                <w:color w:val="auto"/>
              </w:rPr>
            </w:pPr>
          </w:p>
        </w:tc>
        <w:tc>
          <w:tcPr>
            <w:tcW w:w="1140" w:type="dxa"/>
            <w:vAlign w:val="bottom"/>
          </w:tcPr>
          <w:p>
            <w:pPr>
              <w:jc w:val="right"/>
              <w:ind w:right="115"/>
              <w:spacing w:after="0" w:line="160" w:lineRule="exact"/>
              <w:rPr>
                <w:sz w:val="20"/>
                <w:szCs w:val="20"/>
                <w:color w:val="auto"/>
              </w:rPr>
            </w:pPr>
            <w:r>
              <w:rPr>
                <w:rFonts w:ascii="Arial" w:cs="Arial" w:eastAsia="Arial" w:hAnsi="Arial"/>
                <w:sz w:val="17"/>
                <w:szCs w:val="17"/>
                <w:b w:val="1"/>
                <w:bCs w:val="1"/>
                <w:color w:val="auto"/>
                <w:w w:val="98"/>
              </w:rPr>
              <w:t>October 30,</w:t>
            </w:r>
          </w:p>
        </w:tc>
        <w:tc>
          <w:tcPr>
            <w:tcW w:w="200" w:type="dxa"/>
            <w:vAlign w:val="bottom"/>
          </w:tcPr>
          <w:p>
            <w:pPr>
              <w:spacing w:after="0"/>
              <w:rPr>
                <w:sz w:val="13"/>
                <w:szCs w:val="13"/>
                <w:color w:val="auto"/>
              </w:rPr>
            </w:pPr>
          </w:p>
        </w:tc>
        <w:tc>
          <w:tcPr>
            <w:tcW w:w="1140" w:type="dxa"/>
            <w:vAlign w:val="bottom"/>
          </w:tcPr>
          <w:p>
            <w:pPr>
              <w:jc w:val="right"/>
              <w:ind w:right="115"/>
              <w:spacing w:after="0" w:line="160" w:lineRule="exact"/>
              <w:rPr>
                <w:sz w:val="20"/>
                <w:szCs w:val="20"/>
                <w:color w:val="auto"/>
              </w:rPr>
            </w:pPr>
            <w:r>
              <w:rPr>
                <w:rFonts w:ascii="Arial" w:cs="Arial" w:eastAsia="Arial" w:hAnsi="Arial"/>
                <w:sz w:val="17"/>
                <w:szCs w:val="17"/>
                <w:b w:val="1"/>
                <w:bCs w:val="1"/>
                <w:color w:val="auto"/>
                <w:w w:val="98"/>
              </w:rPr>
              <w:t>October 29,</w:t>
            </w:r>
          </w:p>
        </w:tc>
        <w:tc>
          <w:tcPr>
            <w:tcW w:w="200" w:type="dxa"/>
            <w:vAlign w:val="bottom"/>
          </w:tcPr>
          <w:p>
            <w:pPr>
              <w:spacing w:after="0"/>
              <w:rPr>
                <w:sz w:val="13"/>
                <w:szCs w:val="13"/>
                <w:color w:val="auto"/>
              </w:rPr>
            </w:pPr>
          </w:p>
        </w:tc>
        <w:tc>
          <w:tcPr>
            <w:tcW w:w="1060" w:type="dxa"/>
            <w:vAlign w:val="bottom"/>
          </w:tcPr>
          <w:p>
            <w:pPr>
              <w:jc w:val="right"/>
              <w:ind w:right="35"/>
              <w:spacing w:after="0" w:line="160" w:lineRule="exact"/>
              <w:rPr>
                <w:sz w:val="20"/>
                <w:szCs w:val="20"/>
                <w:color w:val="auto"/>
              </w:rPr>
            </w:pPr>
            <w:r>
              <w:rPr>
                <w:rFonts w:ascii="Arial" w:cs="Arial" w:eastAsia="Arial" w:hAnsi="Arial"/>
                <w:sz w:val="17"/>
                <w:szCs w:val="17"/>
                <w:b w:val="1"/>
                <w:bCs w:val="1"/>
                <w:color w:val="auto"/>
                <w:w w:val="98"/>
              </w:rPr>
              <w:t>October 30,</w:t>
            </w:r>
          </w:p>
        </w:tc>
        <w:tc>
          <w:tcPr>
            <w:tcW w:w="0" w:type="dxa"/>
            <w:vAlign w:val="bottom"/>
          </w:tcPr>
          <w:p>
            <w:pPr>
              <w:spacing w:after="0"/>
              <w:rPr>
                <w:sz w:val="1"/>
                <w:szCs w:val="1"/>
                <w:color w:val="auto"/>
              </w:rPr>
            </w:pPr>
          </w:p>
        </w:tc>
      </w:tr>
      <w:tr>
        <w:trPr>
          <w:trHeight w:val="211"/>
        </w:trPr>
        <w:tc>
          <w:tcPr>
            <w:tcW w:w="3340" w:type="dxa"/>
            <w:vAlign w:val="bottom"/>
            <w:gridSpan w:val="2"/>
          </w:tcPr>
          <w:p>
            <w:pPr>
              <w:spacing w:after="0"/>
              <w:rPr>
                <w:sz w:val="20"/>
                <w:szCs w:val="20"/>
                <w:color w:val="auto"/>
              </w:rPr>
            </w:pPr>
            <w:r>
              <w:rPr>
                <w:rFonts w:ascii="Arial" w:cs="Arial" w:eastAsia="Arial" w:hAnsi="Arial"/>
                <w:sz w:val="17"/>
                <w:szCs w:val="17"/>
                <w:color w:val="auto"/>
              </w:rPr>
              <w:t>($ in millions)</w:t>
            </w:r>
          </w:p>
        </w:tc>
        <w:tc>
          <w:tcPr>
            <w:tcW w:w="580" w:type="dxa"/>
            <w:vAlign w:val="bottom"/>
          </w:tcPr>
          <w:p>
            <w:pPr>
              <w:spacing w:after="0"/>
              <w:rPr>
                <w:sz w:val="18"/>
                <w:szCs w:val="18"/>
                <w:color w:val="auto"/>
              </w:rPr>
            </w:pPr>
          </w:p>
        </w:tc>
        <w:tc>
          <w:tcPr>
            <w:tcW w:w="1060" w:type="dxa"/>
            <w:vAlign w:val="bottom"/>
          </w:tcPr>
          <w:p>
            <w:pPr>
              <w:jc w:val="right"/>
              <w:ind w:right="495"/>
              <w:spacing w:after="0"/>
              <w:rPr>
                <w:sz w:val="20"/>
                <w:szCs w:val="20"/>
                <w:color w:val="auto"/>
              </w:rPr>
            </w:pPr>
            <w:r>
              <w:rPr>
                <w:rFonts w:ascii="Arial" w:cs="Arial" w:eastAsia="Arial" w:hAnsi="Arial"/>
                <w:sz w:val="17"/>
                <w:szCs w:val="17"/>
                <w:b w:val="1"/>
                <w:bCs w:val="1"/>
                <w:color w:val="auto"/>
              </w:rPr>
              <w:t>2022</w:t>
            </w:r>
          </w:p>
        </w:tc>
        <w:tc>
          <w:tcPr>
            <w:tcW w:w="180" w:type="dxa"/>
            <w:vAlign w:val="bottom"/>
          </w:tcPr>
          <w:p>
            <w:pPr>
              <w:spacing w:after="0"/>
              <w:rPr>
                <w:sz w:val="18"/>
                <w:szCs w:val="18"/>
                <w:color w:val="auto"/>
              </w:rPr>
            </w:pPr>
          </w:p>
        </w:tc>
        <w:tc>
          <w:tcPr>
            <w:tcW w:w="1140" w:type="dxa"/>
            <w:vAlign w:val="bottom"/>
          </w:tcPr>
          <w:p>
            <w:pPr>
              <w:jc w:val="right"/>
              <w:ind w:right="395"/>
              <w:spacing w:after="0"/>
              <w:rPr>
                <w:sz w:val="20"/>
                <w:szCs w:val="20"/>
                <w:color w:val="auto"/>
              </w:rPr>
            </w:pPr>
            <w:r>
              <w:rPr>
                <w:rFonts w:ascii="Arial" w:cs="Arial" w:eastAsia="Arial" w:hAnsi="Arial"/>
                <w:sz w:val="17"/>
                <w:szCs w:val="17"/>
                <w:b w:val="1"/>
                <w:bCs w:val="1"/>
                <w:color w:val="auto"/>
              </w:rPr>
              <w:t>2021</w:t>
            </w:r>
          </w:p>
        </w:tc>
        <w:tc>
          <w:tcPr>
            <w:tcW w:w="200" w:type="dxa"/>
            <w:vAlign w:val="bottom"/>
          </w:tcPr>
          <w:p>
            <w:pPr>
              <w:spacing w:after="0"/>
              <w:rPr>
                <w:sz w:val="18"/>
                <w:szCs w:val="18"/>
                <w:color w:val="auto"/>
              </w:rPr>
            </w:pPr>
          </w:p>
        </w:tc>
        <w:tc>
          <w:tcPr>
            <w:tcW w:w="1140" w:type="dxa"/>
            <w:vAlign w:val="bottom"/>
          </w:tcPr>
          <w:p>
            <w:pPr>
              <w:jc w:val="right"/>
              <w:ind w:right="395"/>
              <w:spacing w:after="0"/>
              <w:rPr>
                <w:sz w:val="20"/>
                <w:szCs w:val="20"/>
                <w:color w:val="auto"/>
              </w:rPr>
            </w:pPr>
            <w:r>
              <w:rPr>
                <w:rFonts w:ascii="Arial" w:cs="Arial" w:eastAsia="Arial" w:hAnsi="Arial"/>
                <w:sz w:val="17"/>
                <w:szCs w:val="17"/>
                <w:b w:val="1"/>
                <w:bCs w:val="1"/>
                <w:color w:val="auto"/>
              </w:rPr>
              <w:t>2022</w:t>
            </w:r>
          </w:p>
        </w:tc>
        <w:tc>
          <w:tcPr>
            <w:tcW w:w="200" w:type="dxa"/>
            <w:vAlign w:val="bottom"/>
          </w:tcPr>
          <w:p>
            <w:pPr>
              <w:spacing w:after="0"/>
              <w:rPr>
                <w:sz w:val="18"/>
                <w:szCs w:val="18"/>
                <w:color w:val="auto"/>
              </w:rPr>
            </w:pPr>
          </w:p>
        </w:tc>
        <w:tc>
          <w:tcPr>
            <w:tcW w:w="1060" w:type="dxa"/>
            <w:vAlign w:val="bottom"/>
          </w:tcPr>
          <w:p>
            <w:pPr>
              <w:jc w:val="right"/>
              <w:ind w:right="315"/>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Sales</w:t>
            </w:r>
          </w:p>
        </w:tc>
        <w:tc>
          <w:tcPr>
            <w:tcW w:w="580" w:type="dxa"/>
            <w:vAlign w:val="bottom"/>
            <w:tcBorders>
              <w:top w:val="single" w:sz="8" w:color="auto"/>
            </w:tcBorders>
            <w:shd w:val="clear" w:color="auto" w:fill="CCEEFF"/>
          </w:tcPr>
          <w:p>
            <w:pPr>
              <w:ind w:left="400"/>
              <w:spacing w:after="0" w:line="183" w:lineRule="exact"/>
              <w:rPr>
                <w:sz w:val="20"/>
                <w:szCs w:val="20"/>
                <w:color w:val="auto"/>
              </w:rPr>
            </w:pPr>
            <w:r>
              <w:rPr>
                <w:rFonts w:ascii="Arial" w:cs="Arial" w:eastAsia="Arial" w:hAnsi="Arial"/>
                <w:sz w:val="17"/>
                <w:szCs w:val="17"/>
                <w:b w:val="1"/>
                <w:bCs w:val="1"/>
                <w:color w:val="auto"/>
              </w:rPr>
              <w:t>$</w:t>
            </w:r>
          </w:p>
        </w:tc>
        <w:tc>
          <w:tcPr>
            <w:tcW w:w="106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2,173</w:t>
            </w:r>
          </w:p>
        </w:tc>
        <w:tc>
          <w:tcPr>
            <w:tcW w:w="1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2,189</w:t>
            </w:r>
          </w:p>
        </w:tc>
        <w:tc>
          <w:tcPr>
            <w:tcW w:w="2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4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6,413</w:t>
            </w:r>
          </w:p>
        </w:tc>
        <w:tc>
          <w:tcPr>
            <w:tcW w:w="2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6,617</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32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Operating Results</w:t>
            </w: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Pr>
          <w:p>
            <w:pPr>
              <w:spacing w:after="0" w:line="189" w:lineRule="exact"/>
              <w:rPr>
                <w:sz w:val="20"/>
                <w:szCs w:val="20"/>
                <w:color w:val="auto"/>
              </w:rPr>
            </w:pPr>
            <w:r>
              <w:rPr>
                <w:rFonts w:ascii="Arial" w:cs="Arial" w:eastAsia="Arial" w:hAnsi="Arial"/>
                <w:sz w:val="17"/>
                <w:szCs w:val="17"/>
                <w:color w:val="auto"/>
              </w:rPr>
              <w:t>Division profit</w:t>
            </w:r>
          </w:p>
        </w:tc>
        <w:tc>
          <w:tcPr>
            <w:tcW w:w="580" w:type="dxa"/>
            <w:vAlign w:val="bottom"/>
          </w:tcPr>
          <w:p>
            <w:pPr>
              <w:spacing w:after="0"/>
              <w:rPr>
                <w:sz w:val="16"/>
                <w:szCs w:val="16"/>
                <w:color w:val="auto"/>
              </w:rPr>
            </w:pPr>
          </w:p>
        </w:tc>
        <w:tc>
          <w:tcPr>
            <w:tcW w:w="106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216</w:t>
            </w:r>
          </w:p>
        </w:tc>
        <w:tc>
          <w:tcPr>
            <w:tcW w:w="180" w:type="dxa"/>
            <w:vAlign w:val="bottom"/>
          </w:tcPr>
          <w:p>
            <w:pPr>
              <w:spacing w:after="0"/>
              <w:rPr>
                <w:sz w:val="16"/>
                <w:szCs w:val="16"/>
                <w:color w:val="auto"/>
              </w:rPr>
            </w:pPr>
          </w:p>
        </w:tc>
        <w:tc>
          <w:tcPr>
            <w:tcW w:w="1140" w:type="dxa"/>
            <w:vAlign w:val="bottom"/>
          </w:tcPr>
          <w:p>
            <w:pPr>
              <w:jc w:val="right"/>
              <w:ind w:right="55"/>
              <w:spacing w:after="0" w:line="189" w:lineRule="exact"/>
              <w:rPr>
                <w:sz w:val="20"/>
                <w:szCs w:val="20"/>
                <w:color w:val="auto"/>
              </w:rPr>
            </w:pPr>
            <w:r>
              <w:rPr>
                <w:rFonts w:ascii="Arial" w:cs="Arial" w:eastAsia="Arial" w:hAnsi="Arial"/>
                <w:sz w:val="17"/>
                <w:szCs w:val="17"/>
                <w:color w:val="auto"/>
              </w:rPr>
              <w:t>283</w:t>
            </w:r>
          </w:p>
        </w:tc>
        <w:tc>
          <w:tcPr>
            <w:tcW w:w="200" w:type="dxa"/>
            <w:vAlign w:val="bottom"/>
          </w:tcPr>
          <w:p>
            <w:pPr>
              <w:spacing w:after="0"/>
              <w:rPr>
                <w:sz w:val="16"/>
                <w:szCs w:val="16"/>
                <w:color w:val="auto"/>
              </w:rPr>
            </w:pPr>
          </w:p>
        </w:tc>
        <w:tc>
          <w:tcPr>
            <w:tcW w:w="11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660</w:t>
            </w:r>
          </w:p>
        </w:tc>
        <w:tc>
          <w:tcPr>
            <w:tcW w:w="2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930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shd w:val="clear" w:color="auto" w:fill="CCEEFF"/>
          </w:tcPr>
          <w:p>
            <w:pPr>
              <w:spacing w:after="0" w:line="189" w:lineRule="exact"/>
              <w:rPr>
                <w:sz w:val="20"/>
                <w:szCs w:val="20"/>
                <w:color w:val="auto"/>
              </w:rPr>
            </w:pPr>
            <w:r>
              <w:rPr>
                <w:rFonts w:ascii="Arial" w:cs="Arial" w:eastAsia="Arial" w:hAnsi="Arial"/>
                <w:sz w:val="15"/>
                <w:szCs w:val="15"/>
                <w:color w:val="auto"/>
              </w:rPr>
              <w:t xml:space="preserve">Less: Impairment and other charges </w:t>
            </w:r>
            <w:r>
              <w:rPr>
                <w:rFonts w:ascii="Arial" w:cs="Arial" w:eastAsia="Arial" w:hAnsi="Arial"/>
                <w:sz w:val="21"/>
                <w:szCs w:val="21"/>
                <w:color w:val="auto"/>
                <w:vertAlign w:val="superscript"/>
              </w:rPr>
              <w:t>(1)</w:t>
            </w: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20</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57</w:t>
            </w: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38</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Borders>
              <w:bottom w:val="single" w:sz="8" w:color="auto"/>
            </w:tcBorders>
          </w:tcPr>
          <w:p>
            <w:pPr>
              <w:spacing w:after="0" w:line="189" w:lineRule="exact"/>
              <w:rPr>
                <w:sz w:val="20"/>
                <w:szCs w:val="20"/>
                <w:color w:val="auto"/>
              </w:rPr>
            </w:pPr>
            <w:r>
              <w:rPr>
                <w:rFonts w:ascii="Arial" w:cs="Arial" w:eastAsia="Arial" w:hAnsi="Arial"/>
                <w:sz w:val="15"/>
                <w:szCs w:val="15"/>
                <w:color w:val="auto"/>
              </w:rPr>
              <w:t xml:space="preserve">Less: Corporate expense </w:t>
            </w:r>
            <w:r>
              <w:rPr>
                <w:rFonts w:ascii="Arial" w:cs="Arial" w:eastAsia="Arial" w:hAnsi="Arial"/>
                <w:sz w:val="21"/>
                <w:szCs w:val="21"/>
                <w:color w:val="auto"/>
                <w:vertAlign w:val="superscript"/>
              </w:rPr>
              <w:t>(2)</w:t>
            </w:r>
          </w:p>
        </w:tc>
        <w:tc>
          <w:tcPr>
            <w:tcW w:w="5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39</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30</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109</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Income from operations</w:t>
            </w:r>
          </w:p>
        </w:tc>
        <w:tc>
          <w:tcPr>
            <w:tcW w:w="5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157</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196</w:t>
            </w: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513</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742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Pr>
          <w:p>
            <w:pPr>
              <w:spacing w:after="0" w:line="189" w:lineRule="exact"/>
              <w:rPr>
                <w:sz w:val="20"/>
                <w:szCs w:val="20"/>
                <w:color w:val="auto"/>
              </w:rPr>
            </w:pPr>
            <w:r>
              <w:rPr>
                <w:rFonts w:ascii="Arial" w:cs="Arial" w:eastAsia="Arial" w:hAnsi="Arial"/>
                <w:sz w:val="17"/>
                <w:szCs w:val="17"/>
                <w:color w:val="auto"/>
              </w:rPr>
              <w:t>Interest expense, net</w:t>
            </w:r>
          </w:p>
        </w:tc>
        <w:tc>
          <w:tcPr>
            <w:tcW w:w="580" w:type="dxa"/>
            <w:vAlign w:val="bottom"/>
          </w:tcPr>
          <w:p>
            <w:pPr>
              <w:spacing w:after="0"/>
              <w:rPr>
                <w:sz w:val="16"/>
                <w:szCs w:val="16"/>
                <w:color w:val="auto"/>
              </w:rPr>
            </w:pPr>
          </w:p>
        </w:tc>
        <w:tc>
          <w:tcPr>
            <w:tcW w:w="106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(3)</w:t>
            </w:r>
          </w:p>
        </w:tc>
        <w:tc>
          <w:tcPr>
            <w:tcW w:w="180" w:type="dxa"/>
            <w:vAlign w:val="bottom"/>
          </w:tcPr>
          <w:p>
            <w:pPr>
              <w:spacing w:after="0"/>
              <w:rPr>
                <w:sz w:val="16"/>
                <w:szCs w:val="16"/>
                <w:color w:val="auto"/>
              </w:rPr>
            </w:pPr>
          </w:p>
        </w:tc>
        <w:tc>
          <w:tcPr>
            <w:tcW w:w="1140" w:type="dxa"/>
            <w:vAlign w:val="bottom"/>
          </w:tcPr>
          <w:p>
            <w:pPr>
              <w:jc w:val="right"/>
              <w:ind w:right="15"/>
              <w:spacing w:after="0" w:line="189" w:lineRule="exact"/>
              <w:rPr>
                <w:sz w:val="20"/>
                <w:szCs w:val="20"/>
                <w:color w:val="auto"/>
              </w:rPr>
            </w:pPr>
            <w:r>
              <w:rPr>
                <w:rFonts w:ascii="Arial" w:cs="Arial" w:eastAsia="Arial" w:hAnsi="Arial"/>
                <w:sz w:val="17"/>
                <w:szCs w:val="17"/>
                <w:color w:val="auto"/>
              </w:rPr>
              <w:t>(4)</w:t>
            </w:r>
          </w:p>
        </w:tc>
        <w:tc>
          <w:tcPr>
            <w:tcW w:w="200" w:type="dxa"/>
            <w:vAlign w:val="bottom"/>
          </w:tcPr>
          <w:p>
            <w:pPr>
              <w:spacing w:after="0"/>
              <w:rPr>
                <w:sz w:val="16"/>
                <w:szCs w:val="16"/>
                <w:color w:val="auto"/>
              </w:rPr>
            </w:pPr>
          </w:p>
        </w:tc>
        <w:tc>
          <w:tcPr>
            <w:tcW w:w="114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(13)</w:t>
            </w:r>
          </w:p>
        </w:tc>
        <w:tc>
          <w:tcPr>
            <w:tcW w:w="2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5"/>
                <w:szCs w:val="15"/>
                <w:color w:val="auto"/>
              </w:rPr>
              <w:t xml:space="preserve">Other income / (expense), net </w:t>
            </w:r>
            <w:r>
              <w:rPr>
                <w:rFonts w:ascii="Arial" w:cs="Arial" w:eastAsia="Arial" w:hAnsi="Arial"/>
                <w:sz w:val="21"/>
                <w:szCs w:val="21"/>
                <w:color w:val="auto"/>
                <w:vertAlign w:val="superscript"/>
              </w:rPr>
              <w:t>(3)</w:t>
            </w:r>
          </w:p>
        </w:tc>
        <w:tc>
          <w:tcPr>
            <w:tcW w:w="5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(11)</w:t>
            </w:r>
          </w:p>
        </w:tc>
        <w:tc>
          <w:tcPr>
            <w:tcW w:w="1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30</w:t>
            </w:r>
          </w:p>
        </w:tc>
        <w:tc>
          <w:tcPr>
            <w:tcW w:w="2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(24)</w:t>
            </w:r>
          </w:p>
        </w:tc>
        <w:tc>
          <w:tcPr>
            <w:tcW w:w="2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359</w:t>
            </w: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Income before income taxes</w:t>
            </w:r>
          </w:p>
        </w:tc>
        <w:tc>
          <w:tcPr>
            <w:tcW w:w="580" w:type="dxa"/>
            <w:vAlign w:val="bottom"/>
            <w:tcBorders>
              <w:bottom w:val="single" w:sz="8" w:color="auto"/>
            </w:tcBorders>
          </w:tcPr>
          <w:p>
            <w:pPr>
              <w:ind w:left="400"/>
              <w:spacing w:after="0" w:line="183" w:lineRule="exact"/>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143</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222</w:t>
            </w:r>
          </w:p>
        </w:tc>
        <w:tc>
          <w:tcPr>
            <w:tcW w:w="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476</w:t>
            </w:r>
          </w:p>
        </w:tc>
        <w:tc>
          <w:tcPr>
            <w:tcW w:w="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1,093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380" w:hanging="330"/>
        <w:spacing w:after="0"/>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Impairment and Other Charges</w:t>
      </w:r>
      <w:r>
        <w:rPr>
          <w:rFonts w:ascii="Arial" w:cs="Arial" w:eastAsia="Arial" w:hAnsi="Arial"/>
          <w:sz w:val="14"/>
          <w:szCs w:val="14"/>
          <w:color w:val="auto"/>
        </w:rPr>
        <w:t xml:space="preserve"> section for further information.</w:t>
      </w:r>
    </w:p>
    <w:p>
      <w:pPr>
        <w:spacing w:after="0" w:line="15" w:lineRule="exact"/>
        <w:rPr>
          <w:rFonts w:ascii="Arial" w:cs="Arial" w:eastAsia="Arial" w:hAnsi="Arial"/>
          <w:sz w:val="14"/>
          <w:szCs w:val="14"/>
          <w:color w:val="auto"/>
        </w:rPr>
      </w:pPr>
    </w:p>
    <w:p>
      <w:pPr>
        <w:jc w:val="both"/>
        <w:ind w:left="380" w:right="79" w:hanging="330"/>
        <w:spacing w:after="0" w:line="241" w:lineRule="auto"/>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Corporate expense consists of unallocated selling, general and administrative expenses as well as depreciation and amortization related to the Company’s corporate headquarters, centrally managed departments, unallocated insurance and benefit programs, certain foreign exchange transaction gains and losses, and other items.</w:t>
      </w:r>
    </w:p>
    <w:p>
      <w:pPr>
        <w:spacing w:after="0" w:line="1" w:lineRule="exact"/>
        <w:rPr>
          <w:rFonts w:ascii="Arial" w:cs="Arial" w:eastAsia="Arial" w:hAnsi="Arial"/>
          <w:sz w:val="14"/>
          <w:szCs w:val="14"/>
          <w:color w:val="auto"/>
        </w:rPr>
      </w:pPr>
    </w:p>
    <w:p>
      <w:pPr>
        <w:jc w:val="both"/>
        <w:ind w:left="380" w:right="79" w:hanging="330"/>
        <w:spacing w:after="0" w:line="249" w:lineRule="auto"/>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 xml:space="preserve">Other income / (expense), net includes non-operating items, franchise royalty income, changes in fair value of minority interests measured at fair value or using the fair value measurement alternative, changes in the market value of our available-for-sale security, our share of earnings or losses related to our equity method investments, and net benefit expense related to our pension and postretirement programs excluding the service cost component. See the </w:t>
      </w:r>
      <w:r>
        <w:rPr>
          <w:rFonts w:ascii="Arial" w:cs="Arial" w:eastAsia="Arial" w:hAnsi="Arial"/>
          <w:sz w:val="14"/>
          <w:szCs w:val="14"/>
          <w:i w:val="1"/>
          <w:iCs w:val="1"/>
          <w:color w:val="auto"/>
        </w:rPr>
        <w:t>Other income / (expense), net</w:t>
      </w:r>
      <w:r>
        <w:rPr>
          <w:rFonts w:ascii="Arial" w:cs="Arial" w:eastAsia="Arial" w:hAnsi="Arial"/>
          <w:sz w:val="14"/>
          <w:szCs w:val="14"/>
          <w:color w:val="auto"/>
        </w:rPr>
        <w:t xml:space="preserve"> section for further information.</w:t>
      </w:r>
    </w:p>
    <w:p>
      <w:pPr>
        <w:spacing w:after="0" w:line="388"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2022 Form 10-Q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Sales</w:t>
      </w:r>
    </w:p>
    <w:p>
      <w:pPr>
        <w:spacing w:after="0" w:line="196"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All references to comparable-store sales for a given period relate to sales of stores that were open at the period-end and had been open for more than one year. The computation of consolidated comparable sales also includes our direct-to-customers channel. Stores opened or closed during the period are not included in the comparable-store base; however, stores closed temporarily for relocation or remodeling are included. Stores that were temporarily closed due to the COVID-19 pandemic are also included in the computation of comparable-store sales. Computations exclude the effect of foreign currency fluctuations.</w:t>
      </w:r>
    </w:p>
    <w:p>
      <w:pPr>
        <w:spacing w:after="0" w:line="179"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Sales from acquired businesses that include inventory are included in the computation of comparable-store sales after 15 months of operations. Accordingly, sales of WSS and atmos have been excluded from the computation of comparable-store sales. As a result of the Eastbay Team Sales divestiture, sales from this business were removed for the computation of comparable sales for all periods.</w:t>
      </w:r>
    </w:p>
    <w:p>
      <w:pPr>
        <w:spacing w:after="0" w:line="17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For the thirteen weeks ended October 29, 2022, total sales decreased by $16 million, or 0.7%, to $2,173 million, as compared with the corresponding prior-year period. For the thirty-nine weeks ended October 29, 2022, total sales decreased by $204 million, or 3.1%, to $6,413 million, as compared with the corresponding prior-year period. Excluding the effect of foreign currency fluctuations, total sales increased by $72 million, or 3.3%, for the thirteen weeks ended October 29, 2022, and decreased by $ 4 million, or 0.1%, for the thirty-nine weeks ended October 29, 2022. Comparable sales increased by 0.8% and decreased by 3.9% for the thirteen and thirty-nine weeks ended October 29, 2022, respectively. The information shown below represents certain sales metrics by sales channel.</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28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3"/>
          </w:tcPr>
          <w:p>
            <w:pPr>
              <w:jc w:val="right"/>
              <w:ind w:right="415"/>
              <w:spacing w:after="0"/>
              <w:rPr>
                <w:sz w:val="20"/>
                <w:szCs w:val="20"/>
                <w:color w:val="auto"/>
              </w:rPr>
            </w:pPr>
            <w:r>
              <w:rPr>
                <w:rFonts w:ascii="Arial" w:cs="Arial" w:eastAsia="Arial" w:hAnsi="Arial"/>
                <w:sz w:val="17"/>
                <w:szCs w:val="17"/>
                <w:b w:val="1"/>
                <w:bCs w:val="1"/>
                <w:color w:val="auto"/>
              </w:rPr>
              <w:t>Thirteen weeks ended</w:t>
            </w:r>
          </w:p>
        </w:tc>
        <w:tc>
          <w:tcPr>
            <w:tcW w:w="1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3"/>
          </w:tcPr>
          <w:p>
            <w:pPr>
              <w:jc w:val="right"/>
              <w:ind w:right="335"/>
              <w:spacing w:after="0"/>
              <w:rPr>
                <w:sz w:val="20"/>
                <w:szCs w:val="20"/>
                <w:color w:val="auto"/>
              </w:rPr>
            </w:pPr>
            <w:r>
              <w:rPr>
                <w:rFonts w:ascii="Arial" w:cs="Arial" w:eastAsia="Arial" w:hAnsi="Arial"/>
                <w:sz w:val="17"/>
                <w:szCs w:val="17"/>
                <w:b w:val="1"/>
                <w:bCs w:val="1"/>
                <w:color w:val="auto"/>
              </w:rPr>
              <w:t>Thirty-nine weeks ended</w:t>
            </w:r>
          </w:p>
        </w:tc>
      </w:tr>
      <w:tr>
        <w:trPr>
          <w:trHeight w:val="160"/>
        </w:trPr>
        <w:tc>
          <w:tcPr>
            <w:tcW w:w="2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jc w:val="right"/>
              <w:ind w:right="95"/>
              <w:spacing w:after="0" w:line="160" w:lineRule="exact"/>
              <w:rPr>
                <w:sz w:val="20"/>
                <w:szCs w:val="20"/>
                <w:color w:val="auto"/>
              </w:rPr>
            </w:pPr>
            <w:r>
              <w:rPr>
                <w:rFonts w:ascii="Arial" w:cs="Arial" w:eastAsia="Arial" w:hAnsi="Arial"/>
                <w:sz w:val="17"/>
                <w:szCs w:val="17"/>
                <w:b w:val="1"/>
                <w:bCs w:val="1"/>
                <w:color w:val="auto"/>
              </w:rPr>
              <w:t>October 29,</w:t>
            </w:r>
          </w:p>
        </w:tc>
        <w:tc>
          <w:tcPr>
            <w:tcW w:w="1300" w:type="dxa"/>
            <w:vAlign w:val="bottom"/>
            <w:gridSpan w:val="2"/>
          </w:tcPr>
          <w:p>
            <w:pPr>
              <w:jc w:val="right"/>
              <w:ind w:right="175"/>
              <w:spacing w:after="0" w:line="160" w:lineRule="exact"/>
              <w:rPr>
                <w:sz w:val="20"/>
                <w:szCs w:val="20"/>
                <w:color w:val="auto"/>
              </w:rPr>
            </w:pPr>
            <w:r>
              <w:rPr>
                <w:rFonts w:ascii="Arial" w:cs="Arial" w:eastAsia="Arial" w:hAnsi="Arial"/>
                <w:sz w:val="17"/>
                <w:szCs w:val="17"/>
                <w:b w:val="1"/>
                <w:bCs w:val="1"/>
                <w:color w:val="auto"/>
              </w:rPr>
              <w:t>October 30,</w:t>
            </w:r>
          </w:p>
        </w:tc>
        <w:tc>
          <w:tcPr>
            <w:tcW w:w="160" w:type="dxa"/>
            <w:vAlign w:val="bottom"/>
          </w:tcPr>
          <w:p>
            <w:pPr>
              <w:spacing w:after="0"/>
              <w:rPr>
                <w:sz w:val="13"/>
                <w:szCs w:val="13"/>
                <w:color w:val="auto"/>
              </w:rPr>
            </w:pPr>
          </w:p>
        </w:tc>
        <w:tc>
          <w:tcPr>
            <w:tcW w:w="1160" w:type="dxa"/>
            <w:vAlign w:val="bottom"/>
          </w:tcPr>
          <w:p>
            <w:pPr>
              <w:jc w:val="right"/>
              <w:ind w:right="95"/>
              <w:spacing w:after="0" w:line="160" w:lineRule="exact"/>
              <w:rPr>
                <w:sz w:val="20"/>
                <w:szCs w:val="20"/>
                <w:color w:val="auto"/>
              </w:rPr>
            </w:pPr>
            <w:r>
              <w:rPr>
                <w:rFonts w:ascii="Arial" w:cs="Arial" w:eastAsia="Arial" w:hAnsi="Arial"/>
                <w:sz w:val="17"/>
                <w:szCs w:val="17"/>
                <w:b w:val="1"/>
                <w:bCs w:val="1"/>
                <w:color w:val="auto"/>
              </w:rPr>
              <w:t>October 29,</w:t>
            </w:r>
          </w:p>
        </w:tc>
        <w:tc>
          <w:tcPr>
            <w:tcW w:w="100" w:type="dxa"/>
            <w:vAlign w:val="bottom"/>
          </w:tcPr>
          <w:p>
            <w:pPr>
              <w:spacing w:after="0"/>
              <w:rPr>
                <w:sz w:val="13"/>
                <w:szCs w:val="13"/>
                <w:color w:val="auto"/>
              </w:rPr>
            </w:pPr>
          </w:p>
        </w:tc>
        <w:tc>
          <w:tcPr>
            <w:tcW w:w="1240" w:type="dxa"/>
            <w:vAlign w:val="bottom"/>
          </w:tcPr>
          <w:p>
            <w:pPr>
              <w:jc w:val="right"/>
              <w:ind w:right="195"/>
              <w:spacing w:after="0" w:line="160" w:lineRule="exact"/>
              <w:rPr>
                <w:sz w:val="20"/>
                <w:szCs w:val="20"/>
                <w:color w:val="auto"/>
              </w:rPr>
            </w:pPr>
            <w:r>
              <w:rPr>
                <w:rFonts w:ascii="Arial" w:cs="Arial" w:eastAsia="Arial" w:hAnsi="Arial"/>
                <w:sz w:val="17"/>
                <w:szCs w:val="17"/>
                <w:b w:val="1"/>
                <w:bCs w:val="1"/>
                <w:color w:val="auto"/>
              </w:rPr>
              <w:t>October 30,</w:t>
            </w:r>
          </w:p>
        </w:tc>
      </w:tr>
      <w:tr>
        <w:trPr>
          <w:trHeight w:val="211"/>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9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2022</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2021</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2021</w:t>
            </w:r>
          </w:p>
        </w:tc>
      </w:tr>
      <w:tr>
        <w:trPr>
          <w:trHeight w:val="183"/>
        </w:trPr>
        <w:tc>
          <w:tcPr>
            <w:tcW w:w="288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Stores</w:t>
            </w:r>
          </w:p>
        </w:tc>
        <w:tc>
          <w:tcPr>
            <w:tcW w:w="9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89"/>
        </w:trPr>
        <w:tc>
          <w:tcPr>
            <w:tcW w:w="2880" w:type="dxa"/>
            <w:vAlign w:val="bottom"/>
          </w:tcPr>
          <w:p>
            <w:pPr>
              <w:ind w:left="20"/>
              <w:spacing w:after="0" w:line="189" w:lineRule="exact"/>
              <w:rPr>
                <w:sz w:val="20"/>
                <w:szCs w:val="20"/>
                <w:color w:val="auto"/>
              </w:rPr>
            </w:pPr>
            <w:r>
              <w:rPr>
                <w:rFonts w:ascii="Arial" w:cs="Arial" w:eastAsia="Arial" w:hAnsi="Arial"/>
                <w:sz w:val="17"/>
                <w:szCs w:val="17"/>
                <w:color w:val="auto"/>
              </w:rPr>
              <w:t>Sales</w:t>
            </w:r>
          </w:p>
        </w:tc>
        <w:tc>
          <w:tcPr>
            <w:tcW w:w="9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155"/>
              <w:spacing w:after="0" w:line="189" w:lineRule="exact"/>
              <w:rPr>
                <w:sz w:val="20"/>
                <w:szCs w:val="20"/>
                <w:color w:val="auto"/>
              </w:rPr>
            </w:pPr>
            <w:r>
              <w:rPr>
                <w:rFonts w:ascii="Arial" w:cs="Arial" w:eastAsia="Arial" w:hAnsi="Arial"/>
                <w:sz w:val="17"/>
                <w:szCs w:val="17"/>
                <w:b w:val="1"/>
                <w:bCs w:val="1"/>
                <w:color w:val="auto"/>
              </w:rPr>
              <w:t>1,818</w:t>
            </w:r>
          </w:p>
        </w:tc>
        <w:tc>
          <w:tcPr>
            <w:tcW w:w="240" w:type="dxa"/>
            <w:vAlign w:val="bottom"/>
          </w:tcPr>
          <w:p>
            <w:pPr>
              <w:jc w:val="right"/>
              <w:ind w:right="55"/>
              <w:spacing w:after="0" w:line="189" w:lineRule="exact"/>
              <w:rPr>
                <w:sz w:val="20"/>
                <w:szCs w:val="20"/>
                <w:color w:val="auto"/>
              </w:rPr>
            </w:pPr>
            <w:r>
              <w:rPr>
                <w:rFonts w:ascii="Arial" w:cs="Arial" w:eastAsia="Arial" w:hAnsi="Arial"/>
                <w:sz w:val="17"/>
                <w:szCs w:val="17"/>
                <w:color w:val="auto"/>
                <w:w w:val="84"/>
              </w:rPr>
              <w:t>$</w:t>
            </w:r>
          </w:p>
        </w:tc>
        <w:tc>
          <w:tcPr>
            <w:tcW w:w="1060" w:type="dxa"/>
            <w:vAlign w:val="bottom"/>
          </w:tcPr>
          <w:p>
            <w:pPr>
              <w:jc w:val="right"/>
              <w:ind w:right="135"/>
              <w:spacing w:after="0" w:line="189" w:lineRule="exact"/>
              <w:rPr>
                <w:sz w:val="20"/>
                <w:szCs w:val="20"/>
                <w:color w:val="auto"/>
              </w:rPr>
            </w:pPr>
            <w:r>
              <w:rPr>
                <w:rFonts w:ascii="Arial" w:cs="Arial" w:eastAsia="Arial" w:hAnsi="Arial"/>
                <w:sz w:val="17"/>
                <w:szCs w:val="17"/>
                <w:color w:val="auto"/>
              </w:rPr>
              <w:t>1,756</w:t>
            </w:r>
          </w:p>
        </w:tc>
        <w:tc>
          <w:tcPr>
            <w:tcW w:w="1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155"/>
              <w:spacing w:after="0" w:line="189" w:lineRule="exact"/>
              <w:rPr>
                <w:sz w:val="20"/>
                <w:szCs w:val="20"/>
                <w:color w:val="auto"/>
              </w:rPr>
            </w:pPr>
            <w:r>
              <w:rPr>
                <w:rFonts w:ascii="Arial" w:cs="Arial" w:eastAsia="Arial" w:hAnsi="Arial"/>
                <w:sz w:val="17"/>
                <w:szCs w:val="17"/>
                <w:b w:val="1"/>
                <w:bCs w:val="1"/>
                <w:color w:val="auto"/>
              </w:rPr>
              <w:t>5,310</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55"/>
              <w:spacing w:after="0" w:line="189" w:lineRule="exact"/>
              <w:rPr>
                <w:sz w:val="20"/>
                <w:szCs w:val="20"/>
                <w:color w:val="auto"/>
              </w:rPr>
            </w:pPr>
            <w:r>
              <w:rPr>
                <w:rFonts w:ascii="Arial" w:cs="Arial" w:eastAsia="Arial" w:hAnsi="Arial"/>
                <w:sz w:val="17"/>
                <w:szCs w:val="17"/>
                <w:color w:val="auto"/>
              </w:rPr>
              <w:t>5,193</w:t>
            </w:r>
          </w:p>
        </w:tc>
      </w:tr>
      <w:tr>
        <w:trPr>
          <w:trHeight w:val="189"/>
        </w:trPr>
        <w:tc>
          <w:tcPr>
            <w:tcW w:w="28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 Change</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b w:val="1"/>
                <w:bCs w:val="1"/>
                <w:color w:val="auto"/>
              </w:rPr>
              <w:t>62</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b w:val="1"/>
                <w:bCs w:val="1"/>
                <w:color w:val="auto"/>
              </w:rPr>
              <w:t>117</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89"/>
        </w:trPr>
        <w:tc>
          <w:tcPr>
            <w:tcW w:w="2880" w:type="dxa"/>
            <w:vAlign w:val="bottom"/>
          </w:tcPr>
          <w:p>
            <w:pPr>
              <w:ind w:left="20"/>
              <w:spacing w:after="0" w:line="189" w:lineRule="exact"/>
              <w:rPr>
                <w:sz w:val="20"/>
                <w:szCs w:val="20"/>
                <w:color w:val="auto"/>
              </w:rPr>
            </w:pPr>
            <w:r>
              <w:rPr>
                <w:rFonts w:ascii="Arial" w:cs="Arial" w:eastAsia="Arial" w:hAnsi="Arial"/>
                <w:sz w:val="17"/>
                <w:szCs w:val="17"/>
                <w:color w:val="auto"/>
              </w:rPr>
              <w:t>% Change</w:t>
            </w:r>
          </w:p>
        </w:tc>
        <w:tc>
          <w:tcPr>
            <w:tcW w:w="90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3.5 %</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2.3 %</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9"/>
        </w:trPr>
        <w:tc>
          <w:tcPr>
            <w:tcW w:w="28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 of total sales</w:t>
            </w:r>
          </w:p>
        </w:tc>
        <w:tc>
          <w:tcPr>
            <w:tcW w:w="9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83.7 %</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80.2 %</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82.8 %</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78.5 %</w:t>
            </w:r>
          </w:p>
        </w:tc>
      </w:tr>
      <w:tr>
        <w:trPr>
          <w:trHeight w:val="189"/>
        </w:trPr>
        <w:tc>
          <w:tcPr>
            <w:tcW w:w="2880" w:type="dxa"/>
            <w:vAlign w:val="bottom"/>
          </w:tcPr>
          <w:p>
            <w:pPr>
              <w:ind w:left="20"/>
              <w:spacing w:after="0" w:line="189" w:lineRule="exact"/>
              <w:rPr>
                <w:sz w:val="20"/>
                <w:szCs w:val="20"/>
                <w:color w:val="auto"/>
              </w:rPr>
            </w:pPr>
            <w:r>
              <w:rPr>
                <w:rFonts w:ascii="Arial" w:cs="Arial" w:eastAsia="Arial" w:hAnsi="Arial"/>
                <w:sz w:val="17"/>
                <w:szCs w:val="17"/>
                <w:color w:val="auto"/>
              </w:rPr>
              <w:t>Comparable sales increase</w:t>
            </w:r>
          </w:p>
        </w:tc>
        <w:tc>
          <w:tcPr>
            <w:tcW w:w="90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4.7 %</w:t>
            </w:r>
          </w:p>
        </w:tc>
        <w:tc>
          <w:tcPr>
            <w:tcW w:w="24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4.2 %</w:t>
            </w:r>
          </w:p>
        </w:tc>
        <w:tc>
          <w:tcPr>
            <w:tcW w:w="16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1.9 %</w:t>
            </w:r>
          </w:p>
        </w:tc>
        <w:tc>
          <w:tcPr>
            <w:tcW w:w="10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32.7 %</w:t>
            </w:r>
          </w:p>
        </w:tc>
      </w:tr>
      <w:tr>
        <w:trPr>
          <w:trHeight w:val="243"/>
        </w:trPr>
        <w:tc>
          <w:tcPr>
            <w:tcW w:w="28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189"/>
        </w:trPr>
        <w:tc>
          <w:tcPr>
            <w:tcW w:w="2880" w:type="dxa"/>
            <w:vAlign w:val="bottom"/>
          </w:tcPr>
          <w:p>
            <w:pPr>
              <w:ind w:left="20"/>
              <w:spacing w:after="0" w:line="189" w:lineRule="exact"/>
              <w:rPr>
                <w:sz w:val="20"/>
                <w:szCs w:val="20"/>
                <w:color w:val="auto"/>
              </w:rPr>
            </w:pPr>
            <w:r>
              <w:rPr>
                <w:rFonts w:ascii="Arial" w:cs="Arial" w:eastAsia="Arial" w:hAnsi="Arial"/>
                <w:sz w:val="17"/>
                <w:szCs w:val="17"/>
                <w:b w:val="1"/>
                <w:bCs w:val="1"/>
                <w:color w:val="auto"/>
              </w:rPr>
              <w:t>Direct-to-customers</w:t>
            </w:r>
          </w:p>
        </w:tc>
        <w:tc>
          <w:tcPr>
            <w:tcW w:w="9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9"/>
        </w:trPr>
        <w:tc>
          <w:tcPr>
            <w:tcW w:w="28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Sales</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b w:val="1"/>
                <w:bCs w:val="1"/>
                <w:color w:val="auto"/>
              </w:rPr>
              <w:t>355</w:t>
            </w:r>
          </w:p>
        </w:tc>
        <w:tc>
          <w:tcPr>
            <w:tcW w:w="2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ind w:right="135"/>
              <w:spacing w:after="0" w:line="189" w:lineRule="exact"/>
              <w:rPr>
                <w:sz w:val="20"/>
                <w:szCs w:val="20"/>
                <w:color w:val="auto"/>
              </w:rPr>
            </w:pPr>
            <w:r>
              <w:rPr>
                <w:rFonts w:ascii="Arial" w:cs="Arial" w:eastAsia="Arial" w:hAnsi="Arial"/>
                <w:sz w:val="17"/>
                <w:szCs w:val="17"/>
                <w:color w:val="auto"/>
              </w:rPr>
              <w:t>433</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b w:val="1"/>
                <w:bCs w:val="1"/>
                <w:color w:val="auto"/>
              </w:rPr>
              <w:t>1,103</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color w:val="auto"/>
              </w:rPr>
              <w:t>1,424</w:t>
            </w:r>
          </w:p>
        </w:tc>
      </w:tr>
      <w:tr>
        <w:trPr>
          <w:trHeight w:val="189"/>
        </w:trPr>
        <w:tc>
          <w:tcPr>
            <w:tcW w:w="2880" w:type="dxa"/>
            <w:vAlign w:val="bottom"/>
          </w:tcPr>
          <w:p>
            <w:pPr>
              <w:ind w:left="20"/>
              <w:spacing w:after="0" w:line="189" w:lineRule="exact"/>
              <w:rPr>
                <w:sz w:val="20"/>
                <w:szCs w:val="20"/>
                <w:color w:val="auto"/>
              </w:rPr>
            </w:pPr>
            <w:r>
              <w:rPr>
                <w:rFonts w:ascii="Arial" w:cs="Arial" w:eastAsia="Arial" w:hAnsi="Arial"/>
                <w:sz w:val="17"/>
                <w:szCs w:val="17"/>
                <w:color w:val="auto"/>
              </w:rPr>
              <w:t>$ Change</w:t>
            </w:r>
          </w:p>
        </w:tc>
        <w:tc>
          <w:tcPr>
            <w:tcW w:w="9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(78)</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(321)</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9"/>
        </w:trPr>
        <w:tc>
          <w:tcPr>
            <w:tcW w:w="28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 Change</w:t>
            </w:r>
          </w:p>
        </w:tc>
        <w:tc>
          <w:tcPr>
            <w:tcW w:w="9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(18.0)%</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(22.5)%</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89"/>
        </w:trPr>
        <w:tc>
          <w:tcPr>
            <w:tcW w:w="2880" w:type="dxa"/>
            <w:vAlign w:val="bottom"/>
          </w:tcPr>
          <w:p>
            <w:pPr>
              <w:ind w:left="20"/>
              <w:spacing w:after="0" w:line="189" w:lineRule="exact"/>
              <w:rPr>
                <w:sz w:val="20"/>
                <w:szCs w:val="20"/>
                <w:color w:val="auto"/>
              </w:rPr>
            </w:pPr>
            <w:r>
              <w:rPr>
                <w:rFonts w:ascii="Arial" w:cs="Arial" w:eastAsia="Arial" w:hAnsi="Arial"/>
                <w:sz w:val="17"/>
                <w:szCs w:val="17"/>
                <w:color w:val="auto"/>
              </w:rPr>
              <w:t>% of total sales</w:t>
            </w:r>
          </w:p>
        </w:tc>
        <w:tc>
          <w:tcPr>
            <w:tcW w:w="90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16.3 %</w:t>
            </w:r>
          </w:p>
        </w:tc>
        <w:tc>
          <w:tcPr>
            <w:tcW w:w="24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19.8 %</w:t>
            </w:r>
          </w:p>
        </w:tc>
        <w:tc>
          <w:tcPr>
            <w:tcW w:w="16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17.2 %</w:t>
            </w:r>
          </w:p>
        </w:tc>
        <w:tc>
          <w:tcPr>
            <w:tcW w:w="10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21.5 %</w:t>
            </w:r>
          </w:p>
        </w:tc>
      </w:tr>
      <w:tr>
        <w:trPr>
          <w:trHeight w:val="189"/>
        </w:trPr>
        <w:tc>
          <w:tcPr>
            <w:tcW w:w="288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Comparable sales decrease</w:t>
            </w:r>
          </w:p>
        </w:tc>
        <w:tc>
          <w:tcPr>
            <w:tcW w:w="9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(14.5)%</w:t>
            </w:r>
          </w:p>
        </w:tc>
        <w:tc>
          <w:tcPr>
            <w:tcW w:w="2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(4.6)%</w:t>
            </w: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(24.2)%</w:t>
            </w:r>
          </w:p>
        </w:tc>
        <w:tc>
          <w:tcPr>
            <w:tcW w:w="1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(7.1)%</w:t>
            </w:r>
          </w:p>
        </w:tc>
      </w:tr>
    </w:tbl>
    <w:p>
      <w:pPr>
        <w:spacing w:after="0" w:line="197" w:lineRule="exact"/>
        <w:rPr>
          <w:sz w:val="20"/>
          <w:szCs w:val="20"/>
          <w:color w:val="auto"/>
        </w:rPr>
      </w:pPr>
    </w:p>
    <w:p>
      <w:pPr>
        <w:jc w:val="both"/>
        <w:ind w:left="60" w:right="79"/>
        <w:spacing w:after="0" w:line="244" w:lineRule="auto"/>
        <w:rPr>
          <w:sz w:val="20"/>
          <w:szCs w:val="20"/>
          <w:color w:val="auto"/>
        </w:rPr>
      </w:pPr>
      <w:r>
        <w:rPr>
          <w:rFonts w:ascii="Arial" w:cs="Arial" w:eastAsia="Arial" w:hAnsi="Arial"/>
          <w:sz w:val="18"/>
          <w:szCs w:val="18"/>
          <w:color w:val="auto"/>
        </w:rPr>
        <w:t>Sales from our acquired WSS and atmos banners were $ 162 million and $40 million, respectively, for the thirteen weeks ended October 29, 2022, and $437 million and $137 million, respectively for the thirty-nine weeks ended October 29, 2022. WSS, which was acquired during the third quarter of 2021, generated sales for partial quarter of 2021 of $56 million. The information shown below represents certain combined stores and direct-to-customers sales metrics, excluding the sales from WSS (current and prior-year periods) and atmos.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272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gridSpan w:val="2"/>
          </w:tcPr>
          <w:p>
            <w:pPr>
              <w:jc w:val="right"/>
              <w:ind w:right="515"/>
              <w:spacing w:after="0"/>
              <w:rPr>
                <w:sz w:val="20"/>
                <w:szCs w:val="20"/>
                <w:color w:val="auto"/>
              </w:rPr>
            </w:pPr>
            <w:r>
              <w:rPr>
                <w:rFonts w:ascii="Arial" w:cs="Arial" w:eastAsia="Arial" w:hAnsi="Arial"/>
                <w:sz w:val="17"/>
                <w:szCs w:val="17"/>
                <w:b w:val="1"/>
                <w:bCs w:val="1"/>
                <w:color w:val="auto"/>
              </w:rPr>
              <w:t>Thirteen weeks</w:t>
            </w:r>
          </w:p>
        </w:tc>
        <w:tc>
          <w:tcPr>
            <w:tcW w:w="2300" w:type="dxa"/>
            <w:vAlign w:val="bottom"/>
            <w:tcBorders>
              <w:bottom w:val="single" w:sz="8" w:color="auto"/>
            </w:tcBorders>
            <w:gridSpan w:val="2"/>
          </w:tcPr>
          <w:p>
            <w:pPr>
              <w:jc w:val="right"/>
              <w:ind w:right="395"/>
              <w:spacing w:after="0"/>
              <w:rPr>
                <w:sz w:val="20"/>
                <w:szCs w:val="20"/>
                <w:color w:val="auto"/>
              </w:rPr>
            </w:pPr>
            <w:r>
              <w:rPr>
                <w:rFonts w:ascii="Arial" w:cs="Arial" w:eastAsia="Arial" w:hAnsi="Arial"/>
                <w:sz w:val="17"/>
                <w:szCs w:val="17"/>
                <w:b w:val="1"/>
                <w:bCs w:val="1"/>
                <w:color w:val="auto"/>
              </w:rPr>
              <w:t>Thirty-nine weeks</w:t>
            </w:r>
          </w:p>
        </w:tc>
      </w:tr>
      <w:tr>
        <w:trPr>
          <w:trHeight w:val="160"/>
        </w:trPr>
        <w:tc>
          <w:tcPr>
            <w:tcW w:w="2720" w:type="dxa"/>
            <w:vAlign w:val="bottom"/>
          </w:tcPr>
          <w:p>
            <w:pPr>
              <w:spacing w:after="0"/>
              <w:rPr>
                <w:sz w:val="13"/>
                <w:szCs w:val="13"/>
                <w:color w:val="auto"/>
              </w:rPr>
            </w:pPr>
          </w:p>
        </w:tc>
        <w:tc>
          <w:tcPr>
            <w:tcW w:w="2680" w:type="dxa"/>
            <w:vAlign w:val="bottom"/>
          </w:tcPr>
          <w:p>
            <w:pPr>
              <w:jc w:val="right"/>
              <w:ind w:right="155"/>
              <w:spacing w:after="0" w:line="160" w:lineRule="exact"/>
              <w:rPr>
                <w:sz w:val="20"/>
                <w:szCs w:val="20"/>
                <w:color w:val="auto"/>
              </w:rPr>
            </w:pPr>
            <w:r>
              <w:rPr>
                <w:rFonts w:ascii="Arial" w:cs="Arial" w:eastAsia="Arial" w:hAnsi="Arial"/>
                <w:sz w:val="17"/>
                <w:szCs w:val="17"/>
                <w:b w:val="1"/>
                <w:bCs w:val="1"/>
                <w:color w:val="auto"/>
              </w:rPr>
              <w:t>Constant</w:t>
            </w:r>
          </w:p>
        </w:tc>
        <w:tc>
          <w:tcPr>
            <w:tcW w:w="1200" w:type="dxa"/>
            <w:vAlign w:val="bottom"/>
          </w:tcPr>
          <w:p>
            <w:pPr>
              <w:jc w:val="right"/>
              <w:ind w:right="115"/>
              <w:spacing w:after="0" w:line="160" w:lineRule="exact"/>
              <w:rPr>
                <w:sz w:val="20"/>
                <w:szCs w:val="20"/>
                <w:color w:val="auto"/>
              </w:rPr>
            </w:pPr>
            <w:r>
              <w:rPr>
                <w:rFonts w:ascii="Arial" w:cs="Arial" w:eastAsia="Arial" w:hAnsi="Arial"/>
                <w:sz w:val="17"/>
                <w:szCs w:val="17"/>
                <w:b w:val="1"/>
                <w:bCs w:val="1"/>
                <w:color w:val="auto"/>
                <w:w w:val="99"/>
              </w:rPr>
              <w:t>Comparable</w:t>
            </w:r>
          </w:p>
        </w:tc>
        <w:tc>
          <w:tcPr>
            <w:tcW w:w="1120" w:type="dxa"/>
            <w:vAlign w:val="bottom"/>
          </w:tcPr>
          <w:p>
            <w:pPr>
              <w:jc w:val="right"/>
              <w:ind w:right="155"/>
              <w:spacing w:after="0" w:line="160" w:lineRule="exact"/>
              <w:rPr>
                <w:sz w:val="20"/>
                <w:szCs w:val="20"/>
                <w:color w:val="auto"/>
              </w:rPr>
            </w:pPr>
            <w:r>
              <w:rPr>
                <w:rFonts w:ascii="Arial" w:cs="Arial" w:eastAsia="Arial" w:hAnsi="Arial"/>
                <w:sz w:val="17"/>
                <w:szCs w:val="17"/>
                <w:b w:val="1"/>
                <w:bCs w:val="1"/>
                <w:color w:val="auto"/>
              </w:rPr>
              <w:t>Constant</w:t>
            </w:r>
          </w:p>
        </w:tc>
        <w:tc>
          <w:tcPr>
            <w:tcW w:w="1180" w:type="dxa"/>
            <w:vAlign w:val="bottom"/>
          </w:tcPr>
          <w:p>
            <w:pPr>
              <w:jc w:val="right"/>
              <w:ind w:right="95"/>
              <w:spacing w:after="0" w:line="160" w:lineRule="exact"/>
              <w:rPr>
                <w:sz w:val="20"/>
                <w:szCs w:val="20"/>
                <w:color w:val="auto"/>
              </w:rPr>
            </w:pPr>
            <w:r>
              <w:rPr>
                <w:rFonts w:ascii="Arial" w:cs="Arial" w:eastAsia="Arial" w:hAnsi="Arial"/>
                <w:sz w:val="17"/>
                <w:szCs w:val="17"/>
                <w:b w:val="1"/>
                <w:bCs w:val="1"/>
                <w:color w:val="auto"/>
                <w:w w:val="99"/>
              </w:rPr>
              <w:t>Comparable</w:t>
            </w:r>
          </w:p>
        </w:tc>
      </w:tr>
      <w:tr>
        <w:trPr>
          <w:trHeight w:val="211"/>
        </w:trPr>
        <w:tc>
          <w:tcPr>
            <w:tcW w:w="27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Currencies</w:t>
            </w:r>
          </w:p>
        </w:tc>
        <w:tc>
          <w:tcPr>
            <w:tcW w:w="120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Sales</w:t>
            </w:r>
          </w:p>
        </w:tc>
        <w:tc>
          <w:tcPr>
            <w:tcW w:w="11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Currencies</w:t>
            </w:r>
          </w:p>
        </w:tc>
        <w:tc>
          <w:tcPr>
            <w:tcW w:w="118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Sales</w:t>
            </w:r>
          </w:p>
        </w:tc>
      </w:tr>
      <w:tr>
        <w:trPr>
          <w:trHeight w:val="183"/>
        </w:trPr>
        <w:tc>
          <w:tcPr>
            <w:tcW w:w="272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North America</w:t>
            </w:r>
          </w:p>
        </w:tc>
        <w:tc>
          <w:tcPr>
            <w:tcW w:w="26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(7.7)%</w:t>
            </w:r>
          </w:p>
        </w:tc>
        <w:tc>
          <w:tcPr>
            <w:tcW w:w="12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(1.1)%</w:t>
            </w:r>
          </w:p>
        </w:tc>
        <w:tc>
          <w:tcPr>
            <w:tcW w:w="1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(15.6)%</w:t>
            </w:r>
          </w:p>
        </w:tc>
        <w:tc>
          <w:tcPr>
            <w:tcW w:w="11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(9.9)%</w:t>
            </w:r>
          </w:p>
        </w:tc>
      </w:tr>
      <w:tr>
        <w:trPr>
          <w:trHeight w:val="189"/>
        </w:trPr>
        <w:tc>
          <w:tcPr>
            <w:tcW w:w="2720" w:type="dxa"/>
            <w:vAlign w:val="bottom"/>
          </w:tcPr>
          <w:p>
            <w:pPr>
              <w:ind w:left="20"/>
              <w:spacing w:after="0" w:line="189" w:lineRule="exact"/>
              <w:rPr>
                <w:sz w:val="20"/>
                <w:szCs w:val="20"/>
                <w:color w:val="auto"/>
              </w:rPr>
            </w:pPr>
            <w:r>
              <w:rPr>
                <w:rFonts w:ascii="Arial" w:cs="Arial" w:eastAsia="Arial" w:hAnsi="Arial"/>
                <w:sz w:val="17"/>
                <w:szCs w:val="17"/>
                <w:color w:val="auto"/>
              </w:rPr>
              <w:t>EMEA</w:t>
            </w:r>
          </w:p>
        </w:tc>
        <w:tc>
          <w:tcPr>
            <w:tcW w:w="2680" w:type="dxa"/>
            <w:vAlign w:val="bottom"/>
          </w:tcPr>
          <w:p>
            <w:pPr>
              <w:jc w:val="right"/>
              <w:spacing w:after="0" w:line="189" w:lineRule="exact"/>
              <w:rPr>
                <w:sz w:val="20"/>
                <w:szCs w:val="20"/>
                <w:color w:val="auto"/>
              </w:rPr>
            </w:pPr>
            <w:r>
              <w:rPr>
                <w:rFonts w:ascii="Arial" w:cs="Arial" w:eastAsia="Arial" w:hAnsi="Arial"/>
                <w:sz w:val="17"/>
                <w:szCs w:val="17"/>
                <w:color w:val="auto"/>
              </w:rPr>
              <w:t>3.5 %</w:t>
            </w: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0.8 %</w:t>
            </w: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17.6 %</w:t>
            </w:r>
          </w:p>
        </w:tc>
        <w:tc>
          <w:tcPr>
            <w:tcW w:w="1180" w:type="dxa"/>
            <w:vAlign w:val="bottom"/>
          </w:tcPr>
          <w:p>
            <w:pPr>
              <w:jc w:val="right"/>
              <w:spacing w:after="0" w:line="189" w:lineRule="exact"/>
              <w:rPr>
                <w:sz w:val="20"/>
                <w:szCs w:val="20"/>
                <w:color w:val="auto"/>
              </w:rPr>
            </w:pPr>
            <w:r>
              <w:rPr>
                <w:rFonts w:ascii="Arial" w:cs="Arial" w:eastAsia="Arial" w:hAnsi="Arial"/>
                <w:sz w:val="17"/>
                <w:szCs w:val="17"/>
                <w:color w:val="auto"/>
              </w:rPr>
              <w:t>14.7 %</w:t>
            </w:r>
          </w:p>
        </w:tc>
      </w:tr>
      <w:tr>
        <w:trPr>
          <w:trHeight w:val="189"/>
        </w:trPr>
        <w:tc>
          <w:tcPr>
            <w:tcW w:w="272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Asia Pacific</w:t>
            </w:r>
          </w:p>
        </w:tc>
        <w:tc>
          <w:tcPr>
            <w:tcW w:w="26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42.2 %</w:t>
            </w:r>
          </w:p>
        </w:tc>
        <w:tc>
          <w:tcPr>
            <w:tcW w:w="12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36.5 %</w:t>
            </w:r>
          </w:p>
        </w:tc>
        <w:tc>
          <w:tcPr>
            <w:tcW w:w="11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25.5 %</w:t>
            </w:r>
          </w:p>
        </w:tc>
        <w:tc>
          <w:tcPr>
            <w:tcW w:w="11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20.9 %</w:t>
            </w:r>
          </w:p>
        </w:tc>
      </w:tr>
      <w:tr>
        <w:trPr>
          <w:trHeight w:val="183"/>
        </w:trPr>
        <w:tc>
          <w:tcPr>
            <w:tcW w:w="272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(3.5)%</w:t>
            </w: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0.8 %</w:t>
            </w: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(8.0)%</w:t>
            </w:r>
          </w:p>
        </w:tc>
        <w:tc>
          <w:tcPr>
            <w:tcW w:w="1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(3.9)%</w:t>
            </w:r>
          </w:p>
        </w:tc>
      </w:tr>
      <w:tr>
        <w:trPr>
          <w:trHeight w:val="20"/>
        </w:trPr>
        <w:tc>
          <w:tcPr>
            <w:tcW w:w="272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2022 Form 10-Q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Despite the decline in sales as compared with our record levels in 2021, sales exceeded the results of 2019. Excluding the effect of foreign exchange rate fluctuations and our acquisitions, sales increased by 4.5% and by 2.2% for the quarter and year-to-date periods, respectively, as compared with the corresponding periods of 2019.</w:t>
      </w:r>
    </w:p>
    <w:p>
      <w:pPr>
        <w:spacing w:after="0" w:line="174"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Comparable sales increased in our stores, however sales decreased in our direct-to-customer channel for the quarter and year-to-date periods of 2022. Our sales in stores increased, driven by strong demand, brand diversification efforts, and improved access to high-quality inventory. Our direct-to-customer channel continued to decrease as shoppers navigated back to physical locations.</w:t>
      </w:r>
    </w:p>
    <w:p>
      <w:pPr>
        <w:spacing w:after="0" w:line="17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Our North American operating segment’s sales, excluding WSS, and comparable-store sales for the current year were negatively affected by the significant fiscal stimulus, which contributed to last year’s growth, as well as the effects of inflation on customer demand. Additionally, the wind down of the Footaction business negatively affected sales, last year we operated 161 stores as compared with 11 this quarter. Within EMEA, sales from the Foot Locker banner increased as tourism returned to more historical levels driving traffic back to our stores. The overall positive comparable sales for EMEA was partly offset by continued decline in sales from the Sidestep banner, which generated a negative decline in comparable sales for the quarter. Asia Pacific, excluding atmos, generated increases from both strong performance in Australia and New Zealand compared to last year’s COVID-19 related store closures, coupled with growth in Asia, based on expansion in that region. Asia Pacific’s increases were affected by the increase in operating days, the current year was essentially open for all days as compared with approximately 56% and 75% for the quarter and year-to-date periods last year, respectively.</w:t>
      </w:r>
    </w:p>
    <w:p>
      <w:pPr>
        <w:spacing w:after="0" w:line="183"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From a product perspective, for the combined channels for the quarter, increased sales from footwear product was offset by a decline in apparel sales, while sales of accessories were essentially flat. For the year-to-date period, the decline in sales was primarily from lower footwear and apparel sales, offset, in part, by higher sales of accessories. The decline in footwear for the third quarter was primarily due to lower sales from men’s and kids’ running footwear products, and the decline in sales of apparel represented lower sales of men’s and performance apparel products. For the year-to-date period, men’s, kids’, and performance footwear decreased, offset by a small increase in sales of women’s footwear. Apparel sales decreased in the men’s, kids’, and performance categories, while sales of women’s product increased.</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Gross Margin</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36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2"/>
          </w:tcPr>
          <w:p>
            <w:pPr>
              <w:jc w:val="right"/>
              <w:ind w:right="435"/>
              <w:spacing w:after="0"/>
              <w:rPr>
                <w:sz w:val="20"/>
                <w:szCs w:val="20"/>
                <w:color w:val="auto"/>
              </w:rPr>
            </w:pPr>
            <w:r>
              <w:rPr>
                <w:rFonts w:ascii="Arial" w:cs="Arial" w:eastAsia="Arial" w:hAnsi="Arial"/>
                <w:sz w:val="17"/>
                <w:szCs w:val="17"/>
                <w:b w:val="1"/>
                <w:bCs w:val="1"/>
                <w:color w:val="auto"/>
              </w:rPr>
              <w:t>Thirteen weeks ended</w:t>
            </w:r>
          </w:p>
        </w:tc>
        <w:tc>
          <w:tcPr>
            <w:tcW w:w="2600" w:type="dxa"/>
            <w:vAlign w:val="bottom"/>
            <w:tcBorders>
              <w:bottom w:val="single" w:sz="8" w:color="auto"/>
            </w:tcBorders>
            <w:gridSpan w:val="2"/>
          </w:tcPr>
          <w:p>
            <w:pPr>
              <w:jc w:val="right"/>
              <w:ind w:right="275"/>
              <w:spacing w:after="0"/>
              <w:rPr>
                <w:sz w:val="20"/>
                <w:szCs w:val="20"/>
                <w:color w:val="auto"/>
              </w:rPr>
            </w:pPr>
            <w:r>
              <w:rPr>
                <w:rFonts w:ascii="Arial" w:cs="Arial" w:eastAsia="Arial" w:hAnsi="Arial"/>
                <w:sz w:val="17"/>
                <w:szCs w:val="17"/>
                <w:b w:val="1"/>
                <w:bCs w:val="1"/>
                <w:color w:val="auto"/>
              </w:rPr>
              <w:t>Thirty-nine weeks ended</w:t>
            </w:r>
          </w:p>
        </w:tc>
      </w:tr>
      <w:tr>
        <w:trPr>
          <w:trHeight w:val="160"/>
        </w:trPr>
        <w:tc>
          <w:tcPr>
            <w:tcW w:w="3620" w:type="dxa"/>
            <w:vAlign w:val="bottom"/>
          </w:tcPr>
          <w:p>
            <w:pPr>
              <w:spacing w:after="0"/>
              <w:rPr>
                <w:sz w:val="13"/>
                <w:szCs w:val="13"/>
                <w:color w:val="auto"/>
              </w:rPr>
            </w:pPr>
          </w:p>
        </w:tc>
        <w:tc>
          <w:tcPr>
            <w:tcW w:w="1360" w:type="dxa"/>
            <w:vAlign w:val="bottom"/>
          </w:tcPr>
          <w:p>
            <w:pPr>
              <w:jc w:val="right"/>
              <w:ind w:right="135"/>
              <w:spacing w:after="0" w:line="160" w:lineRule="exact"/>
              <w:rPr>
                <w:sz w:val="20"/>
                <w:szCs w:val="20"/>
                <w:color w:val="auto"/>
              </w:rPr>
            </w:pPr>
            <w:r>
              <w:rPr>
                <w:rFonts w:ascii="Arial" w:cs="Arial" w:eastAsia="Arial" w:hAnsi="Arial"/>
                <w:sz w:val="17"/>
                <w:szCs w:val="17"/>
                <w:b w:val="1"/>
                <w:bCs w:val="1"/>
                <w:color w:val="auto"/>
              </w:rPr>
              <w:t>October 29,</w:t>
            </w:r>
          </w:p>
        </w:tc>
        <w:tc>
          <w:tcPr>
            <w:tcW w:w="1320" w:type="dxa"/>
            <w:vAlign w:val="bottom"/>
          </w:tcPr>
          <w:p>
            <w:pPr>
              <w:jc w:val="center"/>
              <w:ind w:right="175"/>
              <w:spacing w:after="0" w:line="160" w:lineRule="exact"/>
              <w:rPr>
                <w:sz w:val="20"/>
                <w:szCs w:val="20"/>
                <w:color w:val="auto"/>
              </w:rPr>
            </w:pPr>
            <w:r>
              <w:rPr>
                <w:rFonts w:ascii="Arial" w:cs="Arial" w:eastAsia="Arial" w:hAnsi="Arial"/>
                <w:sz w:val="17"/>
                <w:szCs w:val="17"/>
                <w:b w:val="1"/>
                <w:bCs w:val="1"/>
                <w:color w:val="auto"/>
              </w:rPr>
              <w:t>October 30,</w:t>
            </w:r>
          </w:p>
        </w:tc>
        <w:tc>
          <w:tcPr>
            <w:tcW w:w="1320" w:type="dxa"/>
            <w:vAlign w:val="bottom"/>
          </w:tcPr>
          <w:p>
            <w:pPr>
              <w:jc w:val="right"/>
              <w:ind w:right="135"/>
              <w:spacing w:after="0" w:line="160" w:lineRule="exact"/>
              <w:rPr>
                <w:sz w:val="20"/>
                <w:szCs w:val="20"/>
                <w:color w:val="auto"/>
              </w:rPr>
            </w:pPr>
            <w:r>
              <w:rPr>
                <w:rFonts w:ascii="Arial" w:cs="Arial" w:eastAsia="Arial" w:hAnsi="Arial"/>
                <w:sz w:val="17"/>
                <w:szCs w:val="17"/>
                <w:b w:val="1"/>
                <w:bCs w:val="1"/>
                <w:color w:val="auto"/>
              </w:rPr>
              <w:t>October 29,</w:t>
            </w:r>
          </w:p>
        </w:tc>
        <w:tc>
          <w:tcPr>
            <w:tcW w:w="1280" w:type="dxa"/>
            <w:vAlign w:val="bottom"/>
          </w:tcPr>
          <w:p>
            <w:pPr>
              <w:jc w:val="center"/>
              <w:ind w:right="135"/>
              <w:spacing w:after="0" w:line="160" w:lineRule="exact"/>
              <w:rPr>
                <w:sz w:val="20"/>
                <w:szCs w:val="20"/>
                <w:color w:val="auto"/>
              </w:rPr>
            </w:pPr>
            <w:r>
              <w:rPr>
                <w:rFonts w:ascii="Arial" w:cs="Arial" w:eastAsia="Arial" w:hAnsi="Arial"/>
                <w:sz w:val="17"/>
                <w:szCs w:val="17"/>
                <w:b w:val="1"/>
                <w:bCs w:val="1"/>
                <w:color w:val="auto"/>
              </w:rPr>
              <w:t>October 30,</w:t>
            </w:r>
          </w:p>
        </w:tc>
      </w:tr>
      <w:tr>
        <w:trPr>
          <w:trHeight w:val="211"/>
        </w:trPr>
        <w:tc>
          <w:tcPr>
            <w:tcW w:w="36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2022</w:t>
            </w:r>
          </w:p>
        </w:tc>
        <w:tc>
          <w:tcPr>
            <w:tcW w:w="132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2021</w:t>
            </w:r>
          </w:p>
        </w:tc>
        <w:tc>
          <w:tcPr>
            <w:tcW w:w="132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2022</w:t>
            </w:r>
          </w:p>
        </w:tc>
        <w:tc>
          <w:tcPr>
            <w:tcW w:w="128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2021</w:t>
            </w:r>
          </w:p>
        </w:tc>
      </w:tr>
      <w:tr>
        <w:trPr>
          <w:trHeight w:val="183"/>
        </w:trPr>
        <w:tc>
          <w:tcPr>
            <w:tcW w:w="36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Gross margin rate</w:t>
            </w:r>
          </w:p>
        </w:tc>
        <w:tc>
          <w:tcPr>
            <w:tcW w:w="13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32.0 %</w:t>
            </w:r>
          </w:p>
        </w:tc>
        <w:tc>
          <w:tcPr>
            <w:tcW w:w="132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34.7 %</w:t>
            </w:r>
          </w:p>
        </w:tc>
        <w:tc>
          <w:tcPr>
            <w:tcW w:w="13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32.6 %</w:t>
            </w:r>
          </w:p>
        </w:tc>
        <w:tc>
          <w:tcPr>
            <w:tcW w:w="128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34.9 %</w:t>
            </w:r>
          </w:p>
        </w:tc>
      </w:tr>
      <w:tr>
        <w:trPr>
          <w:trHeight w:val="189"/>
        </w:trPr>
        <w:tc>
          <w:tcPr>
            <w:tcW w:w="3620" w:type="dxa"/>
            <w:vAlign w:val="bottom"/>
          </w:tcPr>
          <w:p>
            <w:pPr>
              <w:spacing w:after="0" w:line="189" w:lineRule="exact"/>
              <w:rPr>
                <w:sz w:val="20"/>
                <w:szCs w:val="20"/>
                <w:color w:val="auto"/>
              </w:rPr>
            </w:pPr>
            <w:r>
              <w:rPr>
                <w:rFonts w:ascii="Arial" w:cs="Arial" w:eastAsia="Arial" w:hAnsi="Arial"/>
                <w:sz w:val="17"/>
                <w:szCs w:val="17"/>
                <w:color w:val="auto"/>
              </w:rPr>
              <w:t>Basis point decrease in the gross margin rate</w:t>
            </w:r>
          </w:p>
        </w:tc>
        <w:tc>
          <w:tcPr>
            <w:tcW w:w="1360" w:type="dxa"/>
            <w:vAlign w:val="bottom"/>
          </w:tcPr>
          <w:p>
            <w:pPr>
              <w:jc w:val="right"/>
              <w:ind w:right="135"/>
              <w:spacing w:after="0" w:line="189" w:lineRule="exact"/>
              <w:rPr>
                <w:sz w:val="20"/>
                <w:szCs w:val="20"/>
                <w:color w:val="auto"/>
              </w:rPr>
            </w:pPr>
            <w:r>
              <w:rPr>
                <w:rFonts w:ascii="Arial" w:cs="Arial" w:eastAsia="Arial" w:hAnsi="Arial"/>
                <w:sz w:val="17"/>
                <w:szCs w:val="17"/>
                <w:b w:val="1"/>
                <w:bCs w:val="1"/>
                <w:color w:val="auto"/>
              </w:rPr>
              <w:t>(270)</w:t>
            </w:r>
          </w:p>
        </w:tc>
        <w:tc>
          <w:tcPr>
            <w:tcW w:w="1320" w:type="dxa"/>
            <w:vAlign w:val="bottom"/>
          </w:tcPr>
          <w:p>
            <w:pPr>
              <w:spacing w:after="0"/>
              <w:rPr>
                <w:sz w:val="16"/>
                <w:szCs w:val="16"/>
                <w:color w:val="auto"/>
              </w:rPr>
            </w:pPr>
          </w:p>
        </w:tc>
        <w:tc>
          <w:tcPr>
            <w:tcW w:w="1320" w:type="dxa"/>
            <w:vAlign w:val="bottom"/>
          </w:tcPr>
          <w:p>
            <w:pPr>
              <w:jc w:val="right"/>
              <w:ind w:right="135"/>
              <w:spacing w:after="0" w:line="189" w:lineRule="exact"/>
              <w:rPr>
                <w:sz w:val="20"/>
                <w:szCs w:val="20"/>
                <w:color w:val="auto"/>
              </w:rPr>
            </w:pPr>
            <w:r>
              <w:rPr>
                <w:rFonts w:ascii="Arial" w:cs="Arial" w:eastAsia="Arial" w:hAnsi="Arial"/>
                <w:sz w:val="17"/>
                <w:szCs w:val="17"/>
                <w:b w:val="1"/>
                <w:bCs w:val="1"/>
                <w:color w:val="auto"/>
              </w:rPr>
              <w:t>(230)</w:t>
            </w:r>
          </w:p>
        </w:tc>
        <w:tc>
          <w:tcPr>
            <w:tcW w:w="1280" w:type="dxa"/>
            <w:vAlign w:val="bottom"/>
          </w:tcPr>
          <w:p>
            <w:pPr>
              <w:spacing w:after="0"/>
              <w:rPr>
                <w:sz w:val="16"/>
                <w:szCs w:val="16"/>
                <w:color w:val="auto"/>
              </w:rPr>
            </w:pPr>
          </w:p>
        </w:tc>
      </w:tr>
      <w:tr>
        <w:trPr>
          <w:trHeight w:val="189"/>
        </w:trPr>
        <w:tc>
          <w:tcPr>
            <w:tcW w:w="362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Components of the change:</w:t>
            </w:r>
          </w:p>
        </w:tc>
        <w:tc>
          <w:tcPr>
            <w:tcW w:w="13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189"/>
        </w:trPr>
        <w:tc>
          <w:tcPr>
            <w:tcW w:w="3620" w:type="dxa"/>
            <w:vAlign w:val="bottom"/>
          </w:tcPr>
          <w:p>
            <w:pPr>
              <w:ind w:left="220"/>
              <w:spacing w:after="0" w:line="189" w:lineRule="exact"/>
              <w:rPr>
                <w:sz w:val="20"/>
                <w:szCs w:val="20"/>
                <w:color w:val="auto"/>
              </w:rPr>
            </w:pPr>
            <w:r>
              <w:rPr>
                <w:rFonts w:ascii="Arial" w:cs="Arial" w:eastAsia="Arial" w:hAnsi="Arial"/>
                <w:sz w:val="17"/>
                <w:szCs w:val="17"/>
                <w:color w:val="auto"/>
              </w:rPr>
              <w:t>Merchandise margin rate decline</w:t>
            </w:r>
          </w:p>
        </w:tc>
        <w:tc>
          <w:tcPr>
            <w:tcW w:w="1360" w:type="dxa"/>
            <w:vAlign w:val="bottom"/>
          </w:tcPr>
          <w:p>
            <w:pPr>
              <w:jc w:val="right"/>
              <w:ind w:right="135"/>
              <w:spacing w:after="0" w:line="189" w:lineRule="exact"/>
              <w:rPr>
                <w:sz w:val="20"/>
                <w:szCs w:val="20"/>
                <w:color w:val="auto"/>
              </w:rPr>
            </w:pPr>
            <w:r>
              <w:rPr>
                <w:rFonts w:ascii="Arial" w:cs="Arial" w:eastAsia="Arial" w:hAnsi="Arial"/>
                <w:sz w:val="17"/>
                <w:szCs w:val="17"/>
                <w:b w:val="1"/>
                <w:bCs w:val="1"/>
                <w:color w:val="auto"/>
              </w:rPr>
              <w:t>(280)</w:t>
            </w:r>
          </w:p>
        </w:tc>
        <w:tc>
          <w:tcPr>
            <w:tcW w:w="1320" w:type="dxa"/>
            <w:vAlign w:val="bottom"/>
          </w:tcPr>
          <w:p>
            <w:pPr>
              <w:spacing w:after="0"/>
              <w:rPr>
                <w:sz w:val="16"/>
                <w:szCs w:val="16"/>
                <w:color w:val="auto"/>
              </w:rPr>
            </w:pPr>
          </w:p>
        </w:tc>
        <w:tc>
          <w:tcPr>
            <w:tcW w:w="1320" w:type="dxa"/>
            <w:vAlign w:val="bottom"/>
          </w:tcPr>
          <w:p>
            <w:pPr>
              <w:jc w:val="right"/>
              <w:ind w:right="135"/>
              <w:spacing w:after="0" w:line="189" w:lineRule="exact"/>
              <w:rPr>
                <w:sz w:val="20"/>
                <w:szCs w:val="20"/>
                <w:color w:val="auto"/>
              </w:rPr>
            </w:pPr>
            <w:r>
              <w:rPr>
                <w:rFonts w:ascii="Arial" w:cs="Arial" w:eastAsia="Arial" w:hAnsi="Arial"/>
                <w:sz w:val="17"/>
                <w:szCs w:val="17"/>
                <w:b w:val="1"/>
                <w:bCs w:val="1"/>
                <w:color w:val="auto"/>
              </w:rPr>
              <w:t>(210)</w:t>
            </w:r>
          </w:p>
        </w:tc>
        <w:tc>
          <w:tcPr>
            <w:tcW w:w="1280" w:type="dxa"/>
            <w:vAlign w:val="bottom"/>
          </w:tcPr>
          <w:p>
            <w:pPr>
              <w:spacing w:after="0"/>
              <w:rPr>
                <w:sz w:val="16"/>
                <w:szCs w:val="16"/>
                <w:color w:val="auto"/>
              </w:rPr>
            </w:pPr>
          </w:p>
        </w:tc>
      </w:tr>
      <w:tr>
        <w:trPr>
          <w:trHeight w:val="167"/>
        </w:trPr>
        <w:tc>
          <w:tcPr>
            <w:tcW w:w="3620" w:type="dxa"/>
            <w:vAlign w:val="bottom"/>
            <w:shd w:val="clear" w:color="auto" w:fill="CCEEFF"/>
          </w:tcPr>
          <w:p>
            <w:pPr>
              <w:ind w:left="220"/>
              <w:spacing w:after="0" w:line="167" w:lineRule="exact"/>
              <w:rPr>
                <w:sz w:val="20"/>
                <w:szCs w:val="20"/>
                <w:color w:val="auto"/>
              </w:rPr>
            </w:pPr>
            <w:r>
              <w:rPr>
                <w:rFonts w:ascii="Arial" w:cs="Arial" w:eastAsia="Arial" w:hAnsi="Arial"/>
                <w:sz w:val="17"/>
                <w:szCs w:val="17"/>
                <w:color w:val="auto"/>
              </w:rPr>
              <w:t>Occupancy and buyers’ compensation</w:t>
            </w:r>
          </w:p>
        </w:tc>
        <w:tc>
          <w:tcPr>
            <w:tcW w:w="13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211"/>
        </w:trPr>
        <w:tc>
          <w:tcPr>
            <w:tcW w:w="36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expense rate</w:t>
            </w:r>
          </w:p>
        </w:tc>
        <w:tc>
          <w:tcPr>
            <w:tcW w:w="136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10</w:t>
            </w:r>
          </w:p>
        </w:tc>
        <w:tc>
          <w:tcPr>
            <w:tcW w:w="13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(20)</w:t>
            </w:r>
          </w:p>
        </w:tc>
        <w:tc>
          <w:tcPr>
            <w:tcW w:w="1280" w:type="dxa"/>
            <w:vAlign w:val="bottom"/>
            <w:tcBorders>
              <w:bottom w:val="single" w:sz="8" w:color="auto"/>
            </w:tcBorders>
            <w:shd w:val="clear" w:color="auto" w:fill="CCEEFF"/>
          </w:tcPr>
          <w:p>
            <w:pPr>
              <w:spacing w:after="0"/>
              <w:rPr>
                <w:sz w:val="18"/>
                <w:szCs w:val="18"/>
                <w:color w:val="auto"/>
              </w:rPr>
            </w:pPr>
          </w:p>
        </w:tc>
      </w:tr>
    </w:tbl>
    <w:p>
      <w:pPr>
        <w:spacing w:after="0" w:line="197"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Gross margin is calculated as sales minus cost of sales. Cost of sales includes: the cost of merchandise, freight, distribution costs including related depreciation expense, shipping and handling, occupancy and buyers’ compensation. Occupancy costs include rent (including fixed common area maintenance charges and other fixed non-lease components), real estate taxes, general maintenance, and utilities.</w:t>
      </w:r>
    </w:p>
    <w:p>
      <w:pPr>
        <w:spacing w:after="0" w:line="174"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The gross margin rate decreased to 32.0% for the thirteen weeks ended October 29, 2022, as compared with the corresponding prior-year period, reflecting a 280-basis point decrease in the merchandise margin rate, and a 10-basis point leverage in the occupancy and buyers’ compensation rate. For the thirty-nine weeks ended October 29, 2022, the gross margin rate declined by 230 basis points, reflecting a 210-basis point decrease in the merchandise margin rate and a 20-basis point deleverage in the occupancy and buyers’ compensation rate.</w:t>
      </w:r>
    </w:p>
    <w:p>
      <w:pPr>
        <w:spacing w:after="0" w:line="392"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2022 Form 10-Q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The declines in merchandise margin rate reflected higher markdowns versus historically-low levels last year and higher supply chain costs. Additionally, merchandise margin is negatively affected by the recent acquisitions that generate a lower rate, which is offset by lower occupancy costs and therefore does not significantly affect the overall gross margin rate. The occupancy rate also reflected the effect of prior year rent abatements related to COVID-19 that represented $3 million and $14 million for the thirteen and thirty-nine weeks of last year, respectively, as compared with insignificant amounts this year.</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Selling, General and Administrative Expenses (SG&amp;A)</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29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3"/>
          </w:tcPr>
          <w:p>
            <w:pPr>
              <w:jc w:val="right"/>
              <w:ind w:right="495"/>
              <w:spacing w:after="0"/>
              <w:rPr>
                <w:sz w:val="20"/>
                <w:szCs w:val="20"/>
                <w:color w:val="auto"/>
              </w:rPr>
            </w:pPr>
            <w:r>
              <w:rPr>
                <w:rFonts w:ascii="Arial" w:cs="Arial" w:eastAsia="Arial" w:hAnsi="Arial"/>
                <w:sz w:val="17"/>
                <w:szCs w:val="17"/>
                <w:b w:val="1"/>
                <w:bCs w:val="1"/>
                <w:color w:val="auto"/>
              </w:rPr>
              <w:t>Thirteen weeks ended</w:t>
            </w:r>
          </w:p>
        </w:tc>
        <w:tc>
          <w:tcPr>
            <w:tcW w:w="28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3"/>
          </w:tcPr>
          <w:p>
            <w:pPr>
              <w:jc w:val="right"/>
              <w:ind w:right="355"/>
              <w:spacing w:after="0"/>
              <w:rPr>
                <w:sz w:val="20"/>
                <w:szCs w:val="20"/>
                <w:color w:val="auto"/>
              </w:rPr>
            </w:pPr>
            <w:r>
              <w:rPr>
                <w:rFonts w:ascii="Arial" w:cs="Arial" w:eastAsia="Arial" w:hAnsi="Arial"/>
                <w:sz w:val="17"/>
                <w:szCs w:val="17"/>
                <w:b w:val="1"/>
                <w:bCs w:val="1"/>
                <w:color w:val="auto"/>
              </w:rPr>
              <w:t>Thirty-nine weeks ended</w:t>
            </w:r>
          </w:p>
        </w:tc>
      </w:tr>
      <w:tr>
        <w:trPr>
          <w:trHeight w:val="160"/>
        </w:trPr>
        <w:tc>
          <w:tcPr>
            <w:tcW w:w="2940" w:type="dxa"/>
            <w:vAlign w:val="bottom"/>
          </w:tcPr>
          <w:p>
            <w:pPr>
              <w:spacing w:after="0"/>
              <w:rPr>
                <w:sz w:val="13"/>
                <w:szCs w:val="13"/>
                <w:color w:val="auto"/>
              </w:rPr>
            </w:pPr>
          </w:p>
        </w:tc>
        <w:tc>
          <w:tcPr>
            <w:tcW w:w="1800" w:type="dxa"/>
            <w:vAlign w:val="bottom"/>
            <w:gridSpan w:val="2"/>
          </w:tcPr>
          <w:p>
            <w:pPr>
              <w:jc w:val="right"/>
              <w:ind w:right="175"/>
              <w:spacing w:after="0" w:line="160" w:lineRule="exact"/>
              <w:rPr>
                <w:sz w:val="20"/>
                <w:szCs w:val="20"/>
                <w:color w:val="auto"/>
              </w:rPr>
            </w:pPr>
            <w:r>
              <w:rPr>
                <w:rFonts w:ascii="Arial" w:cs="Arial" w:eastAsia="Arial" w:hAnsi="Arial"/>
                <w:sz w:val="17"/>
                <w:szCs w:val="17"/>
                <w:b w:val="1"/>
                <w:bCs w:val="1"/>
                <w:color w:val="auto"/>
              </w:rPr>
              <w:t>October 29,</w:t>
            </w:r>
          </w:p>
        </w:tc>
        <w:tc>
          <w:tcPr>
            <w:tcW w:w="1400" w:type="dxa"/>
            <w:vAlign w:val="bottom"/>
            <w:gridSpan w:val="2"/>
          </w:tcPr>
          <w:p>
            <w:pPr>
              <w:jc w:val="right"/>
              <w:ind w:right="275"/>
              <w:spacing w:after="0" w:line="160" w:lineRule="exact"/>
              <w:rPr>
                <w:sz w:val="20"/>
                <w:szCs w:val="20"/>
                <w:color w:val="auto"/>
              </w:rPr>
            </w:pPr>
            <w:r>
              <w:rPr>
                <w:rFonts w:ascii="Arial" w:cs="Arial" w:eastAsia="Arial" w:hAnsi="Arial"/>
                <w:sz w:val="17"/>
                <w:szCs w:val="17"/>
                <w:b w:val="1"/>
                <w:bCs w:val="1"/>
                <w:color w:val="auto"/>
              </w:rPr>
              <w:t>October 30,</w:t>
            </w:r>
          </w:p>
        </w:tc>
        <w:tc>
          <w:tcPr>
            <w:tcW w:w="1400" w:type="dxa"/>
            <w:vAlign w:val="bottom"/>
            <w:gridSpan w:val="2"/>
          </w:tcPr>
          <w:p>
            <w:pPr>
              <w:jc w:val="right"/>
              <w:ind w:right="175"/>
              <w:spacing w:after="0" w:line="160" w:lineRule="exact"/>
              <w:rPr>
                <w:sz w:val="20"/>
                <w:szCs w:val="20"/>
                <w:color w:val="auto"/>
              </w:rPr>
            </w:pPr>
            <w:r>
              <w:rPr>
                <w:rFonts w:ascii="Arial" w:cs="Arial" w:eastAsia="Arial" w:hAnsi="Arial"/>
                <w:sz w:val="17"/>
                <w:szCs w:val="17"/>
                <w:b w:val="1"/>
                <w:bCs w:val="1"/>
                <w:color w:val="auto"/>
              </w:rPr>
              <w:t>October 29,</w:t>
            </w:r>
          </w:p>
        </w:tc>
        <w:tc>
          <w:tcPr>
            <w:tcW w:w="1360" w:type="dxa"/>
            <w:vAlign w:val="bottom"/>
            <w:gridSpan w:val="2"/>
          </w:tcPr>
          <w:p>
            <w:pPr>
              <w:jc w:val="right"/>
              <w:ind w:right="235"/>
              <w:spacing w:after="0" w:line="160" w:lineRule="exact"/>
              <w:rPr>
                <w:sz w:val="20"/>
                <w:szCs w:val="20"/>
                <w:color w:val="auto"/>
              </w:rPr>
            </w:pPr>
            <w:r>
              <w:rPr>
                <w:rFonts w:ascii="Arial" w:cs="Arial" w:eastAsia="Arial" w:hAnsi="Arial"/>
                <w:sz w:val="17"/>
                <w:szCs w:val="17"/>
                <w:b w:val="1"/>
                <w:bCs w:val="1"/>
                <w:color w:val="auto"/>
              </w:rPr>
              <w:t>October 30,</w:t>
            </w:r>
          </w:p>
        </w:tc>
      </w:tr>
      <w:tr>
        <w:trPr>
          <w:trHeight w:val="211"/>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7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2022</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2021</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2022</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2021</w:t>
            </w:r>
          </w:p>
        </w:tc>
      </w:tr>
      <w:tr>
        <w:trPr>
          <w:trHeight w:val="183"/>
        </w:trPr>
        <w:tc>
          <w:tcPr>
            <w:tcW w:w="294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SG&amp;A</w:t>
            </w:r>
          </w:p>
        </w:tc>
        <w:tc>
          <w:tcPr>
            <w:tcW w:w="74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w:t>
            </w:r>
          </w:p>
        </w:tc>
        <w:tc>
          <w:tcPr>
            <w:tcW w:w="106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467</w:t>
            </w:r>
          </w:p>
        </w:tc>
        <w:tc>
          <w:tcPr>
            <w:tcW w:w="26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275"/>
              <w:spacing w:after="0" w:line="183" w:lineRule="exact"/>
              <w:rPr>
                <w:sz w:val="20"/>
                <w:szCs w:val="20"/>
                <w:color w:val="auto"/>
              </w:rPr>
            </w:pPr>
            <w:r>
              <w:rPr>
                <w:rFonts w:ascii="Arial" w:cs="Arial" w:eastAsia="Arial" w:hAnsi="Arial"/>
                <w:sz w:val="17"/>
                <w:szCs w:val="17"/>
                <w:color w:val="auto"/>
              </w:rPr>
              <w:t>458</w:t>
            </w:r>
          </w:p>
        </w:tc>
        <w:tc>
          <w:tcPr>
            <w:tcW w:w="2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1,382</w:t>
            </w:r>
          </w:p>
        </w:tc>
        <w:tc>
          <w:tcPr>
            <w:tcW w:w="26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235"/>
              <w:spacing w:after="0" w:line="183" w:lineRule="exact"/>
              <w:rPr>
                <w:sz w:val="20"/>
                <w:szCs w:val="20"/>
                <w:color w:val="auto"/>
              </w:rPr>
            </w:pPr>
            <w:r>
              <w:rPr>
                <w:rFonts w:ascii="Arial" w:cs="Arial" w:eastAsia="Arial" w:hAnsi="Arial"/>
                <w:sz w:val="17"/>
                <w:szCs w:val="17"/>
                <w:color w:val="auto"/>
              </w:rPr>
              <w:t>1,326</w:t>
            </w:r>
          </w:p>
        </w:tc>
      </w:tr>
      <w:tr>
        <w:trPr>
          <w:trHeight w:val="189"/>
        </w:trPr>
        <w:tc>
          <w:tcPr>
            <w:tcW w:w="2940" w:type="dxa"/>
            <w:vAlign w:val="bottom"/>
          </w:tcPr>
          <w:p>
            <w:pPr>
              <w:ind w:left="20"/>
              <w:spacing w:after="0" w:line="189" w:lineRule="exact"/>
              <w:rPr>
                <w:sz w:val="20"/>
                <w:szCs w:val="20"/>
                <w:color w:val="auto"/>
              </w:rPr>
            </w:pPr>
            <w:r>
              <w:rPr>
                <w:rFonts w:ascii="Arial" w:cs="Arial" w:eastAsia="Arial" w:hAnsi="Arial"/>
                <w:sz w:val="17"/>
                <w:szCs w:val="17"/>
                <w:color w:val="auto"/>
              </w:rPr>
              <w:t>$ Change</w:t>
            </w:r>
          </w:p>
        </w:tc>
        <w:tc>
          <w:tcPr>
            <w:tcW w:w="74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auto"/>
              </w:rPr>
              <w:t>$</w:t>
            </w:r>
          </w:p>
        </w:tc>
        <w:tc>
          <w:tcPr>
            <w:tcW w:w="106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9</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2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56</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29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 Change</w:t>
            </w:r>
          </w:p>
        </w:tc>
        <w:tc>
          <w:tcPr>
            <w:tcW w:w="7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2.0 %</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4.2 %</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9"/>
        </w:trPr>
        <w:tc>
          <w:tcPr>
            <w:tcW w:w="294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SG&amp;A as a percentage of sales</w:t>
            </w:r>
          </w:p>
        </w:tc>
        <w:tc>
          <w:tcPr>
            <w:tcW w:w="7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21.5 %</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20.9 %</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21.5 %</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20.0 %</w:t>
            </w:r>
          </w:p>
        </w:tc>
      </w:tr>
    </w:tbl>
    <w:p>
      <w:pPr>
        <w:spacing w:after="0" w:line="197"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SG&amp;A increased by $9 million, or $32 million excluding the effect of foreign currency fluctuations, for the thirteen weeks ended October 29, 2022, as compared with the corresponding prior-year period. For the year-to-date period SG&amp;A increased by $ 56 million, or $109 million excluding the effect of foreign currency fluctuations. Our newly acquired businesses contributed $ 44 million and $116 million for the quarter and year-to-date periods, respectively, to the overall increase. As a percentage of sales, SG&amp;A increased by 60 basis points and 150 basis points for the thirteen and thirty-nine weeks ended October 29, 2022, respectively, driven by higher labor costs, information technology and support expenses, and COVID-19 related matters in the prior year, partially offset by early savings from our cost optimization program.</w:t>
      </w:r>
    </w:p>
    <w:p>
      <w:pPr>
        <w:spacing w:after="0" w:line="180"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SG&amp;A for the thirteen and thirty-nine weeks ended October 29, 2022 included nominal payroll subsidies from local governments, compared with $1 million and $15 million for the corresponding prior-year periods, respectively.</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Depreciation and Amortization</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28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Thirteen weeks ended</w:t>
            </w:r>
          </w:p>
        </w:tc>
        <w:tc>
          <w:tcPr>
            <w:tcW w:w="4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7"/>
                <w:szCs w:val="17"/>
                <w:b w:val="1"/>
                <w:bCs w:val="1"/>
                <w:color w:val="auto"/>
              </w:rPr>
              <w:t>Thirty-nine weeks ended</w:t>
            </w:r>
          </w:p>
        </w:tc>
      </w:tr>
      <w:tr>
        <w:trPr>
          <w:trHeight w:val="160"/>
        </w:trPr>
        <w:tc>
          <w:tcPr>
            <w:tcW w:w="2880" w:type="dxa"/>
            <w:vAlign w:val="bottom"/>
          </w:tcPr>
          <w:p>
            <w:pPr>
              <w:spacing w:after="0"/>
              <w:rPr>
                <w:sz w:val="13"/>
                <w:szCs w:val="13"/>
                <w:color w:val="auto"/>
              </w:rPr>
            </w:pPr>
          </w:p>
        </w:tc>
        <w:tc>
          <w:tcPr>
            <w:tcW w:w="1900" w:type="dxa"/>
            <w:vAlign w:val="bottom"/>
            <w:gridSpan w:val="2"/>
          </w:tcPr>
          <w:p>
            <w:pPr>
              <w:jc w:val="right"/>
              <w:ind w:right="195"/>
              <w:spacing w:after="0" w:line="160" w:lineRule="exact"/>
              <w:rPr>
                <w:sz w:val="20"/>
                <w:szCs w:val="20"/>
                <w:color w:val="auto"/>
              </w:rPr>
            </w:pPr>
            <w:r>
              <w:rPr>
                <w:rFonts w:ascii="Arial" w:cs="Arial" w:eastAsia="Arial" w:hAnsi="Arial"/>
                <w:sz w:val="17"/>
                <w:szCs w:val="17"/>
                <w:b w:val="1"/>
                <w:bCs w:val="1"/>
                <w:color w:val="auto"/>
              </w:rPr>
              <w:t>October 29,</w:t>
            </w:r>
          </w:p>
        </w:tc>
        <w:tc>
          <w:tcPr>
            <w:tcW w:w="1300" w:type="dxa"/>
            <w:vAlign w:val="bottom"/>
            <w:gridSpan w:val="2"/>
          </w:tcPr>
          <w:p>
            <w:pPr>
              <w:jc w:val="center"/>
              <w:ind w:right="35"/>
              <w:spacing w:after="0" w:line="160" w:lineRule="exact"/>
              <w:rPr>
                <w:sz w:val="20"/>
                <w:szCs w:val="20"/>
                <w:color w:val="auto"/>
              </w:rPr>
            </w:pPr>
            <w:r>
              <w:rPr>
                <w:rFonts w:ascii="Arial" w:cs="Arial" w:eastAsia="Arial" w:hAnsi="Arial"/>
                <w:sz w:val="17"/>
                <w:szCs w:val="17"/>
                <w:b w:val="1"/>
                <w:bCs w:val="1"/>
                <w:color w:val="auto"/>
              </w:rPr>
              <w:t>October 30,</w:t>
            </w:r>
          </w:p>
        </w:tc>
        <w:tc>
          <w:tcPr>
            <w:tcW w:w="1500" w:type="dxa"/>
            <w:vAlign w:val="bottom"/>
            <w:gridSpan w:val="2"/>
          </w:tcPr>
          <w:p>
            <w:pPr>
              <w:jc w:val="right"/>
              <w:ind w:right="195"/>
              <w:spacing w:after="0" w:line="160" w:lineRule="exact"/>
              <w:rPr>
                <w:sz w:val="20"/>
                <w:szCs w:val="20"/>
                <w:color w:val="auto"/>
              </w:rPr>
            </w:pPr>
            <w:r>
              <w:rPr>
                <w:rFonts w:ascii="Arial" w:cs="Arial" w:eastAsia="Arial" w:hAnsi="Arial"/>
                <w:sz w:val="17"/>
                <w:szCs w:val="17"/>
                <w:b w:val="1"/>
                <w:bCs w:val="1"/>
                <w:color w:val="auto"/>
              </w:rPr>
              <w:t>October 29,</w:t>
            </w:r>
          </w:p>
        </w:tc>
        <w:tc>
          <w:tcPr>
            <w:tcW w:w="1320" w:type="dxa"/>
            <w:vAlign w:val="bottom"/>
            <w:gridSpan w:val="2"/>
          </w:tcPr>
          <w:p>
            <w:pPr>
              <w:jc w:val="center"/>
              <w:ind w:right="95"/>
              <w:spacing w:after="0" w:line="160" w:lineRule="exact"/>
              <w:rPr>
                <w:sz w:val="20"/>
                <w:szCs w:val="20"/>
                <w:color w:val="auto"/>
              </w:rPr>
            </w:pPr>
            <w:r>
              <w:rPr>
                <w:rFonts w:ascii="Arial" w:cs="Arial" w:eastAsia="Arial" w:hAnsi="Arial"/>
                <w:sz w:val="17"/>
                <w:szCs w:val="17"/>
                <w:b w:val="1"/>
                <w:bCs w:val="1"/>
                <w:color w:val="auto"/>
              </w:rPr>
              <w:t>October 30,</w:t>
            </w:r>
          </w:p>
        </w:tc>
      </w:tr>
      <w:tr>
        <w:trPr>
          <w:trHeight w:val="211"/>
        </w:trPr>
        <w:tc>
          <w:tcPr>
            <w:tcW w:w="28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8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2022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4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2022</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2021</w:t>
            </w:r>
          </w:p>
        </w:tc>
      </w:tr>
      <w:tr>
        <w:trPr>
          <w:trHeight w:val="183"/>
        </w:trPr>
        <w:tc>
          <w:tcPr>
            <w:tcW w:w="28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Depreciation and amortization</w:t>
            </w:r>
          </w:p>
        </w:tc>
        <w:tc>
          <w:tcPr>
            <w:tcW w:w="82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w:t>
            </w:r>
          </w:p>
        </w:tc>
        <w:tc>
          <w:tcPr>
            <w:tcW w:w="108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52</w:t>
            </w:r>
          </w:p>
        </w:tc>
        <w:tc>
          <w:tcPr>
            <w:tcW w:w="840" w:type="dxa"/>
            <w:vAlign w:val="bottom"/>
            <w:shd w:val="clear" w:color="auto" w:fill="CCEEFF"/>
          </w:tcPr>
          <w:p>
            <w:pPr>
              <w:jc w:val="right"/>
              <w:ind w:right="615"/>
              <w:spacing w:after="0" w:line="183" w:lineRule="exact"/>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49</w:t>
            </w:r>
          </w:p>
        </w:tc>
        <w:tc>
          <w:tcPr>
            <w:tcW w:w="3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157</w:t>
            </w:r>
          </w:p>
        </w:tc>
        <w:tc>
          <w:tcPr>
            <w:tcW w:w="26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color w:val="auto"/>
              </w:rPr>
              <w:t>142</w:t>
            </w:r>
          </w:p>
        </w:tc>
      </w:tr>
      <w:tr>
        <w:trPr>
          <w:trHeight w:val="189"/>
        </w:trPr>
        <w:tc>
          <w:tcPr>
            <w:tcW w:w="2880" w:type="dxa"/>
            <w:vAlign w:val="bottom"/>
          </w:tcPr>
          <w:p>
            <w:pPr>
              <w:spacing w:after="0" w:line="189" w:lineRule="exact"/>
              <w:rPr>
                <w:sz w:val="20"/>
                <w:szCs w:val="20"/>
                <w:color w:val="auto"/>
              </w:rPr>
            </w:pPr>
            <w:r>
              <w:rPr>
                <w:rFonts w:ascii="Arial" w:cs="Arial" w:eastAsia="Arial" w:hAnsi="Arial"/>
                <w:sz w:val="17"/>
                <w:szCs w:val="17"/>
                <w:color w:val="auto"/>
              </w:rPr>
              <w:t>$ Change</w:t>
            </w:r>
          </w:p>
        </w:tc>
        <w:tc>
          <w:tcPr>
            <w:tcW w:w="82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auto"/>
              </w:rPr>
              <w:t>$</w:t>
            </w:r>
          </w:p>
        </w:tc>
        <w:tc>
          <w:tcPr>
            <w:tcW w:w="108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3</w:t>
            </w: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4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15</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288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 Change</w:t>
            </w:r>
          </w:p>
        </w:tc>
        <w:tc>
          <w:tcPr>
            <w:tcW w:w="8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6.1 %</w:t>
            </w:r>
          </w:p>
        </w:tc>
        <w:tc>
          <w:tcPr>
            <w:tcW w:w="8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10.6 %</w:t>
            </w:r>
          </w:p>
        </w:tc>
        <w:tc>
          <w:tcPr>
            <w:tcW w:w="2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r>
    </w:tbl>
    <w:p>
      <w:pPr>
        <w:spacing w:after="0" w:line="197"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Depreciation and amortization expense increased by $3 million and $15 million for the thirteen weeks and thirty-nine weeks ended October 29, 2022, respectively, as compared with the corresponding prior-year periods. Excluding the effect of foreign currency fluctuations, depreciation and amortization increased by $5 million and $20 million for the thirteen weeks and thirty-nine weeks ended October 29, 2022, respectively, as compared with the corresponding prior-year periods. The increase was primarily related to the acquisitions of WSS and atmos.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Impairment and Other Charges</w:t>
      </w:r>
    </w:p>
    <w:p>
      <w:pPr>
        <w:spacing w:after="0" w:line="210"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Transformation consulting charges were $17 million and $27 million for the thirteen and thirty-nine weeks ended October 29, 2022, respectively. Impairment of long-lived assets and right-of-use assets was not significant and $5 million for the thirteen and thirty-nine weeks ended October 29, 2022, respectively, compared to $13 million and $52 million for the thirteen and thirty-nine weeks ended October 30, 2021, respectively. Acquisition and integration costs related to WSS and atmos were $1 million and $4 million for the thirteen and thirty-nine weeks ended October 29, 2022, respectively, compared with $14 million during each of the prior year periods.</w:t>
      </w:r>
    </w:p>
    <w:p>
      <w:pPr>
        <w:spacing w:after="0" w:line="395"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2022 Form 10-Q 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We recorded reorganization costs, primarily severance, of $2 million for both the thirteen and thirty-nine weeks ended October 29, 2022.</w:t>
      </w:r>
    </w:p>
    <w:p>
      <w:pPr>
        <w:spacing w:after="0" w:line="154"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For the thirteen and thirty-nine weeks ended October 30, 2021, impairment of investments was $30 million and $32 million for the thirteen and thirty-nine weeks ended October 30, 2021, respectively, due to continued losses and updated estimates of value for the Company’s minority investments. We recorded charges of $4 million in lease-related termination costs, and a severance charge of $2 million in connection with the reorganization of certain support functions, offset by $7 million of insurance recovery income related to 2020 social unrest losses for the thirty-nine weeks ended October 30, 2021.</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Corporate Expense</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25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Thirteen weeks ended</w:t>
            </w:r>
          </w:p>
        </w:tc>
        <w:tc>
          <w:tcPr>
            <w:tcW w:w="4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7"/>
                <w:szCs w:val="17"/>
                <w:b w:val="1"/>
                <w:bCs w:val="1"/>
                <w:color w:val="auto"/>
              </w:rPr>
              <w:t>Thirty-nine weeks ended</w:t>
            </w:r>
          </w:p>
        </w:tc>
      </w:tr>
      <w:tr>
        <w:trPr>
          <w:trHeight w:val="160"/>
        </w:trPr>
        <w:tc>
          <w:tcPr>
            <w:tcW w:w="2500" w:type="dxa"/>
            <w:vAlign w:val="bottom"/>
          </w:tcPr>
          <w:p>
            <w:pPr>
              <w:spacing w:after="0"/>
              <w:rPr>
                <w:sz w:val="13"/>
                <w:szCs w:val="13"/>
                <w:color w:val="auto"/>
              </w:rPr>
            </w:pPr>
          </w:p>
        </w:tc>
        <w:tc>
          <w:tcPr>
            <w:tcW w:w="2180" w:type="dxa"/>
            <w:vAlign w:val="bottom"/>
            <w:gridSpan w:val="2"/>
          </w:tcPr>
          <w:p>
            <w:pPr>
              <w:jc w:val="right"/>
              <w:ind w:right="55"/>
              <w:spacing w:after="0" w:line="160" w:lineRule="exact"/>
              <w:rPr>
                <w:sz w:val="20"/>
                <w:szCs w:val="20"/>
                <w:color w:val="auto"/>
              </w:rPr>
            </w:pPr>
            <w:r>
              <w:rPr>
                <w:rFonts w:ascii="Arial" w:cs="Arial" w:eastAsia="Arial" w:hAnsi="Arial"/>
                <w:sz w:val="17"/>
                <w:szCs w:val="17"/>
                <w:b w:val="1"/>
                <w:bCs w:val="1"/>
                <w:color w:val="auto"/>
              </w:rPr>
              <w:t>October 29,</w:t>
            </w:r>
          </w:p>
        </w:tc>
        <w:tc>
          <w:tcPr>
            <w:tcW w:w="1400" w:type="dxa"/>
            <w:vAlign w:val="bottom"/>
            <w:gridSpan w:val="2"/>
          </w:tcPr>
          <w:p>
            <w:pPr>
              <w:jc w:val="center"/>
              <w:spacing w:after="0" w:line="160" w:lineRule="exact"/>
              <w:rPr>
                <w:sz w:val="20"/>
                <w:szCs w:val="20"/>
                <w:color w:val="auto"/>
              </w:rPr>
            </w:pPr>
            <w:r>
              <w:rPr>
                <w:rFonts w:ascii="Arial" w:cs="Arial" w:eastAsia="Arial" w:hAnsi="Arial"/>
                <w:sz w:val="17"/>
                <w:szCs w:val="17"/>
                <w:b w:val="1"/>
                <w:bCs w:val="1"/>
                <w:color w:val="auto"/>
              </w:rPr>
              <w:t>October 30,</w:t>
            </w:r>
          </w:p>
        </w:tc>
        <w:tc>
          <w:tcPr>
            <w:tcW w:w="1380" w:type="dxa"/>
            <w:vAlign w:val="bottom"/>
            <w:gridSpan w:val="2"/>
          </w:tcPr>
          <w:p>
            <w:pPr>
              <w:jc w:val="right"/>
              <w:ind w:right="55"/>
              <w:spacing w:after="0" w:line="160" w:lineRule="exact"/>
              <w:rPr>
                <w:sz w:val="20"/>
                <w:szCs w:val="20"/>
                <w:color w:val="auto"/>
              </w:rPr>
            </w:pPr>
            <w:r>
              <w:rPr>
                <w:rFonts w:ascii="Arial" w:cs="Arial" w:eastAsia="Arial" w:hAnsi="Arial"/>
                <w:sz w:val="17"/>
                <w:szCs w:val="17"/>
                <w:b w:val="1"/>
                <w:bCs w:val="1"/>
                <w:color w:val="auto"/>
              </w:rPr>
              <w:t>October 29,</w:t>
            </w:r>
          </w:p>
        </w:tc>
        <w:tc>
          <w:tcPr>
            <w:tcW w:w="1440" w:type="dxa"/>
            <w:vAlign w:val="bottom"/>
            <w:gridSpan w:val="2"/>
          </w:tcPr>
          <w:p>
            <w:pPr>
              <w:jc w:val="center"/>
              <w:spacing w:after="0" w:line="160" w:lineRule="exact"/>
              <w:rPr>
                <w:sz w:val="20"/>
                <w:szCs w:val="20"/>
                <w:color w:val="auto"/>
              </w:rPr>
            </w:pPr>
            <w:r>
              <w:rPr>
                <w:rFonts w:ascii="Arial" w:cs="Arial" w:eastAsia="Arial" w:hAnsi="Arial"/>
                <w:sz w:val="17"/>
                <w:szCs w:val="17"/>
                <w:b w:val="1"/>
                <w:bCs w:val="1"/>
                <w:color w:val="auto"/>
              </w:rPr>
              <w:t>October 30,</w:t>
            </w:r>
          </w:p>
        </w:tc>
      </w:tr>
      <w:tr>
        <w:trPr>
          <w:trHeight w:val="211"/>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1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2022</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4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2022</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2021</w:t>
            </w:r>
          </w:p>
        </w:tc>
      </w:tr>
      <w:tr>
        <w:trPr>
          <w:trHeight w:val="183"/>
        </w:trPr>
        <w:tc>
          <w:tcPr>
            <w:tcW w:w="250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Corporate expense</w:t>
            </w:r>
          </w:p>
        </w:tc>
        <w:tc>
          <w:tcPr>
            <w:tcW w:w="122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39</w:t>
            </w:r>
          </w:p>
        </w:tc>
        <w:tc>
          <w:tcPr>
            <w:tcW w:w="940" w:type="dxa"/>
            <w:vAlign w:val="bottom"/>
            <w:shd w:val="clear" w:color="auto" w:fill="CCEEFF"/>
          </w:tcPr>
          <w:p>
            <w:pPr>
              <w:jc w:val="right"/>
              <w:ind w:right="635"/>
              <w:spacing w:after="0" w:line="183" w:lineRule="exact"/>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30</w:t>
            </w:r>
          </w:p>
        </w:tc>
        <w:tc>
          <w:tcPr>
            <w:tcW w:w="3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2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109</w:t>
            </w:r>
          </w:p>
        </w:tc>
        <w:tc>
          <w:tcPr>
            <w:tcW w:w="36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color w:val="auto"/>
              </w:rPr>
              <w:t>91</w:t>
            </w:r>
          </w:p>
        </w:tc>
      </w:tr>
      <w:tr>
        <w:trPr>
          <w:trHeight w:val="189"/>
        </w:trPr>
        <w:tc>
          <w:tcPr>
            <w:tcW w:w="250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 Change</w:t>
            </w:r>
          </w:p>
        </w:tc>
        <w:tc>
          <w:tcPr>
            <w:tcW w:w="122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9</w:t>
            </w:r>
          </w:p>
        </w:tc>
        <w:tc>
          <w:tcPr>
            <w:tcW w:w="9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18</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bl>
    <w:p>
      <w:pPr>
        <w:spacing w:after="0" w:line="197"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Corporate expense consists of unallocated general and administrative expenses as well as depreciation and amortization related to our corporate headquarters, centrally managed departments, unallocated insurance and benefit programs, certain foreign exchange transaction gains and losses, and other items.</w:t>
      </w:r>
    </w:p>
    <w:p>
      <w:pPr>
        <w:spacing w:after="0" w:line="16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Corporate expense increased by $ 9 million and $ 18 million for the thirteen and thirty-nine weeks ended October 29, 2022, respectively, as compared with the corresponding prior-year periods. Depreciation and amortization included in corporate expense was $10 million and $ 9 million for the thirteen weeks ended October 29, 2022 and October 30, 2021, respectively, and $29 million and $25 million for the thirty-nine weeks ended October 29, 2022 and October 30, 2021, respectively. Excluding the changes in depreciation and amortization, corporate expense increased primarily due to higher information technology and support expenses.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Operating Results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25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3"/>
          </w:tcPr>
          <w:p>
            <w:pPr>
              <w:jc w:val="right"/>
              <w:ind w:right="515"/>
              <w:spacing w:after="0"/>
              <w:rPr>
                <w:sz w:val="20"/>
                <w:szCs w:val="20"/>
                <w:color w:val="auto"/>
              </w:rPr>
            </w:pPr>
            <w:r>
              <w:rPr>
                <w:rFonts w:ascii="Arial" w:cs="Arial" w:eastAsia="Arial" w:hAnsi="Arial"/>
                <w:sz w:val="17"/>
                <w:szCs w:val="17"/>
                <w:b w:val="1"/>
                <w:bCs w:val="1"/>
                <w:color w:val="auto"/>
              </w:rPr>
              <w:t>Thirteen weeks ended</w:t>
            </w:r>
          </w:p>
        </w:tc>
        <w:tc>
          <w:tcPr>
            <w:tcW w:w="28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ind w:right="295"/>
              <w:spacing w:after="0"/>
              <w:rPr>
                <w:sz w:val="20"/>
                <w:szCs w:val="20"/>
                <w:color w:val="auto"/>
              </w:rPr>
            </w:pPr>
            <w:r>
              <w:rPr>
                <w:rFonts w:ascii="Arial" w:cs="Arial" w:eastAsia="Arial" w:hAnsi="Arial"/>
                <w:sz w:val="17"/>
                <w:szCs w:val="17"/>
                <w:b w:val="1"/>
                <w:bCs w:val="1"/>
                <w:color w:val="auto"/>
              </w:rPr>
              <w:t>Thirty-nine weeks ended</w:t>
            </w:r>
          </w:p>
        </w:tc>
      </w:tr>
      <w:tr>
        <w:trPr>
          <w:trHeight w:val="160"/>
        </w:trPr>
        <w:tc>
          <w:tcPr>
            <w:tcW w:w="2540" w:type="dxa"/>
            <w:vAlign w:val="bottom"/>
          </w:tcPr>
          <w:p>
            <w:pPr>
              <w:spacing w:after="0"/>
              <w:rPr>
                <w:sz w:val="13"/>
                <w:szCs w:val="13"/>
                <w:color w:val="auto"/>
              </w:rPr>
            </w:pPr>
          </w:p>
        </w:tc>
        <w:tc>
          <w:tcPr>
            <w:tcW w:w="2220" w:type="dxa"/>
            <w:vAlign w:val="bottom"/>
            <w:gridSpan w:val="2"/>
          </w:tcPr>
          <w:p>
            <w:pPr>
              <w:jc w:val="right"/>
              <w:ind w:right="175"/>
              <w:spacing w:after="0" w:line="160" w:lineRule="exact"/>
              <w:rPr>
                <w:sz w:val="20"/>
                <w:szCs w:val="20"/>
                <w:color w:val="auto"/>
              </w:rPr>
            </w:pPr>
            <w:r>
              <w:rPr>
                <w:rFonts w:ascii="Arial" w:cs="Arial" w:eastAsia="Arial" w:hAnsi="Arial"/>
                <w:sz w:val="17"/>
                <w:szCs w:val="17"/>
                <w:b w:val="1"/>
                <w:bCs w:val="1"/>
                <w:color w:val="auto"/>
              </w:rPr>
              <w:t>October 29,</w:t>
            </w:r>
          </w:p>
        </w:tc>
        <w:tc>
          <w:tcPr>
            <w:tcW w:w="1420" w:type="dxa"/>
            <w:vAlign w:val="bottom"/>
            <w:gridSpan w:val="2"/>
          </w:tcPr>
          <w:p>
            <w:pPr>
              <w:jc w:val="right"/>
              <w:ind w:right="275"/>
              <w:spacing w:after="0" w:line="160" w:lineRule="exact"/>
              <w:rPr>
                <w:sz w:val="20"/>
                <w:szCs w:val="20"/>
                <w:color w:val="auto"/>
              </w:rPr>
            </w:pPr>
            <w:r>
              <w:rPr>
                <w:rFonts w:ascii="Arial" w:cs="Arial" w:eastAsia="Arial" w:hAnsi="Arial"/>
                <w:sz w:val="17"/>
                <w:szCs w:val="17"/>
                <w:b w:val="1"/>
                <w:bCs w:val="1"/>
                <w:color w:val="auto"/>
              </w:rPr>
              <w:t>October 30,</w:t>
            </w:r>
          </w:p>
        </w:tc>
        <w:tc>
          <w:tcPr>
            <w:tcW w:w="1420" w:type="dxa"/>
            <w:vAlign w:val="bottom"/>
            <w:gridSpan w:val="2"/>
          </w:tcPr>
          <w:p>
            <w:pPr>
              <w:jc w:val="right"/>
              <w:ind w:right="195"/>
              <w:spacing w:after="0" w:line="160" w:lineRule="exact"/>
              <w:rPr>
                <w:sz w:val="20"/>
                <w:szCs w:val="20"/>
                <w:color w:val="auto"/>
              </w:rPr>
            </w:pPr>
            <w:r>
              <w:rPr>
                <w:rFonts w:ascii="Arial" w:cs="Arial" w:eastAsia="Arial" w:hAnsi="Arial"/>
                <w:sz w:val="17"/>
                <w:szCs w:val="17"/>
                <w:b w:val="1"/>
                <w:bCs w:val="1"/>
                <w:color w:val="auto"/>
              </w:rPr>
              <w:t>October 29,</w:t>
            </w:r>
          </w:p>
        </w:tc>
        <w:tc>
          <w:tcPr>
            <w:tcW w:w="1300" w:type="dxa"/>
            <w:vAlign w:val="bottom"/>
            <w:gridSpan w:val="2"/>
          </w:tcPr>
          <w:p>
            <w:pPr>
              <w:jc w:val="right"/>
              <w:ind w:right="175"/>
              <w:spacing w:after="0" w:line="160" w:lineRule="exact"/>
              <w:rPr>
                <w:sz w:val="20"/>
                <w:szCs w:val="20"/>
                <w:color w:val="auto"/>
              </w:rPr>
            </w:pPr>
            <w:r>
              <w:rPr>
                <w:rFonts w:ascii="Arial" w:cs="Arial" w:eastAsia="Arial" w:hAnsi="Arial"/>
                <w:sz w:val="17"/>
                <w:szCs w:val="17"/>
                <w:b w:val="1"/>
                <w:bCs w:val="1"/>
                <w:color w:val="auto"/>
              </w:rPr>
              <w:t>October 30,</w:t>
            </w:r>
          </w:p>
        </w:tc>
      </w:tr>
      <w:tr>
        <w:trPr>
          <w:trHeight w:val="211"/>
        </w:trPr>
        <w:tc>
          <w:tcPr>
            <w:tcW w:w="25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1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2022</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2021</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2022</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2021</w:t>
            </w:r>
          </w:p>
        </w:tc>
      </w:tr>
      <w:tr>
        <w:trPr>
          <w:trHeight w:val="196"/>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Division profit</w:t>
            </w: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1060" w:type="dxa"/>
            <w:vAlign w:val="bottom"/>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216</w:t>
            </w:r>
          </w:p>
        </w:tc>
        <w:tc>
          <w:tcPr>
            <w:tcW w:w="2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283</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660</w:t>
            </w:r>
          </w:p>
        </w:tc>
        <w:tc>
          <w:tcPr>
            <w:tcW w:w="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930</w:t>
            </w:r>
          </w:p>
        </w:tc>
      </w:tr>
      <w:tr>
        <w:trPr>
          <w:trHeight w:val="203"/>
        </w:trPr>
        <w:tc>
          <w:tcPr>
            <w:tcW w:w="25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Division profit margin</w:t>
            </w:r>
          </w:p>
        </w:tc>
        <w:tc>
          <w:tcPr>
            <w:tcW w:w="1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9.9 %</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12.9 %</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10.3 %</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14.1 %</w:t>
            </w:r>
          </w:p>
        </w:tc>
      </w:tr>
    </w:tbl>
    <w:p>
      <w:pPr>
        <w:spacing w:after="0" w:line="197"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Division profit margin as a percentage of sales decreased to 9.9% and 10.3% of sales for the thirteen weeks and thirty-nine weeks ended October 29, 2022, respectively, with both sales channels experiencing declines in gross margin and deleveraging expenses. WSS and atmos generated division profit of $8 million and $4 million, respectively for the third quarter, and $28 million and $21 million for the year-to-date period. WSS’ division results for the prior year period was not significant as the acquisition occurred during the quarter.</w:t>
      </w:r>
    </w:p>
    <w:p>
      <w:pPr>
        <w:spacing w:after="0" w:line="176"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Our Sidestep business has been underperforming and management is currently reviewing strategic actions to assess this operation. Management will monitor the results of this business during the fourth quarter and will assess, if necessary, the effect of various initiatives on the projected performance of this division, which may include an impairment review.</w:t>
      </w:r>
    </w:p>
    <w:p>
      <w:pPr>
        <w:spacing w:after="0" w:line="390"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2022 Form 10-Q 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Interest Expense, Net</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29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Thirteen weeks ended</w:t>
            </w:r>
          </w:p>
        </w:tc>
        <w:tc>
          <w:tcPr>
            <w:tcW w:w="3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3"/>
          </w:tcPr>
          <w:p>
            <w:pPr>
              <w:jc w:val="right"/>
              <w:ind w:right="375"/>
              <w:spacing w:after="0"/>
              <w:rPr>
                <w:sz w:val="20"/>
                <w:szCs w:val="20"/>
                <w:color w:val="auto"/>
              </w:rPr>
            </w:pPr>
            <w:r>
              <w:rPr>
                <w:rFonts w:ascii="Arial" w:cs="Arial" w:eastAsia="Arial" w:hAnsi="Arial"/>
                <w:sz w:val="17"/>
                <w:szCs w:val="17"/>
                <w:b w:val="1"/>
                <w:bCs w:val="1"/>
                <w:color w:val="auto"/>
              </w:rPr>
              <w:t>Thirty-nine weeks ended</w:t>
            </w:r>
          </w:p>
        </w:tc>
      </w:tr>
      <w:tr>
        <w:trPr>
          <w:trHeight w:val="160"/>
        </w:trPr>
        <w:tc>
          <w:tcPr>
            <w:tcW w:w="2940" w:type="dxa"/>
            <w:vAlign w:val="bottom"/>
          </w:tcPr>
          <w:p>
            <w:pPr>
              <w:spacing w:after="0"/>
              <w:rPr>
                <w:sz w:val="13"/>
                <w:szCs w:val="13"/>
                <w:color w:val="auto"/>
              </w:rPr>
            </w:pPr>
          </w:p>
        </w:tc>
        <w:tc>
          <w:tcPr>
            <w:tcW w:w="1840" w:type="dxa"/>
            <w:vAlign w:val="bottom"/>
            <w:gridSpan w:val="2"/>
          </w:tcPr>
          <w:p>
            <w:pPr>
              <w:jc w:val="right"/>
              <w:ind w:right="95"/>
              <w:spacing w:after="0" w:line="160" w:lineRule="exact"/>
              <w:rPr>
                <w:sz w:val="20"/>
                <w:szCs w:val="20"/>
                <w:color w:val="auto"/>
              </w:rPr>
            </w:pPr>
            <w:r>
              <w:rPr>
                <w:rFonts w:ascii="Arial" w:cs="Arial" w:eastAsia="Arial" w:hAnsi="Arial"/>
                <w:sz w:val="17"/>
                <w:szCs w:val="17"/>
                <w:b w:val="1"/>
                <w:bCs w:val="1"/>
                <w:color w:val="auto"/>
              </w:rPr>
              <w:t>October 29,</w:t>
            </w:r>
          </w:p>
        </w:tc>
        <w:tc>
          <w:tcPr>
            <w:tcW w:w="1320" w:type="dxa"/>
            <w:vAlign w:val="bottom"/>
            <w:gridSpan w:val="2"/>
          </w:tcPr>
          <w:p>
            <w:pPr>
              <w:jc w:val="right"/>
              <w:ind w:right="95"/>
              <w:spacing w:after="0" w:line="160" w:lineRule="exact"/>
              <w:rPr>
                <w:sz w:val="20"/>
                <w:szCs w:val="20"/>
                <w:color w:val="auto"/>
              </w:rPr>
            </w:pPr>
            <w:r>
              <w:rPr>
                <w:rFonts w:ascii="Arial" w:cs="Arial" w:eastAsia="Arial" w:hAnsi="Arial"/>
                <w:sz w:val="17"/>
                <w:szCs w:val="17"/>
                <w:b w:val="1"/>
                <w:bCs w:val="1"/>
                <w:color w:val="auto"/>
              </w:rPr>
              <w:t>October 30,</w:t>
            </w:r>
          </w:p>
        </w:tc>
        <w:tc>
          <w:tcPr>
            <w:tcW w:w="200" w:type="dxa"/>
            <w:vAlign w:val="bottom"/>
          </w:tcPr>
          <w:p>
            <w:pPr>
              <w:spacing w:after="0"/>
              <w:rPr>
                <w:sz w:val="13"/>
                <w:szCs w:val="13"/>
                <w:color w:val="auto"/>
              </w:rPr>
            </w:pPr>
          </w:p>
        </w:tc>
        <w:tc>
          <w:tcPr>
            <w:tcW w:w="1140" w:type="dxa"/>
            <w:vAlign w:val="bottom"/>
          </w:tcPr>
          <w:p>
            <w:pPr>
              <w:jc w:val="right"/>
              <w:ind w:right="115"/>
              <w:spacing w:after="0" w:line="160" w:lineRule="exact"/>
              <w:rPr>
                <w:sz w:val="20"/>
                <w:szCs w:val="20"/>
                <w:color w:val="auto"/>
              </w:rPr>
            </w:pPr>
            <w:r>
              <w:rPr>
                <w:rFonts w:ascii="Arial" w:cs="Arial" w:eastAsia="Arial" w:hAnsi="Arial"/>
                <w:sz w:val="17"/>
                <w:szCs w:val="17"/>
                <w:b w:val="1"/>
                <w:bCs w:val="1"/>
                <w:color w:val="auto"/>
                <w:w w:val="98"/>
              </w:rPr>
              <w:t>October 29,</w:t>
            </w:r>
          </w:p>
        </w:tc>
        <w:tc>
          <w:tcPr>
            <w:tcW w:w="200" w:type="dxa"/>
            <w:vAlign w:val="bottom"/>
          </w:tcPr>
          <w:p>
            <w:pPr>
              <w:spacing w:after="0"/>
              <w:rPr>
                <w:sz w:val="13"/>
                <w:szCs w:val="13"/>
                <w:color w:val="auto"/>
              </w:rPr>
            </w:pPr>
          </w:p>
        </w:tc>
        <w:tc>
          <w:tcPr>
            <w:tcW w:w="1260" w:type="dxa"/>
            <w:vAlign w:val="bottom"/>
          </w:tcPr>
          <w:p>
            <w:pPr>
              <w:jc w:val="right"/>
              <w:ind w:right="235"/>
              <w:spacing w:after="0" w:line="160" w:lineRule="exact"/>
              <w:rPr>
                <w:sz w:val="20"/>
                <w:szCs w:val="20"/>
                <w:color w:val="auto"/>
              </w:rPr>
            </w:pPr>
            <w:r>
              <w:rPr>
                <w:rFonts w:ascii="Arial" w:cs="Arial" w:eastAsia="Arial" w:hAnsi="Arial"/>
                <w:sz w:val="17"/>
                <w:szCs w:val="17"/>
                <w:b w:val="1"/>
                <w:bCs w:val="1"/>
                <w:color w:val="auto"/>
                <w:w w:val="98"/>
              </w:rPr>
              <w:t>October 30,</w:t>
            </w:r>
          </w:p>
        </w:tc>
      </w:tr>
      <w:tr>
        <w:trPr>
          <w:trHeight w:val="211"/>
        </w:trPr>
        <w:tc>
          <w:tcPr>
            <w:tcW w:w="2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8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2022</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3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2022</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2021</w:t>
            </w:r>
          </w:p>
        </w:tc>
      </w:tr>
      <w:tr>
        <w:trPr>
          <w:trHeight w:val="183"/>
        </w:trPr>
        <w:tc>
          <w:tcPr>
            <w:tcW w:w="29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Interest expense</w:t>
            </w:r>
          </w:p>
        </w:tc>
        <w:tc>
          <w:tcPr>
            <w:tcW w:w="84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(6)</w:t>
            </w:r>
          </w:p>
        </w:tc>
        <w:tc>
          <w:tcPr>
            <w:tcW w:w="940" w:type="dxa"/>
            <w:vAlign w:val="bottom"/>
            <w:shd w:val="clear" w:color="auto" w:fill="CCEEFF"/>
          </w:tcPr>
          <w:p>
            <w:pPr>
              <w:jc w:val="right"/>
              <w:ind w:right="655"/>
              <w:spacing w:after="0" w:line="183" w:lineRule="exact"/>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(4)</w:t>
            </w:r>
          </w:p>
        </w:tc>
        <w:tc>
          <w:tcPr>
            <w:tcW w:w="2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(18)</w:t>
            </w:r>
          </w:p>
        </w:tc>
        <w:tc>
          <w:tcPr>
            <w:tcW w:w="2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(10)</w:t>
            </w:r>
          </w:p>
        </w:tc>
      </w:tr>
      <w:tr>
        <w:trPr>
          <w:trHeight w:val="189"/>
        </w:trPr>
        <w:tc>
          <w:tcPr>
            <w:tcW w:w="29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Interest income</w:t>
            </w:r>
          </w:p>
        </w:tc>
        <w:tc>
          <w:tcPr>
            <w:tcW w:w="8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3</w:t>
            </w:r>
          </w:p>
        </w:tc>
        <w:tc>
          <w:tcPr>
            <w:tcW w:w="9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5</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75"/>
              <w:spacing w:after="0" w:line="189" w:lineRule="exact"/>
              <w:rPr>
                <w:sz w:val="20"/>
                <w:szCs w:val="20"/>
                <w:color w:val="auto"/>
              </w:rPr>
            </w:pPr>
            <w:r>
              <w:rPr>
                <w:rFonts w:ascii="Arial" w:cs="Arial" w:eastAsia="Arial" w:hAnsi="Arial"/>
                <w:sz w:val="17"/>
                <w:szCs w:val="17"/>
                <w:color w:val="auto"/>
              </w:rPr>
              <w:t>2</w:t>
            </w:r>
          </w:p>
        </w:tc>
      </w:tr>
      <w:tr>
        <w:trPr>
          <w:trHeight w:val="183"/>
        </w:trPr>
        <w:tc>
          <w:tcPr>
            <w:tcW w:w="294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Interest (expense) income, net</w:t>
            </w:r>
          </w:p>
        </w:tc>
        <w:tc>
          <w:tcPr>
            <w:tcW w:w="84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(3)</w:t>
            </w:r>
          </w:p>
        </w:tc>
        <w:tc>
          <w:tcPr>
            <w:tcW w:w="940" w:type="dxa"/>
            <w:vAlign w:val="bottom"/>
            <w:tcBorders>
              <w:bottom w:val="single" w:sz="8" w:color="auto"/>
            </w:tcBorders>
            <w:shd w:val="clear" w:color="auto" w:fill="CCEEFF"/>
          </w:tcPr>
          <w:p>
            <w:pPr>
              <w:jc w:val="right"/>
              <w:ind w:right="655"/>
              <w:spacing w:after="0" w:line="183"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(4)</w:t>
            </w:r>
          </w:p>
        </w:tc>
        <w:tc>
          <w:tcPr>
            <w:tcW w:w="2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(13)</w:t>
            </w:r>
          </w:p>
        </w:tc>
        <w:tc>
          <w:tcPr>
            <w:tcW w:w="2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(8)</w:t>
            </w:r>
          </w:p>
        </w:tc>
      </w:tr>
      <w:tr>
        <w:trPr>
          <w:trHeight w:val="20"/>
        </w:trPr>
        <w:tc>
          <w:tcPr>
            <w:tcW w:w="29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We recorded $3 million and $13 million of net interest expense for the thirteen and thirty-nine weeks ended October 29, 2022, respectively as compared with net interest expense of $4 million and $8 million for the corresponding prior-year periods. Interest expense increased primarily due to the issuance of the 4% Notes, partially offset by higher interest income from our cross-currency swap and higher interest rates earned on our cash and cash equivalents.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Other Income / (Expense), Net</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29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Thirteen weeks ended</w:t>
            </w:r>
          </w:p>
        </w:tc>
        <w:tc>
          <w:tcPr>
            <w:tcW w:w="4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7"/>
                <w:szCs w:val="17"/>
                <w:b w:val="1"/>
                <w:bCs w:val="1"/>
                <w:color w:val="auto"/>
              </w:rPr>
              <w:t>Thirty-nine weeks ended</w:t>
            </w:r>
          </w:p>
        </w:tc>
      </w:tr>
      <w:tr>
        <w:trPr>
          <w:trHeight w:val="160"/>
        </w:trPr>
        <w:tc>
          <w:tcPr>
            <w:tcW w:w="2900" w:type="dxa"/>
            <w:vAlign w:val="bottom"/>
          </w:tcPr>
          <w:p>
            <w:pPr>
              <w:spacing w:after="0"/>
              <w:rPr>
                <w:sz w:val="13"/>
                <w:szCs w:val="13"/>
                <w:color w:val="auto"/>
              </w:rPr>
            </w:pPr>
          </w:p>
        </w:tc>
        <w:tc>
          <w:tcPr>
            <w:tcW w:w="1820" w:type="dxa"/>
            <w:vAlign w:val="bottom"/>
            <w:gridSpan w:val="2"/>
          </w:tcPr>
          <w:p>
            <w:pPr>
              <w:jc w:val="center"/>
              <w:ind w:left="475"/>
              <w:spacing w:after="0" w:line="160" w:lineRule="exact"/>
              <w:rPr>
                <w:sz w:val="20"/>
                <w:szCs w:val="20"/>
                <w:color w:val="auto"/>
              </w:rPr>
            </w:pPr>
            <w:r>
              <w:rPr>
                <w:rFonts w:ascii="Arial" w:cs="Arial" w:eastAsia="Arial" w:hAnsi="Arial"/>
                <w:sz w:val="17"/>
                <w:szCs w:val="17"/>
                <w:b w:val="1"/>
                <w:bCs w:val="1"/>
                <w:color w:val="auto"/>
              </w:rPr>
              <w:t>October 29,</w:t>
            </w:r>
          </w:p>
        </w:tc>
        <w:tc>
          <w:tcPr>
            <w:tcW w:w="1360" w:type="dxa"/>
            <w:vAlign w:val="bottom"/>
            <w:gridSpan w:val="2"/>
          </w:tcPr>
          <w:p>
            <w:pPr>
              <w:jc w:val="center"/>
              <w:spacing w:after="0" w:line="160" w:lineRule="exact"/>
              <w:rPr>
                <w:sz w:val="20"/>
                <w:szCs w:val="20"/>
                <w:color w:val="auto"/>
              </w:rPr>
            </w:pPr>
            <w:r>
              <w:rPr>
                <w:rFonts w:ascii="Arial" w:cs="Arial" w:eastAsia="Arial" w:hAnsi="Arial"/>
                <w:sz w:val="17"/>
                <w:szCs w:val="17"/>
                <w:b w:val="1"/>
                <w:bCs w:val="1"/>
                <w:color w:val="auto"/>
              </w:rPr>
              <w:t>October 30,</w:t>
            </w:r>
          </w:p>
        </w:tc>
        <w:tc>
          <w:tcPr>
            <w:tcW w:w="1420" w:type="dxa"/>
            <w:vAlign w:val="bottom"/>
            <w:gridSpan w:val="2"/>
          </w:tcPr>
          <w:p>
            <w:pPr>
              <w:jc w:val="center"/>
              <w:ind w:left="35"/>
              <w:spacing w:after="0" w:line="160" w:lineRule="exact"/>
              <w:rPr>
                <w:sz w:val="20"/>
                <w:szCs w:val="20"/>
                <w:color w:val="auto"/>
              </w:rPr>
            </w:pPr>
            <w:r>
              <w:rPr>
                <w:rFonts w:ascii="Arial" w:cs="Arial" w:eastAsia="Arial" w:hAnsi="Arial"/>
                <w:sz w:val="17"/>
                <w:szCs w:val="17"/>
                <w:b w:val="1"/>
                <w:bCs w:val="1"/>
                <w:color w:val="auto"/>
              </w:rPr>
              <w:t>October 29,</w:t>
            </w:r>
          </w:p>
        </w:tc>
        <w:tc>
          <w:tcPr>
            <w:tcW w:w="1400" w:type="dxa"/>
            <w:vAlign w:val="bottom"/>
            <w:gridSpan w:val="2"/>
          </w:tcPr>
          <w:p>
            <w:pPr>
              <w:jc w:val="center"/>
              <w:ind w:right="15"/>
              <w:spacing w:after="0" w:line="160" w:lineRule="exact"/>
              <w:rPr>
                <w:sz w:val="20"/>
                <w:szCs w:val="20"/>
                <w:color w:val="auto"/>
              </w:rPr>
            </w:pPr>
            <w:r>
              <w:rPr>
                <w:rFonts w:ascii="Arial" w:cs="Arial" w:eastAsia="Arial" w:hAnsi="Arial"/>
                <w:sz w:val="17"/>
                <w:szCs w:val="17"/>
                <w:b w:val="1"/>
                <w:bCs w:val="1"/>
                <w:color w:val="auto"/>
              </w:rPr>
              <w:t>October 30,</w:t>
            </w:r>
          </w:p>
        </w:tc>
      </w:tr>
      <w:tr>
        <w:trPr>
          <w:trHeight w:val="211"/>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8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2022</w:t>
            </w: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2021</w:t>
            </w:r>
          </w:p>
        </w:tc>
        <w:tc>
          <w:tcPr>
            <w:tcW w:w="4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2022</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2021</w:t>
            </w:r>
          </w:p>
        </w:tc>
      </w:tr>
      <w:tr>
        <w:trPr>
          <w:trHeight w:val="183"/>
        </w:trPr>
        <w:tc>
          <w:tcPr>
            <w:tcW w:w="290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Other income / (expense), net</w:t>
            </w:r>
          </w:p>
        </w:tc>
        <w:tc>
          <w:tcPr>
            <w:tcW w:w="84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(11)</w:t>
            </w:r>
          </w:p>
        </w:tc>
        <w:tc>
          <w:tcPr>
            <w:tcW w:w="940" w:type="dxa"/>
            <w:vAlign w:val="bottom"/>
            <w:tcBorders>
              <w:bottom w:val="single" w:sz="8" w:color="auto"/>
            </w:tcBorders>
            <w:shd w:val="clear" w:color="auto" w:fill="CCEEFF"/>
          </w:tcPr>
          <w:p>
            <w:pPr>
              <w:jc w:val="right"/>
              <w:ind w:right="655"/>
              <w:spacing w:after="0" w:line="183" w:lineRule="exact"/>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w w:val="94"/>
              </w:rPr>
              <w:t>30</w:t>
            </w:r>
          </w:p>
        </w:tc>
        <w:tc>
          <w:tcPr>
            <w:tcW w:w="3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(24)</w:t>
            </w:r>
          </w:p>
        </w:tc>
        <w:tc>
          <w:tcPr>
            <w:tcW w:w="32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155"/>
              <w:spacing w:after="0" w:line="183" w:lineRule="exact"/>
              <w:rPr>
                <w:sz w:val="20"/>
                <w:szCs w:val="20"/>
                <w:color w:val="auto"/>
              </w:rPr>
            </w:pPr>
            <w:r>
              <w:rPr>
                <w:rFonts w:ascii="Arial" w:cs="Arial" w:eastAsia="Arial" w:hAnsi="Arial"/>
                <w:sz w:val="17"/>
                <w:szCs w:val="17"/>
                <w:b w:val="1"/>
                <w:bCs w:val="1"/>
                <w:color w:val="auto"/>
              </w:rPr>
              <w:t>359</w:t>
            </w:r>
          </w:p>
        </w:tc>
      </w:tr>
    </w:tbl>
    <w:p>
      <w:pPr>
        <w:spacing w:after="0" w:line="197"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This caption includes non-operating items, including franchise royalty income, changes in fair value of minority investments measured at fair value or using the fair value measurement alternative, changes in the market value of our available-for-sale security, our share of earnings or losses related to our equity method investments, and net benefit (expense) related to our pension and postretirement programs excluding the service cost component.</w:t>
      </w:r>
    </w:p>
    <w:p>
      <w:pPr>
        <w:spacing w:after="0" w:line="176"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The thirteen weeks ended October 29, 2022 reflected a gain of $1 million from the divestiture of Eastbay Team Sales, and a $15 million loss on minority investments, primarily the decline in the fair value of our Retailors, Ltd. investment. The thirty-nine weeks ended October 29, 2022 reflected the gain from the divestiture of $19 million, a decline in our Retailors, Ltd. investment of $52 million, partially offset by $1 million of dividend income.</w:t>
      </w:r>
    </w:p>
    <w:p>
      <w:pPr>
        <w:spacing w:after="0" w:line="174"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Other income / (expense), net also includes $3 million and $9 million of franchise income for the thirteen and thirty-nine weeks ended October 29, 2022, respectively. The year-to-date period also includes a charge of $1 million primarily related to our auction rate security.</w:t>
      </w:r>
    </w:p>
    <w:p>
      <w:pPr>
        <w:spacing w:after="0" w:line="169"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Other income for the thirteen weeks ended October 30, 2021 primarily consisted of the $26 million increase in the fair value of our Retailors, Ltd. investment and other minority investment income of $ 1 million. The amount for the thirty-nine weeks ended October 30, 2021 includes a $290 million increase in the fair value of our minority investment in GOAT, $50 million of income related to Retailors, Ltd., $4 million related to our insurance recovery from the 2020 social unrest, and other minority investment income of $3 million.</w:t>
      </w:r>
    </w:p>
    <w:p>
      <w:pPr>
        <w:spacing w:after="0" w:line="176"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Activity related to our minority investments and the insurance recovery were all considered our non-GAAP adjustments in all of the periods presented.</w:t>
      </w:r>
    </w:p>
    <w:p>
      <w:pPr>
        <w:spacing w:after="0" w:line="370"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2022 Form 10-Q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27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jc w:val="right"/>
              <w:ind w:right="435"/>
              <w:spacing w:after="0"/>
              <w:rPr>
                <w:sz w:val="20"/>
                <w:szCs w:val="20"/>
                <w:color w:val="auto"/>
              </w:rPr>
            </w:pPr>
            <w:r>
              <w:rPr>
                <w:rFonts w:ascii="Arial" w:cs="Arial" w:eastAsia="Arial" w:hAnsi="Arial"/>
                <w:sz w:val="17"/>
                <w:szCs w:val="17"/>
                <w:b w:val="1"/>
                <w:bCs w:val="1"/>
                <w:color w:val="auto"/>
              </w:rPr>
              <w:t>Thirteen weeks ended</w:t>
            </w:r>
          </w:p>
        </w:tc>
        <w:tc>
          <w:tcPr>
            <w:tcW w:w="2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3"/>
          </w:tcPr>
          <w:p>
            <w:pPr>
              <w:jc w:val="right"/>
              <w:ind w:right="255"/>
              <w:spacing w:after="0"/>
              <w:rPr>
                <w:sz w:val="20"/>
                <w:szCs w:val="20"/>
                <w:color w:val="auto"/>
              </w:rPr>
            </w:pPr>
            <w:r>
              <w:rPr>
                <w:rFonts w:ascii="Arial" w:cs="Arial" w:eastAsia="Arial" w:hAnsi="Arial"/>
                <w:sz w:val="17"/>
                <w:szCs w:val="17"/>
                <w:b w:val="1"/>
                <w:bCs w:val="1"/>
                <w:color w:val="auto"/>
              </w:rPr>
              <w:t>Thirty-nine weeks ended</w:t>
            </w:r>
          </w:p>
        </w:tc>
      </w:tr>
      <w:tr>
        <w:trPr>
          <w:trHeight w:val="160"/>
        </w:trPr>
        <w:tc>
          <w:tcPr>
            <w:tcW w:w="2780" w:type="dxa"/>
            <w:vAlign w:val="bottom"/>
          </w:tcPr>
          <w:p>
            <w:pPr>
              <w:spacing w:after="0"/>
              <w:rPr>
                <w:sz w:val="13"/>
                <w:szCs w:val="13"/>
                <w:color w:val="auto"/>
              </w:rPr>
            </w:pPr>
          </w:p>
        </w:tc>
        <w:tc>
          <w:tcPr>
            <w:tcW w:w="2060" w:type="dxa"/>
            <w:vAlign w:val="bottom"/>
            <w:gridSpan w:val="2"/>
          </w:tcPr>
          <w:p>
            <w:pPr>
              <w:jc w:val="right"/>
              <w:ind w:right="175"/>
              <w:spacing w:after="0" w:line="160" w:lineRule="exact"/>
              <w:rPr>
                <w:sz w:val="20"/>
                <w:szCs w:val="20"/>
                <w:color w:val="auto"/>
              </w:rPr>
            </w:pPr>
            <w:r>
              <w:rPr>
                <w:rFonts w:ascii="Arial" w:cs="Arial" w:eastAsia="Arial" w:hAnsi="Arial"/>
                <w:sz w:val="17"/>
                <w:szCs w:val="17"/>
                <w:b w:val="1"/>
                <w:bCs w:val="1"/>
                <w:color w:val="auto"/>
              </w:rPr>
              <w:t>October 29,</w:t>
            </w:r>
          </w:p>
        </w:tc>
        <w:tc>
          <w:tcPr>
            <w:tcW w:w="1340" w:type="dxa"/>
            <w:vAlign w:val="bottom"/>
            <w:gridSpan w:val="2"/>
          </w:tcPr>
          <w:p>
            <w:pPr>
              <w:jc w:val="right"/>
              <w:ind w:right="195"/>
              <w:spacing w:after="0" w:line="160" w:lineRule="exact"/>
              <w:rPr>
                <w:sz w:val="20"/>
                <w:szCs w:val="20"/>
                <w:color w:val="auto"/>
              </w:rPr>
            </w:pPr>
            <w:r>
              <w:rPr>
                <w:rFonts w:ascii="Arial" w:cs="Arial" w:eastAsia="Arial" w:hAnsi="Arial"/>
                <w:sz w:val="17"/>
                <w:szCs w:val="17"/>
                <w:b w:val="1"/>
                <w:bCs w:val="1"/>
                <w:color w:val="auto"/>
              </w:rPr>
              <w:t>October 30,</w:t>
            </w:r>
          </w:p>
        </w:tc>
        <w:tc>
          <w:tcPr>
            <w:tcW w:w="1360" w:type="dxa"/>
            <w:vAlign w:val="bottom"/>
            <w:gridSpan w:val="2"/>
          </w:tcPr>
          <w:p>
            <w:pPr>
              <w:jc w:val="right"/>
              <w:ind w:right="215"/>
              <w:spacing w:after="0" w:line="160" w:lineRule="exact"/>
              <w:rPr>
                <w:sz w:val="20"/>
                <w:szCs w:val="20"/>
                <w:color w:val="auto"/>
              </w:rPr>
            </w:pPr>
            <w:r>
              <w:rPr>
                <w:rFonts w:ascii="Arial" w:cs="Arial" w:eastAsia="Arial" w:hAnsi="Arial"/>
                <w:sz w:val="17"/>
                <w:szCs w:val="17"/>
                <w:b w:val="1"/>
                <w:bCs w:val="1"/>
                <w:color w:val="auto"/>
              </w:rPr>
              <w:t>October 29,</w:t>
            </w:r>
          </w:p>
        </w:tc>
        <w:tc>
          <w:tcPr>
            <w:tcW w:w="1360" w:type="dxa"/>
            <w:vAlign w:val="bottom"/>
            <w:gridSpan w:val="2"/>
          </w:tcPr>
          <w:p>
            <w:pPr>
              <w:jc w:val="right"/>
              <w:ind w:right="215"/>
              <w:spacing w:after="0" w:line="160" w:lineRule="exact"/>
              <w:rPr>
                <w:sz w:val="20"/>
                <w:szCs w:val="20"/>
                <w:color w:val="auto"/>
              </w:rPr>
            </w:pPr>
            <w:r>
              <w:rPr>
                <w:rFonts w:ascii="Arial" w:cs="Arial" w:eastAsia="Arial" w:hAnsi="Arial"/>
                <w:sz w:val="17"/>
                <w:szCs w:val="17"/>
                <w:b w:val="1"/>
                <w:bCs w:val="1"/>
                <w:color w:val="auto"/>
              </w:rPr>
              <w:t>October 30,</w:t>
            </w:r>
          </w:p>
        </w:tc>
      </w:tr>
      <w:tr>
        <w:trPr>
          <w:trHeight w:val="211"/>
        </w:trPr>
        <w:tc>
          <w:tcPr>
            <w:tcW w:w="27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10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2022</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2021</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2022</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2021</w:t>
            </w:r>
          </w:p>
        </w:tc>
      </w:tr>
      <w:tr>
        <w:trPr>
          <w:trHeight w:val="183"/>
        </w:trPr>
        <w:tc>
          <w:tcPr>
            <w:tcW w:w="27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Provision for income taxes</w:t>
            </w:r>
          </w:p>
        </w:tc>
        <w:tc>
          <w:tcPr>
            <w:tcW w:w="100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106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47</w:t>
            </w:r>
          </w:p>
        </w:tc>
        <w:tc>
          <w:tcPr>
            <w:tcW w:w="28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color w:val="auto"/>
              </w:rPr>
              <w:t>64</w:t>
            </w:r>
          </w:p>
        </w:tc>
        <w:tc>
          <w:tcPr>
            <w:tcW w:w="26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110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154</w:t>
            </w:r>
          </w:p>
        </w:tc>
        <w:tc>
          <w:tcPr>
            <w:tcW w:w="28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color w:val="auto"/>
              </w:rPr>
              <w:t>303</w:t>
            </w:r>
          </w:p>
        </w:tc>
      </w:tr>
      <w:tr>
        <w:trPr>
          <w:trHeight w:val="189"/>
        </w:trPr>
        <w:tc>
          <w:tcPr>
            <w:tcW w:w="278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Effective tax rate</w:t>
            </w:r>
          </w:p>
        </w:tc>
        <w:tc>
          <w:tcPr>
            <w:tcW w:w="10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33.0 %</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28.8 %</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32.4 %</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27.7 %</w:t>
            </w:r>
          </w:p>
        </w:tc>
      </w:tr>
    </w:tbl>
    <w:p>
      <w:pPr>
        <w:spacing w:after="0" w:line="197"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Our current year interim provision for income taxes was measured using an estimated annual effective tax rate, which represented a blend of federal, state, and foreign taxes and included the effect of certain nondeductible items as well as changes in our mix of domestic and foreign earnings or losses, adjusted for discrete items that occurred within the periods presented.</w:t>
      </w:r>
    </w:p>
    <w:p>
      <w:pPr>
        <w:spacing w:after="0" w:line="174"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We regularly assess the adequacy of our provisions for income tax contingencies in accordance with applicable authoritative guidance on accounting for income taxes. As a result, we may adjust the reserves for unrecognized tax benefits considering new facts and developments, such as changes to interpretations of relevant tax law, assessments from taxing authorities, settlements with taxing authorities, and lapses of statutes of limitation.</w:t>
      </w:r>
    </w:p>
    <w:p>
      <w:pPr>
        <w:spacing w:after="0" w:line="176"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In the second quarter of 2022, we recorded a $5 million charge related to our income tax reserves due to the resolution of a foreign tax settlement. Partially offsetting this charge were tax benefits totaling $2 million from reserves releases due to various statute of limitation lapses. The changes in tax reserves were not significant for any of the prior-year periods.</w:t>
      </w:r>
    </w:p>
    <w:p>
      <w:pPr>
        <w:spacing w:after="0" w:line="17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We also recorded a tax expense of $6 million in connection with Eastbay Team Sales divestiture, including the effect of a non-deductible goodwill write-off, that occurred in the second quarter.</w:t>
      </w:r>
    </w:p>
    <w:p>
      <w:pPr>
        <w:spacing w:after="0" w:line="15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During the thirty-nine weeks ended October 29, 2022, we recorded $1 million of expense related to tax deficiencies from share-based compensation, as compared with an excess tax benefit of $2 million recorded in the corresponding prior-year period.</w:t>
      </w:r>
    </w:p>
    <w:p>
      <w:pPr>
        <w:spacing w:after="0" w:line="169"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Excluding the above-mentioned discrete items, the effective tax rates for the current year periods increased, as compared with the corresponding prior-year periods, primarily due to the change in the level and mix of domestic and foreign earnings.</w:t>
      </w:r>
    </w:p>
    <w:p>
      <w:pPr>
        <w:spacing w:after="0" w:line="169"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Our effective tax rate will vary due to numerous factors, such as level and geographic mix of income and losses, acquisitions, investments, intercompany transactions, foreign currency exchange rates, our stock price, changes in our deferred tax assets and liabilities and their valuation, changes in the laws, regulations, administrative practices, principles, and interpretations related to tax, including changes to the global tax framework and other laws and accounting rules in various jurisdictions.</w:t>
      </w:r>
    </w:p>
    <w:p>
      <w:pPr>
        <w:spacing w:after="0" w:line="176"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On August 16, 2022, President Biden signed the Inflation Reduction Act (“IRA”) of 2022 into law. The IRA contains a number of revisions to the Internal Revenue Code, including a 15% corporate minimum tax and a 1% excise tax on corporate stock repurchases in tax years beginning after December 31, 2022. We do not currently expect the IRA tax provisions will have a significant effect on our overall effective tax rate.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Liquidity</w:t>
      </w:r>
    </w:p>
    <w:p>
      <w:pPr>
        <w:spacing w:after="0" w:line="210"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Our primary source of liquidity has been cash flow from operations, while the principal uses of cash have been to fund inventory and other working capital requirements; finance capital expenditures related to store openings, store remodelings, internet and mobile sites, information systems, and other support facilities; make retirement plan contributions, quarterly dividend payments, and interest payments; and fund other cash requirements to support the development of our short-term and long-term operating strategies, including strategic investments.</w:t>
      </w:r>
    </w:p>
    <w:p>
      <w:pPr>
        <w:spacing w:after="0" w:line="392"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2022 Form 10-Q 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generally finance real estate with operating leases. We believe our cash, cash equivalents, future cash flow from operations, and amounts available under our credit agreement will be adequate to fund these requirements.</w:t>
      </w:r>
    </w:p>
    <w:p>
      <w:pPr>
        <w:spacing w:after="0" w:line="169"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 xml:space="preserve">The Company may also repurchase its common stock or seek to retire or purchase outstanding debt through open market purchases, privately negotiated transactions, or otherwise. Share repurchases and retirement of debt, if any, will depend on prevailing market conditions, liquidity requirements, contractual restrictions, strategic considerations, and other factors. The amounts involved may be material. As of October 29, 2022, approximately $1,103 million remained available under our current $1.2 billion share repurchase program, which was approved in February 2022. The new program </w:t>
      </w:r>
      <w:r>
        <w:rPr>
          <w:rFonts w:ascii="Arial" w:cs="Arial" w:eastAsia="Arial" w:hAnsi="Arial"/>
          <w:sz w:val="17"/>
          <w:szCs w:val="17"/>
          <w:color w:val="auto"/>
        </w:rPr>
        <w:t>does not have an expiration date.</w:t>
      </w:r>
    </w:p>
    <w:p>
      <w:pPr>
        <w:spacing w:after="0" w:line="17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Any material adverse change in customer demand, fashion trends, competitive market forces, or customer acceptance of our merchandise mix, retail locations and websites, uncertainties related to the effect of competitive products and pricing, our reliance on a few key suppliers for a significant portion of our merchandise purchases and risks associated with global product sourcing, economic conditions worldwide, the effects of currency fluctuations, continued uncertainties caused by the COVID-19 pandemic, as well as other factors listed under the headings “Disclosure Regarding Forward-Looking Statements,” and “Risk Factors” could affect our ability to continue to fund our needs from business operations.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20" w:lineRule="exact"/>
        <w:rPr>
          <w:sz w:val="20"/>
          <w:szCs w:val="20"/>
          <w:color w:val="auto"/>
        </w:rPr>
      </w:pPr>
    </w:p>
    <w:p>
      <w:pPr>
        <w:ind w:left="5960"/>
        <w:spacing w:after="0"/>
        <w:rPr>
          <w:sz w:val="20"/>
          <w:szCs w:val="20"/>
          <w:color w:val="auto"/>
        </w:rPr>
      </w:pPr>
      <w:r>
        <w:rPr>
          <w:rFonts w:ascii="Arial" w:cs="Arial" w:eastAsia="Arial" w:hAnsi="Arial"/>
          <w:sz w:val="17"/>
          <w:szCs w:val="17"/>
          <w:b w:val="1"/>
          <w:bCs w:val="1"/>
          <w:color w:val="auto"/>
        </w:rPr>
        <w:t>Thirty-nine weeks ended</w:t>
      </w:r>
    </w:p>
    <w:p>
      <w:pPr>
        <w:spacing w:after="0" w:line="16" w:lineRule="exact"/>
        <w:rPr>
          <w:sz w:val="20"/>
          <w:szCs w:val="20"/>
          <w:color w:val="auto"/>
        </w:rPr>
      </w:pPr>
    </w:p>
    <w:tbl>
      <w:tblPr>
        <w:tblLayout w:type="fixed"/>
        <w:tblInd w:w="60" w:type="dxa"/>
        <w:tblCellMar>
          <w:top w:w="0" w:type="dxa"/>
          <w:left w:w="0" w:type="dxa"/>
          <w:bottom w:w="0" w:type="dxa"/>
          <w:right w:w="0" w:type="dxa"/>
        </w:tblCellMar>
      </w:tblPr>
      <w:tr>
        <w:trPr>
          <w:trHeight w:val="160"/>
        </w:trPr>
        <w:tc>
          <w:tcPr>
            <w:tcW w:w="44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jc w:val="right"/>
              <w:ind w:right="375"/>
              <w:spacing w:after="0" w:line="160" w:lineRule="exact"/>
              <w:rPr>
                <w:sz w:val="20"/>
                <w:szCs w:val="20"/>
                <w:color w:val="auto"/>
              </w:rPr>
            </w:pPr>
            <w:r>
              <w:rPr>
                <w:rFonts w:ascii="Arial" w:cs="Arial" w:eastAsia="Arial" w:hAnsi="Arial"/>
                <w:sz w:val="17"/>
                <w:szCs w:val="17"/>
                <w:b w:val="1"/>
                <w:bCs w:val="1"/>
                <w:color w:val="auto"/>
              </w:rPr>
              <w:t>October 29,</w:t>
            </w:r>
          </w:p>
        </w:tc>
        <w:tc>
          <w:tcPr>
            <w:tcW w:w="34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jc w:val="center"/>
              <w:ind w:right="415"/>
              <w:spacing w:after="0" w:line="160" w:lineRule="exact"/>
              <w:rPr>
                <w:sz w:val="20"/>
                <w:szCs w:val="20"/>
                <w:color w:val="auto"/>
              </w:rPr>
            </w:pPr>
            <w:r>
              <w:rPr>
                <w:rFonts w:ascii="Arial" w:cs="Arial" w:eastAsia="Arial" w:hAnsi="Arial"/>
                <w:sz w:val="17"/>
                <w:szCs w:val="17"/>
                <w:b w:val="1"/>
                <w:bCs w:val="1"/>
                <w:color w:val="auto"/>
              </w:rPr>
              <w:t>October 30,</w:t>
            </w:r>
          </w:p>
        </w:tc>
      </w:tr>
      <w:tr>
        <w:trPr>
          <w:trHeight w:val="211"/>
        </w:trPr>
        <w:tc>
          <w:tcPr>
            <w:tcW w:w="44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9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55"/>
              <w:spacing w:after="0"/>
              <w:rPr>
                <w:sz w:val="20"/>
                <w:szCs w:val="20"/>
                <w:color w:val="auto"/>
              </w:rPr>
            </w:pPr>
            <w:r>
              <w:rPr>
                <w:rFonts w:ascii="Arial" w:cs="Arial" w:eastAsia="Arial" w:hAnsi="Arial"/>
                <w:sz w:val="17"/>
                <w:szCs w:val="17"/>
                <w:b w:val="1"/>
                <w:bCs w:val="1"/>
                <w:color w:val="auto"/>
              </w:rPr>
              <w:t>2022</w:t>
            </w: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15"/>
              <w:spacing w:after="0"/>
              <w:rPr>
                <w:sz w:val="20"/>
                <w:szCs w:val="20"/>
                <w:color w:val="auto"/>
              </w:rPr>
            </w:pPr>
            <w:r>
              <w:rPr>
                <w:rFonts w:ascii="Arial" w:cs="Arial" w:eastAsia="Arial" w:hAnsi="Arial"/>
                <w:sz w:val="17"/>
                <w:szCs w:val="17"/>
                <w:b w:val="1"/>
                <w:bCs w:val="1"/>
                <w:color w:val="auto"/>
              </w:rPr>
              <w:t>2021</w:t>
            </w:r>
          </w:p>
        </w:tc>
      </w:tr>
      <w:tr>
        <w:trPr>
          <w:trHeight w:val="183"/>
        </w:trPr>
        <w:tc>
          <w:tcPr>
            <w:tcW w:w="44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cash (used in) provided by operating activities</w:t>
            </w:r>
          </w:p>
        </w:tc>
        <w:tc>
          <w:tcPr>
            <w:tcW w:w="90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152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(32)</w:t>
            </w:r>
          </w:p>
        </w:tc>
        <w:tc>
          <w:tcPr>
            <w:tcW w:w="34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1680" w:type="dxa"/>
            <w:vAlign w:val="bottom"/>
            <w:shd w:val="clear" w:color="auto" w:fill="CCEEFF"/>
          </w:tcPr>
          <w:p>
            <w:pPr>
              <w:jc w:val="right"/>
              <w:ind w:right="255"/>
              <w:spacing w:after="0" w:line="183" w:lineRule="exact"/>
              <w:rPr>
                <w:sz w:val="20"/>
                <w:szCs w:val="20"/>
                <w:color w:val="auto"/>
              </w:rPr>
            </w:pPr>
            <w:r>
              <w:rPr>
                <w:rFonts w:ascii="Arial" w:cs="Arial" w:eastAsia="Arial" w:hAnsi="Arial"/>
                <w:sz w:val="17"/>
                <w:szCs w:val="17"/>
                <w:color w:val="auto"/>
              </w:rPr>
              <w:t>498</w:t>
            </w:r>
          </w:p>
        </w:tc>
      </w:tr>
      <w:tr>
        <w:trPr>
          <w:trHeight w:val="189"/>
        </w:trPr>
        <w:tc>
          <w:tcPr>
            <w:tcW w:w="44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 Change</w:t>
            </w:r>
          </w:p>
        </w:tc>
        <w:tc>
          <w:tcPr>
            <w:tcW w:w="90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152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(530)</w:t>
            </w: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r>
    </w:tbl>
    <w:p>
      <w:pPr>
        <w:spacing w:after="0" w:line="197"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Operating activities reflects net income adjusted for non-cash items and working capital changes. Adjustments to net income for non-cash items include gains, losses, impairment charges, other charges, depreciation and amortization, deferred income taxes, and share-based compensation expense.</w:t>
      </w:r>
    </w:p>
    <w:p>
      <w:pPr>
        <w:spacing w:after="0" w:line="169"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The decrease in cash from operating activities reflected higher merchandise purchases and payments of accounts payable and accrued and other liabilities, as well as lower net income, as compared with the same period last year. Higher merchandise purchases were necessary as our year-end inventory levels were affected by the COVID-19 pandemic and the associated supply chain challenges.</w:t>
      </w:r>
    </w:p>
    <w:p>
      <w:pPr>
        <w:spacing w:after="0" w:line="17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As of October 29, 2022, we have withheld approximately $5 million of lease and lease-related payments as we continue to negotiate rent deferrals or abatements with our landlords for the period that our stores were closed due to the COVID-19 pandemic.</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20" w:lineRule="exact"/>
        <w:rPr>
          <w:sz w:val="20"/>
          <w:szCs w:val="20"/>
          <w:color w:val="auto"/>
        </w:rPr>
      </w:pPr>
    </w:p>
    <w:p>
      <w:pPr>
        <w:ind w:left="5960"/>
        <w:spacing w:after="0"/>
        <w:rPr>
          <w:sz w:val="20"/>
          <w:szCs w:val="20"/>
          <w:color w:val="auto"/>
        </w:rPr>
      </w:pPr>
      <w:r>
        <w:rPr>
          <w:rFonts w:ascii="Arial" w:cs="Arial" w:eastAsia="Arial" w:hAnsi="Arial"/>
          <w:sz w:val="17"/>
          <w:szCs w:val="17"/>
          <w:b w:val="1"/>
          <w:bCs w:val="1"/>
          <w:color w:val="auto"/>
        </w:rPr>
        <w:t>Thirty-nine weeks ended</w:t>
      </w:r>
    </w:p>
    <w:p>
      <w:pPr>
        <w:spacing w:after="0" w:line="16" w:lineRule="exact"/>
        <w:rPr>
          <w:sz w:val="20"/>
          <w:szCs w:val="20"/>
          <w:color w:val="auto"/>
        </w:rPr>
      </w:pPr>
    </w:p>
    <w:tbl>
      <w:tblPr>
        <w:tblLayout w:type="fixed"/>
        <w:tblInd w:w="60" w:type="dxa"/>
        <w:tblCellMar>
          <w:top w:w="0" w:type="dxa"/>
          <w:left w:w="0" w:type="dxa"/>
          <w:bottom w:w="0" w:type="dxa"/>
          <w:right w:w="0" w:type="dxa"/>
        </w:tblCellMar>
      </w:tblPr>
      <w:tr>
        <w:trPr>
          <w:trHeight w:val="160"/>
        </w:trPr>
        <w:tc>
          <w:tcPr>
            <w:tcW w:w="39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jc w:val="right"/>
              <w:ind w:right="375"/>
              <w:spacing w:after="0" w:line="160" w:lineRule="exact"/>
              <w:rPr>
                <w:sz w:val="20"/>
                <w:szCs w:val="20"/>
                <w:color w:val="auto"/>
              </w:rPr>
            </w:pPr>
            <w:r>
              <w:rPr>
                <w:rFonts w:ascii="Arial" w:cs="Arial" w:eastAsia="Arial" w:hAnsi="Arial"/>
                <w:sz w:val="17"/>
                <w:szCs w:val="17"/>
                <w:b w:val="1"/>
                <w:bCs w:val="1"/>
                <w:color w:val="auto"/>
              </w:rPr>
              <w:t>October 29,</w:t>
            </w:r>
          </w:p>
        </w:tc>
        <w:tc>
          <w:tcPr>
            <w:tcW w:w="34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jc w:val="center"/>
              <w:ind w:right="415"/>
              <w:spacing w:after="0" w:line="160" w:lineRule="exact"/>
              <w:rPr>
                <w:sz w:val="20"/>
                <w:szCs w:val="20"/>
                <w:color w:val="auto"/>
              </w:rPr>
            </w:pPr>
            <w:r>
              <w:rPr>
                <w:rFonts w:ascii="Arial" w:cs="Arial" w:eastAsia="Arial" w:hAnsi="Arial"/>
                <w:sz w:val="17"/>
                <w:szCs w:val="17"/>
                <w:b w:val="1"/>
                <w:bCs w:val="1"/>
                <w:color w:val="auto"/>
              </w:rPr>
              <w:t>October 30,</w:t>
            </w:r>
          </w:p>
        </w:tc>
      </w:tr>
      <w:tr>
        <w:trPr>
          <w:trHeight w:val="211"/>
        </w:trPr>
        <w:tc>
          <w:tcPr>
            <w:tcW w:w="3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14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55"/>
              <w:spacing w:after="0"/>
              <w:rPr>
                <w:sz w:val="20"/>
                <w:szCs w:val="20"/>
                <w:color w:val="auto"/>
              </w:rPr>
            </w:pPr>
            <w:r>
              <w:rPr>
                <w:rFonts w:ascii="Arial" w:cs="Arial" w:eastAsia="Arial" w:hAnsi="Arial"/>
                <w:sz w:val="17"/>
                <w:szCs w:val="17"/>
                <w:b w:val="1"/>
                <w:bCs w:val="1"/>
                <w:color w:val="auto"/>
              </w:rPr>
              <w:t>2022</w:t>
            </w: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15"/>
              <w:spacing w:after="0"/>
              <w:rPr>
                <w:sz w:val="20"/>
                <w:szCs w:val="20"/>
                <w:color w:val="auto"/>
              </w:rPr>
            </w:pPr>
            <w:r>
              <w:rPr>
                <w:rFonts w:ascii="Arial" w:cs="Arial" w:eastAsia="Arial" w:hAnsi="Arial"/>
                <w:sz w:val="17"/>
                <w:szCs w:val="17"/>
                <w:b w:val="1"/>
                <w:bCs w:val="1"/>
                <w:color w:val="auto"/>
              </w:rPr>
              <w:t>2021</w:t>
            </w:r>
          </w:p>
        </w:tc>
      </w:tr>
      <w:tr>
        <w:trPr>
          <w:trHeight w:val="183"/>
        </w:trPr>
        <w:tc>
          <w:tcPr>
            <w:tcW w:w="39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cash used in investing activities</w:t>
            </w:r>
          </w:p>
        </w:tc>
        <w:tc>
          <w:tcPr>
            <w:tcW w:w="144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152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(182)</w:t>
            </w:r>
          </w:p>
        </w:tc>
        <w:tc>
          <w:tcPr>
            <w:tcW w:w="34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1680" w:type="dxa"/>
            <w:vAlign w:val="bottom"/>
            <w:shd w:val="clear" w:color="auto" w:fill="CCEEFF"/>
          </w:tcPr>
          <w:p>
            <w:pPr>
              <w:jc w:val="right"/>
              <w:ind w:right="195"/>
              <w:spacing w:after="0" w:line="183" w:lineRule="exact"/>
              <w:rPr>
                <w:sz w:val="20"/>
                <w:szCs w:val="20"/>
                <w:color w:val="auto"/>
              </w:rPr>
            </w:pPr>
            <w:r>
              <w:rPr>
                <w:rFonts w:ascii="Arial" w:cs="Arial" w:eastAsia="Arial" w:hAnsi="Arial"/>
                <w:sz w:val="17"/>
                <w:szCs w:val="17"/>
                <w:color w:val="auto"/>
              </w:rPr>
              <w:t>(983)</w:t>
            </w:r>
          </w:p>
        </w:tc>
      </w:tr>
      <w:tr>
        <w:trPr>
          <w:trHeight w:val="189"/>
        </w:trPr>
        <w:tc>
          <w:tcPr>
            <w:tcW w:w="39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 Change</w:t>
            </w:r>
          </w:p>
        </w:tc>
        <w:tc>
          <w:tcPr>
            <w:tcW w:w="144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152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801</w:t>
            </w: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r>
    </w:tbl>
    <w:p>
      <w:pPr>
        <w:spacing w:after="0" w:line="197"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The change in investing activities primarily reflected the WSS acquisition in the prior year and higher capital expenditures in the current year, partially offset by divestiture of certain assets. During the third quarter of 2021, we completed the acquisition of WSS for $737 million, net of cash acquired. During the thirty-nine weeks ended October 29, 2022, we paid an additional $18 million for the WSS and atmos acquisitions upon the satisfaction of certain post-closing conditions.</w:t>
      </w:r>
    </w:p>
    <w:p>
      <w:pPr>
        <w:spacing w:after="0" w:line="392"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2022 Form 10-Q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For the thirty-nine weeks ended October 29, 2022, capital expenditures increased by $81 million to $218 million, as compared with the corresponding prior-year period. Our full-year capital spending is expected to be $265 million. The forecast includes $182 million related to the remodeling or relocation of approximately 140 existing stores and the opening of approximately 110 new stores, as well as $83 million for the development of information systems, websites, and infrastructure, including supply chain initiatives.</w:t>
      </w:r>
    </w:p>
    <w:p>
      <w:pPr>
        <w:spacing w:after="0" w:line="17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have invested $5 million in minority investments during the current year, including various limited partner venture capital funds managed by Black fund managers, who are committed to advancing diverse-led businesses as part of our Leading in Education and Economic Development (LEED) initiative. During the second quarter of 2022, we sold our position in one of our minority investments receiving proceeds of $12 million. In the prior-year period, we invested $ 115 million which was comprised of an additional $33 million investment in GOAT, a $68 million investment in a public entity (Retailors, Ltd.), and a $14 million investment in various companies, primarily related to LEED.</w:t>
      </w:r>
    </w:p>
    <w:p>
      <w:pPr>
        <w:spacing w:after="0" w:line="185"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Also during the second quarter of 2022, we sold our Eastbay Team Sales business receiving proceeds of $47 million.</w:t>
      </w:r>
    </w:p>
    <w:p>
      <w:pPr>
        <w:spacing w:after="0" w:line="15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sold the former Runners Point headquarters in the first quarter of 2021, generating proceeds of $ 3 million. Also last year, we received insurance proceeds of $3 million related to property and equipment claims from the social unrest losses in 2020.</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20" w:lineRule="exact"/>
        <w:rPr>
          <w:sz w:val="20"/>
          <w:szCs w:val="20"/>
          <w:color w:val="auto"/>
        </w:rPr>
      </w:pPr>
    </w:p>
    <w:p>
      <w:pPr>
        <w:ind w:left="5960"/>
        <w:spacing w:after="0"/>
        <w:rPr>
          <w:sz w:val="20"/>
          <w:szCs w:val="20"/>
          <w:color w:val="auto"/>
        </w:rPr>
      </w:pPr>
      <w:r>
        <w:rPr>
          <w:rFonts w:ascii="Arial" w:cs="Arial" w:eastAsia="Arial" w:hAnsi="Arial"/>
          <w:sz w:val="17"/>
          <w:szCs w:val="17"/>
          <w:b w:val="1"/>
          <w:bCs w:val="1"/>
          <w:color w:val="auto"/>
        </w:rPr>
        <w:t>Thirty-nine weeks ended</w:t>
      </w:r>
    </w:p>
    <w:p>
      <w:pPr>
        <w:spacing w:after="0" w:line="16" w:lineRule="exact"/>
        <w:rPr>
          <w:sz w:val="20"/>
          <w:szCs w:val="20"/>
          <w:color w:val="auto"/>
        </w:rPr>
      </w:pPr>
    </w:p>
    <w:tbl>
      <w:tblPr>
        <w:tblLayout w:type="fixed"/>
        <w:tblInd w:w="60" w:type="dxa"/>
        <w:tblCellMar>
          <w:top w:w="0" w:type="dxa"/>
          <w:left w:w="0" w:type="dxa"/>
          <w:bottom w:w="0" w:type="dxa"/>
          <w:right w:w="0" w:type="dxa"/>
        </w:tblCellMar>
      </w:tblPr>
      <w:tr>
        <w:trPr>
          <w:trHeight w:val="160"/>
        </w:trPr>
        <w:tc>
          <w:tcPr>
            <w:tcW w:w="45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jc w:val="right"/>
              <w:ind w:right="375"/>
              <w:spacing w:after="0" w:line="160" w:lineRule="exact"/>
              <w:rPr>
                <w:sz w:val="20"/>
                <w:szCs w:val="20"/>
                <w:color w:val="auto"/>
              </w:rPr>
            </w:pPr>
            <w:r>
              <w:rPr>
                <w:rFonts w:ascii="Arial" w:cs="Arial" w:eastAsia="Arial" w:hAnsi="Arial"/>
                <w:sz w:val="17"/>
                <w:szCs w:val="17"/>
                <w:b w:val="1"/>
                <w:bCs w:val="1"/>
                <w:color w:val="auto"/>
              </w:rPr>
              <w:t>October 29,</w:t>
            </w:r>
          </w:p>
        </w:tc>
        <w:tc>
          <w:tcPr>
            <w:tcW w:w="34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jc w:val="center"/>
              <w:ind w:right="415"/>
              <w:spacing w:after="0" w:line="160" w:lineRule="exact"/>
              <w:rPr>
                <w:sz w:val="20"/>
                <w:szCs w:val="20"/>
                <w:color w:val="auto"/>
              </w:rPr>
            </w:pPr>
            <w:r>
              <w:rPr>
                <w:rFonts w:ascii="Arial" w:cs="Arial" w:eastAsia="Arial" w:hAnsi="Arial"/>
                <w:sz w:val="17"/>
                <w:szCs w:val="17"/>
                <w:b w:val="1"/>
                <w:bCs w:val="1"/>
                <w:color w:val="auto"/>
              </w:rPr>
              <w:t>October 30,</w:t>
            </w:r>
          </w:p>
        </w:tc>
      </w:tr>
      <w:tr>
        <w:trPr>
          <w:trHeight w:val="211"/>
        </w:trPr>
        <w:tc>
          <w:tcPr>
            <w:tcW w:w="45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8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55"/>
              <w:spacing w:after="0"/>
              <w:rPr>
                <w:sz w:val="20"/>
                <w:szCs w:val="20"/>
                <w:color w:val="auto"/>
              </w:rPr>
            </w:pPr>
            <w:r>
              <w:rPr>
                <w:rFonts w:ascii="Arial" w:cs="Arial" w:eastAsia="Arial" w:hAnsi="Arial"/>
                <w:sz w:val="17"/>
                <w:szCs w:val="17"/>
                <w:b w:val="1"/>
                <w:bCs w:val="1"/>
                <w:color w:val="auto"/>
              </w:rPr>
              <w:t>2022</w:t>
            </w: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15"/>
              <w:spacing w:after="0"/>
              <w:rPr>
                <w:sz w:val="20"/>
                <w:szCs w:val="20"/>
                <w:color w:val="auto"/>
              </w:rPr>
            </w:pPr>
            <w:r>
              <w:rPr>
                <w:rFonts w:ascii="Arial" w:cs="Arial" w:eastAsia="Arial" w:hAnsi="Arial"/>
                <w:sz w:val="17"/>
                <w:szCs w:val="17"/>
                <w:b w:val="1"/>
                <w:bCs w:val="1"/>
                <w:color w:val="auto"/>
              </w:rPr>
              <w:t>2021</w:t>
            </w:r>
          </w:p>
        </w:tc>
      </w:tr>
      <w:tr>
        <w:trPr>
          <w:trHeight w:val="183"/>
        </w:trPr>
        <w:tc>
          <w:tcPr>
            <w:tcW w:w="45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cash (used in) / provided by financing activities</w:t>
            </w:r>
          </w:p>
        </w:tc>
        <w:tc>
          <w:tcPr>
            <w:tcW w:w="86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152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(237)</w:t>
            </w:r>
          </w:p>
        </w:tc>
        <w:tc>
          <w:tcPr>
            <w:tcW w:w="34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1680" w:type="dxa"/>
            <w:vAlign w:val="bottom"/>
            <w:shd w:val="clear" w:color="auto" w:fill="CCEEFF"/>
          </w:tcPr>
          <w:p>
            <w:pPr>
              <w:jc w:val="right"/>
              <w:ind w:right="255"/>
              <w:spacing w:after="0" w:line="183" w:lineRule="exact"/>
              <w:rPr>
                <w:sz w:val="20"/>
                <w:szCs w:val="20"/>
                <w:color w:val="auto"/>
              </w:rPr>
            </w:pPr>
            <w:r>
              <w:rPr>
                <w:rFonts w:ascii="Arial" w:cs="Arial" w:eastAsia="Arial" w:hAnsi="Arial"/>
                <w:sz w:val="17"/>
                <w:szCs w:val="17"/>
                <w:color w:val="auto"/>
              </w:rPr>
              <w:t>154</w:t>
            </w:r>
          </w:p>
        </w:tc>
      </w:tr>
      <w:tr>
        <w:trPr>
          <w:trHeight w:val="189"/>
        </w:trPr>
        <w:tc>
          <w:tcPr>
            <w:tcW w:w="450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 Change</w:t>
            </w:r>
          </w:p>
        </w:tc>
        <w:tc>
          <w:tcPr>
            <w:tcW w:w="86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152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(391)</w:t>
            </w: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r>
    </w:tbl>
    <w:p>
      <w:pPr>
        <w:spacing w:after="0" w:line="197"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Cash used in financing activities was driven by our return to shareholders initiatives, including our share repurchase program and cash dividends, as follows:</w:t>
      </w:r>
    </w:p>
    <w:p>
      <w:pPr>
        <w:spacing w:after="0" w:line="177" w:lineRule="exact"/>
        <w:rPr>
          <w:sz w:val="20"/>
          <w:szCs w:val="20"/>
          <w:color w:val="auto"/>
        </w:rPr>
      </w:pPr>
    </w:p>
    <w:p>
      <w:pPr>
        <w:ind w:left="5940"/>
        <w:spacing w:after="0"/>
        <w:rPr>
          <w:sz w:val="20"/>
          <w:szCs w:val="20"/>
          <w:color w:val="auto"/>
        </w:rPr>
      </w:pPr>
      <w:r>
        <w:rPr>
          <w:rFonts w:ascii="Arial" w:cs="Arial" w:eastAsia="Arial" w:hAnsi="Arial"/>
          <w:sz w:val="17"/>
          <w:szCs w:val="17"/>
          <w:b w:val="1"/>
          <w:bCs w:val="1"/>
          <w:color w:val="auto"/>
        </w:rPr>
        <w:t>Thirty-nine weeks ended</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160"/>
        </w:trPr>
        <w:tc>
          <w:tcPr>
            <w:tcW w:w="384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jc w:val="right"/>
              <w:ind w:right="355"/>
              <w:spacing w:after="0" w:line="160" w:lineRule="exact"/>
              <w:rPr>
                <w:sz w:val="20"/>
                <w:szCs w:val="20"/>
                <w:color w:val="auto"/>
              </w:rPr>
            </w:pPr>
            <w:r>
              <w:rPr>
                <w:rFonts w:ascii="Arial" w:cs="Arial" w:eastAsia="Arial" w:hAnsi="Arial"/>
                <w:sz w:val="17"/>
                <w:szCs w:val="17"/>
                <w:b w:val="1"/>
                <w:bCs w:val="1"/>
                <w:color w:val="auto"/>
              </w:rPr>
              <w:t>October 29,</w:t>
            </w:r>
          </w:p>
        </w:tc>
        <w:tc>
          <w:tcPr>
            <w:tcW w:w="38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jc w:val="right"/>
              <w:ind w:right="515"/>
              <w:spacing w:after="0" w:line="160" w:lineRule="exact"/>
              <w:rPr>
                <w:sz w:val="20"/>
                <w:szCs w:val="20"/>
                <w:color w:val="auto"/>
              </w:rPr>
            </w:pPr>
            <w:r>
              <w:rPr>
                <w:rFonts w:ascii="Arial" w:cs="Arial" w:eastAsia="Arial" w:hAnsi="Arial"/>
                <w:sz w:val="17"/>
                <w:szCs w:val="17"/>
                <w:b w:val="1"/>
                <w:bCs w:val="1"/>
                <w:color w:val="auto"/>
              </w:rPr>
              <w:t>October 30,</w:t>
            </w:r>
          </w:p>
        </w:tc>
      </w:tr>
      <w:tr>
        <w:trPr>
          <w:trHeight w:val="211"/>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15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35"/>
              <w:spacing w:after="0"/>
              <w:rPr>
                <w:sz w:val="20"/>
                <w:szCs w:val="20"/>
                <w:color w:val="auto"/>
              </w:rPr>
            </w:pPr>
            <w:r>
              <w:rPr>
                <w:rFonts w:ascii="Arial" w:cs="Arial" w:eastAsia="Arial" w:hAnsi="Arial"/>
                <w:sz w:val="17"/>
                <w:szCs w:val="17"/>
                <w:b w:val="1"/>
                <w:bCs w:val="1"/>
                <w:color w:val="auto"/>
              </w:rPr>
              <w:t>2022</w:t>
            </w:r>
          </w:p>
        </w:tc>
        <w:tc>
          <w:tcPr>
            <w:tcW w:w="3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795"/>
              <w:spacing w:after="0"/>
              <w:rPr>
                <w:sz w:val="20"/>
                <w:szCs w:val="20"/>
                <w:color w:val="auto"/>
              </w:rPr>
            </w:pPr>
            <w:r>
              <w:rPr>
                <w:rFonts w:ascii="Arial" w:cs="Arial" w:eastAsia="Arial" w:hAnsi="Arial"/>
                <w:sz w:val="17"/>
                <w:szCs w:val="17"/>
                <w:b w:val="1"/>
                <w:bCs w:val="1"/>
                <w:color w:val="auto"/>
              </w:rPr>
              <w:t>2021</w:t>
            </w:r>
          </w:p>
        </w:tc>
      </w:tr>
      <w:tr>
        <w:trPr>
          <w:trHeight w:val="183"/>
        </w:trPr>
        <w:tc>
          <w:tcPr>
            <w:tcW w:w="384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Share repurchases</w:t>
            </w:r>
          </w:p>
        </w:tc>
        <w:tc>
          <w:tcPr>
            <w:tcW w:w="152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15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129</w:t>
            </w:r>
          </w:p>
        </w:tc>
        <w:tc>
          <w:tcPr>
            <w:tcW w:w="38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1660" w:type="dxa"/>
            <w:vAlign w:val="bottom"/>
            <w:shd w:val="clear" w:color="auto" w:fill="CCEEFF"/>
          </w:tcPr>
          <w:p>
            <w:pPr>
              <w:jc w:val="right"/>
              <w:ind w:right="255"/>
              <w:spacing w:after="0" w:line="183" w:lineRule="exact"/>
              <w:rPr>
                <w:sz w:val="20"/>
                <w:szCs w:val="20"/>
                <w:color w:val="auto"/>
              </w:rPr>
            </w:pPr>
            <w:r>
              <w:rPr>
                <w:rFonts w:ascii="Arial" w:cs="Arial" w:eastAsia="Arial" w:hAnsi="Arial"/>
                <w:sz w:val="17"/>
                <w:szCs w:val="17"/>
                <w:color w:val="auto"/>
              </w:rPr>
              <w:t>170</w:t>
            </w:r>
          </w:p>
        </w:tc>
      </w:tr>
      <w:tr>
        <w:trPr>
          <w:trHeight w:val="189"/>
        </w:trPr>
        <w:tc>
          <w:tcPr>
            <w:tcW w:w="384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Dividends paid on common stock</w:t>
            </w:r>
          </w:p>
        </w:tc>
        <w:tc>
          <w:tcPr>
            <w:tcW w:w="15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113</w:t>
            </w:r>
          </w:p>
        </w:tc>
        <w:tc>
          <w:tcPr>
            <w:tcW w:w="3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255"/>
              <w:spacing w:after="0" w:line="189" w:lineRule="exact"/>
              <w:rPr>
                <w:sz w:val="20"/>
                <w:szCs w:val="20"/>
                <w:color w:val="auto"/>
              </w:rPr>
            </w:pPr>
            <w:r>
              <w:rPr>
                <w:rFonts w:ascii="Arial" w:cs="Arial" w:eastAsia="Arial" w:hAnsi="Arial"/>
                <w:sz w:val="17"/>
                <w:szCs w:val="17"/>
                <w:color w:val="auto"/>
              </w:rPr>
              <w:t>72</w:t>
            </w:r>
          </w:p>
        </w:tc>
      </w:tr>
      <w:tr>
        <w:trPr>
          <w:trHeight w:val="183"/>
        </w:trPr>
        <w:tc>
          <w:tcPr>
            <w:tcW w:w="384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Total returned to shareholders</w:t>
            </w:r>
          </w:p>
        </w:tc>
        <w:tc>
          <w:tcPr>
            <w:tcW w:w="152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150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242</w:t>
            </w:r>
          </w:p>
        </w:tc>
        <w:tc>
          <w:tcPr>
            <w:tcW w:w="38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1660" w:type="dxa"/>
            <w:vAlign w:val="bottom"/>
            <w:tcBorders>
              <w:bottom w:val="single" w:sz="8" w:color="auto"/>
            </w:tcBorders>
            <w:shd w:val="clear" w:color="auto" w:fill="CCEEFF"/>
          </w:tcPr>
          <w:p>
            <w:pPr>
              <w:jc w:val="right"/>
              <w:ind w:right="255"/>
              <w:spacing w:after="0" w:line="183" w:lineRule="exact"/>
              <w:rPr>
                <w:sz w:val="20"/>
                <w:szCs w:val="20"/>
                <w:color w:val="auto"/>
              </w:rPr>
            </w:pPr>
            <w:r>
              <w:rPr>
                <w:rFonts w:ascii="Arial" w:cs="Arial" w:eastAsia="Arial" w:hAnsi="Arial"/>
                <w:sz w:val="17"/>
                <w:szCs w:val="17"/>
                <w:color w:val="auto"/>
              </w:rPr>
              <w:t>242</w:t>
            </w:r>
          </w:p>
        </w:tc>
      </w:tr>
      <w:tr>
        <w:trPr>
          <w:trHeight w:val="20"/>
        </w:trPr>
        <w:tc>
          <w:tcPr>
            <w:tcW w:w="38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During the thirty-nine weeks ended October 29, 2022, we repurchased 4,050,000 shares of common stock for $129 million under our share repurchase programs, whereas in the prior year we spent $170 million to repurchase shares. We also declared and paid $113 million in dividends representing a quarterly rate of $0.40 per share in 2022, as compared with $72 million in dividends representing quarterly rates of $0.20 per share for the first two quarters of 2021 and $0.30 per share for the third quarter.</w:t>
      </w:r>
    </w:p>
    <w:p>
      <w:pPr>
        <w:spacing w:after="0" w:line="176"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We paid $ 1 million to satisfy tax withholding obligations relating to the vesting of share-based equity awards during the thirty-nine weeks ended October 29, 2022, as compared with $11 million in 2021. Offsetting this amount were proceeds received in connection with employee stock programs of $7 million in the current year, as compared with $17 million in the prior-year period. Additionally, we paid $5 million of principal on our finance lease obligations, mainly related to certain WSS stores.</w:t>
      </w:r>
    </w:p>
    <w:p>
      <w:pPr>
        <w:spacing w:after="0" w:line="1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Cash provided by financing activities in the prior-year period consisted primarily of the issuance of the 4% Notes due 2029, for which we received $395 million in proceeds, net of the initial purchasers’ discount.</w:t>
      </w:r>
    </w:p>
    <w:p>
      <w:pPr>
        <w:spacing w:after="0" w:line="370"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2022 Form 10-Q 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12"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There have been no significant changes to our critical accounting policies and estimates from the information provided in Item 7, “Management’s Discussion and Analysis of Financial Condition and Results of Operations,” included in the 2021 Form 10-K.</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1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 xml:space="preserve">Descriptions of the recently issued and adopted accounting principles are included in Item 1. “Financial Statements” in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Condensed Consolidated Financial Statements.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210"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During the quarter, the Company’s management performed an evaluation, under the supervision and with the participation of the Company’s Chief Executive Officer (“CEO”) and Chief Financial Officer (“CFO”), of the effectiveness of the design and operation of the Company’s disclosure controls and procedures (as that term is defined in Rules 13a-15(e) and 15d-15(e) under the Securities Exchange Act of 1934, as amended (the “Exchange Act”)). Based on that evaluation, the Company’s CEO and CFO concluded that the Company’s disclosure controls and procedures were effective to ensure that information relating to the Company that is required to be disclosed in the reports that we file or submit under the Exchange Act is recorded, processed, summarized and reported, within the time periods specified in the SEC rules and forms, and is accumulated and communicated to management, including the CEO and CFO, as appropriate to allow timely decisions regarding required disclosure.</w:t>
      </w:r>
    </w:p>
    <w:p>
      <w:pPr>
        <w:spacing w:after="0" w:line="180" w:lineRule="exact"/>
        <w:rPr>
          <w:sz w:val="20"/>
          <w:szCs w:val="20"/>
          <w:color w:val="auto"/>
        </w:rPr>
      </w:pPr>
    </w:p>
    <w:p>
      <w:pPr>
        <w:jc w:val="both"/>
        <w:ind w:left="60" w:right="79"/>
        <w:spacing w:after="0" w:line="247" w:lineRule="auto"/>
        <w:rPr>
          <w:sz w:val="20"/>
          <w:szCs w:val="20"/>
          <w:color w:val="auto"/>
        </w:rPr>
      </w:pPr>
      <w:r>
        <w:rPr>
          <w:rFonts w:ascii="Arial" w:cs="Arial" w:eastAsia="Arial" w:hAnsi="Arial"/>
          <w:sz w:val="18"/>
          <w:szCs w:val="18"/>
          <w:color w:val="auto"/>
        </w:rPr>
        <w:t>During the quarter ended October 29, 2022, there were no changes, other than process changes that may be necessary related to the newly acquired businesses, in the Company’s internal control over financial reporting (as defined in Rules 13a-15(f) of the Exchange Act), that materially affected or are reasonably likely to affect the Company’s internal control over financial reporting.</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 OTHER INFORMATION</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169"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 xml:space="preserve">Information regarding the Company’s legal proceedings is contained in the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note under Item 1. “Financial Statements” in Part I.</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16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In addition to the other information discussed in this report, the factors described in Part I, Item 1A. “Risk Factors” in our 2021 Annual Report on Form 10-K filed with the SEC on March 24, 2022 should be considered as they could materially affect our business, financial condition, or future results.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There have not been any significant changes with respect to the risks described in our 2021 Form 10-K.</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2022 Form 10-Q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210"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The table below provides information with respect to shares of the Company’s common stock for the thirteen weeks ended October 29, 2022.</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6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7"/>
                <w:szCs w:val="17"/>
                <w:b w:val="1"/>
                <w:bCs w:val="1"/>
                <w:color w:val="auto"/>
                <w:w w:val="99"/>
              </w:rPr>
              <w:t>Total Number of</w:t>
            </w:r>
          </w:p>
        </w:tc>
        <w:tc>
          <w:tcPr>
            <w:tcW w:w="2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7"/>
                <w:szCs w:val="17"/>
                <w:b w:val="1"/>
                <w:bCs w:val="1"/>
                <w:color w:val="auto"/>
                <w:w w:val="99"/>
              </w:rPr>
              <w:t>Dollar Value of</w:t>
            </w:r>
          </w:p>
        </w:tc>
      </w:tr>
      <w:tr>
        <w:trPr>
          <w:trHeight w:val="189"/>
        </w:trPr>
        <w:tc>
          <w:tcPr>
            <w:tcW w:w="2680" w:type="dxa"/>
            <w:vAlign w:val="bottom"/>
          </w:tcPr>
          <w:p>
            <w:pPr>
              <w:spacing w:after="0"/>
              <w:rPr>
                <w:sz w:val="16"/>
                <w:szCs w:val="16"/>
                <w:color w:val="auto"/>
              </w:rPr>
            </w:pPr>
          </w:p>
        </w:tc>
        <w:tc>
          <w:tcPr>
            <w:tcW w:w="1520" w:type="dxa"/>
            <w:vAlign w:val="bottom"/>
          </w:tcPr>
          <w:p>
            <w:pPr>
              <w:jc w:val="center"/>
              <w:ind w:left="155"/>
              <w:spacing w:after="0" w:line="189" w:lineRule="exact"/>
              <w:rPr>
                <w:sz w:val="20"/>
                <w:szCs w:val="20"/>
                <w:color w:val="auto"/>
              </w:rPr>
            </w:pPr>
            <w:r>
              <w:rPr>
                <w:rFonts w:ascii="Arial" w:cs="Arial" w:eastAsia="Arial" w:hAnsi="Arial"/>
                <w:sz w:val="17"/>
                <w:szCs w:val="17"/>
                <w:b w:val="1"/>
                <w:bCs w:val="1"/>
                <w:color w:val="auto"/>
                <w:w w:val="98"/>
              </w:rPr>
              <w:t>Total</w:t>
            </w:r>
          </w:p>
        </w:tc>
        <w:tc>
          <w:tcPr>
            <w:tcW w:w="220" w:type="dxa"/>
            <w:vAlign w:val="bottom"/>
          </w:tcPr>
          <w:p>
            <w:pPr>
              <w:spacing w:after="0"/>
              <w:rPr>
                <w:sz w:val="16"/>
                <w:szCs w:val="16"/>
                <w:color w:val="auto"/>
              </w:rPr>
            </w:pPr>
          </w:p>
        </w:tc>
        <w:tc>
          <w:tcPr>
            <w:tcW w:w="920" w:type="dxa"/>
            <w:vAlign w:val="bottom"/>
          </w:tcPr>
          <w:p>
            <w:pPr>
              <w:jc w:val="center"/>
              <w:ind w:right="35"/>
              <w:spacing w:after="0" w:line="189" w:lineRule="exact"/>
              <w:rPr>
                <w:sz w:val="20"/>
                <w:szCs w:val="20"/>
                <w:color w:val="auto"/>
              </w:rPr>
            </w:pPr>
            <w:r>
              <w:rPr>
                <w:rFonts w:ascii="Arial" w:cs="Arial" w:eastAsia="Arial" w:hAnsi="Arial"/>
                <w:sz w:val="17"/>
                <w:szCs w:val="17"/>
                <w:b w:val="1"/>
                <w:bCs w:val="1"/>
                <w:color w:val="auto"/>
              </w:rPr>
              <w:t>Average</w:t>
            </w:r>
          </w:p>
        </w:tc>
        <w:tc>
          <w:tcPr>
            <w:tcW w:w="19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Shares Purchased as</w:t>
            </w:r>
          </w:p>
        </w:tc>
        <w:tc>
          <w:tcPr>
            <w:tcW w:w="220" w:type="dxa"/>
            <w:vAlign w:val="bottom"/>
          </w:tcPr>
          <w:p>
            <w:pPr>
              <w:spacing w:after="0"/>
              <w:rPr>
                <w:sz w:val="16"/>
                <w:szCs w:val="16"/>
                <w:color w:val="auto"/>
              </w:rPr>
            </w:pPr>
          </w:p>
        </w:tc>
        <w:tc>
          <w:tcPr>
            <w:tcW w:w="14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Shares that may</w:t>
            </w:r>
          </w:p>
        </w:tc>
      </w:tr>
      <w:tr>
        <w:trPr>
          <w:trHeight w:val="189"/>
        </w:trPr>
        <w:tc>
          <w:tcPr>
            <w:tcW w:w="2680" w:type="dxa"/>
            <w:vAlign w:val="bottom"/>
          </w:tcPr>
          <w:p>
            <w:pPr>
              <w:spacing w:after="0"/>
              <w:rPr>
                <w:sz w:val="16"/>
                <w:szCs w:val="16"/>
                <w:color w:val="auto"/>
              </w:rPr>
            </w:pPr>
          </w:p>
        </w:tc>
        <w:tc>
          <w:tcPr>
            <w:tcW w:w="1520" w:type="dxa"/>
            <w:vAlign w:val="bottom"/>
          </w:tcPr>
          <w:p>
            <w:pPr>
              <w:jc w:val="center"/>
              <w:ind w:left="155"/>
              <w:spacing w:after="0" w:line="189" w:lineRule="exact"/>
              <w:rPr>
                <w:sz w:val="20"/>
                <w:szCs w:val="20"/>
                <w:color w:val="auto"/>
              </w:rPr>
            </w:pPr>
            <w:r>
              <w:rPr>
                <w:rFonts w:ascii="Arial" w:cs="Arial" w:eastAsia="Arial" w:hAnsi="Arial"/>
                <w:sz w:val="17"/>
                <w:szCs w:val="17"/>
                <w:b w:val="1"/>
                <w:bCs w:val="1"/>
                <w:color w:val="auto"/>
                <w:w w:val="99"/>
              </w:rPr>
              <w:t>Number</w:t>
            </w:r>
          </w:p>
        </w:tc>
        <w:tc>
          <w:tcPr>
            <w:tcW w:w="220" w:type="dxa"/>
            <w:vAlign w:val="bottom"/>
          </w:tcPr>
          <w:p>
            <w:pPr>
              <w:spacing w:after="0"/>
              <w:rPr>
                <w:sz w:val="16"/>
                <w:szCs w:val="16"/>
                <w:color w:val="auto"/>
              </w:rPr>
            </w:pPr>
          </w:p>
        </w:tc>
        <w:tc>
          <w:tcPr>
            <w:tcW w:w="920" w:type="dxa"/>
            <w:vAlign w:val="bottom"/>
          </w:tcPr>
          <w:p>
            <w:pPr>
              <w:jc w:val="center"/>
              <w:ind w:right="55"/>
              <w:spacing w:after="0" w:line="189" w:lineRule="exact"/>
              <w:rPr>
                <w:sz w:val="20"/>
                <w:szCs w:val="20"/>
                <w:color w:val="auto"/>
              </w:rPr>
            </w:pPr>
            <w:r>
              <w:rPr>
                <w:rFonts w:ascii="Arial" w:cs="Arial" w:eastAsia="Arial" w:hAnsi="Arial"/>
                <w:sz w:val="17"/>
                <w:szCs w:val="17"/>
                <w:b w:val="1"/>
                <w:bCs w:val="1"/>
                <w:color w:val="auto"/>
              </w:rPr>
              <w:t>Price</w:t>
            </w:r>
          </w:p>
        </w:tc>
        <w:tc>
          <w:tcPr>
            <w:tcW w:w="19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Part of Publicly</w:t>
            </w:r>
          </w:p>
        </w:tc>
        <w:tc>
          <w:tcPr>
            <w:tcW w:w="220" w:type="dxa"/>
            <w:vAlign w:val="bottom"/>
          </w:tcPr>
          <w:p>
            <w:pPr>
              <w:spacing w:after="0"/>
              <w:rPr>
                <w:sz w:val="16"/>
                <w:szCs w:val="16"/>
                <w:color w:val="auto"/>
              </w:rPr>
            </w:pPr>
          </w:p>
        </w:tc>
        <w:tc>
          <w:tcPr>
            <w:tcW w:w="14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yet be Purchased</w:t>
            </w:r>
          </w:p>
        </w:tc>
      </w:tr>
      <w:tr>
        <w:trPr>
          <w:trHeight w:val="189"/>
        </w:trPr>
        <w:tc>
          <w:tcPr>
            <w:tcW w:w="2680" w:type="dxa"/>
            <w:vAlign w:val="bottom"/>
          </w:tcPr>
          <w:p>
            <w:pPr>
              <w:spacing w:after="0"/>
              <w:rPr>
                <w:sz w:val="16"/>
                <w:szCs w:val="16"/>
                <w:color w:val="auto"/>
              </w:rPr>
            </w:pPr>
          </w:p>
        </w:tc>
        <w:tc>
          <w:tcPr>
            <w:tcW w:w="1520" w:type="dxa"/>
            <w:vAlign w:val="bottom"/>
          </w:tcPr>
          <w:p>
            <w:pPr>
              <w:jc w:val="center"/>
              <w:ind w:left="175"/>
              <w:spacing w:after="0" w:line="189" w:lineRule="exact"/>
              <w:rPr>
                <w:sz w:val="20"/>
                <w:szCs w:val="20"/>
                <w:color w:val="auto"/>
              </w:rPr>
            </w:pPr>
            <w:r>
              <w:rPr>
                <w:rFonts w:ascii="Arial" w:cs="Arial" w:eastAsia="Arial" w:hAnsi="Arial"/>
                <w:sz w:val="17"/>
                <w:szCs w:val="17"/>
                <w:b w:val="1"/>
                <w:bCs w:val="1"/>
                <w:color w:val="auto"/>
              </w:rPr>
              <w:t>of Shares</w:t>
            </w:r>
          </w:p>
        </w:tc>
        <w:tc>
          <w:tcPr>
            <w:tcW w:w="220" w:type="dxa"/>
            <w:vAlign w:val="bottom"/>
          </w:tcPr>
          <w:p>
            <w:pPr>
              <w:spacing w:after="0"/>
              <w:rPr>
                <w:sz w:val="16"/>
                <w:szCs w:val="16"/>
                <w:color w:val="auto"/>
              </w:rPr>
            </w:pPr>
          </w:p>
        </w:tc>
        <w:tc>
          <w:tcPr>
            <w:tcW w:w="920" w:type="dxa"/>
            <w:vAlign w:val="bottom"/>
          </w:tcPr>
          <w:p>
            <w:pPr>
              <w:jc w:val="center"/>
              <w:ind w:right="35"/>
              <w:spacing w:after="0" w:line="189" w:lineRule="exact"/>
              <w:rPr>
                <w:sz w:val="20"/>
                <w:szCs w:val="20"/>
                <w:color w:val="auto"/>
              </w:rPr>
            </w:pPr>
            <w:r>
              <w:rPr>
                <w:rFonts w:ascii="Arial" w:cs="Arial" w:eastAsia="Arial" w:hAnsi="Arial"/>
                <w:sz w:val="17"/>
                <w:szCs w:val="17"/>
                <w:b w:val="1"/>
                <w:bCs w:val="1"/>
                <w:color w:val="auto"/>
                <w:w w:val="99"/>
              </w:rPr>
              <w:t>Paid Per</w:t>
            </w:r>
          </w:p>
        </w:tc>
        <w:tc>
          <w:tcPr>
            <w:tcW w:w="19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Announced</w:t>
            </w:r>
          </w:p>
        </w:tc>
        <w:tc>
          <w:tcPr>
            <w:tcW w:w="220" w:type="dxa"/>
            <w:vAlign w:val="bottom"/>
          </w:tcPr>
          <w:p>
            <w:pPr>
              <w:spacing w:after="0"/>
              <w:rPr>
                <w:sz w:val="16"/>
                <w:szCs w:val="16"/>
                <w:color w:val="auto"/>
              </w:rPr>
            </w:pPr>
          </w:p>
        </w:tc>
        <w:tc>
          <w:tcPr>
            <w:tcW w:w="14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Under the</w:t>
            </w:r>
          </w:p>
        </w:tc>
      </w:tr>
      <w:tr>
        <w:trPr>
          <w:trHeight w:val="211"/>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Date Purchased</w:t>
            </w:r>
          </w:p>
        </w:tc>
        <w:tc>
          <w:tcPr>
            <w:tcW w:w="1520" w:type="dxa"/>
            <w:vAlign w:val="bottom"/>
            <w:tcBorders>
              <w:bottom w:val="single" w:sz="8" w:color="auto"/>
            </w:tcBorders>
          </w:tcPr>
          <w:p>
            <w:pPr>
              <w:jc w:val="center"/>
              <w:ind w:left="155"/>
              <w:spacing w:after="0" w:line="211" w:lineRule="exact"/>
              <w:rPr>
                <w:sz w:val="20"/>
                <w:szCs w:val="20"/>
                <w:color w:val="auto"/>
              </w:rPr>
            </w:pPr>
            <w:r>
              <w:rPr>
                <w:rFonts w:ascii="Arial" w:cs="Arial" w:eastAsia="Arial" w:hAnsi="Arial"/>
                <w:sz w:val="16"/>
                <w:szCs w:val="16"/>
                <w:b w:val="1"/>
                <w:bCs w:val="1"/>
                <w:color w:val="auto"/>
              </w:rPr>
              <w:t xml:space="preserve">Purchased </w:t>
            </w:r>
            <w:r>
              <w:rPr>
                <w:rFonts w:ascii="Arial" w:cs="Arial" w:eastAsia="Arial" w:hAnsi="Arial"/>
                <w:sz w:val="24"/>
                <w:szCs w:val="24"/>
                <w:color w:val="auto"/>
                <w:vertAlign w:val="superscript"/>
              </w:rPr>
              <w:t>(1)</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75"/>
              <w:spacing w:after="0" w:line="211" w:lineRule="exact"/>
              <w:rPr>
                <w:sz w:val="20"/>
                <w:szCs w:val="20"/>
                <w:color w:val="auto"/>
              </w:rPr>
            </w:pPr>
            <w:r>
              <w:rPr>
                <w:rFonts w:ascii="Arial" w:cs="Arial" w:eastAsia="Arial" w:hAnsi="Arial"/>
                <w:sz w:val="16"/>
                <w:szCs w:val="16"/>
                <w:b w:val="1"/>
                <w:bCs w:val="1"/>
                <w:color w:val="auto"/>
                <w:w w:val="99"/>
              </w:rPr>
              <w:t xml:space="preserve">Share </w:t>
            </w:r>
            <w:r>
              <w:rPr>
                <w:rFonts w:ascii="Arial" w:cs="Arial" w:eastAsia="Arial" w:hAnsi="Arial"/>
                <w:sz w:val="24"/>
                <w:szCs w:val="24"/>
                <w:color w:val="auto"/>
                <w:w w:val="99"/>
                <w:vertAlign w:val="superscript"/>
              </w:rPr>
              <w:t>(1)</w:t>
            </w:r>
          </w:p>
        </w:tc>
        <w:tc>
          <w:tcPr>
            <w:tcW w:w="1920" w:type="dxa"/>
            <w:vAlign w:val="bottom"/>
            <w:tcBorders>
              <w:bottom w:val="single" w:sz="8" w:color="auto"/>
            </w:tcBorders>
          </w:tcPr>
          <w:p>
            <w:pPr>
              <w:jc w:val="center"/>
              <w:spacing w:after="0" w:line="211" w:lineRule="exact"/>
              <w:rPr>
                <w:sz w:val="20"/>
                <w:szCs w:val="20"/>
                <w:color w:val="auto"/>
              </w:rPr>
            </w:pPr>
            <w:r>
              <w:rPr>
                <w:rFonts w:ascii="Arial" w:cs="Arial" w:eastAsia="Arial" w:hAnsi="Arial"/>
                <w:sz w:val="16"/>
                <w:szCs w:val="16"/>
                <w:b w:val="1"/>
                <w:bCs w:val="1"/>
                <w:color w:val="auto"/>
              </w:rPr>
              <w:t xml:space="preserve">Program </w:t>
            </w:r>
            <w:r>
              <w:rPr>
                <w:rFonts w:ascii="Arial" w:cs="Arial" w:eastAsia="Arial" w:hAnsi="Arial"/>
                <w:sz w:val="24"/>
                <w:szCs w:val="24"/>
                <w:color w:val="auto"/>
                <w:vertAlign w:val="superscript"/>
              </w:rPr>
              <w:t>(2)</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spacing w:after="0" w:line="211" w:lineRule="exact"/>
              <w:rPr>
                <w:sz w:val="20"/>
                <w:szCs w:val="20"/>
                <w:color w:val="auto"/>
              </w:rPr>
            </w:pPr>
            <w:r>
              <w:rPr>
                <w:rFonts w:ascii="Arial" w:cs="Arial" w:eastAsia="Arial" w:hAnsi="Arial"/>
                <w:sz w:val="16"/>
                <w:szCs w:val="16"/>
                <w:b w:val="1"/>
                <w:bCs w:val="1"/>
                <w:color w:val="auto"/>
              </w:rPr>
              <w:t xml:space="preserve">Program </w:t>
            </w:r>
            <w:r>
              <w:rPr>
                <w:rFonts w:ascii="Arial" w:cs="Arial" w:eastAsia="Arial" w:hAnsi="Arial"/>
                <w:sz w:val="24"/>
                <w:szCs w:val="24"/>
                <w:color w:val="auto"/>
                <w:vertAlign w:val="superscript"/>
              </w:rPr>
              <w:t>(2)</w:t>
            </w:r>
          </w:p>
        </w:tc>
      </w:tr>
      <w:tr>
        <w:trPr>
          <w:trHeight w:val="183"/>
        </w:trPr>
        <w:tc>
          <w:tcPr>
            <w:tcW w:w="268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July 31 to August 27, 2022</w:t>
            </w:r>
          </w:p>
        </w:tc>
        <w:tc>
          <w:tcPr>
            <w:tcW w:w="152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920" w:type="dxa"/>
            <w:vAlign w:val="bottom"/>
            <w:shd w:val="clear" w:color="auto" w:fill="CCEEFF"/>
          </w:tcPr>
          <w:p>
            <w:pPr>
              <w:ind w:left="1600"/>
              <w:spacing w:after="0" w:line="183"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1,103,814,042</w:t>
            </w:r>
          </w:p>
        </w:tc>
      </w:tr>
      <w:tr>
        <w:trPr>
          <w:trHeight w:val="189"/>
        </w:trPr>
        <w:tc>
          <w:tcPr>
            <w:tcW w:w="2680" w:type="dxa"/>
            <w:vAlign w:val="bottom"/>
          </w:tcPr>
          <w:p>
            <w:pPr>
              <w:ind w:left="20"/>
              <w:spacing w:after="0" w:line="189" w:lineRule="exact"/>
              <w:rPr>
                <w:sz w:val="20"/>
                <w:szCs w:val="20"/>
                <w:color w:val="auto"/>
              </w:rPr>
            </w:pPr>
            <w:r>
              <w:rPr>
                <w:rFonts w:ascii="Arial" w:cs="Arial" w:eastAsia="Arial" w:hAnsi="Arial"/>
                <w:sz w:val="17"/>
                <w:szCs w:val="17"/>
                <w:color w:val="auto"/>
              </w:rPr>
              <w:t>August 28 to October 1, 2022</w:t>
            </w:r>
          </w:p>
        </w:tc>
        <w:tc>
          <w:tcPr>
            <w:tcW w:w="1520" w:type="dxa"/>
            <w:vAlign w:val="bottom"/>
          </w:tcPr>
          <w:p>
            <w:pPr>
              <w:jc w:val="right"/>
              <w:ind w:right="75"/>
              <w:spacing w:after="0" w:line="189" w:lineRule="exact"/>
              <w:rPr>
                <w:sz w:val="20"/>
                <w:szCs w:val="20"/>
                <w:color w:val="auto"/>
              </w:rPr>
            </w:pPr>
            <w:r>
              <w:rPr>
                <w:rFonts w:ascii="Arial" w:cs="Arial" w:eastAsia="Arial" w:hAnsi="Arial"/>
                <w:sz w:val="17"/>
                <w:szCs w:val="17"/>
                <w:color w:val="auto"/>
              </w:rPr>
              <w:t>786</w:t>
            </w:r>
          </w:p>
        </w:tc>
        <w:tc>
          <w:tcPr>
            <w:tcW w:w="22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34.46</w:t>
            </w:r>
          </w:p>
        </w:tc>
        <w:tc>
          <w:tcPr>
            <w:tcW w:w="1920" w:type="dxa"/>
            <w:vAlign w:val="bottom"/>
          </w:tcPr>
          <w:p>
            <w:pPr>
              <w:ind w:left="1600"/>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7"/>
                <w:szCs w:val="17"/>
                <w:color w:val="auto"/>
              </w:rPr>
              <w:t>1,103,814,042</w:t>
            </w:r>
          </w:p>
        </w:tc>
      </w:tr>
      <w:tr>
        <w:trPr>
          <w:trHeight w:val="189"/>
        </w:trPr>
        <w:tc>
          <w:tcPr>
            <w:tcW w:w="268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October 2 to October 29, 2022</w:t>
            </w:r>
          </w:p>
        </w:tc>
        <w:tc>
          <w:tcPr>
            <w:tcW w:w="152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920" w:type="dxa"/>
            <w:vAlign w:val="bottom"/>
            <w:tcBorders>
              <w:bottom w:val="single" w:sz="8" w:color="auto"/>
            </w:tcBorders>
            <w:shd w:val="clear" w:color="auto" w:fill="CCEEFF"/>
          </w:tcPr>
          <w:p>
            <w:pPr>
              <w:ind w:left="1600"/>
              <w:spacing w:after="0" w:line="189" w:lineRule="exact"/>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1,103,814,042</w:t>
            </w:r>
          </w:p>
        </w:tc>
      </w:tr>
      <w:tr>
        <w:trPr>
          <w:trHeight w:val="183"/>
        </w:trPr>
        <w:tc>
          <w:tcPr>
            <w:tcW w:w="26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786</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34.46</w:t>
            </w:r>
          </w:p>
        </w:tc>
        <w:tc>
          <w:tcPr>
            <w:tcW w:w="1920" w:type="dxa"/>
            <w:vAlign w:val="bottom"/>
            <w:tcBorders>
              <w:bottom w:val="single" w:sz="8" w:color="auto"/>
            </w:tcBorders>
          </w:tcPr>
          <w:p>
            <w:pPr>
              <w:ind w:left="1600"/>
              <w:spacing w:after="0" w:line="183" w:lineRule="exact"/>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r>
    </w:tbl>
    <w:p>
      <w:pPr>
        <w:spacing w:after="0" w:line="99" w:lineRule="exact"/>
        <w:rPr>
          <w:sz w:val="20"/>
          <w:szCs w:val="20"/>
          <w:color w:val="auto"/>
        </w:rPr>
      </w:pPr>
    </w:p>
    <w:p>
      <w:pPr>
        <w:jc w:val="both"/>
        <w:ind w:left="380" w:right="79" w:hanging="330"/>
        <w:spacing w:after="0" w:line="263" w:lineRule="auto"/>
        <w:tabs>
          <w:tab w:leader="none" w:pos="3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These columns include shares acquired in satisfaction of the tax withholding obligations of holders of restricted stock unit awards, which vested during the quarter. The calculation of the average price paid per share includes all fees, commissions, and other costs associated with the repurchase of such shares.</w:t>
      </w:r>
    </w:p>
    <w:p>
      <w:pPr>
        <w:spacing w:after="0" w:line="64" w:lineRule="exact"/>
        <w:rPr>
          <w:rFonts w:ascii="Arial" w:cs="Arial" w:eastAsia="Arial" w:hAnsi="Arial"/>
          <w:sz w:val="14"/>
          <w:szCs w:val="14"/>
          <w:color w:val="auto"/>
        </w:rPr>
      </w:pPr>
    </w:p>
    <w:p>
      <w:pPr>
        <w:ind w:left="380" w:right="79" w:hanging="330"/>
        <w:spacing w:after="0" w:line="285" w:lineRule="auto"/>
        <w:tabs>
          <w:tab w:leader="none" w:pos="3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On February 24, 2022, the Board of Directors approved a new $1.2 billion share repurchase program. The new program does not have an expiration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2022 Form 10-Q 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Item 6. Exhibits</w:t>
      </w:r>
    </w:p>
    <w:p>
      <w:pPr>
        <w:sectPr>
          <w:pgSz w:w="11900" w:h="16838" w:orient="portrait"/>
          <w:cols w:equalWidth="0" w:num="1">
            <w:col w:w="9019"/>
          </w:cols>
          <w:pgMar w:left="1440" w:top="513" w:right="1440" w:bottom="1440" w:gutter="0" w:footer="0" w:header="0"/>
        </w:sectPr>
      </w:pPr>
    </w:p>
    <w:p>
      <w:pPr>
        <w:spacing w:after="0" w:line="208" w:lineRule="exact"/>
        <w:rPr>
          <w:sz w:val="20"/>
          <w:szCs w:val="20"/>
          <w:color w:val="auto"/>
        </w:rPr>
      </w:pPr>
    </w:p>
    <w:p>
      <w:pPr>
        <w:jc w:val="center"/>
        <w:ind w:left="60"/>
        <w:spacing w:after="0"/>
        <w:rPr>
          <w:sz w:val="20"/>
          <w:szCs w:val="20"/>
          <w:color w:val="auto"/>
        </w:rPr>
      </w:pPr>
      <w:r>
        <w:rPr>
          <w:rFonts w:ascii="Arial" w:cs="Arial" w:eastAsia="Arial" w:hAnsi="Arial"/>
          <w:sz w:val="17"/>
          <w:szCs w:val="17"/>
          <w:b w:val="1"/>
          <w:bCs w:val="1"/>
          <w:u w:val="single" w:color="auto"/>
          <w:color w:val="auto"/>
        </w:rPr>
        <w:t>Exhibit No.</w:t>
      </w:r>
    </w:p>
    <w:p>
      <w:pPr>
        <w:spacing w:after="0" w:line="39"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15*</w:t>
      </w:r>
    </w:p>
    <w:p>
      <w:pPr>
        <w:spacing w:after="0" w:line="7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31.1*</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31.2*</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32**</w:t>
      </w:r>
    </w:p>
    <w:p>
      <w:pPr>
        <w:spacing w:after="0" w:line="104"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99*</w:t>
      </w:r>
    </w:p>
    <w:p>
      <w:pPr>
        <w:spacing w:after="0" w:line="9"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101.INS*</w:t>
      </w:r>
    </w:p>
    <w:p>
      <w:pPr>
        <w:jc w:val="center"/>
        <w:ind w:left="60"/>
        <w:spacing w:after="0" w:line="234" w:lineRule="auto"/>
        <w:rPr>
          <w:sz w:val="20"/>
          <w:szCs w:val="20"/>
          <w:color w:val="auto"/>
        </w:rPr>
      </w:pPr>
      <w:r>
        <w:rPr>
          <w:rFonts w:ascii="Arial" w:cs="Arial" w:eastAsia="Arial" w:hAnsi="Arial"/>
          <w:sz w:val="18"/>
          <w:szCs w:val="18"/>
          <w:color w:val="auto"/>
        </w:rPr>
        <w:t>101.SCH*</w:t>
      </w:r>
    </w:p>
    <w:p>
      <w:pPr>
        <w:jc w:val="center"/>
        <w:ind w:left="60"/>
        <w:spacing w:after="0" w:line="235" w:lineRule="auto"/>
        <w:rPr>
          <w:sz w:val="20"/>
          <w:szCs w:val="20"/>
          <w:color w:val="auto"/>
        </w:rPr>
      </w:pPr>
      <w:r>
        <w:rPr>
          <w:rFonts w:ascii="Arial" w:cs="Arial" w:eastAsia="Arial" w:hAnsi="Arial"/>
          <w:sz w:val="18"/>
          <w:szCs w:val="18"/>
          <w:color w:val="auto"/>
        </w:rPr>
        <w:t>101.CAL*</w:t>
      </w:r>
    </w:p>
    <w:p>
      <w:pPr>
        <w:jc w:val="center"/>
        <w:ind w:left="60"/>
        <w:spacing w:after="0" w:line="235" w:lineRule="auto"/>
        <w:rPr>
          <w:sz w:val="20"/>
          <w:szCs w:val="20"/>
          <w:color w:val="auto"/>
        </w:rPr>
      </w:pPr>
      <w:r>
        <w:rPr>
          <w:rFonts w:ascii="Arial" w:cs="Arial" w:eastAsia="Arial" w:hAnsi="Arial"/>
          <w:sz w:val="18"/>
          <w:szCs w:val="18"/>
          <w:color w:val="auto"/>
        </w:rPr>
        <w:t>101.DEF*</w:t>
      </w:r>
    </w:p>
    <w:p>
      <w:pPr>
        <w:jc w:val="center"/>
        <w:ind w:left="60"/>
        <w:spacing w:after="0" w:line="235" w:lineRule="auto"/>
        <w:rPr>
          <w:sz w:val="20"/>
          <w:szCs w:val="20"/>
          <w:color w:val="auto"/>
        </w:rPr>
      </w:pPr>
      <w:r>
        <w:rPr>
          <w:rFonts w:ascii="Arial" w:cs="Arial" w:eastAsia="Arial" w:hAnsi="Arial"/>
          <w:sz w:val="18"/>
          <w:szCs w:val="18"/>
          <w:color w:val="auto"/>
        </w:rPr>
        <w:t>101.LAB*</w:t>
      </w:r>
    </w:p>
    <w:p>
      <w:pPr>
        <w:jc w:val="center"/>
        <w:ind w:left="60"/>
        <w:spacing w:after="0" w:line="235" w:lineRule="auto"/>
        <w:rPr>
          <w:sz w:val="20"/>
          <w:szCs w:val="20"/>
          <w:color w:val="auto"/>
        </w:rPr>
      </w:pPr>
      <w:r>
        <w:rPr>
          <w:rFonts w:ascii="Arial" w:cs="Arial" w:eastAsia="Arial" w:hAnsi="Arial"/>
          <w:sz w:val="18"/>
          <w:szCs w:val="18"/>
          <w:color w:val="auto"/>
        </w:rPr>
        <w:t>101.PRE*</w:t>
      </w:r>
    </w:p>
    <w:p>
      <w:pPr>
        <w:jc w:val="center"/>
        <w:ind w:left="6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-1905</wp:posOffset>
            </wp:positionV>
            <wp:extent cx="6000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8890</wp:posOffset>
            </wp:positionV>
            <wp:extent cx="564896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Accountants’ Acknowledgement.</w:t>
      </w:r>
    </w:p>
    <w:p>
      <w:pPr>
        <w:ind w:right="79"/>
        <w:spacing w:after="0" w:line="234" w:lineRule="auto"/>
        <w:rPr>
          <w:sz w:val="20"/>
          <w:szCs w:val="20"/>
          <w:color w:val="auto"/>
        </w:rPr>
      </w:pPr>
      <w:r>
        <w:rPr>
          <w:rFonts w:ascii="Arial" w:cs="Arial" w:eastAsia="Arial" w:hAnsi="Arial"/>
          <w:sz w:val="18"/>
          <w:szCs w:val="18"/>
          <w:u w:val="single" w:color="auto"/>
          <w:color w:val="0000EE"/>
        </w:rPr>
        <w:t>Certification of Chief Executive Officer Pursuant to Rule 13a-14(a) or 15d-14(a), as adopted pursuant to Section 302 of the Sarbanes-Oxley Act of 2002.</w:t>
      </w:r>
    </w:p>
    <w:p>
      <w:pPr>
        <w:spacing w:after="0" w:line="1" w:lineRule="exact"/>
        <w:rPr>
          <w:sz w:val="20"/>
          <w:szCs w:val="20"/>
          <w:color w:val="auto"/>
        </w:rPr>
      </w:pPr>
    </w:p>
    <w:p>
      <w:pPr>
        <w:ind w:right="79"/>
        <w:spacing w:after="0" w:line="234" w:lineRule="auto"/>
        <w:rPr>
          <w:sz w:val="20"/>
          <w:szCs w:val="20"/>
          <w:color w:val="auto"/>
        </w:rPr>
      </w:pPr>
      <w:r>
        <w:rPr>
          <w:rFonts w:ascii="Arial" w:cs="Arial" w:eastAsia="Arial" w:hAnsi="Arial"/>
          <w:sz w:val="18"/>
          <w:szCs w:val="18"/>
          <w:u w:val="single" w:color="auto"/>
          <w:color w:val="0000EE"/>
        </w:rPr>
        <w:t>Certification of Chief Financial Officer Pursuant to Rule 13a-14(a) or 15d-14(a),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-255270</wp:posOffset>
            </wp:positionV>
            <wp:extent cx="5648960" cy="2571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48960" cy="257175"/>
                    </a:xfrm>
                    <a:prstGeom prst="rect">
                      <a:avLst/>
                    </a:prstGeom>
                    <a:noFill/>
                  </pic:spPr>
                </pic:pic>
              </a:graphicData>
            </a:graphic>
          </wp:anchor>
        </w:drawing>
      </w:r>
    </w:p>
    <w:p>
      <w:pPr>
        <w:spacing w:after="0" w:line="236" w:lineRule="auto"/>
        <w:rPr>
          <w:sz w:val="20"/>
          <w:szCs w:val="20"/>
          <w:color w:val="auto"/>
        </w:rPr>
      </w:pPr>
      <w:r>
        <w:rPr>
          <w:rFonts w:ascii="Arial" w:cs="Arial" w:eastAsia="Arial" w:hAnsi="Arial"/>
          <w:sz w:val="18"/>
          <w:szCs w:val="18"/>
          <w:u w:val="single" w:color="auto"/>
          <w:color w:val="0000EE"/>
        </w:rPr>
        <w:t>Certification of Chief Executive Officer and Chief Financial Officer Pursuant to 18 U.S.C.</w:t>
      </w:r>
    </w:p>
    <w:p>
      <w:pPr>
        <w:spacing w:after="0" w:line="235" w:lineRule="auto"/>
        <w:rPr>
          <w:sz w:val="20"/>
          <w:szCs w:val="20"/>
          <w:color w:val="auto"/>
        </w:rPr>
      </w:pPr>
      <w:r>
        <w:rPr>
          <w:rFonts w:ascii="Arial" w:cs="Arial" w:eastAsia="Arial" w:hAnsi="Arial"/>
          <w:sz w:val="18"/>
          <w:szCs w:val="18"/>
          <w:u w:val="single" w:color="auto"/>
          <w:color w:val="0000EE"/>
        </w:rPr>
        <w:t>Section 1350, as adopted pursuant to Section 906 of the Sarbanes-Oxley Act of 2002.</w:t>
      </w:r>
    </w:p>
    <w:p>
      <w:pPr>
        <w:spacing w:after="0" w:line="235" w:lineRule="auto"/>
        <w:rPr>
          <w:sz w:val="20"/>
          <w:szCs w:val="20"/>
          <w:color w:val="auto"/>
        </w:rPr>
      </w:pPr>
      <w:r>
        <w:rPr>
          <w:rFonts w:ascii="Arial" w:cs="Arial" w:eastAsia="Arial" w:hAnsi="Arial"/>
          <w:sz w:val="18"/>
          <w:szCs w:val="18"/>
          <w:u w:val="single" w:color="auto"/>
          <w:color w:val="0000EE"/>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-127635</wp:posOffset>
            </wp:positionV>
            <wp:extent cx="5648960" cy="1289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8"/>
          <w:szCs w:val="18"/>
          <w:color w:val="auto"/>
        </w:rPr>
        <w:t>Inline XBRL Instance Document.</w:t>
      </w:r>
    </w:p>
    <w:p>
      <w:pPr>
        <w:spacing w:after="0" w:line="235" w:lineRule="auto"/>
        <w:rPr>
          <w:sz w:val="20"/>
          <w:szCs w:val="20"/>
          <w:color w:val="auto"/>
        </w:rPr>
      </w:pPr>
      <w:r>
        <w:rPr>
          <w:rFonts w:ascii="Arial" w:cs="Arial" w:eastAsia="Arial" w:hAnsi="Arial"/>
          <w:sz w:val="18"/>
          <w:szCs w:val="18"/>
          <w:color w:val="auto"/>
        </w:rPr>
        <w:t>Inline XBRL Taxonomy Extension Schema.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-127000</wp:posOffset>
            </wp:positionV>
            <wp:extent cx="5648960"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Inline XBRL Taxonomy Extension Calculation Linkbase.</w:t>
      </w:r>
    </w:p>
    <w:p>
      <w:pPr>
        <w:spacing w:after="0" w:line="235" w:lineRule="auto"/>
        <w:rPr>
          <w:sz w:val="20"/>
          <w:szCs w:val="20"/>
          <w:color w:val="auto"/>
        </w:rPr>
      </w:pPr>
      <w:r>
        <w:rPr>
          <w:rFonts w:ascii="Arial" w:cs="Arial" w:eastAsia="Arial" w:hAnsi="Arial"/>
          <w:sz w:val="18"/>
          <w:szCs w:val="18"/>
          <w:color w:val="auto"/>
        </w:rPr>
        <w:t>Inline XBRL Taxonomy Extension Definition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-127000</wp:posOffset>
            </wp:positionV>
            <wp:extent cx="5648960" cy="128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Inline XBRL Taxonomy Extension Label Linkbase.</w:t>
      </w:r>
    </w:p>
    <w:p>
      <w:pPr>
        <w:spacing w:after="0" w:line="234" w:lineRule="auto"/>
        <w:rPr>
          <w:sz w:val="20"/>
          <w:szCs w:val="20"/>
          <w:color w:val="auto"/>
        </w:rPr>
      </w:pPr>
      <w:r>
        <w:rPr>
          <w:rFonts w:ascii="Arial" w:cs="Arial" w:eastAsia="Arial" w:hAnsi="Arial"/>
          <w:sz w:val="18"/>
          <w:szCs w:val="18"/>
          <w:color w:val="auto"/>
        </w:rPr>
        <w:t>Inline XBRL Taxonomy Extension Presentation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-127000</wp:posOffset>
            </wp:positionV>
            <wp:extent cx="5648960"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Cover Page Interactive Data File (embedded within the Inline XBRL datafile).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-1905</wp:posOffset>
            </wp:positionV>
            <wp:extent cx="49206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9206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00" w:space="200"/>
            <w:col w:w="7819"/>
          </w:cols>
          <w:pgMar w:left="1440" w:top="513" w:right="1440" w:bottom="1440" w:gutter="0" w:footer="0" w:header="0"/>
          <w:type w:val="continuous"/>
        </w:sectPr>
      </w:pPr>
    </w:p>
    <w:p>
      <w:pPr>
        <w:spacing w:after="0" w:line="3" w:lineRule="exact"/>
        <w:rPr>
          <w:sz w:val="20"/>
          <w:szCs w:val="20"/>
          <w:color w:val="auto"/>
        </w:rPr>
      </w:pPr>
    </w:p>
    <w:p>
      <w:pPr>
        <w:ind w:left="260" w:hanging="210"/>
        <w:spacing w:after="0"/>
        <w:tabs>
          <w:tab w:leader="none" w:pos="2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5" w:lineRule="exact"/>
        <w:rPr>
          <w:sz w:val="20"/>
          <w:szCs w:val="20"/>
          <w:color w:val="auto"/>
        </w:rPr>
      </w:pPr>
    </w:p>
    <w:p>
      <w:pPr>
        <w:ind w:left="60"/>
        <w:spacing w:after="0"/>
        <w:tabs>
          <w:tab w:leader="none" w:pos="260" w:val="left"/>
        </w:tabs>
        <w:rPr>
          <w:sz w:val="20"/>
          <w:szCs w:val="20"/>
          <w:color w:val="auto"/>
        </w:rPr>
      </w:pPr>
      <w:r>
        <w:rPr>
          <w:rFonts w:ascii="Arial" w:cs="Arial" w:eastAsia="Arial" w:hAnsi="Arial"/>
          <w:sz w:val="14"/>
          <w:szCs w:val="14"/>
          <w:color w:val="auto"/>
        </w:rPr>
        <w:t>**</w:t>
        <w:tab/>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2022 Form 10-Q 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12"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thereunto duly authorized.</w:t>
      </w:r>
    </w:p>
    <w:p>
      <w:pPr>
        <w:spacing w:after="0" w:line="164" w:lineRule="exact"/>
        <w:rPr>
          <w:sz w:val="20"/>
          <w:szCs w:val="20"/>
          <w:color w:val="auto"/>
        </w:rPr>
      </w:pPr>
    </w:p>
    <w:p>
      <w:pPr>
        <w:ind w:left="60"/>
        <w:spacing w:after="0"/>
        <w:tabs>
          <w:tab w:leader="none" w:pos="4500" w:val="left"/>
        </w:tabs>
        <w:rPr>
          <w:sz w:val="20"/>
          <w:szCs w:val="20"/>
          <w:color w:val="auto"/>
        </w:rPr>
      </w:pPr>
      <w:r>
        <w:rPr>
          <w:rFonts w:ascii="Arial" w:cs="Arial" w:eastAsia="Arial" w:hAnsi="Arial"/>
          <w:sz w:val="17"/>
          <w:szCs w:val="17"/>
          <w:color w:val="auto"/>
        </w:rPr>
        <w:t>Date: December 7, 2022</w:t>
      </w:r>
      <w:r>
        <w:rPr>
          <w:sz w:val="20"/>
          <w:szCs w:val="20"/>
          <w:color w:val="auto"/>
        </w:rPr>
        <w:tab/>
      </w:r>
      <w:r>
        <w:rPr>
          <w:rFonts w:ascii="Arial" w:cs="Arial" w:eastAsia="Arial" w:hAnsi="Arial"/>
          <w:sz w:val="17"/>
          <w:szCs w:val="17"/>
          <w:color w:val="auto"/>
        </w:rPr>
        <w:t>FOOT LOCKER, INC.</w:t>
      </w:r>
    </w:p>
    <w:p>
      <w:pPr>
        <w:spacing w:after="0" w:line="372"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 Andrew 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10160</wp:posOffset>
            </wp:positionV>
            <wp:extent cx="28200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7"/>
          <w:szCs w:val="17"/>
          <w:color w:val="auto"/>
        </w:rPr>
        <w:t>ANDREW E. PAGE</w:t>
      </w:r>
    </w:p>
    <w:p>
      <w:pPr>
        <w:ind w:left="4520"/>
        <w:spacing w:after="0"/>
        <w:rPr>
          <w:sz w:val="20"/>
          <w:szCs w:val="20"/>
          <w:color w:val="auto"/>
        </w:rPr>
      </w:pPr>
      <w:r>
        <w:rPr>
          <w:rFonts w:ascii="Arial" w:cs="Arial" w:eastAsia="Arial" w:hAnsi="Arial"/>
          <w:sz w:val="17"/>
          <w:szCs w:val="17"/>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2022 Form 10-Q 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15</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ACCOUNTANT’S ACKNOWLEDGEMENT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Foot Locker, Inc.:</w:t>
      </w:r>
    </w:p>
    <w:p>
      <w:pPr>
        <w:spacing w:after="0" w:line="34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acknowledge our awareness of the use therein of our report dated December 7, 2022 related to our review of interim financial information in the following Registration Statements:</w:t>
      </w:r>
    </w:p>
    <w:p>
      <w:pPr>
        <w:spacing w:after="0" w:line="113" w:lineRule="exact"/>
        <w:rPr>
          <w:sz w:val="20"/>
          <w:szCs w:val="20"/>
          <w:color w:val="auto"/>
        </w:rPr>
      </w:pPr>
    </w:p>
    <w:p>
      <w:pPr>
        <w:ind w:left="380" w:hanging="318"/>
        <w:spacing w:after="0"/>
        <w:tabs>
          <w:tab w:leader="none" w:pos="38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333-33120</w:t>
      </w:r>
    </w:p>
    <w:p>
      <w:pPr>
        <w:spacing w:after="0" w:line="26"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333-121515</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333-144044</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333-149803</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333-167066</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333-171523</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333-190680</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333-196899</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333-267044</w:t>
      </w:r>
    </w:p>
    <w:p>
      <w:pPr>
        <w:spacing w:after="0" w:line="3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December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Mary N. Dillon, certify that:</w:t>
      </w:r>
    </w:p>
    <w:p>
      <w:pPr>
        <w:spacing w:after="0" w:line="198"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Foot Locker, Inc. (the “Registrant”);</w:t>
      </w:r>
    </w:p>
    <w:p>
      <w:pPr>
        <w:spacing w:after="0" w:line="198" w:lineRule="exact"/>
        <w:rPr>
          <w:rFonts w:ascii="Arial" w:cs="Arial" w:eastAsia="Arial" w:hAnsi="Arial"/>
          <w:sz w:val="18"/>
          <w:szCs w:val="18"/>
          <w:color w:val="auto"/>
        </w:rPr>
      </w:pPr>
    </w:p>
    <w:p>
      <w:pPr>
        <w:jc w:val="both"/>
        <w:ind w:left="660" w:hanging="652"/>
        <w:spacing w:after="0" w:line="25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Arial" w:cs="Arial" w:eastAsia="Arial" w:hAnsi="Arial"/>
          <w:sz w:val="18"/>
          <w:szCs w:val="18"/>
          <w:color w:val="auto"/>
        </w:rPr>
      </w:pPr>
    </w:p>
    <w:p>
      <w:pPr>
        <w:jc w:val="both"/>
        <w:ind w:left="660" w:hanging="652"/>
        <w:spacing w:after="0" w:line="25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8"/>
          <w:szCs w:val="18"/>
          <w:color w:val="auto"/>
        </w:rPr>
      </w:pPr>
    </w:p>
    <w:p>
      <w:pPr>
        <w:jc w:val="both"/>
        <w:ind w:left="660" w:hanging="652"/>
        <w:spacing w:after="0" w:line="25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Arial" w:cs="Arial" w:eastAsia="Arial" w:hAnsi="Arial"/>
          <w:sz w:val="18"/>
          <w:szCs w:val="18"/>
          <w:color w:val="auto"/>
        </w:rPr>
      </w:pPr>
    </w:p>
    <w:p>
      <w:pPr>
        <w:jc w:val="both"/>
        <w:ind w:left="1300" w:hanging="644"/>
        <w:spacing w:after="0" w:line="247"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Arial" w:cs="Arial" w:eastAsia="Arial" w:hAnsi="Arial"/>
          <w:sz w:val="18"/>
          <w:szCs w:val="18"/>
          <w:color w:val="auto"/>
        </w:rPr>
      </w:pPr>
    </w:p>
    <w:p>
      <w:pPr>
        <w:jc w:val="both"/>
        <w:ind w:left="1300" w:hanging="644"/>
        <w:spacing w:after="0" w:line="247"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rFonts w:ascii="Arial" w:cs="Arial" w:eastAsia="Arial" w:hAnsi="Arial"/>
          <w:sz w:val="18"/>
          <w:szCs w:val="18"/>
          <w:color w:val="auto"/>
        </w:rPr>
      </w:pPr>
    </w:p>
    <w:p>
      <w:pPr>
        <w:jc w:val="both"/>
        <w:ind w:left="1300" w:hanging="644"/>
        <w:spacing w:after="0" w:line="253"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8"/>
          <w:szCs w:val="18"/>
          <w:color w:val="auto"/>
        </w:rPr>
      </w:pPr>
    </w:p>
    <w:p>
      <w:pPr>
        <w:jc w:val="both"/>
        <w:ind w:left="1300" w:hanging="644"/>
        <w:spacing w:after="0" w:line="247"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rFonts w:ascii="Arial" w:cs="Arial" w:eastAsia="Arial" w:hAnsi="Arial"/>
          <w:sz w:val="18"/>
          <w:szCs w:val="18"/>
          <w:color w:val="auto"/>
        </w:rPr>
      </w:pPr>
    </w:p>
    <w:p>
      <w:pPr>
        <w:jc w:val="both"/>
        <w:ind w:left="660" w:hanging="652"/>
        <w:spacing w:after="0" w:line="25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8"/>
          <w:szCs w:val="18"/>
          <w:color w:val="auto"/>
        </w:rPr>
      </w:pPr>
    </w:p>
    <w:p>
      <w:pPr>
        <w:jc w:val="both"/>
        <w:ind w:left="1300" w:hanging="644"/>
        <w:spacing w:after="0" w:line="253"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8"/>
          <w:szCs w:val="18"/>
          <w:color w:val="auto"/>
        </w:rPr>
      </w:pPr>
    </w:p>
    <w:p>
      <w:pPr>
        <w:ind w:left="1300" w:hanging="644"/>
        <w:spacing w:after="0" w:line="271"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December 7, 2022</w:t>
      </w:r>
    </w:p>
    <w:p>
      <w:pPr>
        <w:spacing w:after="0" w:line="1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Mary N.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-1905</wp:posOffset>
            </wp:positionV>
            <wp:extent cx="31457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ind w:left="49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469265</wp:posOffset>
            </wp:positionV>
            <wp:extent cx="62922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Andrew E. Page, certify that:</w:t>
      </w:r>
    </w:p>
    <w:p>
      <w:pPr>
        <w:spacing w:after="0" w:line="198"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Foot Locker, Inc. (the “Registrant”);</w:t>
      </w:r>
    </w:p>
    <w:p>
      <w:pPr>
        <w:spacing w:after="0" w:line="198" w:lineRule="exact"/>
        <w:rPr>
          <w:rFonts w:ascii="Arial" w:cs="Arial" w:eastAsia="Arial" w:hAnsi="Arial"/>
          <w:sz w:val="18"/>
          <w:szCs w:val="18"/>
          <w:color w:val="auto"/>
        </w:rPr>
      </w:pPr>
    </w:p>
    <w:p>
      <w:pPr>
        <w:jc w:val="both"/>
        <w:ind w:left="660" w:hanging="652"/>
        <w:spacing w:after="0" w:line="25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Arial" w:cs="Arial" w:eastAsia="Arial" w:hAnsi="Arial"/>
          <w:sz w:val="18"/>
          <w:szCs w:val="18"/>
          <w:color w:val="auto"/>
        </w:rPr>
      </w:pPr>
    </w:p>
    <w:p>
      <w:pPr>
        <w:jc w:val="both"/>
        <w:ind w:left="660" w:hanging="652"/>
        <w:spacing w:after="0" w:line="25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8"/>
          <w:szCs w:val="18"/>
          <w:color w:val="auto"/>
        </w:rPr>
      </w:pPr>
    </w:p>
    <w:p>
      <w:pPr>
        <w:jc w:val="both"/>
        <w:ind w:left="660" w:hanging="652"/>
        <w:spacing w:after="0" w:line="25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Arial" w:cs="Arial" w:eastAsia="Arial" w:hAnsi="Arial"/>
          <w:sz w:val="18"/>
          <w:szCs w:val="18"/>
          <w:color w:val="auto"/>
        </w:rPr>
      </w:pPr>
    </w:p>
    <w:p>
      <w:pPr>
        <w:jc w:val="both"/>
        <w:ind w:left="1300" w:hanging="644"/>
        <w:spacing w:after="0" w:line="247"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Arial" w:cs="Arial" w:eastAsia="Arial" w:hAnsi="Arial"/>
          <w:sz w:val="18"/>
          <w:szCs w:val="18"/>
          <w:color w:val="auto"/>
        </w:rPr>
      </w:pPr>
    </w:p>
    <w:p>
      <w:pPr>
        <w:jc w:val="both"/>
        <w:ind w:left="1300" w:hanging="644"/>
        <w:spacing w:after="0" w:line="247"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rFonts w:ascii="Arial" w:cs="Arial" w:eastAsia="Arial" w:hAnsi="Arial"/>
          <w:sz w:val="18"/>
          <w:szCs w:val="18"/>
          <w:color w:val="auto"/>
        </w:rPr>
      </w:pPr>
    </w:p>
    <w:p>
      <w:pPr>
        <w:jc w:val="both"/>
        <w:ind w:left="1300" w:hanging="644"/>
        <w:spacing w:after="0" w:line="253"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8"/>
          <w:szCs w:val="18"/>
          <w:color w:val="auto"/>
        </w:rPr>
      </w:pPr>
    </w:p>
    <w:p>
      <w:pPr>
        <w:jc w:val="both"/>
        <w:ind w:left="1300" w:hanging="644"/>
        <w:spacing w:after="0" w:line="247"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rFonts w:ascii="Arial" w:cs="Arial" w:eastAsia="Arial" w:hAnsi="Arial"/>
          <w:sz w:val="18"/>
          <w:szCs w:val="18"/>
          <w:color w:val="auto"/>
        </w:rPr>
      </w:pPr>
    </w:p>
    <w:p>
      <w:pPr>
        <w:jc w:val="both"/>
        <w:ind w:left="660" w:hanging="652"/>
        <w:spacing w:after="0" w:line="25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8"/>
          <w:szCs w:val="18"/>
          <w:color w:val="auto"/>
        </w:rPr>
      </w:pPr>
    </w:p>
    <w:p>
      <w:pPr>
        <w:jc w:val="both"/>
        <w:ind w:left="1300" w:hanging="644"/>
        <w:spacing w:after="0" w:line="253"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8"/>
          <w:szCs w:val="18"/>
          <w:color w:val="auto"/>
        </w:rPr>
      </w:pPr>
    </w:p>
    <w:p>
      <w:pPr>
        <w:ind w:left="1300" w:hanging="644"/>
        <w:spacing w:after="0" w:line="271"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December 7, 2022</w:t>
      </w:r>
    </w:p>
    <w:p>
      <w:pPr>
        <w:spacing w:after="0" w:line="1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Andrew 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-1905</wp:posOffset>
            </wp:positionV>
            <wp:extent cx="31457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ind w:left="49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469265</wp:posOffset>
            </wp:positionV>
            <wp:extent cx="629221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w:t>
      </w:r>
    </w:p>
    <w:p>
      <w:pPr>
        <w:spacing w:after="0" w:line="19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FOOT LOCKER, INC.</w:t>
      </w:r>
    </w:p>
    <w:p>
      <w:pPr>
        <w:spacing w:after="0" w:line="198"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connection with the Quarterly Report on Form 10-Q of Foot Locker, Inc. (the “Registrant”) for the quarterly period ended October 29, 2022, as filed with the Securities and Exchange Commission on the date hereof (the “Report”), Mary N. Dillon, as Chief Executive Officer of the Registrant and Andrew E. Page, as Chief Financial Officer of the Registrant, each hereby certifies, pursuant to 18 U.S.C. Section 1350, as adopted pursuant to Section 906 of the Sarbanes-Oxley Act of 2002, that:</w:t>
      </w:r>
    </w:p>
    <w:p>
      <w:pPr>
        <w:spacing w:after="0" w:line="160" w:lineRule="exact"/>
        <w:rPr>
          <w:sz w:val="20"/>
          <w:szCs w:val="20"/>
          <w:color w:val="auto"/>
        </w:rPr>
      </w:pPr>
    </w:p>
    <w:p>
      <w:pPr>
        <w:ind w:left="520" w:hanging="318"/>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520" w:hanging="318"/>
        <w:spacing w:after="0" w:line="271" w:lineRule="auto"/>
        <w:tabs>
          <w:tab w:leader="none" w:pos="5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7, 2022</w:t>
      </w:r>
    </w:p>
    <w:p>
      <w:pPr>
        <w:spacing w:after="0" w:line="1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Mary N.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-1905</wp:posOffset>
            </wp:positionV>
            <wp:extent cx="31457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18"/>
          <w:szCs w:val="18"/>
          <w:color w:val="auto"/>
        </w:rPr>
        <w:t>Mary N. Dillon</w:t>
      </w:r>
    </w:p>
    <w:p>
      <w:pPr>
        <w:ind w:left="4960"/>
        <w:spacing w:after="0"/>
        <w:rPr>
          <w:sz w:val="20"/>
          <w:szCs w:val="20"/>
          <w:color w:val="auto"/>
        </w:rPr>
      </w:pPr>
      <w:r>
        <w:rPr>
          <w:rFonts w:ascii="Arial" w:cs="Arial" w:eastAsia="Arial" w:hAnsi="Arial"/>
          <w:sz w:val="18"/>
          <w:szCs w:val="18"/>
          <w:color w:val="auto"/>
        </w:rPr>
        <w:t>Chief Executive Officer</w:t>
      </w:r>
    </w:p>
    <w:p>
      <w:pPr>
        <w:spacing w:after="0" w:line="18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Andrew 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8890</wp:posOffset>
            </wp:positionV>
            <wp:extent cx="31457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Andrew E. Page</w:t>
      </w:r>
    </w:p>
    <w:p>
      <w:pPr>
        <w:ind w:left="4960"/>
        <w:spacing w:after="0"/>
        <w:rPr>
          <w:sz w:val="20"/>
          <w:szCs w:val="20"/>
          <w:color w:val="auto"/>
        </w:rPr>
      </w:pPr>
      <w:r>
        <w:rPr>
          <w:rFonts w:ascii="Arial" w:cs="Arial" w:eastAsia="Arial" w:hAnsi="Arial"/>
          <w:sz w:val="18"/>
          <w:szCs w:val="18"/>
          <w:color w:val="auto"/>
        </w:rPr>
        <w:t>Chief Financial Officer</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 Such certification will not be deemed to be incorporated by reference into any filing under the Securities Act of 1933, as amended, or the Securities Exchange Act of 1934, as amended,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99</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Foot Locker, Inc.:</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Review of Interim Financial Information</w:t>
      </w:r>
    </w:p>
    <w:p>
      <w:pPr>
        <w:spacing w:after="0" w:line="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reviewed the condensed consolidated balance sheets of Foot Locker, Inc. and subsidiaries (the Company) as of October 29, 2022 and October 30, 2021, the related condensed consolidated statements of operations, comprehensive income, and changes in shareholders’ equity for the thirteen and thirty-nine week periods ended October 29, 2022 and October 30, 2021, the related condensed consolidated statements of cash flows for the thirty-nine week periods ended October 29, 2022 and October 30, 2021, and the related notes (collectively, the consolidated interim financial information). Based on our reviews, we are not aware of any material modifications that should be made to the consolidated interim financial information for it to be in conformity with U.S. generally accepted accounting principles.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(PCAOB), the consolidated balance sheet of the Company as of January 29, 2022, and the related consolidated statements of operations, comprehensive income, changes in shareholders’ equity, and cash flows for the year then ended (not presented herein); and in our report dated March 24, 2022, we expressed an unqualified opinion on those consolidated financial statements. In our opinion, the information set forth in the accompanying condensed consolidated balance sheet as of January 29, 2022, is fairly stated, in all material respects, in relation to the consolidated balance sheet from which it has been derived.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Review Results</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This consolidated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conducted our reviews in accordance with the standards of the PCAOB. A review of consolidated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December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2"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2022-12-07T15:29:30Z</dcterms:created>
  <dcterms:modified xsi:type="dcterms:W3CDTF">2022-12-07T15:29:30Z</dcterms:modified>
</cp:coreProperties>
</file>