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5"/>
          <w:szCs w:val="25"/>
          <w:color w:val="auto"/>
        </w:rPr>
        <w:t>UNITED STATES</w:t>
      </w:r>
    </w:p>
    <w:p>
      <w:pPr>
        <w:jc w:val="center"/>
        <w:ind w:right="459"/>
        <w:spacing w:after="0"/>
        <w:rPr>
          <w:sz w:val="20"/>
          <w:szCs w:val="20"/>
          <w:color w:val="auto"/>
        </w:rPr>
      </w:pPr>
      <w:r>
        <w:rPr>
          <w:rFonts w:ascii="Arial" w:cs="Arial" w:eastAsia="Arial" w:hAnsi="Arial"/>
          <w:sz w:val="25"/>
          <w:szCs w:val="25"/>
          <w:color w:val="auto"/>
        </w:rPr>
        <w:t>SECURITIES AND EXCHANGE COMMISSION</w:t>
      </w:r>
    </w:p>
    <w:p>
      <w:pPr>
        <w:spacing w:after="0" w:line="37"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104775</wp:posOffset>
            </wp:positionV>
            <wp:extent cx="6037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7580" cy="17145"/>
                    </a:xfrm>
                    <a:prstGeom prst="rect">
                      <a:avLst/>
                    </a:prstGeom>
                    <a:noFill/>
                  </pic:spPr>
                </pic:pic>
              </a:graphicData>
            </a:graphic>
          </wp:anchor>
        </w:drawing>
      </w:r>
    </w:p>
    <w:p>
      <w:pPr>
        <w:spacing w:after="0" w:line="347" w:lineRule="exact"/>
        <w:rPr>
          <w:sz w:val="24"/>
          <w:szCs w:val="24"/>
          <w:color w:val="auto"/>
        </w:rPr>
      </w:pPr>
    </w:p>
    <w:p>
      <w:pPr>
        <w:ind w:left="3880"/>
        <w:spacing w:after="0"/>
        <w:rPr>
          <w:sz w:val="20"/>
          <w:szCs w:val="20"/>
          <w:color w:val="auto"/>
        </w:rPr>
      </w:pPr>
      <w:r>
        <w:rPr>
          <w:rFonts w:ascii="Arial" w:cs="Arial" w:eastAsia="Arial" w:hAnsi="Arial"/>
          <w:sz w:val="34"/>
          <w:szCs w:val="3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86360</wp:posOffset>
            </wp:positionV>
            <wp:extent cx="6037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3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20" w:lineRule="exact"/>
        <w:rPr>
          <w:sz w:val="24"/>
          <w:szCs w:val="24"/>
          <w:color w:val="auto"/>
        </w:rPr>
      </w:pPr>
    </w:p>
    <w:p>
      <w:pPr>
        <w:ind w:left="3280" w:right="1739" w:hanging="3252"/>
        <w:spacing w:after="0" w:line="387" w:lineRule="auto"/>
        <w:tabs>
          <w:tab w:leader="none" w:pos="431"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January 30, 2016</w:t>
      </w:r>
    </w:p>
    <w:p>
      <w:pPr>
        <w:ind w:left="47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113" w:lineRule="exact"/>
        <w:rPr>
          <w:sz w:val="24"/>
          <w:szCs w:val="24"/>
          <w:color w:val="auto"/>
        </w:rPr>
      </w:pPr>
    </w:p>
    <w:p>
      <w:pPr>
        <w:ind w:left="440" w:hanging="412"/>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62"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20" w:type="dxa"/>
            <w:vAlign w:val="bottom"/>
            <w:gridSpan w:val="3"/>
          </w:tcPr>
          <w:p>
            <w:pPr>
              <w:ind w:left="260"/>
              <w:spacing w:after="0"/>
              <w:rPr>
                <w:sz w:val="20"/>
                <w:szCs w:val="20"/>
                <w:color w:val="auto"/>
              </w:rPr>
            </w:pPr>
            <w:r>
              <w:rPr>
                <w:rFonts w:ascii="Arial" w:cs="Arial" w:eastAsia="Arial" w:hAnsi="Arial"/>
                <w:sz w:val="16"/>
                <w:szCs w:val="16"/>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to</w:t>
            </w:r>
          </w:p>
        </w:tc>
        <w:tc>
          <w:tcPr>
            <w:tcW w:w="480" w:type="dxa"/>
            <w:vAlign w:val="bottom"/>
            <w:tcBorders>
              <w:bottom w:val="single" w:sz="8" w:color="auto"/>
            </w:tcBorders>
          </w:tcPr>
          <w:p>
            <w:pPr>
              <w:spacing w:after="0"/>
              <w:rPr>
                <w:sz w:val="16"/>
                <w:szCs w:val="16"/>
                <w:color w:val="auto"/>
              </w:rPr>
            </w:pPr>
          </w:p>
        </w:tc>
        <w:tc>
          <w:tcPr>
            <w:tcW w:w="1900" w:type="dxa"/>
            <w:vAlign w:val="bottom"/>
          </w:tcPr>
          <w:p>
            <w:pPr>
              <w:spacing w:after="0"/>
              <w:rPr>
                <w:sz w:val="16"/>
                <w:szCs w:val="16"/>
                <w:color w:val="auto"/>
              </w:rPr>
            </w:pPr>
          </w:p>
        </w:tc>
      </w:tr>
      <w:tr>
        <w:trPr>
          <w:trHeight w:val="339"/>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Commission File No. 1-10299</w:t>
            </w:r>
          </w:p>
        </w:tc>
      </w:tr>
      <w:tr>
        <w:trPr>
          <w:trHeight w:val="783"/>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(Exact name of registrant as specified in its charter)</w:t>
            </w:r>
          </w:p>
        </w:tc>
      </w:tr>
      <w:tr>
        <w:trPr>
          <w:trHeight w:val="307"/>
        </w:trPr>
        <w:tc>
          <w:tcPr>
            <w:tcW w:w="1060" w:type="dxa"/>
            <w:vAlign w:val="bottom"/>
          </w:tcPr>
          <w:p>
            <w:pPr>
              <w:spacing w:after="0"/>
              <w:rPr>
                <w:sz w:val="24"/>
                <w:szCs w:val="24"/>
                <w:color w:val="auto"/>
              </w:rPr>
            </w:pPr>
          </w:p>
        </w:tc>
        <w:tc>
          <w:tcPr>
            <w:tcW w:w="2940" w:type="dxa"/>
            <w:vAlign w:val="bottom"/>
            <w:gridSpan w:val="2"/>
          </w:tcPr>
          <w:p>
            <w:pPr>
              <w:jc w:val="center"/>
              <w:ind w:right="1419"/>
              <w:spacing w:after="0"/>
              <w:rPr>
                <w:sz w:val="20"/>
                <w:szCs w:val="20"/>
                <w:color w:val="auto"/>
              </w:rPr>
            </w:pPr>
            <w:r>
              <w:rPr>
                <w:rFonts w:ascii="Arial" w:cs="Arial" w:eastAsia="Arial" w:hAnsi="Arial"/>
                <w:sz w:val="18"/>
                <w:szCs w:val="18"/>
                <w:b w:val="1"/>
                <w:bCs w:val="1"/>
                <w:color w:val="auto"/>
                <w:w w:val="97"/>
              </w:rPr>
              <w:t>New York</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13-3513936</w:t>
            </w:r>
          </w:p>
        </w:tc>
      </w:tr>
      <w:tr>
        <w:trPr>
          <w:trHeight w:val="162"/>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(State or other jurisdiction of</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gridSpan w:val="4"/>
          </w:tcPr>
          <w:p>
            <w:pPr>
              <w:jc w:val="center"/>
              <w:ind w:right="440"/>
              <w:spacing w:after="0"/>
              <w:rPr>
                <w:sz w:val="20"/>
                <w:szCs w:val="20"/>
                <w:color w:val="auto"/>
              </w:rPr>
            </w:pPr>
            <w:r>
              <w:rPr>
                <w:rFonts w:ascii="Arial" w:cs="Arial" w:eastAsia="Arial" w:hAnsi="Arial"/>
                <w:sz w:val="14"/>
                <w:szCs w:val="14"/>
                <w:i w:val="1"/>
                <w:iCs w:val="1"/>
                <w:color w:val="auto"/>
              </w:rPr>
              <w:t>(I.R.S. Employer Identification No.)</w:t>
            </w:r>
          </w:p>
        </w:tc>
      </w:tr>
      <w:tr>
        <w:trPr>
          <w:trHeight w:val="186"/>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incorporation or organization)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67"/>
        </w:trPr>
        <w:tc>
          <w:tcPr>
            <w:tcW w:w="4000" w:type="dxa"/>
            <w:vAlign w:val="bottom"/>
            <w:gridSpan w:val="3"/>
          </w:tcPr>
          <w:p>
            <w:pPr>
              <w:jc w:val="center"/>
              <w:ind w:right="359"/>
              <w:spacing w:after="0"/>
              <w:rPr>
                <w:sz w:val="20"/>
                <w:szCs w:val="20"/>
                <w:color w:val="auto"/>
              </w:rPr>
            </w:pPr>
            <w:r>
              <w:rPr>
                <w:rFonts w:ascii="Arial" w:cs="Arial" w:eastAsia="Arial" w:hAnsi="Arial"/>
                <w:sz w:val="18"/>
                <w:szCs w:val="18"/>
                <w:b w:val="1"/>
                <w:bCs w:val="1"/>
                <w:color w:val="auto"/>
                <w:w w:val="98"/>
              </w:rPr>
              <w:t>112 West 34</w:t>
            </w:r>
            <w:r>
              <w:rPr>
                <w:rFonts w:ascii="Arial" w:cs="Arial" w:eastAsia="Arial" w:hAnsi="Arial"/>
                <w:sz w:val="30"/>
                <w:szCs w:val="30"/>
                <w:b w:val="1"/>
                <w:bCs w:val="1"/>
                <w:color w:val="auto"/>
                <w:w w:val="98"/>
                <w:vertAlign w:val="superscript"/>
              </w:rPr>
              <w:t>th</w:t>
            </w:r>
            <w:r>
              <w:rPr>
                <w:rFonts w:ascii="Arial" w:cs="Arial" w:eastAsia="Arial" w:hAnsi="Arial"/>
                <w:sz w:val="18"/>
                <w:szCs w:val="18"/>
                <w:b w:val="1"/>
                <w:bCs w:val="1"/>
                <w:color w:val="auto"/>
                <w:w w:val="98"/>
              </w:rPr>
              <w:t xml:space="preserve"> Street, New York, New York</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4"/>
          </w:tcPr>
          <w:p>
            <w:pPr>
              <w:jc w:val="right"/>
              <w:ind w:right="1520"/>
              <w:spacing w:after="0"/>
              <w:rPr>
                <w:sz w:val="20"/>
                <w:szCs w:val="20"/>
                <w:color w:val="auto"/>
              </w:rPr>
            </w:pPr>
            <w:r>
              <w:rPr>
                <w:rFonts w:ascii="Arial" w:cs="Arial" w:eastAsia="Arial" w:hAnsi="Arial"/>
                <w:sz w:val="18"/>
                <w:szCs w:val="18"/>
                <w:b w:val="1"/>
                <w:bCs w:val="1"/>
                <w:color w:val="auto"/>
              </w:rPr>
              <w:t>10120</w:t>
            </w:r>
          </w:p>
        </w:tc>
      </w:tr>
      <w:tr>
        <w:trPr>
          <w:trHeight w:val="186"/>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(Address of principal executive offices)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2"/>
          </w:tcPr>
          <w:p>
            <w:pPr>
              <w:jc w:val="center"/>
              <w:ind w:right="1180"/>
              <w:spacing w:after="0"/>
              <w:rPr>
                <w:sz w:val="20"/>
                <w:szCs w:val="20"/>
                <w:color w:val="auto"/>
              </w:rPr>
            </w:pPr>
            <w:r>
              <w:rPr>
                <w:rFonts w:ascii="Arial" w:cs="Arial" w:eastAsia="Arial" w:hAnsi="Arial"/>
                <w:sz w:val="14"/>
                <w:szCs w:val="14"/>
                <w:i w:val="1"/>
                <w:iCs w:val="1"/>
                <w:color w:val="auto"/>
              </w:rPr>
              <w:t>(Zip Code)</w:t>
            </w:r>
          </w:p>
        </w:tc>
      </w:tr>
      <w:tr>
        <w:trPr>
          <w:trHeight w:val="290"/>
        </w:trPr>
        <w:tc>
          <w:tcPr>
            <w:tcW w:w="1060" w:type="dxa"/>
            <w:vAlign w:val="bottom"/>
          </w:tcPr>
          <w:p>
            <w:pPr>
              <w:spacing w:after="0"/>
              <w:rPr>
                <w:sz w:val="24"/>
                <w:szCs w:val="24"/>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Registrant’s telephone number, including area code: (212) 720-3700</w:t>
            </w:r>
          </w:p>
        </w:tc>
      </w:tr>
      <w:tr>
        <w:trPr>
          <w:trHeight w:val="297"/>
        </w:trPr>
        <w:tc>
          <w:tcPr>
            <w:tcW w:w="1060" w:type="dxa"/>
            <w:vAlign w:val="bottom"/>
          </w:tcPr>
          <w:p>
            <w:pPr>
              <w:spacing w:after="0"/>
              <w:rPr>
                <w:sz w:val="24"/>
                <w:szCs w:val="24"/>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17"/>
        </w:trPr>
        <w:tc>
          <w:tcPr>
            <w:tcW w:w="10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000" w:type="dxa"/>
            <w:vAlign w:val="bottom"/>
            <w:gridSpan w:val="3"/>
          </w:tcPr>
          <w:p>
            <w:pPr>
              <w:jc w:val="center"/>
              <w:ind w:right="359"/>
              <w:spacing w:after="0"/>
              <w:rPr>
                <w:sz w:val="20"/>
                <w:szCs w:val="20"/>
                <w:color w:val="auto"/>
              </w:rPr>
            </w:pPr>
            <w:r>
              <w:rPr>
                <w:rFonts w:ascii="Arial" w:cs="Arial" w:eastAsia="Arial" w:hAnsi="Arial"/>
                <w:sz w:val="18"/>
                <w:szCs w:val="18"/>
                <w:color w:val="auto"/>
                <w:w w:val="99"/>
              </w:rPr>
              <w:t>Common Stock, par value $0.01</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1986915</wp:posOffset>
            </wp:positionH>
            <wp:positionV relativeFrom="paragraph">
              <wp:posOffset>-1929130</wp:posOffset>
            </wp:positionV>
            <wp:extent cx="215265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2650" cy="2400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-1491615</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539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-334010</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74"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6350</wp:posOffset>
            </wp:positionV>
            <wp:extent cx="6037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06" w:lineRule="exact"/>
        <w:rPr>
          <w:sz w:val="24"/>
          <w:szCs w:val="24"/>
          <w:color w:val="auto"/>
        </w:rPr>
      </w:pPr>
    </w:p>
    <w:p>
      <w:pPr>
        <w:ind w:left="60" w:right="1839"/>
        <w:spacing w:after="0" w:line="43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x No o Indicate by check mark if the registrant is not required to file reports pursuant to Section 13 or Section 15(d) of the Act.Yes o No x</w:t>
      </w: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91" w:lineRule="exact"/>
        <w:rPr>
          <w:sz w:val="24"/>
          <w:szCs w:val="24"/>
          <w:color w:val="auto"/>
        </w:rPr>
      </w:pP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files).Yes x No o</w:t>
      </w:r>
    </w:p>
    <w:p>
      <w:pPr>
        <w:spacing w:after="0" w:line="91" w:lineRule="exact"/>
        <w:rPr>
          <w:sz w:val="24"/>
          <w:szCs w:val="24"/>
          <w:color w:val="auto"/>
        </w:rPr>
      </w:pPr>
    </w:p>
    <w:p>
      <w:pPr>
        <w:jc w:val="both"/>
        <w:ind w:left="60" w:right="539"/>
        <w:spacing w:after="0" w:line="27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91" w:lineRule="exact"/>
        <w:rPr>
          <w:sz w:val="24"/>
          <w:szCs w:val="24"/>
          <w:color w:val="auto"/>
        </w:rPr>
      </w:pPr>
    </w:p>
    <w:p>
      <w:pPr>
        <w:ind w:left="6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15" w:lineRule="exact"/>
        <w:rPr>
          <w:sz w:val="24"/>
          <w:szCs w:val="24"/>
          <w:color w:val="auto"/>
        </w:rPr>
      </w:pPr>
    </w:p>
    <w:p>
      <w:pPr>
        <w:ind w:left="60"/>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91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Large accelerated filer x</w:t>
            </w:r>
          </w:p>
        </w:tc>
        <w:tc>
          <w:tcPr>
            <w:tcW w:w="1640" w:type="dxa"/>
            <w:vAlign w:val="bottom"/>
          </w:tcPr>
          <w:p>
            <w:pPr>
              <w:ind w:left="120"/>
              <w:spacing w:after="0"/>
              <w:rPr>
                <w:sz w:val="20"/>
                <w:szCs w:val="20"/>
                <w:color w:val="auto"/>
              </w:rPr>
            </w:pPr>
            <w:r>
              <w:rPr>
                <w:rFonts w:ascii="Arial" w:cs="Arial" w:eastAsia="Arial" w:hAnsi="Arial"/>
                <w:sz w:val="14"/>
                <w:szCs w:val="14"/>
                <w:color w:val="auto"/>
              </w:rPr>
              <w:t>Accelerated filer o</w:t>
            </w:r>
          </w:p>
        </w:tc>
        <w:tc>
          <w:tcPr>
            <w:tcW w:w="2060" w:type="dxa"/>
            <w:vAlign w:val="bottom"/>
          </w:tcPr>
          <w:p>
            <w:pPr>
              <w:ind w:left="380"/>
              <w:spacing w:after="0"/>
              <w:rPr>
                <w:sz w:val="20"/>
                <w:szCs w:val="20"/>
                <w:color w:val="auto"/>
              </w:rPr>
            </w:pPr>
            <w:r>
              <w:rPr>
                <w:rFonts w:ascii="Arial" w:cs="Arial" w:eastAsia="Arial" w:hAnsi="Arial"/>
                <w:sz w:val="14"/>
                <w:szCs w:val="14"/>
                <w:color w:val="auto"/>
              </w:rPr>
              <w:t>Non-accelerated filer o</w:t>
            </w:r>
          </w:p>
        </w:tc>
        <w:tc>
          <w:tcPr>
            <w:tcW w:w="3160" w:type="dxa"/>
            <w:vAlign w:val="bottom"/>
          </w:tcPr>
          <w:p>
            <w:pPr>
              <w:jc w:val="right"/>
              <w:ind w:right="1008"/>
              <w:spacing w:after="0"/>
              <w:rPr>
                <w:sz w:val="20"/>
                <w:szCs w:val="20"/>
                <w:color w:val="auto"/>
              </w:rPr>
            </w:pPr>
            <w:r>
              <w:rPr>
                <w:rFonts w:ascii="Arial" w:cs="Arial" w:eastAsia="Arial" w:hAnsi="Arial"/>
                <w:sz w:val="14"/>
                <w:szCs w:val="14"/>
                <w:color w:val="auto"/>
              </w:rPr>
              <w:t>Smaller reporting company o</w:t>
            </w:r>
          </w:p>
        </w:tc>
        <w:tc>
          <w:tcPr>
            <w:tcW w:w="800" w:type="dxa"/>
            <w:vAlign w:val="bottom"/>
          </w:tcPr>
          <w:p>
            <w:pPr>
              <w:spacing w:after="0"/>
              <w:rPr>
                <w:sz w:val="15"/>
                <w:szCs w:val="15"/>
                <w:color w:val="auto"/>
              </w:rPr>
            </w:pPr>
          </w:p>
        </w:tc>
      </w:tr>
      <w:tr>
        <w:trPr>
          <w:trHeight w:val="270"/>
        </w:trPr>
        <w:tc>
          <w:tcPr>
            <w:tcW w:w="60" w:type="dxa"/>
            <w:vAlign w:val="bottom"/>
          </w:tcPr>
          <w:p>
            <w:pPr>
              <w:spacing w:after="0"/>
              <w:rPr>
                <w:sz w:val="23"/>
                <w:szCs w:val="23"/>
                <w:color w:val="auto"/>
              </w:rPr>
            </w:pPr>
          </w:p>
        </w:tc>
        <w:tc>
          <w:tcPr>
            <w:tcW w:w="8720" w:type="dxa"/>
            <w:vAlign w:val="bottom"/>
            <w:gridSpan w:val="4"/>
          </w:tcPr>
          <w:p>
            <w:pPr>
              <w:jc w:val="right"/>
              <w:ind w:right="1448"/>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Act).Yes o No x</w:t>
            </w:r>
          </w:p>
        </w:tc>
        <w:tc>
          <w:tcPr>
            <w:tcW w:w="800" w:type="dxa"/>
            <w:vAlign w:val="bottom"/>
          </w:tcPr>
          <w:p>
            <w:pPr>
              <w:spacing w:after="0"/>
              <w:rPr>
                <w:sz w:val="23"/>
                <w:szCs w:val="23"/>
                <w:color w:val="auto"/>
              </w:rPr>
            </w:pPr>
          </w:p>
        </w:tc>
      </w:tr>
      <w:tr>
        <w:trPr>
          <w:trHeight w:val="273"/>
        </w:trPr>
        <w:tc>
          <w:tcPr>
            <w:tcW w:w="8780" w:type="dxa"/>
            <w:vAlign w:val="bottom"/>
            <w:gridSpan w:val="5"/>
          </w:tcPr>
          <w:p>
            <w:pPr>
              <w:ind w:left="20"/>
              <w:spacing w:after="0"/>
              <w:rPr>
                <w:sz w:val="20"/>
                <w:szCs w:val="20"/>
                <w:color w:val="auto"/>
              </w:rPr>
            </w:pPr>
            <w:r>
              <w:rPr>
                <w:rFonts w:ascii="Arial" w:cs="Arial" w:eastAsia="Arial" w:hAnsi="Arial"/>
                <w:sz w:val="14"/>
                <w:szCs w:val="14"/>
                <w:color w:val="auto"/>
              </w:rPr>
              <w:t>The number of shares of the Registrant’s Common Stock, par value $0.01 per share, outstanding as of March 21,</w:t>
            </w:r>
          </w:p>
        </w:tc>
        <w:tc>
          <w:tcPr>
            <w:tcW w:w="800" w:type="dxa"/>
            <w:vAlign w:val="bottom"/>
          </w:tcPr>
          <w:p>
            <w:pPr>
              <w:spacing w:after="0"/>
              <w:rPr>
                <w:sz w:val="23"/>
                <w:szCs w:val="23"/>
                <w:color w:val="auto"/>
              </w:rPr>
            </w:pPr>
          </w:p>
        </w:tc>
      </w:tr>
      <w:tr>
        <w:trPr>
          <w:trHeight w:val="157"/>
        </w:trPr>
        <w:tc>
          <w:tcPr>
            <w:tcW w:w="192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2016:</w:t>
            </w:r>
          </w:p>
        </w:tc>
        <w:tc>
          <w:tcPr>
            <w:tcW w:w="1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1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136,094,471</w:t>
            </w:r>
          </w:p>
        </w:tc>
        <w:tc>
          <w:tcPr>
            <w:tcW w:w="800" w:type="dxa"/>
            <w:vAlign w:val="bottom"/>
          </w:tcPr>
          <w:p>
            <w:pPr>
              <w:spacing w:after="0"/>
              <w:rPr>
                <w:sz w:val="13"/>
                <w:szCs w:val="13"/>
                <w:color w:val="auto"/>
              </w:rPr>
            </w:pPr>
          </w:p>
        </w:tc>
      </w:tr>
      <w:tr>
        <w:trPr>
          <w:trHeight w:val="167"/>
        </w:trPr>
        <w:tc>
          <w:tcPr>
            <w:tcW w:w="8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The aggregate market value of voting stock held by non-affiliates of the Registrant computed by reference to the</w:t>
            </w:r>
          </w:p>
        </w:tc>
        <w:tc>
          <w:tcPr>
            <w:tcW w:w="800" w:type="dxa"/>
            <w:vAlign w:val="bottom"/>
          </w:tcPr>
          <w:p>
            <w:pPr>
              <w:spacing w:after="0"/>
              <w:rPr>
                <w:sz w:val="14"/>
                <w:szCs w:val="14"/>
                <w:color w:val="auto"/>
              </w:rPr>
            </w:pPr>
          </w:p>
        </w:tc>
      </w:tr>
      <w:tr>
        <w:trPr>
          <w:trHeight w:val="162"/>
        </w:trPr>
        <w:tc>
          <w:tcPr>
            <w:tcW w:w="8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closing price as of the last business day of the Registrant’s most recently completed second fiscal quarter, August</w:t>
            </w:r>
          </w:p>
        </w:tc>
        <w:tc>
          <w:tcPr>
            <w:tcW w:w="800" w:type="dxa"/>
            <w:vAlign w:val="bottom"/>
          </w:tcPr>
          <w:p>
            <w:pPr>
              <w:spacing w:after="0"/>
              <w:rPr>
                <w:sz w:val="14"/>
                <w:szCs w:val="14"/>
                <w:color w:val="auto"/>
              </w:rPr>
            </w:pPr>
          </w:p>
        </w:tc>
      </w:tr>
      <w:tr>
        <w:trPr>
          <w:trHeight w:val="157"/>
        </w:trPr>
        <w:tc>
          <w:tcPr>
            <w:tcW w:w="19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1, 2015, was approximately:</w:t>
            </w:r>
          </w:p>
        </w:tc>
        <w:tc>
          <w:tcPr>
            <w:tcW w:w="16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31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7,523,772,438*</w:t>
            </w:r>
          </w:p>
        </w:tc>
        <w:tc>
          <w:tcPr>
            <w:tcW w:w="800" w:type="dxa"/>
            <w:vAlign w:val="bottom"/>
          </w:tcPr>
          <w:p>
            <w:pPr>
              <w:spacing w:after="0"/>
              <w:rPr>
                <w:sz w:val="13"/>
                <w:szCs w:val="13"/>
                <w:color w:val="auto"/>
              </w:rPr>
            </w:pPr>
          </w:p>
        </w:tc>
      </w:tr>
      <w:tr>
        <w:trPr>
          <w:trHeight w:val="108"/>
        </w:trPr>
        <w:tc>
          <w:tcPr>
            <w:tcW w:w="6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-650875</wp:posOffset>
            </wp:positionV>
            <wp:extent cx="5565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4"/>
          <w:szCs w:val="24"/>
          <w:color w:val="auto"/>
        </w:rPr>
      </w:pPr>
    </w:p>
    <w:p>
      <w:pPr>
        <w:jc w:val="both"/>
        <w:ind w:left="240" w:right="519" w:hanging="212"/>
        <w:spacing w:after="0" w:line="270"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calculation only (a) all directors plus three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6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5" w:lineRule="exact"/>
        <w:rPr>
          <w:sz w:val="24"/>
          <w:szCs w:val="24"/>
          <w:color w:val="auto"/>
        </w:rPr>
      </w:pPr>
    </w:p>
    <w:p>
      <w:pPr>
        <w:ind w:left="60" w:right="519"/>
        <w:spacing w:after="0" w:line="278" w:lineRule="auto"/>
        <w:rPr>
          <w:sz w:val="20"/>
          <w:szCs w:val="20"/>
          <w:color w:val="auto"/>
        </w:rPr>
      </w:pPr>
      <w:r>
        <w:rPr>
          <w:rFonts w:ascii="Arial" w:cs="Arial" w:eastAsia="Arial" w:hAnsi="Arial"/>
          <w:sz w:val="14"/>
          <w:szCs w:val="14"/>
          <w:color w:val="auto"/>
        </w:rPr>
        <w:t>Portions of the Registrant’s definitive Proxy Statement (the “Proxy Statement”) to be filed in connection with the Annual Meeting of Shareholders to be held on May 18, 2016: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433705</wp:posOffset>
            </wp:positionV>
            <wp:extent cx="611441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475"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5076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6840" w:type="dxa"/>
            <w:vAlign w:val="bottom"/>
            <w:gridSpan w:val="17"/>
            <w:vMerge w:val="restart"/>
          </w:tcPr>
          <w:p>
            <w:pPr>
              <w:ind w:left="20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43" w:lineRule="exact"/>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68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Item 1A.</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4">
              <w:r>
                <w:rPr>
                  <w:rFonts w:ascii="Arial" w:cs="Arial" w:eastAsia="Arial" w:hAnsi="Arial"/>
                  <w:sz w:val="17"/>
                  <w:szCs w:val="17"/>
                  <w:color w:val="0000EE"/>
                </w:rPr>
                <w:t>Risk Factors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1B.</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Unresolved Staff Comments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Properties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Legal Proceedings</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II</w:t>
            </w: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tcPr>
          <w:p>
            <w:pPr>
              <w:spacing w:after="0"/>
              <w:rPr>
                <w:sz w:val="20"/>
                <w:szCs w:val="20"/>
                <w:color w:val="auto"/>
              </w:rPr>
            </w:pPr>
            <w:r>
              <w:rPr>
                <w:rFonts w:ascii="Arial" w:cs="Arial" w:eastAsia="Arial" w:hAnsi="Arial"/>
                <w:sz w:val="18"/>
                <w:szCs w:val="18"/>
                <w:b w:val="1"/>
                <w:bCs w:val="1"/>
                <w:color w:val="auto"/>
              </w:rPr>
              <w:t>PART</w:t>
            </w:r>
          </w:p>
        </w:tc>
        <w:tc>
          <w:tcPr>
            <w:tcW w:w="340" w:type="dxa"/>
            <w:vAlign w:val="bottom"/>
            <w:gridSpan w:val="3"/>
            <w:vMerge w:val="continue"/>
          </w:tcPr>
          <w:p>
            <w:pPr>
              <w:spacing w:after="0"/>
              <w:rPr>
                <w:sz w:val="19"/>
                <w:szCs w:val="19"/>
                <w:color w:val="auto"/>
              </w:rPr>
            </w:pPr>
          </w:p>
        </w:tc>
        <w:tc>
          <w:tcPr>
            <w:tcW w:w="6840" w:type="dxa"/>
            <w:vAlign w:val="bottom"/>
            <w:gridSpan w:val="17"/>
            <w:vMerge w:val="restart"/>
          </w:tcPr>
          <w:p>
            <w:pPr>
              <w:ind w:left="20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Market for the Company’s Common Equity, Related Stockholder Matters and Issuer</w:t>
              </w:r>
            </w:hyperlink>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43" w:lineRule="exact"/>
              <w:rPr>
                <w:rFonts w:ascii="Arial" w:cs="Arial" w:eastAsia="Arial" w:hAnsi="Arial"/>
                <w:sz w:val="16"/>
                <w:szCs w:val="16"/>
                <w:color w:val="0000EE"/>
              </w:rPr>
            </w:pPr>
            <w:hyperlink w:anchor="page13">
              <w:r>
                <w:rPr>
                  <w:rFonts w:ascii="Arial" w:cs="Arial" w:eastAsia="Arial" w:hAnsi="Arial"/>
                  <w:sz w:val="16"/>
                  <w:szCs w:val="16"/>
                  <w:color w:val="0000EE"/>
                </w:rPr>
                <w:t>Item 5.</w:t>
              </w:r>
            </w:hyperlink>
          </w:p>
        </w:tc>
        <w:tc>
          <w:tcPr>
            <w:tcW w:w="68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17"/>
          </w:tcPr>
          <w:p>
            <w:pPr>
              <w:ind w:left="200"/>
              <w:spacing w:after="0" w:line="163" w:lineRule="exact"/>
              <w:rPr>
                <w:rFonts w:ascii="Arial" w:cs="Arial" w:eastAsia="Arial" w:hAnsi="Arial"/>
                <w:sz w:val="18"/>
                <w:szCs w:val="18"/>
                <w:color w:val="0000EE"/>
              </w:rPr>
            </w:pPr>
            <w:hyperlink w:anchor="page13">
              <w:r>
                <w:rPr>
                  <w:rFonts w:ascii="Arial" w:cs="Arial" w:eastAsia="Arial" w:hAnsi="Arial"/>
                  <w:sz w:val="18"/>
                  <w:szCs w:val="18"/>
                  <w:color w:val="0000EE"/>
                </w:rPr>
                <w:t>Purchases of Equity Securities</w:t>
              </w:r>
            </w:hyperlink>
          </w:p>
        </w:tc>
        <w:tc>
          <w:tcPr>
            <w:tcW w:w="0" w:type="dxa"/>
            <w:vAlign w:val="bottom"/>
          </w:tcPr>
          <w:p>
            <w:pPr>
              <w:spacing w:after="0"/>
              <w:rPr>
                <w:sz w:val="1"/>
                <w:szCs w:val="1"/>
                <w:color w:val="auto"/>
              </w:rPr>
            </w:pPr>
          </w:p>
        </w:tc>
      </w:tr>
      <w:tr>
        <w:trPr>
          <w:trHeight w:val="169"/>
        </w:trPr>
        <w:tc>
          <w:tcPr>
            <w:tcW w:w="880" w:type="dxa"/>
            <w:vAlign w:val="bottom"/>
            <w:gridSpan w:val="4"/>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200" w:type="dxa"/>
            <w:vAlign w:val="bottom"/>
          </w:tcPr>
          <w:p>
            <w:pPr>
              <w:spacing w:after="0"/>
              <w:rPr>
                <w:sz w:val="14"/>
                <w:szCs w:val="14"/>
                <w:color w:val="auto"/>
              </w:rPr>
            </w:pPr>
          </w:p>
        </w:tc>
        <w:tc>
          <w:tcPr>
            <w:tcW w:w="192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Selected Financial Data</w:t>
              </w:r>
            </w:hyperlink>
          </w:p>
        </w:tc>
        <w:tc>
          <w:tcPr>
            <w:tcW w:w="520" w:type="dxa"/>
            <w:vAlign w:val="bottom"/>
            <w:tcBorders>
              <w:top w:val="single" w:sz="8" w:color="0000EE"/>
            </w:tcBorders>
            <w:gridSpan w:val="3"/>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40" w:type="dxa"/>
            <w:vAlign w:val="bottom"/>
            <w:gridSpan w:val="17"/>
            <w:vMerge w:val="restart"/>
          </w:tcPr>
          <w:p>
            <w:pPr>
              <w:ind w:left="200"/>
              <w:spacing w:after="0" w:line="170"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w:t>
              </w:r>
            </w:hyperlink>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7.</w:t>
              </w:r>
            </w:hyperlink>
          </w:p>
        </w:tc>
        <w:tc>
          <w:tcPr>
            <w:tcW w:w="68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17"/>
          </w:tcPr>
          <w:p>
            <w:pPr>
              <w:ind w:left="200"/>
              <w:spacing w:after="0" w:line="163" w:lineRule="exact"/>
              <w:rPr>
                <w:rFonts w:ascii="Arial" w:cs="Arial" w:eastAsia="Arial" w:hAnsi="Arial"/>
                <w:sz w:val="18"/>
                <w:szCs w:val="18"/>
                <w:color w:val="0000EE"/>
              </w:rPr>
            </w:pPr>
            <w:hyperlink w:anchor="page16">
              <w:r>
                <w:rPr>
                  <w:rFonts w:ascii="Arial" w:cs="Arial" w:eastAsia="Arial" w:hAnsi="Arial"/>
                  <w:sz w:val="18"/>
                  <w:szCs w:val="18"/>
                  <w:color w:val="0000EE"/>
                </w:rPr>
                <w:t>Operations</w:t>
              </w:r>
            </w:hyperlink>
          </w:p>
        </w:tc>
        <w:tc>
          <w:tcPr>
            <w:tcW w:w="0" w:type="dxa"/>
            <w:vAlign w:val="bottom"/>
          </w:tcPr>
          <w:p>
            <w:pPr>
              <w:spacing w:after="0"/>
              <w:rPr>
                <w:sz w:val="1"/>
                <w:szCs w:val="1"/>
                <w:color w:val="auto"/>
              </w:rPr>
            </w:pPr>
          </w:p>
        </w:tc>
      </w:tr>
      <w:tr>
        <w:trPr>
          <w:trHeight w:val="169"/>
        </w:trPr>
        <w:tc>
          <w:tcPr>
            <w:tcW w:w="880" w:type="dxa"/>
            <w:vAlign w:val="bottom"/>
            <w:gridSpan w:val="4"/>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 7A.</w:t>
              </w:r>
            </w:hyperlink>
          </w:p>
        </w:tc>
        <w:tc>
          <w:tcPr>
            <w:tcW w:w="200" w:type="dxa"/>
            <w:vAlign w:val="bottom"/>
          </w:tcPr>
          <w:p>
            <w:pPr>
              <w:spacing w:after="0"/>
              <w:rPr>
                <w:sz w:val="14"/>
                <w:szCs w:val="14"/>
                <w:color w:val="auto"/>
              </w:rPr>
            </w:pPr>
          </w:p>
        </w:tc>
        <w:tc>
          <w:tcPr>
            <w:tcW w:w="880" w:type="dxa"/>
            <w:vAlign w:val="bottom"/>
            <w:tcBorders>
              <w:top w:val="single" w:sz="8" w:color="0000EE"/>
            </w:tcBorders>
            <w:gridSpan w:val="4"/>
          </w:tcPr>
          <w:p>
            <w:pPr>
              <w:spacing w:after="0" w:line="15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w:t>
              </w:r>
            </w:hyperlink>
          </w:p>
        </w:tc>
        <w:tc>
          <w:tcPr>
            <w:tcW w:w="5760" w:type="dxa"/>
            <w:vAlign w:val="bottom"/>
            <w:gridSpan w:val="12"/>
          </w:tcPr>
          <w:p>
            <w:pPr>
              <w:ind w:left="120"/>
              <w:spacing w:after="0" w:line="150" w:lineRule="exact"/>
              <w:rPr>
                <w:rFonts w:ascii="Arial" w:cs="Arial" w:eastAsia="Arial" w:hAnsi="Arial"/>
                <w:sz w:val="17"/>
                <w:szCs w:val="17"/>
                <w:color w:val="0000EE"/>
              </w:rPr>
            </w:pPr>
            <w:hyperlink w:anchor="page36">
              <w:r>
                <w:rPr>
                  <w:rFonts w:ascii="Arial" w:cs="Arial" w:eastAsia="Arial" w:hAnsi="Arial"/>
                  <w:sz w:val="17"/>
                  <w:szCs w:val="17"/>
                  <w:color w:val="0000EE"/>
                </w:rPr>
                <w:t>and Qualitative Disclosures About Market Risk</w:t>
              </w:r>
            </w:hyperlink>
          </w:p>
        </w:tc>
        <w:tc>
          <w:tcPr>
            <w:tcW w:w="0" w:type="dxa"/>
            <w:vAlign w:val="bottom"/>
          </w:tcPr>
          <w:p>
            <w:pPr>
              <w:spacing w:after="0"/>
              <w:rPr>
                <w:sz w:val="1"/>
                <w:szCs w:val="1"/>
                <w:color w:val="auto"/>
              </w:rPr>
            </w:pPr>
          </w:p>
        </w:tc>
      </w:tr>
      <w:tr>
        <w:trPr>
          <w:trHeight w:val="20"/>
        </w:trPr>
        <w:tc>
          <w:tcPr>
            <w:tcW w:w="660" w:type="dxa"/>
            <w:vAlign w:val="bottom"/>
            <w:tcBorders>
              <w:bottom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 8.</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36">
              <w:r>
                <w:rPr>
                  <w:rFonts w:ascii="Arial" w:cs="Arial" w:eastAsia="Arial" w:hAnsi="Arial"/>
                  <w:sz w:val="17"/>
                  <w:szCs w:val="17"/>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75">
              <w:r>
                <w:rPr>
                  <w:rFonts w:ascii="Arial" w:cs="Arial" w:eastAsia="Arial" w:hAnsi="Arial"/>
                  <w:sz w:val="18"/>
                  <w:szCs w:val="18"/>
                  <w:color w:val="0000EE"/>
                </w:rPr>
                <w:t>Item 9.</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75">
              <w:r>
                <w:rPr>
                  <w:rFonts w:ascii="Arial" w:cs="Arial" w:eastAsia="Arial" w:hAnsi="Arial"/>
                  <w:sz w:val="17"/>
                  <w:szCs w:val="17"/>
                  <w:color w:val="0000EE"/>
                </w:rPr>
                <w:t>Changes in and Disagreements with Accountants on Accounting and Financial</w:t>
              </w:r>
            </w:hyperlink>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6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17"/>
          </w:tcPr>
          <w:p>
            <w:pPr>
              <w:ind w:left="200"/>
              <w:spacing w:after="0" w:line="163" w:lineRule="exact"/>
              <w:rPr>
                <w:rFonts w:ascii="Arial" w:cs="Arial" w:eastAsia="Arial" w:hAnsi="Arial"/>
                <w:sz w:val="18"/>
                <w:szCs w:val="18"/>
                <w:color w:val="0000EE"/>
              </w:rPr>
            </w:pPr>
            <w:hyperlink w:anchor="page75">
              <w:r>
                <w:rPr>
                  <w:rFonts w:ascii="Arial" w:cs="Arial" w:eastAsia="Arial" w:hAnsi="Arial"/>
                  <w:sz w:val="18"/>
                  <w:szCs w:val="18"/>
                  <w:color w:val="0000EE"/>
                </w:rPr>
                <w:t>Disclosure</w:t>
              </w:r>
            </w:hyperlink>
          </w:p>
        </w:tc>
        <w:tc>
          <w:tcPr>
            <w:tcW w:w="0" w:type="dxa"/>
            <w:vAlign w:val="bottom"/>
          </w:tcPr>
          <w:p>
            <w:pPr>
              <w:spacing w:after="0"/>
              <w:rPr>
                <w:sz w:val="1"/>
                <w:szCs w:val="1"/>
                <w:color w:val="auto"/>
              </w:rPr>
            </w:pPr>
          </w:p>
        </w:tc>
      </w:tr>
      <w:tr>
        <w:trPr>
          <w:trHeight w:val="20"/>
        </w:trPr>
        <w:tc>
          <w:tcPr>
            <w:tcW w:w="880" w:type="dxa"/>
            <w:vAlign w:val="bottom"/>
            <w:gridSpan w:val="4"/>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4"/>
          </w:tcPr>
          <w:p>
            <w:pPr>
              <w:spacing w:after="0" w:line="156" w:lineRule="exact"/>
              <w:rPr>
                <w:rFonts w:ascii="Arial" w:cs="Arial" w:eastAsia="Arial" w:hAnsi="Arial"/>
                <w:sz w:val="18"/>
                <w:szCs w:val="18"/>
                <w:color w:val="0000EE"/>
              </w:rPr>
            </w:pPr>
            <w:hyperlink w:anchor="page75">
              <w:r>
                <w:rPr>
                  <w:rFonts w:ascii="Arial" w:cs="Arial" w:eastAsia="Arial" w:hAnsi="Arial"/>
                  <w:sz w:val="18"/>
                  <w:szCs w:val="18"/>
                  <w:color w:val="0000EE"/>
                </w:rPr>
                <w:t>Item 9A.</w:t>
              </w:r>
            </w:hyperlink>
          </w:p>
        </w:tc>
        <w:tc>
          <w:tcPr>
            <w:tcW w:w="200" w:type="dxa"/>
            <w:vAlign w:val="bottom"/>
            <w:vMerge w:val="continue"/>
          </w:tcPr>
          <w:p>
            <w:pPr>
              <w:spacing w:after="0"/>
              <w:rPr>
                <w:sz w:val="14"/>
                <w:szCs w:val="14"/>
                <w:color w:val="auto"/>
              </w:rPr>
            </w:pPr>
          </w:p>
        </w:tc>
        <w:tc>
          <w:tcPr>
            <w:tcW w:w="6640" w:type="dxa"/>
            <w:vAlign w:val="bottom"/>
            <w:gridSpan w:val="16"/>
          </w:tcPr>
          <w:p>
            <w:pPr>
              <w:spacing w:after="0" w:line="156"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80" w:type="dxa"/>
            <w:vAlign w:val="bottom"/>
            <w:tcBorders>
              <w:bottom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gridSpan w:val="4"/>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Item 9B.</w:t>
              </w:r>
            </w:hyperlink>
          </w:p>
        </w:tc>
        <w:tc>
          <w:tcPr>
            <w:tcW w:w="6840" w:type="dxa"/>
            <w:vAlign w:val="bottom"/>
            <w:gridSpan w:val="17"/>
          </w:tcPr>
          <w:p>
            <w:pPr>
              <w:ind w:left="200"/>
              <w:spacing w:after="0" w:line="150" w:lineRule="exact"/>
              <w:rPr>
                <w:rFonts w:ascii="Arial" w:cs="Arial" w:eastAsia="Arial" w:hAnsi="Arial"/>
                <w:sz w:val="17"/>
                <w:szCs w:val="17"/>
                <w:color w:val="0000EE"/>
              </w:rPr>
            </w:pPr>
            <w:hyperlink w:anchor="page77">
              <w:r>
                <w:rPr>
                  <w:rFonts w:ascii="Arial" w:cs="Arial" w:eastAsia="Arial" w:hAnsi="Arial"/>
                  <w:sz w:val="17"/>
                  <w:szCs w:val="17"/>
                  <w:color w:val="0000EE"/>
                </w:rPr>
                <w:t>Other Information</w:t>
              </w:r>
            </w:hyperlink>
          </w:p>
        </w:tc>
        <w:tc>
          <w:tcPr>
            <w:tcW w:w="0" w:type="dxa"/>
            <w:vAlign w:val="bottom"/>
          </w:tcPr>
          <w:p>
            <w:pPr>
              <w:spacing w:after="0"/>
              <w:rPr>
                <w:sz w:val="1"/>
                <w:szCs w:val="1"/>
                <w:color w:val="auto"/>
              </w:rPr>
            </w:pPr>
          </w:p>
        </w:tc>
      </w:tr>
      <w:tr>
        <w:trPr>
          <w:trHeight w:val="215"/>
        </w:trPr>
        <w:tc>
          <w:tcPr>
            <w:tcW w:w="6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w w:val="95"/>
              </w:rPr>
              <w:t>PART III</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-2425700</wp:posOffset>
            </wp:positionV>
            <wp:extent cx="55314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-2168525</wp:posOffset>
            </wp:positionV>
            <wp:extent cx="55314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-1911350</wp:posOffset>
            </wp:positionV>
            <wp:extent cx="55314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-1654175</wp:posOffset>
            </wp:positionV>
            <wp:extent cx="5565775" cy="1526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5775" cy="1526540"/>
                    </a:xfrm>
                    <a:prstGeom prst="rect">
                      <a:avLst/>
                    </a:prstGeom>
                    <a:noFill/>
                  </pic:spPr>
                </pic:pic>
              </a:graphicData>
            </a:graphic>
          </wp:anchor>
        </w:drawing>
      </w:r>
    </w:p>
    <w:p>
      <w:pPr>
        <w:spacing w:after="0"/>
        <w:tabs>
          <w:tab w:leader="none" w:pos="1060" w:val="left"/>
        </w:tabs>
        <w:rPr>
          <w:rFonts w:ascii="Arial" w:cs="Arial" w:eastAsia="Arial" w:hAnsi="Arial"/>
          <w:sz w:val="17"/>
          <w:szCs w:val="17"/>
          <w:u w:val="single" w:color="auto"/>
          <w:color w:val="0000EE"/>
        </w:rPr>
      </w:pPr>
      <w:hyperlink w:anchor="page77">
        <w:r>
          <w:rPr>
            <w:rFonts w:ascii="Arial" w:cs="Arial" w:eastAsia="Arial" w:hAnsi="Arial"/>
            <w:sz w:val="18"/>
            <w:szCs w:val="18"/>
            <w:u w:val="single" w:color="auto"/>
            <w:color w:val="0000EE"/>
          </w:rPr>
          <w:t>Item 10.</w:t>
        </w:r>
      </w:hyperlink>
      <w:r>
        <w:rPr>
          <w:rFonts w:ascii="Arial" w:cs="Arial" w:eastAsia="Arial" w:hAnsi="Arial"/>
          <w:sz w:val="18"/>
          <w:szCs w:val="18"/>
          <w:u w:val="single" w:color="auto"/>
          <w:color w:val="0000EE"/>
        </w:rPr>
        <w:tab/>
      </w:r>
      <w:hyperlink w:anchor="page77">
        <w:r>
          <w:rPr>
            <w:rFonts w:ascii="Arial" w:cs="Arial" w:eastAsia="Arial" w:hAnsi="Arial"/>
            <w:sz w:val="17"/>
            <w:szCs w:val="17"/>
            <w:u w:val="single" w:color="auto"/>
            <w:color w:val="0000EE"/>
          </w:rPr>
          <w:t>Directors, Executive Officers and 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5314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128905"/>
                    </a:xfrm>
                    <a:prstGeom prst="rect">
                      <a:avLst/>
                    </a:prstGeom>
                    <a:noFill/>
                  </pic:spPr>
                </pic:pic>
              </a:graphicData>
            </a:graphic>
          </wp:anchor>
        </w:drawing>
      </w:r>
    </w:p>
    <w:p>
      <w:pPr>
        <w:spacing w:after="0"/>
        <w:tabs>
          <w:tab w:leader="none" w:pos="1060" w:val="left"/>
        </w:tabs>
        <w:rPr>
          <w:rFonts w:ascii="Arial" w:cs="Arial" w:eastAsia="Arial" w:hAnsi="Arial"/>
          <w:sz w:val="17"/>
          <w:szCs w:val="17"/>
          <w:u w:val="single" w:color="auto"/>
          <w:color w:val="0000EE"/>
        </w:rPr>
      </w:pPr>
      <w:hyperlink w:anchor="page77">
        <w:r>
          <w:rPr>
            <w:rFonts w:ascii="Arial" w:cs="Arial" w:eastAsia="Arial" w:hAnsi="Arial"/>
            <w:sz w:val="18"/>
            <w:szCs w:val="18"/>
            <w:u w:val="single" w:color="auto"/>
            <w:color w:val="0000EE"/>
          </w:rPr>
          <w:t>Item 11.</w:t>
        </w:r>
      </w:hyperlink>
      <w:r>
        <w:rPr>
          <w:rFonts w:ascii="Arial" w:cs="Arial" w:eastAsia="Arial" w:hAnsi="Arial"/>
          <w:sz w:val="18"/>
          <w:szCs w:val="18"/>
          <w:u w:val="single" w:color="auto"/>
          <w:color w:val="0000EE"/>
        </w:rPr>
        <w:tab/>
      </w:r>
      <w:hyperlink w:anchor="page77">
        <w:r>
          <w:rPr>
            <w:rFonts w:ascii="Arial" w:cs="Arial" w:eastAsia="Arial" w:hAnsi="Arial"/>
            <w:sz w:val="17"/>
            <w:szCs w:val="17"/>
            <w:u w:val="single" w:color="auto"/>
            <w:color w:val="0000EE"/>
          </w:rPr>
          <w:t>Executive Compensation</w:t>
        </w:r>
      </w:hyperlink>
    </w:p>
    <w:p>
      <w:pPr>
        <w:spacing w:after="0"/>
        <w:tabs>
          <w:tab w:leader="none" w:pos="1060" w:val="left"/>
        </w:tabs>
        <w:rPr>
          <w:rFonts w:ascii="Arial" w:cs="Arial" w:eastAsia="Arial" w:hAnsi="Arial"/>
          <w:sz w:val="17"/>
          <w:szCs w:val="17"/>
          <w:u w:val="single" w:color="auto"/>
          <w:color w:val="0000EE"/>
        </w:rPr>
      </w:pPr>
      <w:hyperlink w:anchor="page77">
        <w:r>
          <w:rPr>
            <w:rFonts w:ascii="Arial" w:cs="Arial" w:eastAsia="Arial" w:hAnsi="Arial"/>
            <w:sz w:val="18"/>
            <w:szCs w:val="18"/>
            <w:u w:val="single" w:color="auto"/>
            <w:color w:val="0000EE"/>
          </w:rPr>
          <w:t>Item 12.</w:t>
        </w:r>
      </w:hyperlink>
      <w:r>
        <w:rPr>
          <w:rFonts w:ascii="Arial" w:cs="Arial" w:eastAsia="Arial" w:hAnsi="Arial"/>
          <w:sz w:val="18"/>
          <w:szCs w:val="18"/>
          <w:u w:val="single" w:color="auto"/>
          <w:color w:val="0000EE"/>
        </w:rPr>
        <w:tab/>
      </w:r>
      <w:hyperlink w:anchor="page77">
        <w:r>
          <w:rPr>
            <w:rFonts w:ascii="Arial" w:cs="Arial" w:eastAsia="Arial" w:hAnsi="Arial"/>
            <w:sz w:val="17"/>
            <w:szCs w:val="17"/>
            <w:u w:val="single" w:color="auto"/>
            <w:color w:val="0000EE"/>
          </w:rPr>
          <w:t>Security Ownership of Certain Beneficial Owners and Management and Related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53148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248920"/>
                    </a:xfrm>
                    <a:prstGeom prst="rect">
                      <a:avLst/>
                    </a:prstGeom>
                    <a:noFill/>
                  </pic:spPr>
                </pic:pic>
              </a:graphicData>
            </a:graphic>
          </wp:anchor>
        </w:drawing>
      </w:r>
    </w:p>
    <w:p>
      <w:pPr>
        <w:ind w:left="1080"/>
        <w:spacing w:after="0" w:line="227"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Stockholder Matters</w:t>
        </w:r>
      </w:hyperlink>
    </w:p>
    <w:p>
      <w:pPr>
        <w:spacing w:after="0"/>
        <w:tabs>
          <w:tab w:leader="none" w:pos="1060" w:val="left"/>
        </w:tabs>
        <w:rPr>
          <w:rFonts w:ascii="Arial" w:cs="Arial" w:eastAsia="Arial" w:hAnsi="Arial"/>
          <w:sz w:val="17"/>
          <w:szCs w:val="17"/>
          <w:u w:val="single" w:color="auto"/>
          <w:color w:val="0000EE"/>
        </w:rPr>
      </w:pPr>
      <w:hyperlink w:anchor="page77">
        <w:r>
          <w:rPr>
            <w:rFonts w:ascii="Arial" w:cs="Arial" w:eastAsia="Arial" w:hAnsi="Arial"/>
            <w:sz w:val="18"/>
            <w:szCs w:val="18"/>
            <w:u w:val="single" w:color="auto"/>
            <w:color w:val="0000EE"/>
          </w:rPr>
          <w:t>Item 13.</w:t>
        </w:r>
      </w:hyperlink>
      <w:r>
        <w:rPr>
          <w:rFonts w:ascii="Arial" w:cs="Arial" w:eastAsia="Arial" w:hAnsi="Arial"/>
          <w:sz w:val="18"/>
          <w:szCs w:val="18"/>
          <w:u w:val="single" w:color="auto"/>
          <w:color w:val="0000EE"/>
        </w:rPr>
        <w:tab/>
      </w:r>
      <w:hyperlink w:anchor="page77">
        <w:r>
          <w:rPr>
            <w:rFonts w:ascii="Arial" w:cs="Arial" w:eastAsia="Arial" w:hAnsi="Arial"/>
            <w:sz w:val="17"/>
            <w:szCs w:val="17"/>
            <w:u w:val="single" w:color="auto"/>
            <w:color w:val="0000EE"/>
          </w:rPr>
          <w:t>Certain Relationships and Related Transactions, and Director Independence</w:t>
        </w:r>
      </w:hyperlink>
    </w:p>
    <w:p>
      <w:pPr>
        <w:spacing w:after="0" w:line="3" w:lineRule="exact"/>
        <w:rPr>
          <w:sz w:val="20"/>
          <w:szCs w:val="20"/>
          <w:color w:val="auto"/>
        </w:rPr>
      </w:pPr>
    </w:p>
    <w:p>
      <w:pPr>
        <w:spacing w:after="0"/>
        <w:tabs>
          <w:tab w:leader="none" w:pos="1060" w:val="left"/>
        </w:tabs>
        <w:rPr>
          <w:rFonts w:ascii="Arial" w:cs="Arial" w:eastAsia="Arial" w:hAnsi="Arial"/>
          <w:sz w:val="17"/>
          <w:szCs w:val="17"/>
          <w:u w:val="single" w:color="auto"/>
          <w:color w:val="0000EE"/>
        </w:rPr>
      </w:pPr>
      <w:hyperlink w:anchor="page77">
        <w:r>
          <w:rPr>
            <w:rFonts w:ascii="Arial" w:cs="Arial" w:eastAsia="Arial" w:hAnsi="Arial"/>
            <w:sz w:val="18"/>
            <w:szCs w:val="18"/>
            <w:u w:val="single" w:color="auto"/>
            <w:color w:val="0000EE"/>
          </w:rPr>
          <w:t>Item 14.</w:t>
        </w:r>
      </w:hyperlink>
      <w:r>
        <w:rPr>
          <w:rFonts w:ascii="Arial" w:cs="Arial" w:eastAsia="Arial" w:hAnsi="Arial"/>
          <w:sz w:val="18"/>
          <w:szCs w:val="18"/>
          <w:u w:val="single" w:color="auto"/>
          <w:color w:val="0000EE"/>
        </w:rPr>
        <w:tab/>
      </w:r>
      <w:hyperlink w:anchor="page77">
        <w:r>
          <w:rPr>
            <w:rFonts w:ascii="Arial" w:cs="Arial" w:eastAsia="Arial" w:hAnsi="Arial"/>
            <w:sz w:val="17"/>
            <w:szCs w:val="17"/>
            <w:u w:val="single" w:color="auto"/>
            <w:color w:val="0000EE"/>
          </w:rPr>
          <w:t>Principal Accounting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55314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PART IV</w:t>
      </w:r>
    </w:p>
    <w:p>
      <w:pPr>
        <w:spacing w:after="0"/>
        <w:tabs>
          <w:tab w:leader="none" w:pos="1060" w:val="left"/>
        </w:tabs>
        <w:rPr>
          <w:rFonts w:ascii="Arial" w:cs="Arial" w:eastAsia="Arial" w:hAnsi="Arial"/>
          <w:sz w:val="17"/>
          <w:szCs w:val="17"/>
          <w:u w:val="single" w:color="auto"/>
          <w:color w:val="0000EE"/>
        </w:rPr>
      </w:pPr>
      <w:hyperlink w:anchor="page78">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78">
        <w:r>
          <w:rPr>
            <w:rFonts w:ascii="Arial" w:cs="Arial" w:eastAsia="Arial" w:hAnsi="Arial"/>
            <w:sz w:val="17"/>
            <w:szCs w:val="17"/>
            <w:u w:val="single" w:color="auto"/>
            <w:color w:val="0000EE"/>
          </w:rPr>
          <w:t>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553148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12890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SIGNATURES</w:t>
        </w:r>
      </w:hyperlink>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INDEX OF 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55314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654050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-328930</wp:posOffset>
            </wp:positionV>
            <wp:extent cx="334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0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2</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200" w:lineRule="exact"/>
        <w:rPr>
          <w:sz w:val="20"/>
          <w:szCs w:val="20"/>
          <w:color w:val="auto"/>
        </w:rPr>
      </w:pPr>
    </w:p>
    <w:p>
      <w:pPr>
        <w:spacing w:after="0" w:line="212" w:lineRule="exact"/>
        <w:rPr>
          <w:sz w:val="20"/>
          <w:szCs w:val="20"/>
          <w:color w:val="auto"/>
        </w:rPr>
      </w:pPr>
    </w:p>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11</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13</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14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34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34</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73</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73</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223"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pacing w:after="0" w:line="223" w:lineRule="exact"/>
        <w:rPr>
          <w:sz w:val="20"/>
          <w:szCs w:val="20"/>
          <w:color w:val="auto"/>
        </w:rPr>
      </w:pPr>
    </w:p>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76</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77</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78</w:t>
        </w:r>
      </w:hyperlink>
    </w:p>
    <w:p>
      <w:pPr>
        <w:sectPr>
          <w:pgSz w:w="11900" w:h="16838" w:orient="portrait"/>
          <w:cols w:equalWidth="0" w:num="2">
            <w:col w:w="7720" w:space="700"/>
            <w:col w:w="1659"/>
          </w:cols>
          <w:pgMar w:left="380" w:top="80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Foot Locker, Inc., incorporated under the laws of the State of New York in 1989, is a leading global retailer of athletically inspired shoes and apparel, operating 3,383 primarily mall-based stores in the United States, Canada, Europe, Australia, and New Zealand as of January 30, 2016. Foot Locker, Inc. and its subsidiaries hereafter are referred to as the “Registrant,” “Company,” “we,” “our,” or “us.” Information regarding the business is contained under the “Business Overview” section in “Item 7. Management’s Discussion and Analysis of Financial Condition and Results of Operations.”</w:t>
      </w:r>
    </w:p>
    <w:p>
      <w:pPr>
        <w:spacing w:after="0" w:line="83"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 xml:space="preserve">The Company maintains a website on the Internet at </w:t>
      </w:r>
      <w:r>
        <w:rPr>
          <w:rFonts w:ascii="Arial" w:cs="Arial" w:eastAsia="Arial" w:hAnsi="Arial"/>
          <w:sz w:val="18"/>
          <w:szCs w:val="18"/>
          <w:i w:val="1"/>
          <w:iCs w:val="1"/>
          <w:color w:val="auto"/>
        </w:rPr>
        <w:t>www.footlocker-inc.com</w:t>
      </w:r>
      <w:r>
        <w:rPr>
          <w:rFonts w:ascii="Arial" w:cs="Arial" w:eastAsia="Arial" w:hAnsi="Arial"/>
          <w:sz w:val="18"/>
          <w:szCs w:val="18"/>
          <w:color w:val="auto"/>
        </w:rPr>
        <w:t>. The Company’s filings with the U.S. Securities and Exchange Commission (the “SEC”), including its annual reports on Form 10-K, quarterly reports on Form 10-Q, current reports on Form 8-K, and all amendments to those reports are available free of charge through this website as soon as reasonably practicable after they are filed with or furnished to the SEC by clicking on the “SEC Filings” link.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 may also be obtained free of charge upon written request to the Company’s Corporate</w:t>
      </w:r>
    </w:p>
    <w:p>
      <w:pPr>
        <w:ind w:left="40"/>
        <w:spacing w:after="0" w:line="207" w:lineRule="auto"/>
        <w:rPr>
          <w:sz w:val="20"/>
          <w:szCs w:val="20"/>
          <w:color w:val="auto"/>
        </w:rPr>
      </w:pPr>
      <w:r>
        <w:rPr>
          <w:rFonts w:ascii="Arial" w:cs="Arial" w:eastAsia="Arial" w:hAnsi="Arial"/>
          <w:sz w:val="18"/>
          <w:szCs w:val="18"/>
          <w:color w:val="auto"/>
        </w:rPr>
        <w:t>Secretary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N.Y. 10120. Effective May 1, 2016 the address to use will be 330 West</w:t>
      </w:r>
    </w:p>
    <w:p>
      <w:pPr>
        <w:spacing w:after="0" w:line="1" w:lineRule="exact"/>
        <w:rPr>
          <w:sz w:val="20"/>
          <w:szCs w:val="20"/>
          <w:color w:val="auto"/>
        </w:rPr>
      </w:pPr>
    </w:p>
    <w:p>
      <w:pPr>
        <w:jc w:val="both"/>
        <w:ind w:left="40" w:right="519"/>
        <w:spacing w:after="0" w:line="218" w:lineRule="auto"/>
        <w:rPr>
          <w:sz w:val="20"/>
          <w:szCs w:val="20"/>
          <w:color w:val="auto"/>
        </w:rPr>
      </w:pPr>
      <w:r>
        <w:rPr>
          <w:rFonts w:ascii="Arial" w:cs="Arial" w:eastAsia="Arial" w:hAnsi="Arial"/>
          <w:sz w:val="18"/>
          <w:szCs w:val="18"/>
          <w:color w:val="auto"/>
        </w:rPr>
        <w:t>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N.Y. 10001. The Company intends to promptly disclose amendments to the Code of Business Conduct and waivers of the Code for directors and executive officers on the Corporate Governance section of the Company’s corporate website.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 Regarding Business Segments and Geographic Areas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financial information concerning business segments, divisions, and geographic areas is contained under the “Business Overview” and “Segment Information” sections in “Item 7. Management’s Discussion and Analysis of Financial Condition and Results of Operations.” Information regarding sales, operating results, and identifiable assets of the Company by business segment and by geographic area is contained under the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note in “Item 8. Consolidated Financial Statements and Supplementary Data.”</w:t>
      </w:r>
    </w:p>
    <w:p>
      <w:pPr>
        <w:spacing w:after="0" w:line="97"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service marks, trade names, and trademarks appearing in this report (except for Nike, Inc.) are owned by Foot Locker, Inc. or its subsidiaries.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Company and its consolidated subsidiaries had 14,944 full-time and 32,081 part-time employees at January 30, 2016. The Company considers employee relations to be satisfactory.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color w:val="auto"/>
        </w:rPr>
        <w:t xml:space="preserve">Financial information concerning competition is contained under the “Business Risk” section in the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Risk Management </w:t>
      </w:r>
      <w:r>
        <w:rPr>
          <w:rFonts w:ascii="Arial" w:cs="Arial" w:eastAsia="Arial" w:hAnsi="Arial"/>
          <w:sz w:val="18"/>
          <w:szCs w:val="18"/>
          <w:color w:val="auto"/>
        </w:rPr>
        <w:t>note in “Item 8. Consolidated Financial Statements and Supplementary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Merchandise Purchases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note in “Item 8. Consolidated Financial Statements and Supplementary Data.”</w:t>
      </w: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statements contained in this Annual Report on Form 10-K (“Annual Report”) that are not historical facts, including, but not limited to, statements regarding our expected financial position, business and financing plans found in “Item 1. Business” and “Item 7. Management’s Discussion and Analysis of Financial Condition and Results of Operations,” constitute “forward-looking statements” within the meaning of the Private Securities Litigation Reform Act of 1995.</w:t>
      </w:r>
    </w:p>
    <w:p>
      <w:pPr>
        <w:spacing w:after="0" w:line="96"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Please also see “Disclosure Regarding Forward-Looking Statements.” Our actual results may differ materially due to the risks and uncertainties discussed in this Annual Report, including those discussed below. Additional risks and uncertainties that we do not presently know about or that we currently consider to be insignificant may also affect our business operations and financial performance.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inability to implement our strategic long range plan may adversely affect our future results.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ability to successfully implement and execute our long-range plan is dependent on many factors. Our strategies may require significant capital investment and management attention, which may result in the diversion of these resources from our core business and other business issues and opportunities. Additionally, any new initiative is subject to certain risks including customer acceptance of our products and renovated store designs, competition, product differentiation, and the ability to attract and retain qualified personnel. If we cannot successfully execute our strategic growth initiatives or if the long-range plan does not adequately address the challenges or opportunities we face, our financial condition and results of operations may be adversely affected. Additionally, failure to meet market expectations, particularly with respect to sales, operating margins, and earnings per share, would likely result in volatility in the market value of our stock.</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retail athletic footwear and apparel business is highly competitive.</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athletic footwear and apparel operations compete primarily with athletic footwear specialty stores, sporting goods stores, department stores, discount stores, traditional shoe stores, mass merchandisers, and Internet retailers, many of which are units of national or regional chains that have significant financial and marketing resources. The principal competitive factors in our markets are selection of merchandise, reputation, store location, quality, advertising, price, and customer service. Our success also depends on our ability to differentiate ourselves from our competitors with respect to a quality merchandise assortment and superior customer service.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0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Although we sell merchandise via the Internet, a significant shift in customer buying patterns to purchasing athletic footwear, athletic apparel, and sporting goods via the Internet could have a material adverse effect on our business results. In addition, all of our significant suppliers operate retail stores and distribute products directly through the Internet and others may follow. Should this continue to occur, and if our customers decide to purchase directly from our suppliers, it could have a material adverse effect on our business, financial condition, and results of operations.</w:t>
      </w:r>
    </w:p>
    <w:p>
      <w:pPr>
        <w:spacing w:after="0" w:line="102"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The industry in which we operate is dependent upon fashion trends, customer preferences, product innovations, and other fashion-related factors.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athletic footwear and apparel industry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 – 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these customers could have a material adverse effect on our business, financial condition, and results of operations.</w:t>
      </w:r>
    </w:p>
    <w:p>
      <w:pPr>
        <w:spacing w:after="0" w:line="200" w:lineRule="exact"/>
        <w:rPr>
          <w:sz w:val="20"/>
          <w:szCs w:val="20"/>
          <w:color w:val="auto"/>
        </w:rPr>
      </w:pPr>
    </w:p>
    <w:p>
      <w:pPr>
        <w:spacing w:after="0" w:line="3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If we do not successfully manage our inventory levels, our operating results will be adversely affected.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must maintain sufficient inventory levels to operate our business successfully. However, we also must guard against accumulating excess inventory. For example, we order most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119"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A change in the relationship with any of our key suppliers or the unavailability of our key products at competitive prices could affect our financial health.</w:t>
      </w:r>
    </w:p>
    <w:p>
      <w:pPr>
        <w:spacing w:after="0" w:line="6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Our business is dependent to a significant degree upon our ability to obtain exclusive product and the ability to purchase brand-name merchandise at competitive prices from a limited number of suppliers. In addition, our suppliers provide volume discounts, cooperative advertising, and markdown allowances, as well as the ability to negotiate returns of excess or unneeded merchandise. We cannot be certain that such terms with our suppliers will continue in the future.</w:t>
      </w:r>
    </w:p>
    <w:p>
      <w:pPr>
        <w:spacing w:after="0" w:line="312"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purchased approximately 90 percent of its merchandise in 2015 from its top five suppliers and expects to continue to obtain a significant percentage of its athletic product from these suppliers in future periods. Approximately 72 percent of all merchandise purchased in 2015 was purchased from one supplier — Nike, Inc. (“Nike”). Each of our operating divisions is highly dependent on Nike; they individually purchased 55 to 82 percent of their merchandise from Nike.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of such merchandise to us in the future. Our inability to obtain merchandise in a timely manner from major suppliers (particularly Nike) as a result of business decisions by our suppliers or any disruption in the supply chain could have a material adverse effect on our business, financial condition, and results of operations. Because of our strong dependence on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depend on mall traffic and our ability to secure suitable store locations.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stores are located primarily in enclosed regional and neighborhood malls. Our sales are dependent, in part, on the volume of mall traffic. Mall traffic may be adversely affected by, among other factors, economic downturns, the closing of anchor department stores and/or specialty stores, and a decline in the popularity of mall shopping among our target customers. Further, any terrorist act, natural disaster, public health or safety concern that decreases the level of mall traffic, or that affects our ability to open and operate stores in affected areas, could have a material adverse effect on our business.</w:t>
      </w:r>
    </w:p>
    <w:p>
      <w:pPr>
        <w:spacing w:after="0" w:line="10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To take advantage of customer traffic and the shopping preferences of our customers, we need to maintain or acquire stores in desirable locations such as in regional and neighborhood malls anchored by major department stores. We cannot be certain that desirable mall locations will continue to be available at favorable rates. Some traditional enclosed malls are experiencing significantly lower levels of customer traffic, driven by economic conditions as well as the closure of certain mall anchor tenants.</w:t>
      </w:r>
    </w:p>
    <w:p>
      <w:pPr>
        <w:spacing w:after="0" w:line="9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Several large landlords dominate the ownership of prime malls, particularly in the United States, Canada, and Australia, and because of our dependence upon these landlords for a substantial number of our locations, any significant erosion of their financial condition or our relationships with these landlords would negatively affect our ability to obtain and retain store locations. Additionally, further landlord consolidation may negatively affect our ability to negotiate favorable lease terms.</w:t>
      </w:r>
    </w:p>
    <w:p>
      <w:pPr>
        <w:spacing w:after="0" w:line="200" w:lineRule="exact"/>
        <w:rPr>
          <w:sz w:val="20"/>
          <w:szCs w:val="20"/>
          <w:color w:val="auto"/>
        </w:rPr>
      </w:pPr>
    </w:p>
    <w:p>
      <w:pPr>
        <w:spacing w:after="0" w:line="3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experience fluctuations in and cyclicality of our comparable-store sales results.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the highly competitive retail sales environment, economic conditions, timing of promotional events, changes in our merchandise mix, calendar shifts of holiday periods, supply chain disruptions, and weather conditions. Many of our products represent discretionary purchases. Accordingly, customer demand for these products could decline in a recession or if our customers develop other priorities for their discretionary spending. These risks could have a material adverse effect on our business, financial condition, and results of operations.</w:t>
      </w:r>
    </w:p>
    <w:p>
      <w:pPr>
        <w:spacing w:after="0" w:line="117"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Economic or political conditions in other countries, including fluctuations in foreign currency exchange rates and tax rates may adversely affect our operations.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significant portion of our sales and operating income for 2015 was attributable to our operations in Europe, Canada, Australia, and New Zealand.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we and our suppliers have a substantial amount of our products manufactured in foreign countries, our ability to obtain sufficient quantities of merchandise on favorable terms may be affected by governmental regulations, trade restrictions, and economic, labor, and other conditions in the countries from which our suppliers obtain their product.</w:t>
      </w:r>
    </w:p>
    <w:p>
      <w:pPr>
        <w:spacing w:after="0" w:line="10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Fluctuations in the value of the euro may affect the value of our European earnings when translated into U.S. dollars. Similarly our earnings in Canada, Australia, and New Zealand may be affected by the value of currencies when translated into U.S. dollars. Our operating results may be adversely affected by significant changes in these foreign currencies relative to the U.S. dollar. For the most part, our international subsidiaries transact in their functional currency, other than in the U.K., whose inventory purchases are denominated in euro, which could result in foreign currency transaction gains or losses.</w:t>
      </w:r>
    </w:p>
    <w:p>
      <w:pPr>
        <w:spacing w:after="0" w:line="101"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Macroeconomic developments may adversely affect our business.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Our performance is subject to global economic conditions and the related impact on consumer spending levels. Continued uncertainty about global economic conditions poses a risk as consumers and businesses postpone spending in response to tighter credit, unemployment, negative financial news, and/or declines in income or asset values, which could have a material negative effect on demand for our products.</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There is also a risk that if negative economic conditions persist for a long period of time or worsen, consumers may make long-lasting reductions to their discretionary purchasing behavior. These and other economic factors could adversely affect demand for our products, which could adversely affect our financial condition and operating results.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Instability in the financial markets may adversely affect our business.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Any instability in the global financial markets could result in diminished credit availability. Although we currently have a revolving credit agreement in place until January 27, 2017, and other than amounts used for standby letters of credit, we do not have any borrowings under it, tightening of credit markets could make it more difficult for us to access funds, refinance our existing indebtedness, enter into agreements for new indebtedness or obtain funding through the issuance of the Company’s securities.</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We rely on a few key suppliers for a majority of our merchandise purchases (including a significant portion from one key supplier). The inability of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0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Material changes in the market value of the securities we hold may adversely affect our results of operations and financial condition.</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At January 30, 2016, our cash and cash equivalents totaled $1,021 million. The majority of our investments were short-term deposits in highly-rated banking institutions. As of January 30, 2016, $608 million of our cash and cash equivalents were held in foreign jurisdictions.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30, 2016, almost all of the investments were in institutions rated A or better from a major credit rating agency. Despite those ratings, it is possible that the value or liquidity of our investments may decline due to any number of factors, including general market conditions and bank-specific credit issues.</w:t>
      </w:r>
    </w:p>
    <w:p>
      <w:pPr>
        <w:spacing w:after="0" w:line="9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U.S. pension plan trust holds assets totaling $544 million at January 30, 2016.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have an impact on the funded status of our pension plan and future funding requirements.</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If our long-lived assets, goodwill or other intangible assets become impaired, we may need to record significant non-cash impairment charges.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We review our long-lived assets, goodwill and other intangible assets when events indicate that the carrying value of such assets may be impaired. Goodwill and other indefinite lived intangible assets are reviewed for impairment if impairment indicators arise and, at a minimum, annually. As of January 30, 2016, we had $156 million of goodwill; this asset is not amortized but is subject to an impairment test, which consists of either a qualitative assessment on a reporting unit level, or a two-step impairment test, if necessary. The determination of impairment charges is significantly affected by estimates of future operating cash flows and estimates of fair value. Our estimates of future operating cash flows are identified from our strategic long-range plans, which are based upon our experience, knowledge, and expectations; however, these estimates can be affected by factors such as our future operating results, future store profitability, and future economic conditions, all of which can be difficult to predict accurately. Any significant deterioration in macroeconomic conditions could affect the fair value of our long-lived assets, goodwill, and other intangible assets and could result in future impairment charges, which would adversely affect our results of operations.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financial results may be adversely affected by tax rates or exposure to additional tax liabilities.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 substantial portion of our cash and investments is invested outside of the United States. As we plan to permanently reinvest our foreign earnings outside the United States, in accordance with U.S. GAAP, we have not provided for U.S. federal and state income taxes or foreign withholding taxes that may result from future remittances of undistributed earnings of foreign subsidiaries. Recent proposals to reform U.S. tax rules may result in a reduction or elimination of the deferral of U.S. income tax on our foreign earnings, which could adversely affect our effective tax rate. Any of these changes could have an adverse effect on our results of operations and financial condition.</w:t>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The effects of natural disasters, terrorism, acts of war, and public health issues may adversely affect our business.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Natural disasters, including earthquakes, hurricanes, floods, and tornados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impact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of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Manufacturer compliance with our social compliance program requirements.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Complications in our distribution centers and other factors affecting the distribution of merchandise may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operate multiple distribution centers worldwide to support our businesses. In addition to the distribution centers that we operate, we have third-party arrangements to support our operations in the United States, Canada, Australia, and New Zealand. If complications arise with any facility or if any facility is severely damaged or destroyed, our other distribution centers may be unable to support the resulting additional distribution demands. We may be affected by disruptions in the global transportation network such as a port strike, weather conditions, work stoppages or other labor unrest. These factors may adversely affect our ability to deliver inventory on a timely basis. We depend upon third-party carriers for shipment of a significant amount of merchandise. An interruption in service by these carriers for any reason could cause temporary disruptions in our business, a loss of sales and profits, and other material adverse effects.</w:t>
      </w:r>
    </w:p>
    <w:p>
      <w:pPr>
        <w:spacing w:after="0" w:line="98"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Our freight cost is affected by changes in fuel prices through surcharges. Increases in fuel prices and surcharges, among other factors, may increase freight costs and thereby increase our cost of sales. We enter into diesel fuel forward and option contracts to mitigate a portion of the risk associated with the variability caused by these surcharges.</w:t>
      </w:r>
    </w:p>
    <w:p>
      <w:pPr>
        <w:spacing w:after="0" w:line="9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We are subject to technology risks including failures, security breaches, and cybersecurity risks which could harm our business, damage our reputation, and increase our costs in an effort to protect against such risks.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200" w:lineRule="exact"/>
        <w:rPr>
          <w:sz w:val="20"/>
          <w:szCs w:val="20"/>
          <w:color w:val="auto"/>
        </w:rPr>
      </w:pP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business involves the storage and transmission of customers’ personal information, including consumer preferences and credit card information. In an effort to enhance the security of our customers’ credit card information, during 2015 we implemented an encryption and tokenization platform for certain credit card transactions, whereby no credit card data is stored in our internal systems, with plans to expand this platform to the entire Company. We invest in security technology to protect the data stored by the Company, including our data and business processes, against the risk of data security breaches and cyber-attacks. Our data security management program includes enforcement of standard data protection policies such as Payment Card Industry compliance.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We also maintain an IT Security Incident Response Plan and routinely perform a table-top exercise with key IT and business stakeholders.</w:t>
      </w:r>
    </w:p>
    <w:p>
      <w:pPr>
        <w:spacing w:after="0" w:line="104"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While we believe that our security technology and processes follow leading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 Any such security breaches and cyber incidents could adversely affect our business. Failure of our systems,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such insurance may be insufficient to compensate us for potentially significant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digital operations.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digital operations are subject to numerous risks, including risks related to the failure of the computer systems that operate our websites and mobile sites and their related support systems, computer viruses, telecommunications failures, denial of service attacks, and similar disruptions. Also, we may require additional capital in the future to sustain or grow our digital commerce. Business risks related to digital commerce include risks associated with the need to keep pace with rapid technological change, Internet cybersecurity risks, risks of system failure or inadequacy, governmental regulation, legal uncertainties with respect to Internet regulatory compliance, and collection of sales or other taxes by additional states or foreign jurisdictions. If any of these risks materializes, it could have a material adverse effect on our business.</w:t>
      </w:r>
    </w:p>
    <w:p>
      <w:pPr>
        <w:spacing w:after="0" w:line="117" w:lineRule="exact"/>
        <w:rPr>
          <w:sz w:val="20"/>
          <w:szCs w:val="20"/>
          <w:color w:val="auto"/>
        </w:rPr>
      </w:pPr>
    </w:p>
    <w:p>
      <w:pPr>
        <w:jc w:val="both"/>
        <w:ind w:left="40" w:right="539"/>
        <w:spacing w:after="0" w:line="269" w:lineRule="auto"/>
        <w:rPr>
          <w:sz w:val="20"/>
          <w:szCs w:val="20"/>
          <w:color w:val="auto"/>
        </w:rPr>
      </w:pPr>
      <w:r>
        <w:rPr>
          <w:rFonts w:ascii="Arial" w:cs="Arial" w:eastAsia="Arial" w:hAnsi="Arial"/>
          <w:sz w:val="18"/>
          <w:szCs w:val="18"/>
          <w:b w:val="1"/>
          <w:bCs w:val="1"/>
          <w:color w:val="auto"/>
        </w:rPr>
        <w:t>The technology enablement of omni-channel in our business is complex and involves the development of a new digital platform and a new order management system in order to enhance the complete customer experience.</w:t>
      </w:r>
    </w:p>
    <w:p>
      <w:pPr>
        <w:spacing w:after="0" w:line="82"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We continue to invest in initiatives geared towards delivering a high-quality, coordinated shopping experience online, in-stores, and on mobile, which requires substantial investment in technology, information systems, employees, and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or we do not realize the return on our omni-channel investments that we anticipate, our financial performance and future growth could be materially adversely affected.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reliance on key management.</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Future performance will depend upon our ability to attract, retain, and motivate our executive and senior management team. Our executive and senior management teams have substantial experience and expertise in our business and have made significant contributions to our recent growth and success. Our future performance</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depends to a significant extent both upon the continued services of our current executive and senior management team, as well as our ability to attract, hire, motivate, and retain additional qualified management in the future.</w:t>
      </w:r>
    </w:p>
    <w:p>
      <w:pPr>
        <w:spacing w:after="0" w:line="88"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While we feel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attracting and retaining store and field associates.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Many of the store and field associates are in entry level or part-time positions which, historically, have had high rates of turnover.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overtime regulations, and changing demographics.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employment laws or regulation could harm our performance.</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Various foreign and domestic labor laws govern our relationship with our employees and affect our operating costs. These laws include minimum wage requirements, overtime pay, paid time off, work scheduling, healthcare reform and the implementation of the Patient Protection and Affordable Care Act, unemployment tax rates, workers’ compensation rates, works council requirements, and union membership. A number of factors could adversely affect our operating results, including additional government-imposed increases in minimum wages, overtime pay, paid leaves of absence and mandated health benefits, and changing regulations from the National Labor Relations Board or other agencies.</w:t>
      </w:r>
    </w:p>
    <w:p>
      <w:pPr>
        <w:spacing w:after="0" w:line="11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Legislative or regulatory initiatives related to global warming/climate change concerns may negatively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There has been an increasing focus and significant debate on global climate change, including increased attention from regulatory agencies and legislative bodies. This increased focus may lead to new initiatives directed at regulating an as-yet unspecified array of environmental matters. Legislative, regulatory, or other efforts in the United States to combat climate change could result in future increases in taxes or in the cost of transportation and utilities, which could decrease our operating profits and could necessitate future additional investments in facilities and equipment. We are unable to predict the potential effects that any such future environmental initiatives may have on our business.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be adversely affected by regulatory and litigation developments.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exposed to the risk that federal or state legislation may negatively impact our operations. Changes in federal or state wage requirements, employee rights, health care, social welfare or entitlement programs, such as health insurance, paid leave programs, or other changes in workplace regulation could increase our cost of doing business or otherwise adversely affect our operations. Additionally, we are regularly involved in various litigation matters, including class actions and patent infringement claims, which arise in the ordinary course of our business. Litigation or regulatory developments could adversely affect our business operations and financial performance.</w:t>
      </w:r>
    </w:p>
    <w:p>
      <w:pPr>
        <w:spacing w:after="0" w:line="119"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We operate in many different jurisdictions and we could be adversely affected by violations of the U.S. Foreign Corrupt Practices Act and similar worldwide anti-corruption laws.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U.S. Foreign Corrupt Practices Act (“FCPA”) and similar worldwide anti-corruption laws, including the U.K. Bribery Act of 2010, which is broader in scope than the FCPA, generally prohibit companies and their intermediaries from making improper payments to non-U.S.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w:t>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0" w:name="page11"/>
    <w:bookmarkEnd w:id="1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Our continued expansion outside the United States, including in developing countries, could increase the risk of FCPA violations in the future. Violations of these laws, or allegations of such violations, could disrupt our business and result in a material adverse effect on our results of operations or financial condition.</w:t>
      </w:r>
    </w:p>
    <w:p>
      <w:pPr>
        <w:spacing w:after="0" w:line="99" w:lineRule="exact"/>
        <w:rPr>
          <w:sz w:val="20"/>
          <w:szCs w:val="20"/>
          <w:color w:val="auto"/>
        </w:rPr>
      </w:pPr>
    </w:p>
    <w:p>
      <w:pPr>
        <w:jc w:val="both"/>
        <w:ind w:left="180" w:right="539"/>
        <w:spacing w:after="0" w:line="287" w:lineRule="auto"/>
        <w:rPr>
          <w:sz w:val="20"/>
          <w:szCs w:val="20"/>
          <w:color w:val="auto"/>
        </w:rPr>
      </w:pPr>
      <w:r>
        <w:rPr>
          <w:rFonts w:ascii="Arial" w:cs="Arial" w:eastAsia="Arial" w:hAnsi="Arial"/>
          <w:sz w:val="18"/>
          <w:szCs w:val="18"/>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67"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We continue to document, test, and monitor our internal controls over financial reporting in order to satisfy all of the requirements of Section 404 of the Sarbanes-Oxley Act of 2002; however, we cannot be assured that our disclosure controls and procedures and our internal controls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1B. Unresolved Staff Comments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2. Properties</w:t>
      </w:r>
    </w:p>
    <w:p>
      <w:pPr>
        <w:spacing w:after="0" w:line="139" w:lineRule="exact"/>
        <w:rPr>
          <w:sz w:val="20"/>
          <w:szCs w:val="20"/>
          <w:color w:val="auto"/>
        </w:rPr>
      </w:pPr>
    </w:p>
    <w:p>
      <w:pPr>
        <w:jc w:val="both"/>
        <w:ind w:left="180" w:right="539"/>
        <w:spacing w:after="0" w:line="254" w:lineRule="auto"/>
        <w:rPr>
          <w:sz w:val="20"/>
          <w:szCs w:val="20"/>
          <w:color w:val="auto"/>
        </w:rPr>
      </w:pPr>
      <w:r>
        <w:rPr>
          <w:rFonts w:ascii="Arial" w:cs="Arial" w:eastAsia="Arial" w:hAnsi="Arial"/>
          <w:sz w:val="18"/>
          <w:szCs w:val="18"/>
          <w:color w:val="auto"/>
        </w:rPr>
        <w:t>The properties of the Company and its consolidated subsidiaries consist of land, leased stores, administrative facilities, and distribution centers. Gross square footage and total selling area for the Athletic Stores segment at the end of 2015 were approximately 12.92 and 7.58 million square feet, respectively. These properties, which are primarily leased, are located in the United States and its territories, Canada, various European countries, Australia, and New Zealand.</w:t>
      </w:r>
    </w:p>
    <w:p>
      <w:pPr>
        <w:spacing w:after="0" w:line="96"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Company currently operates five distribution centers, of which two are owned and three are leased, occupying an aggregate of 2.9 million square feet. Three distribution centers are located in the United States, one in Germany, and one in the Netherlands. The location in Germany relates to the central warehouse distribution centers for the Runners Point Group store locations, as well as a distribution center for its direct-to-customer business. During 2014, we opened a new distribution center in Germany which provides us with increased capacity that will enable us to support the planned growth of both the store and direct-to-customer businesses. This larger distribution center also allowed us to consolidate the previous two locations in Germany during 2015.</w:t>
      </w:r>
    </w:p>
    <w:p>
      <w:pPr>
        <w:spacing w:after="0" w:line="99" w:lineRule="exact"/>
        <w:rPr>
          <w:sz w:val="20"/>
          <w:szCs w:val="20"/>
          <w:color w:val="auto"/>
        </w:rPr>
      </w:pPr>
    </w:p>
    <w:p>
      <w:pPr>
        <w:jc w:val="both"/>
        <w:ind w:left="180" w:right="539"/>
        <w:spacing w:after="0" w:line="262" w:lineRule="auto"/>
        <w:rPr>
          <w:sz w:val="20"/>
          <w:szCs w:val="20"/>
          <w:color w:val="auto"/>
        </w:rPr>
      </w:pPr>
      <w:r>
        <w:rPr>
          <w:rFonts w:ascii="Arial" w:cs="Arial" w:eastAsia="Arial" w:hAnsi="Arial"/>
          <w:sz w:val="18"/>
          <w:szCs w:val="18"/>
          <w:color w:val="auto"/>
        </w:rPr>
        <w:t>We also own a cross-dock and manufacturing facility and operate a leased warehouse in the United States, both of which support our Team Edition apparel business.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121" w:lineRule="exact"/>
        <w:rPr>
          <w:sz w:val="20"/>
          <w:szCs w:val="20"/>
          <w:color w:val="auto"/>
        </w:rPr>
      </w:pPr>
    </w:p>
    <w:p>
      <w:pPr>
        <w:jc w:val="both"/>
        <w:ind w:left="180" w:right="519"/>
        <w:spacing w:after="0" w:line="282"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8. Consolidated Financial Statements and Supplementary Data.”</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Information with respect to Executive Officers of the Company, as of March 24, 2016,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5486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3640" w:type="dxa"/>
            <w:vAlign w:val="bottom"/>
          </w:tcPr>
          <w:p>
            <w:pPr>
              <w:ind w:left="420"/>
              <w:spacing w:after="0"/>
              <w:rPr>
                <w:sz w:val="20"/>
                <w:szCs w:val="20"/>
                <w:color w:val="auto"/>
              </w:rPr>
            </w:pPr>
            <w:r>
              <w:rPr>
                <w:rFonts w:ascii="Arial" w:cs="Arial" w:eastAsia="Arial" w:hAnsi="Arial"/>
                <w:sz w:val="18"/>
                <w:szCs w:val="18"/>
                <w:color w:val="auto"/>
              </w:rPr>
              <w:t>Richard A. Johnson</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and Chief Executive Officer North America</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Stephen D. Jacobs</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and Chief Executive Officer International</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Lewis P. Kimble</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 Operations Support</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Robert W. McHugh</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Lauren B. Peters</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Senior Vice President and Chief Human Resources Officer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Paulette R. Alviti</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Senior Vice President — Real Estate</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Jeffrey L. Berk</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Senior Vice President and Chief Accounting Officer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Giovanna Cipriano</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Senior Vice President, General Counsel and Secretary</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Sheilagh M. Clarke</w:t>
            </w: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Senior Vice President and Chief Information Officer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Pawan Verma</w:t>
            </w:r>
          </w:p>
        </w:tc>
      </w:tr>
      <w:tr>
        <w:trPr>
          <w:trHeight w:val="217"/>
        </w:trPr>
        <w:tc>
          <w:tcPr>
            <w:tcW w:w="5960" w:type="dxa"/>
            <w:vAlign w:val="bottom"/>
          </w:tcPr>
          <w:p>
            <w:pPr>
              <w:ind w:left="140"/>
              <w:spacing w:after="0"/>
              <w:rPr>
                <w:sz w:val="20"/>
                <w:szCs w:val="20"/>
                <w:color w:val="auto"/>
              </w:rPr>
            </w:pPr>
            <w:r>
              <w:rPr>
                <w:rFonts w:ascii="Arial" w:cs="Arial" w:eastAsia="Arial" w:hAnsi="Arial"/>
                <w:sz w:val="18"/>
                <w:szCs w:val="18"/>
                <w:color w:val="auto"/>
              </w:rPr>
              <w:t>Vice President, Treasurer and Investor Relations</w:t>
            </w:r>
          </w:p>
        </w:tc>
        <w:tc>
          <w:tcPr>
            <w:tcW w:w="3640" w:type="dxa"/>
            <w:vAlign w:val="bottom"/>
          </w:tcPr>
          <w:p>
            <w:pPr>
              <w:ind w:left="420"/>
              <w:spacing w:after="0"/>
              <w:rPr>
                <w:sz w:val="20"/>
                <w:szCs w:val="20"/>
                <w:color w:val="auto"/>
              </w:rPr>
            </w:pPr>
            <w:r>
              <w:rPr>
                <w:rFonts w:ascii="Arial" w:cs="Arial" w:eastAsia="Arial" w:hAnsi="Arial"/>
                <w:sz w:val="18"/>
                <w:szCs w:val="18"/>
                <w:color w:val="auto"/>
              </w:rPr>
              <w:t>John A. Maurer</w:t>
            </w:r>
          </w:p>
        </w:tc>
      </w:tr>
      <w:tr>
        <w:trPr>
          <w:trHeight w:val="756"/>
        </w:trPr>
        <w:tc>
          <w:tcPr>
            <w:tcW w:w="5960" w:type="dxa"/>
            <w:vAlign w:val="bottom"/>
          </w:tcPr>
          <w:p>
            <w:pPr>
              <w:ind w:left="4740"/>
              <w:spacing w:after="0"/>
              <w:rPr>
                <w:sz w:val="20"/>
                <w:szCs w:val="20"/>
                <w:color w:val="auto"/>
              </w:rPr>
            </w:pPr>
            <w:r>
              <w:rPr>
                <w:rFonts w:ascii="Arial" w:cs="Arial" w:eastAsia="Arial" w:hAnsi="Arial"/>
                <w:sz w:val="18"/>
                <w:szCs w:val="18"/>
                <w:color w:val="auto"/>
              </w:rPr>
              <w:t>9</w:t>
            </w:r>
          </w:p>
        </w:tc>
        <w:tc>
          <w:tcPr>
            <w:tcW w:w="3640" w:type="dxa"/>
            <w:vAlign w:val="bottom"/>
          </w:tcPr>
          <w:p>
            <w:pPr>
              <w:spacing w:after="0"/>
              <w:rPr>
                <w:sz w:val="24"/>
                <w:szCs w:val="24"/>
                <w:color w:val="auto"/>
              </w:rPr>
            </w:pPr>
          </w:p>
        </w:tc>
      </w:tr>
      <w:tr>
        <w:trPr>
          <w:trHeight w:val="162"/>
        </w:trPr>
        <w:tc>
          <w:tcPr>
            <w:tcW w:w="5960" w:type="dxa"/>
            <w:vAlign w:val="bottom"/>
            <w:tcBorders>
              <w:bottom w:val="single" w:sz="8" w:color="9A9A9A"/>
            </w:tcBorders>
          </w:tcPr>
          <w:p>
            <w:pPr>
              <w:spacing w:after="0"/>
              <w:rPr>
                <w:sz w:val="14"/>
                <w:szCs w:val="14"/>
                <w:color w:val="auto"/>
              </w:rPr>
            </w:pPr>
          </w:p>
        </w:tc>
        <w:tc>
          <w:tcPr>
            <w:tcW w:w="3640" w:type="dxa"/>
            <w:vAlign w:val="bottom"/>
            <w:tcBorders>
              <w:bottom w:val="single" w:sz="8" w:color="9A9A9A"/>
            </w:tcBorders>
          </w:tcPr>
          <w:p>
            <w:pPr>
              <w:spacing w:after="0"/>
              <w:rPr>
                <w:sz w:val="14"/>
                <w:szCs w:val="14"/>
                <w:color w:val="auto"/>
              </w:rPr>
            </w:pPr>
          </w:p>
        </w:tc>
      </w:tr>
      <w:tr>
        <w:trPr>
          <w:trHeight w:val="21"/>
        </w:trPr>
        <w:tc>
          <w:tcPr>
            <w:tcW w:w="5960" w:type="dxa"/>
            <w:vAlign w:val="bottom"/>
            <w:tcBorders>
              <w:bottom w:val="single" w:sz="8" w:color="EEEEEE"/>
            </w:tcBorders>
          </w:tcPr>
          <w:p>
            <w:pPr>
              <w:spacing w:after="0" w:line="20" w:lineRule="exact"/>
              <w:rPr>
                <w:sz w:val="1"/>
                <w:szCs w:val="1"/>
                <w:color w:val="auto"/>
              </w:rPr>
            </w:pPr>
          </w:p>
        </w:tc>
        <w:tc>
          <w:tcPr>
            <w:tcW w:w="36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Richard A. Johnson, </w:t>
      </w:r>
      <w:r>
        <w:rPr>
          <w:rFonts w:ascii="Arial" w:cs="Arial" w:eastAsia="Arial" w:hAnsi="Arial"/>
          <w:sz w:val="18"/>
          <w:szCs w:val="18"/>
          <w:color w:val="auto"/>
        </w:rPr>
        <w:t>age 58, has served as President and Chief Executive Officer since December 1, 2014. Mr.</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previously served as Executive Vice President and Chief Operating Officer from May 16, 2012 through November 30, 2014. He served as Executive Vice President and Group President from July 2011 to May 15, 2012; President and Chief Executive Officer of Foot Locker U.S., Lady Foot Locker, Kids Foot Locker, and Footaction from January 2010 to July 2011; President and Chief Executive Officer of Foot Locker Europe from August 2007 to January 2010; and President and Chief Executive Officer of Footlocker.com/Eastbay from April 2003 to August 2007.</w:t>
      </w:r>
    </w:p>
    <w:p>
      <w:pPr>
        <w:spacing w:after="0" w:line="75"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Stephen D. Jacobs, </w:t>
      </w:r>
      <w:r>
        <w:rPr>
          <w:rFonts w:ascii="Arial" w:cs="Arial" w:eastAsia="Arial" w:hAnsi="Arial"/>
          <w:sz w:val="18"/>
          <w:szCs w:val="18"/>
          <w:color w:val="auto"/>
        </w:rPr>
        <w:t>age 53, has served as Executive Vice President and Chief Executive Officer North America since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2016. Mr. Jacobs has been with the Company for 18 years in positions of increasing responsibility. Mr. Jacobs previously served as Executive Vice President and Chief Executive Officer Foot Locker North America from December 1, 2014 through February 28, 2016. He served as President and Chief Executive Officer of Foot Locker U.S., Lady Foot Locker, Kids Foot Locker, and Footaction from July 2011 to November 2014 and President and Chief Executive Officer of Champs Sports from January 2009 to June 2011.</w:t>
      </w:r>
    </w:p>
    <w:p>
      <w:pPr>
        <w:spacing w:after="0" w:line="75" w:lineRule="exact"/>
        <w:rPr>
          <w:sz w:val="20"/>
          <w:szCs w:val="20"/>
          <w:color w:val="auto"/>
        </w:rPr>
      </w:pPr>
    </w:p>
    <w:p>
      <w:pPr>
        <w:jc w:val="both"/>
        <w:ind w:left="40" w:right="539"/>
        <w:spacing w:after="0" w:line="258" w:lineRule="auto"/>
        <w:rPr>
          <w:sz w:val="20"/>
          <w:szCs w:val="20"/>
          <w:color w:val="auto"/>
        </w:rPr>
      </w:pPr>
      <w:r>
        <w:rPr>
          <w:rFonts w:ascii="Arial" w:cs="Arial" w:eastAsia="Arial" w:hAnsi="Arial"/>
          <w:sz w:val="18"/>
          <w:szCs w:val="18"/>
          <w:i w:val="1"/>
          <w:iCs w:val="1"/>
          <w:color w:val="auto"/>
        </w:rPr>
        <w:t xml:space="preserve">Lewis P. Kimble, age 57, </w:t>
      </w:r>
      <w:r>
        <w:rPr>
          <w:rFonts w:ascii="Arial" w:cs="Arial" w:eastAsia="Arial" w:hAnsi="Arial"/>
          <w:sz w:val="18"/>
          <w:szCs w:val="18"/>
          <w:color w:val="auto"/>
        </w:rPr>
        <w:t>has served as Executive Vice President and Chief Executive Officer International since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2016. Mr. Kimble previously served as President and Chief Executive Officer of Foot Locker Europe from February 1, 2010 to February 28, 2016. Prior to that role Mr. Kimble led our business in Australia and New Zealand as Managing Director of Foot Locker Asia Pacific. Over his almost 40 years with the Company, Mr. Kimble has also held Vice President positions across multiple functions within the United States and Europe.</w:t>
      </w:r>
    </w:p>
    <w:p>
      <w:pPr>
        <w:spacing w:after="0" w:line="76"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i w:val="1"/>
          <w:iCs w:val="1"/>
          <w:color w:val="auto"/>
        </w:rPr>
        <w:t xml:space="preserve">Robert W. McHugh, </w:t>
      </w:r>
      <w:r>
        <w:rPr>
          <w:rFonts w:ascii="Arial" w:cs="Arial" w:eastAsia="Arial" w:hAnsi="Arial"/>
          <w:sz w:val="18"/>
          <w:szCs w:val="18"/>
          <w:color w:val="auto"/>
        </w:rPr>
        <w:t>age 57, has served as Executive Vice President — Operations Support since July 2011.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and Chief Financial Officer from May 2009 to July 2011.</w:t>
      </w:r>
    </w:p>
    <w:p>
      <w:pPr>
        <w:spacing w:after="0" w:line="54"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i w:val="1"/>
          <w:iCs w:val="1"/>
          <w:color w:val="auto"/>
        </w:rPr>
        <w:t xml:space="preserve">Lauren B. Peters, </w:t>
      </w:r>
      <w:r>
        <w:rPr>
          <w:rFonts w:ascii="Arial" w:cs="Arial" w:eastAsia="Arial" w:hAnsi="Arial"/>
          <w:sz w:val="18"/>
          <w:szCs w:val="18"/>
          <w:color w:val="auto"/>
        </w:rPr>
        <w:t>age 54, has served as Executive Vice President and Chief Financial Officer since July 2011.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 Strategic Planning from April 2002 to July 2011.</w:t>
      </w:r>
    </w:p>
    <w:p>
      <w:pPr>
        <w:spacing w:after="0" w:line="54"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Paulette R. Alviti, </w:t>
      </w:r>
      <w:r>
        <w:rPr>
          <w:rFonts w:ascii="Arial" w:cs="Arial" w:eastAsia="Arial" w:hAnsi="Arial"/>
          <w:sz w:val="18"/>
          <w:szCs w:val="18"/>
          <w:color w:val="auto"/>
        </w:rPr>
        <w:t>age 45, has served as Senior Vice President and Chief Human Resources Officer since June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2010 to May 2013, Ms. Alviti served in various roles at PepsiCo, Inc.: SVP and Chief Human Resources Officer Asia, Middle East, Africa (February to May 2013); SVP Global Talent Acquisition and Deployment (July 2012 to February 2013); and SVP — Human Resources (March 2010 to July 2012). From March 2008 to March 2010, she served as VP — Human Resources of The Pepsi Bottling Group, Inc.</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Jeffrey L. Berk, </w:t>
      </w:r>
      <w:r>
        <w:rPr>
          <w:rFonts w:ascii="Arial" w:cs="Arial" w:eastAsia="Arial" w:hAnsi="Arial"/>
          <w:sz w:val="18"/>
          <w:szCs w:val="18"/>
          <w:color w:val="auto"/>
        </w:rPr>
        <w:t>age 60, has served as Senior Vice President — Real Estate since February 2000.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Giovanna Cipriano, </w:t>
      </w:r>
      <w:r>
        <w:rPr>
          <w:rFonts w:ascii="Arial" w:cs="Arial" w:eastAsia="Arial" w:hAnsi="Arial"/>
          <w:sz w:val="18"/>
          <w:szCs w:val="18"/>
          <w:color w:val="auto"/>
        </w:rPr>
        <w:t>age 46, has served as Senior Vice President and Chief Accounting Officer since May 2009.</w:t>
      </w:r>
    </w:p>
    <w:p>
      <w:pPr>
        <w:spacing w:after="0" w:line="117"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Sheilagh M. Clarke, </w:t>
      </w:r>
      <w:r>
        <w:rPr>
          <w:rFonts w:ascii="Arial" w:cs="Arial" w:eastAsia="Arial" w:hAnsi="Arial"/>
          <w:sz w:val="18"/>
          <w:szCs w:val="18"/>
          <w:color w:val="auto"/>
        </w:rPr>
        <w:t>age 56, has served as Senior Vice President, General Counsel and Secretary since June 1, 2014.</w:t>
      </w:r>
      <w:r>
        <w:rPr>
          <w:rFonts w:ascii="Arial" w:cs="Arial" w:eastAsia="Arial" w:hAnsi="Arial"/>
          <w:sz w:val="18"/>
          <w:szCs w:val="18"/>
          <w:i w:val="1"/>
          <w:iCs w:val="1"/>
          <w:color w:val="auto"/>
        </w:rPr>
        <w:t xml:space="preserve"> </w:t>
      </w:r>
      <w:r>
        <w:rPr>
          <w:rFonts w:ascii="Arial" w:cs="Arial" w:eastAsia="Arial" w:hAnsi="Arial"/>
          <w:sz w:val="18"/>
          <w:szCs w:val="18"/>
          <w:color w:val="auto"/>
        </w:rPr>
        <w:t>She previously served as Vice President, Associate General Counsel and Assistant Secretary from May 2007 to May 2014.</w:t>
      </w:r>
    </w:p>
    <w:p>
      <w:pPr>
        <w:spacing w:after="0" w:line="68"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Pawan Verma</w:t>
      </w:r>
      <w:r>
        <w:rPr>
          <w:rFonts w:ascii="Arial" w:cs="Arial" w:eastAsia="Arial" w:hAnsi="Arial"/>
          <w:sz w:val="18"/>
          <w:szCs w:val="18"/>
          <w:color w:val="auto"/>
        </w:rPr>
        <w:t>, age 39, has served as Senior Vice President and Chief Information Officer since August 10,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2013 to July 2015, Mr. Verma served in various technology leadership roles at Target Corporation ranging from enterprise architecture, eCommerce, Mobile and digital, with his most recent role as Vice President-Digital Technology and API Platforms. From March 2011 to January 2013, he served as Sr. Director, eCommerce, Digital and Mobile of Convergys Corporation. He also served in various technology leadership roles at Verizon Wireless between October 2003 and February 2011.</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John A. Maurer, </w:t>
      </w:r>
      <w:r>
        <w:rPr>
          <w:rFonts w:ascii="Arial" w:cs="Arial" w:eastAsia="Arial" w:hAnsi="Arial"/>
          <w:sz w:val="18"/>
          <w:szCs w:val="18"/>
          <w:color w:val="auto"/>
        </w:rPr>
        <w:t>age 56, has served as Vice President, Treasurer and Investor Relations since February 2011. Mr.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Maurer served as Vice President and Treasurer from September 2006 to February 2011.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 family relationships among the executive officers or directors of the Company.</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660" w:right="539" w:hanging="634"/>
        <w:spacing w:after="0" w:line="287" w:lineRule="auto"/>
        <w:rPr>
          <w:sz w:val="20"/>
          <w:szCs w:val="20"/>
          <w:color w:val="auto"/>
        </w:rPr>
      </w:pPr>
      <w:r>
        <w:rPr>
          <w:rFonts w:ascii="Arial" w:cs="Arial" w:eastAsia="Arial" w:hAnsi="Arial"/>
          <w:sz w:val="18"/>
          <w:szCs w:val="18"/>
          <w:b w:val="1"/>
          <w:bCs w:val="1"/>
          <w:i w:val="1"/>
          <w:iCs w:val="1"/>
          <w:color w:val="auto"/>
        </w:rPr>
        <w:t>Item 5. Market for the Company’s Common Equity, Related Stockholder Matters and Issuer Purchases of Equity Securities</w:t>
      </w:r>
    </w:p>
    <w:p>
      <w:pPr>
        <w:spacing w:after="0" w:line="6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Foot Locker, Inc. common stock (ticker symbol “FL”) is listed on The New York Stock Exchange as well as on the Börse Stuttgart stock exchange in Germany. As of January 30, 2016, the Company had 14,237 shareholders of record owning 136,976,809 common shares.</w:t>
      </w:r>
    </w:p>
    <w:p>
      <w:pPr>
        <w:spacing w:after="0" w:line="94"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following table provides the intra-day high and low sales prices for the Company’s common stock for the periods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spacing w:after="0"/>
              <w:rPr>
                <w:sz w:val="15"/>
                <w:szCs w:val="15"/>
                <w:color w:val="auto"/>
              </w:rPr>
            </w:pPr>
          </w:p>
        </w:tc>
      </w:tr>
      <w:tr>
        <w:trPr>
          <w:trHeight w:val="196"/>
        </w:trPr>
        <w:tc>
          <w:tcPr>
            <w:tcW w:w="2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Low</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37"/>
        </w:trPr>
        <w:tc>
          <w:tcPr>
            <w:tcW w:w="2400" w:type="dxa"/>
            <w:vAlign w:val="bottom"/>
          </w:tcPr>
          <w:p>
            <w:pPr>
              <w:ind w:left="20"/>
              <w:spacing w:after="0" w:line="236" w:lineRule="exact"/>
              <w:rPr>
                <w:sz w:val="20"/>
                <w:szCs w:val="20"/>
                <w:color w:val="auto"/>
              </w:rPr>
            </w:pPr>
            <w:r>
              <w:rPr>
                <w:rFonts w:ascii="Arial" w:cs="Arial" w:eastAsia="Arial" w:hAnsi="Arial"/>
                <w:sz w:val="17"/>
                <w:szCs w:val="17"/>
                <w:color w:val="auto"/>
              </w:rPr>
              <w:t>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Quarter</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63.66</w:t>
            </w:r>
          </w:p>
        </w:tc>
        <w:tc>
          <w:tcPr>
            <w:tcW w:w="50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52.12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48.71</w:t>
            </w: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36.65</w:t>
            </w:r>
          </w:p>
        </w:tc>
      </w:tr>
      <w:tr>
        <w:trPr>
          <w:trHeight w:val="243"/>
        </w:trPr>
        <w:tc>
          <w:tcPr>
            <w:tcW w:w="24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w:t>
            </w:r>
          </w:p>
        </w:tc>
        <w:tc>
          <w:tcPr>
            <w:tcW w:w="17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71.07</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60.14</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46.20</w:t>
            </w:r>
          </w:p>
        </w:tc>
      </w:tr>
      <w:tr>
        <w:trPr>
          <w:trHeight w:val="243"/>
        </w:trPr>
        <w:tc>
          <w:tcPr>
            <w:tcW w:w="2400" w:type="dxa"/>
            <w:vAlign w:val="bottom"/>
          </w:tcPr>
          <w:p>
            <w:pPr>
              <w:ind w:left="20"/>
              <w:spacing w:after="0" w:line="243"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w:t>
            </w:r>
          </w:p>
        </w:tc>
        <w:tc>
          <w:tcPr>
            <w:tcW w:w="17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77.25</w:t>
            </w:r>
          </w:p>
        </w:tc>
        <w:tc>
          <w:tcPr>
            <w:tcW w:w="5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63.02</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58.40</w:t>
            </w:r>
          </w:p>
        </w:tc>
        <w:tc>
          <w:tcPr>
            <w:tcW w:w="5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47.90</w:t>
            </w:r>
          </w:p>
        </w:tc>
      </w:tr>
      <w:tr>
        <w:trPr>
          <w:trHeight w:val="243"/>
        </w:trPr>
        <w:tc>
          <w:tcPr>
            <w:tcW w:w="240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7"/>
                <w:szCs w:val="17"/>
                <w:color w:val="auto"/>
              </w:rPr>
              <w:t>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w:t>
            </w:r>
          </w:p>
        </w:tc>
        <w:tc>
          <w:tcPr>
            <w:tcW w:w="17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69.99</w:t>
            </w: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57.23</w:t>
            </w: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51.12</w:t>
            </w: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each of the quarters of 2015, the Company declared a dividend of $ 0.25 per share. The Board of Directors reviews the dividend policy and rate, taking into consideration the overall financial and strategic outlook for our earnings, liquidity, and cash flow. On February 17, 2016, the Board of Directors declared a quarterly dividend of $0.275 per share to be paid on April 29, 2016. This dividend represents a 10 percent increase over the Company’s previous quarterly per share amount.</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is a summary of our fourth quarter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225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340" w:type="dxa"/>
            <w:vAlign w:val="bottom"/>
          </w:tcPr>
          <w:p>
            <w:pPr>
              <w:jc w:val="center"/>
              <w:ind w:left="22"/>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340" w:type="dxa"/>
            <w:vAlign w:val="bottom"/>
          </w:tcPr>
          <w:p>
            <w:pPr>
              <w:jc w:val="center"/>
              <w:ind w:left="22"/>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100" w:type="dxa"/>
            <w:vAlign w:val="bottom"/>
          </w:tcPr>
          <w:p>
            <w:pPr>
              <w:spacing w:after="0"/>
              <w:rPr>
                <w:sz w:val="14"/>
                <w:szCs w:val="14"/>
                <w:color w:val="auto"/>
              </w:rPr>
            </w:pPr>
          </w:p>
        </w:tc>
        <w:tc>
          <w:tcPr>
            <w:tcW w:w="1800" w:type="dxa"/>
            <w:vAlign w:val="bottom"/>
          </w:tcPr>
          <w:p>
            <w:pPr>
              <w:jc w:val="center"/>
              <w:ind w:left="53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34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100" w:type="dxa"/>
            <w:vAlign w:val="bottom"/>
          </w:tcPr>
          <w:p>
            <w:pPr>
              <w:spacing w:after="0"/>
              <w:rPr>
                <w:sz w:val="14"/>
                <w:szCs w:val="14"/>
                <w:color w:val="auto"/>
              </w:rPr>
            </w:pPr>
          </w:p>
        </w:tc>
        <w:tc>
          <w:tcPr>
            <w:tcW w:w="1800" w:type="dxa"/>
            <w:vAlign w:val="bottom"/>
          </w:tcPr>
          <w:p>
            <w:pPr>
              <w:jc w:val="center"/>
              <w:ind w:left="539"/>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340" w:type="dxa"/>
            <w:vAlign w:val="bottom"/>
          </w:tcPr>
          <w:p>
            <w:pPr>
              <w:jc w:val="center"/>
              <w:ind w:left="22"/>
              <w:spacing w:after="0"/>
              <w:rPr>
                <w:sz w:val="20"/>
                <w:szCs w:val="20"/>
                <w:color w:val="auto"/>
              </w:rPr>
            </w:pPr>
            <w:r>
              <w:rPr>
                <w:rFonts w:ascii="Arial" w:cs="Arial" w:eastAsia="Arial" w:hAnsi="Arial"/>
                <w:sz w:val="14"/>
                <w:szCs w:val="14"/>
                <w:b w:val="1"/>
                <w:bCs w:val="1"/>
                <w:color w:val="auto"/>
              </w:rPr>
              <w:t>yet be Purchased</w:t>
            </w:r>
          </w:p>
        </w:tc>
      </w:tr>
      <w:tr>
        <w:trPr>
          <w:trHeight w:val="161"/>
        </w:trPr>
        <w:tc>
          <w:tcPr>
            <w:tcW w:w="3100" w:type="dxa"/>
            <w:vAlign w:val="bottom"/>
          </w:tcPr>
          <w:p>
            <w:pPr>
              <w:spacing w:after="0"/>
              <w:rPr>
                <w:sz w:val="13"/>
                <w:szCs w:val="13"/>
                <w:color w:val="auto"/>
              </w:rPr>
            </w:pPr>
          </w:p>
        </w:tc>
        <w:tc>
          <w:tcPr>
            <w:tcW w:w="1800" w:type="dxa"/>
            <w:vAlign w:val="bottom"/>
          </w:tcPr>
          <w:p>
            <w:pPr>
              <w:jc w:val="center"/>
              <w:ind w:left="539"/>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3"/>
                <w:szCs w:val="13"/>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340" w:type="dxa"/>
            <w:vAlign w:val="bottom"/>
          </w:tcPr>
          <w:p>
            <w:pPr>
              <w:jc w:val="center"/>
              <w:ind w:left="22"/>
              <w:spacing w:after="0"/>
              <w:rPr>
                <w:sz w:val="20"/>
                <w:szCs w:val="20"/>
                <w:color w:val="auto"/>
              </w:rPr>
            </w:pPr>
            <w:r>
              <w:rPr>
                <w:rFonts w:ascii="Arial" w:cs="Arial" w:eastAsia="Arial" w:hAnsi="Arial"/>
                <w:sz w:val="14"/>
                <w:szCs w:val="14"/>
                <w:b w:val="1"/>
                <w:bCs w:val="1"/>
                <w:color w:val="auto"/>
              </w:rPr>
              <w:t>Under the</w:t>
            </w:r>
          </w:p>
        </w:tc>
      </w:tr>
      <w:tr>
        <w:trPr>
          <w:trHeight w:val="20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 Purchased</w:t>
            </w:r>
          </w:p>
        </w:tc>
        <w:tc>
          <w:tcPr>
            <w:tcW w:w="1800" w:type="dxa"/>
            <w:vAlign w:val="bottom"/>
            <w:tcBorders>
              <w:bottom w:val="single" w:sz="8" w:color="auto"/>
            </w:tcBorders>
          </w:tcPr>
          <w:p>
            <w:pPr>
              <w:jc w:val="center"/>
              <w:ind w:left="519"/>
              <w:spacing w:after="0" w:line="203" w:lineRule="exact"/>
              <w:rPr>
                <w:sz w:val="20"/>
                <w:szCs w:val="20"/>
                <w:color w:val="auto"/>
              </w:rPr>
            </w:pPr>
            <w:r>
              <w:rPr>
                <w:rFonts w:ascii="Arial" w:cs="Arial" w:eastAsia="Arial" w:hAnsi="Arial"/>
                <w:sz w:val="14"/>
                <w:szCs w:val="14"/>
                <w:b w:val="1"/>
                <w:bCs w:val="1"/>
                <w:color w:val="auto"/>
                <w:w w:val="97"/>
              </w:rPr>
              <w:t>Purchased</w:t>
            </w:r>
            <w:r>
              <w:rPr>
                <w:rFonts w:ascii="Arial" w:cs="Arial" w:eastAsia="Arial" w:hAnsi="Arial"/>
                <w:sz w:val="23"/>
                <w:szCs w:val="23"/>
                <w:b w:val="1"/>
                <w:bCs w:val="1"/>
                <w:color w:val="auto"/>
                <w:w w:val="97"/>
                <w:vertAlign w:val="superscript"/>
              </w:rPr>
              <w:t>(1)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8"/>
              <w:spacing w:after="0" w:line="203" w:lineRule="exact"/>
              <w:rPr>
                <w:sz w:val="20"/>
                <w:szCs w:val="20"/>
                <w:color w:val="auto"/>
              </w:rPr>
            </w:pPr>
            <w:r>
              <w:rPr>
                <w:rFonts w:ascii="Arial" w:cs="Arial" w:eastAsia="Arial" w:hAnsi="Arial"/>
                <w:sz w:val="14"/>
                <w:szCs w:val="14"/>
                <w:b w:val="1"/>
                <w:bCs w:val="1"/>
                <w:color w:val="auto"/>
                <w:w w:val="97"/>
              </w:rPr>
              <w:t>Per Share</w:t>
            </w:r>
            <w:r>
              <w:rPr>
                <w:rFonts w:ascii="Arial" w:cs="Arial" w:eastAsia="Arial" w:hAnsi="Arial"/>
                <w:sz w:val="23"/>
                <w:szCs w:val="23"/>
                <w:b w:val="1"/>
                <w:bCs w:val="1"/>
                <w:color w:val="auto"/>
                <w:w w:val="97"/>
                <w:vertAlign w:val="superscript"/>
              </w:rPr>
              <w:t>(1)</w:t>
            </w:r>
          </w:p>
        </w:tc>
        <w:tc>
          <w:tcPr>
            <w:tcW w:w="13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23"/>
                <w:szCs w:val="23"/>
                <w:b w:val="1"/>
                <w:bCs w:val="1"/>
                <w:color w:val="auto"/>
                <w:w w:val="94"/>
                <w:vertAlign w:val="superscript"/>
              </w:rPr>
              <w:t>(2)</w:t>
            </w:r>
          </w:p>
        </w:tc>
        <w:tc>
          <w:tcPr>
            <w:tcW w:w="1340" w:type="dxa"/>
            <w:vAlign w:val="bottom"/>
            <w:tcBorders>
              <w:bottom w:val="single" w:sz="8" w:color="auto"/>
            </w:tcBorders>
          </w:tcPr>
          <w:p>
            <w:pPr>
              <w:jc w:val="center"/>
              <w:ind w:left="2"/>
              <w:spacing w:after="0" w:line="203" w:lineRule="exact"/>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23"/>
                <w:szCs w:val="23"/>
                <w:b w:val="1"/>
                <w:bCs w:val="1"/>
                <w:color w:val="auto"/>
                <w:w w:val="96"/>
                <w:vertAlign w:val="superscript"/>
              </w:rPr>
              <w:t>(2)</w:t>
            </w:r>
          </w:p>
        </w:tc>
      </w:tr>
      <w:tr>
        <w:trPr>
          <w:trHeight w:val="196"/>
        </w:trPr>
        <w:tc>
          <w:tcPr>
            <w:tcW w:w="3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Nov. 1, 2015 – Nov. 28, 2015</w:t>
            </w:r>
          </w:p>
        </w:tc>
        <w:tc>
          <w:tcPr>
            <w:tcW w:w="18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1,305,157</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8"/>
              <w:spacing w:after="0" w:line="196" w:lineRule="exact"/>
              <w:rPr>
                <w:sz w:val="20"/>
                <w:szCs w:val="20"/>
                <w:color w:val="auto"/>
              </w:rPr>
            </w:pPr>
            <w:r>
              <w:rPr>
                <w:rFonts w:ascii="Arial" w:cs="Arial" w:eastAsia="Arial" w:hAnsi="Arial"/>
                <w:sz w:val="18"/>
                <w:szCs w:val="18"/>
                <w:color w:val="auto"/>
              </w:rPr>
              <w:t>62.63</w:t>
            </w:r>
          </w:p>
        </w:tc>
        <w:tc>
          <w:tcPr>
            <w:tcW w:w="1300" w:type="dxa"/>
            <w:vAlign w:val="bottom"/>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rPr>
              <w:t>1,300,000</w:t>
            </w:r>
          </w:p>
        </w:tc>
        <w:tc>
          <w:tcPr>
            <w:tcW w:w="134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$ 658,881,376</w:t>
            </w: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Nov. 29, 2015 – Jan. 2, 2016</w:t>
            </w:r>
          </w:p>
        </w:tc>
        <w:tc>
          <w:tcPr>
            <w:tcW w:w="18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219,484</w:t>
            </w:r>
          </w:p>
        </w:tc>
        <w:tc>
          <w:tcPr>
            <w:tcW w:w="240" w:type="dxa"/>
            <w:vAlign w:val="bottom"/>
          </w:tcPr>
          <w:p>
            <w:pPr>
              <w:spacing w:after="0"/>
              <w:rPr>
                <w:sz w:val="17"/>
                <w:szCs w:val="17"/>
                <w:color w:val="auto"/>
              </w:rPr>
            </w:pPr>
          </w:p>
        </w:tc>
        <w:tc>
          <w:tcPr>
            <w:tcW w:w="10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64.76</w:t>
            </w:r>
          </w:p>
        </w:tc>
        <w:tc>
          <w:tcPr>
            <w:tcW w:w="1300" w:type="dxa"/>
            <w:vAlign w:val="bottom"/>
          </w:tcPr>
          <w:p>
            <w:pPr>
              <w:jc w:val="right"/>
              <w:ind w:right="61"/>
              <w:spacing w:after="0" w:line="202" w:lineRule="exact"/>
              <w:rPr>
                <w:sz w:val="20"/>
                <w:szCs w:val="20"/>
                <w:color w:val="auto"/>
              </w:rPr>
            </w:pPr>
            <w:r>
              <w:rPr>
                <w:rFonts w:ascii="Arial" w:cs="Arial" w:eastAsia="Arial" w:hAnsi="Arial"/>
                <w:sz w:val="18"/>
                <w:szCs w:val="18"/>
                <w:color w:val="auto"/>
              </w:rPr>
              <w:t>219,484</w:t>
            </w:r>
          </w:p>
        </w:tc>
        <w:tc>
          <w:tcPr>
            <w:tcW w:w="1340" w:type="dxa"/>
            <w:vAlign w:val="bottom"/>
          </w:tcPr>
          <w:p>
            <w:pPr>
              <w:jc w:val="right"/>
              <w:ind w:right="2"/>
              <w:spacing w:after="0" w:line="202" w:lineRule="exact"/>
              <w:rPr>
                <w:sz w:val="20"/>
                <w:szCs w:val="20"/>
                <w:color w:val="auto"/>
              </w:rPr>
            </w:pPr>
            <w:r>
              <w:rPr>
                <w:rFonts w:ascii="Arial" w:cs="Arial" w:eastAsia="Arial" w:hAnsi="Arial"/>
                <w:sz w:val="18"/>
                <w:szCs w:val="18"/>
                <w:color w:val="auto"/>
              </w:rPr>
              <w:t>644,668,097</w:t>
            </w:r>
          </w:p>
        </w:tc>
      </w:tr>
      <w:tr>
        <w:trPr>
          <w:trHeight w:val="203"/>
        </w:trPr>
        <w:tc>
          <w:tcPr>
            <w:tcW w:w="31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Jan. 3, 2016 – Jan. 30, 2016</w:t>
            </w:r>
          </w:p>
        </w:tc>
        <w:tc>
          <w:tcPr>
            <w:tcW w:w="180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124,418</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63.20</w:t>
            </w:r>
          </w:p>
        </w:tc>
        <w:tc>
          <w:tcPr>
            <w:tcW w:w="1300" w:type="dxa"/>
            <w:vAlign w:val="bottom"/>
            <w:tcBorders>
              <w:bottom w:val="single" w:sz="8" w:color="auto"/>
            </w:tcBorders>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123,616</w:t>
            </w:r>
          </w:p>
        </w:tc>
        <w:tc>
          <w:tcPr>
            <w:tcW w:w="1340" w:type="dxa"/>
            <w:vAlign w:val="bottom"/>
            <w:tcBorders>
              <w:bottom w:val="single" w:sz="8" w:color="auto"/>
            </w:tcBorders>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636,854,327</w:t>
            </w:r>
          </w:p>
        </w:tc>
      </w:tr>
      <w:tr>
        <w:trPr>
          <w:trHeight w:val="196"/>
        </w:trPr>
        <w:tc>
          <w:tcPr>
            <w:tcW w:w="3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1,649,059</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rPr>
              <w:t>62.96</w:t>
            </w:r>
          </w:p>
        </w:tc>
        <w:tc>
          <w:tcPr>
            <w:tcW w:w="130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18"/>
                <w:szCs w:val="18"/>
                <w:color w:val="auto"/>
              </w:rPr>
              <w:t>1,643,100</w:t>
            </w:r>
          </w:p>
        </w:tc>
        <w:tc>
          <w:tcPr>
            <w:tcW w:w="1340" w:type="dxa"/>
            <w:vAlign w:val="bottom"/>
            <w:tcBorders>
              <w:bottom w:val="single" w:sz="8" w:color="auto"/>
            </w:tcBorders>
          </w:tcPr>
          <w:p>
            <w:pPr>
              <w:spacing w:after="0"/>
              <w:rPr>
                <w:sz w:val="17"/>
                <w:szCs w:val="17"/>
                <w:color w:val="auto"/>
              </w:rPr>
            </w:pPr>
          </w:p>
        </w:tc>
      </w:tr>
    </w:tbl>
    <w:p>
      <w:pPr>
        <w:spacing w:after="0" w:line="113" w:lineRule="exact"/>
        <w:rPr>
          <w:sz w:val="20"/>
          <w:szCs w:val="20"/>
          <w:color w:val="auto"/>
        </w:rPr>
      </w:pPr>
    </w:p>
    <w:p>
      <w:pPr>
        <w:jc w:val="both"/>
        <w:ind w:left="300" w:right="519" w:hanging="272"/>
        <w:spacing w:after="0" w:line="270"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columns also reflect shares acquired in satisfaction of the tax withholding obligation of holders of restricted stock awards which vested during the quarter, stock swaps, and shares repurchased pursuant to Rule 10b5-1 under the Securities Exchange Act of 1934. The calculation of the average price paid per share includes all fees, commissions, and other costs associated with the repurchase of such shares.</w:t>
      </w:r>
    </w:p>
    <w:p>
      <w:pPr>
        <w:spacing w:after="0" w:line="91"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February 17, 2015, the Board of Directors approved a 3-year, $1 billion share repurchase program extending through January 2018. Through January 30, 2016, 5.6 million shares of common stock were purchased under this program, for an aggregate cost of $363 million.</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3" w:name="page14"/>
    <w:bookmarkEnd w:id="1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left="180" w:right="539"/>
        <w:spacing w:after="0" w:line="256" w:lineRule="auto"/>
        <w:rPr>
          <w:sz w:val="20"/>
          <w:szCs w:val="20"/>
          <w:color w:val="auto"/>
        </w:rPr>
      </w:pPr>
      <w:r>
        <w:rPr>
          <w:rFonts w:ascii="Arial" w:cs="Arial" w:eastAsia="Arial" w:hAnsi="Arial"/>
          <w:sz w:val="18"/>
          <w:szCs w:val="18"/>
          <w:color w:val="auto"/>
        </w:rPr>
        <w:t>The graph below compares the cumulative five-year total return to shareholders (common stock price appreciation plus dividends, on a reinvested basis) on Foot Locker, Inc.’s common stock relative to the total returns of the S&amp;P 400 Retailing Index and the Russell Midcap Index.</w:t>
      </w:r>
    </w:p>
    <w:p>
      <w:pPr>
        <w:spacing w:after="0" w:line="94"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88900</wp:posOffset>
            </wp:positionV>
            <wp:extent cx="5720080" cy="3713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2008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1/29/2011</w:t>
            </w: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1/28/2012</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2/2/2013</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2/1/2014</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1/31/2015</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1/30/2016</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2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Foot Locker, Inc.</w:t>
            </w:r>
          </w:p>
        </w:tc>
        <w:tc>
          <w:tcPr>
            <w:tcW w:w="128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$ 100.00</w:t>
            </w:r>
          </w:p>
        </w:tc>
        <w:tc>
          <w:tcPr>
            <w:tcW w:w="104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$ 153.23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204.76</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233.92</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328.29</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423.20</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S&amp;P 400 Retailing Index</w:t>
            </w:r>
          </w:p>
        </w:tc>
        <w:tc>
          <w:tcPr>
            <w:tcW w:w="12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$ 100.00</w:t>
            </w: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$ 121.84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150.82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170.21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206.94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181.10</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Russell Midcap Index</w:t>
            </w:r>
          </w:p>
        </w:tc>
        <w:tc>
          <w:tcPr>
            <w:tcW w:w="12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$ 100.00</w:t>
            </w:r>
          </w:p>
        </w:tc>
        <w:tc>
          <w:tcPr>
            <w:tcW w:w="104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$ 103.82</w:t>
            </w: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123.03</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150.86</w:t>
            </w: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171.46</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158.80</w:t>
            </w:r>
          </w:p>
        </w:tc>
        <w:tc>
          <w:tcPr>
            <w:tcW w:w="700" w:type="dxa"/>
            <w:vAlign w:val="bottom"/>
          </w:tcPr>
          <w:p>
            <w:pPr>
              <w:spacing w:after="0"/>
              <w:rPr>
                <w:sz w:val="17"/>
                <w:szCs w:val="17"/>
                <w:color w:val="auto"/>
              </w:rPr>
            </w:pPr>
          </w:p>
        </w:tc>
      </w:tr>
      <w:tr>
        <w:trPr>
          <w:trHeight w:val="777"/>
        </w:trPr>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5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6. Selected Financial Data</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FIVE-YEAR SUMMARY OF SELECTED FINANCIAL DATA</w:t>
      </w:r>
    </w:p>
    <w:p>
      <w:pPr>
        <w:spacing w:after="0" w:line="139"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selected financial data below should be read in conjunction with the Consolidated Financial Statements and the Notes thereto and other information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2012</w:t>
            </w:r>
            <w:r>
              <w:rPr>
                <w:rFonts w:ascii="Arial" w:cs="Arial" w:eastAsia="Arial" w:hAnsi="Arial"/>
                <w:sz w:val="23"/>
                <w:szCs w:val="23"/>
                <w:b w:val="1"/>
                <w:bCs w:val="1"/>
                <w:color w:val="auto"/>
                <w:vertAlign w:val="superscript"/>
              </w:rPr>
              <w:t>(1)</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22"/>
                <w:szCs w:val="22"/>
                <w:color w:val="auto"/>
              </w:rPr>
            </w:pPr>
          </w:p>
        </w:tc>
      </w:tr>
      <w:tr>
        <w:trPr>
          <w:trHeight w:val="196"/>
        </w:trPr>
        <w:tc>
          <w:tcPr>
            <w:tcW w:w="4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80" w:type="dxa"/>
            <w:vAlign w:val="bottom"/>
            <w:gridSpan w:val="6"/>
            <w:shd w:val="clear" w:color="auto" w:fill="CCEEFF"/>
          </w:tcPr>
          <w:p>
            <w:pPr>
              <w:ind w:left="580"/>
              <w:spacing w:after="0"/>
              <w:rPr>
                <w:sz w:val="20"/>
                <w:szCs w:val="20"/>
                <w:color w:val="auto"/>
              </w:rPr>
            </w:pPr>
            <w:r>
              <w:rPr>
                <w:rFonts w:ascii="Arial" w:cs="Arial" w:eastAsia="Arial" w:hAnsi="Arial"/>
                <w:sz w:val="14"/>
                <w:szCs w:val="14"/>
                <w:color w:val="auto"/>
              </w:rPr>
              <w:t>(in millions, except per share amounts)</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Summary of Operations</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7,412</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7,151</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6,505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6,182</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5,623</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Gross margin</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2,505</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2,374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2,133</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2,034</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1,796</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1,415</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1,426</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1,334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1,294</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1,244</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Litigation, impairment and other charges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105</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rPr>
              <w:t>148</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139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118</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4</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(4)</w:t>
            </w: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541</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520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429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397</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278</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Per Common Share Data</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3.89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3.61</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2.89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2.62</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1.81</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rPr>
              <w:t>3.84</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3.56</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2.85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2.58</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1.80</w:t>
            </w:r>
          </w:p>
        </w:tc>
        <w:tc>
          <w:tcPr>
            <w:tcW w:w="60" w:type="dxa"/>
            <w:vAlign w:val="bottom"/>
          </w:tcPr>
          <w:p>
            <w:pPr>
              <w:spacing w:after="0"/>
              <w:rPr>
                <w:sz w:val="17"/>
                <w:szCs w:val="17"/>
                <w:color w:val="auto"/>
              </w:rPr>
            </w:pPr>
          </w:p>
        </w:tc>
      </w:tr>
      <w:tr>
        <w:trPr>
          <w:trHeight w:val="203"/>
        </w:trPr>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Common stock dividends declared per share</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1.00</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0.88</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0.80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0.72</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0.66</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Weighted-average Common Shares Outstanding</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139.1</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143.9</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148.4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151.2</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153.0</w:t>
            </w:r>
          </w:p>
        </w:tc>
        <w:tc>
          <w:tcPr>
            <w:tcW w:w="60" w:type="dxa"/>
            <w:vAlign w:val="bottom"/>
          </w:tcPr>
          <w:p>
            <w:pPr>
              <w:spacing w:after="0"/>
              <w:rPr>
                <w:sz w:val="17"/>
                <w:szCs w:val="17"/>
                <w:color w:val="auto"/>
              </w:rPr>
            </w:pPr>
          </w:p>
        </w:tc>
      </w:tr>
      <w:tr>
        <w:trPr>
          <w:trHeight w:val="203"/>
        </w:trPr>
        <w:tc>
          <w:tcPr>
            <w:tcW w:w="45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5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140.8</w:t>
            </w:r>
          </w:p>
        </w:tc>
        <w:tc>
          <w:tcPr>
            <w:tcW w:w="72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146.0</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150.5</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154.0</w:t>
            </w:r>
          </w:p>
        </w:tc>
        <w:tc>
          <w:tcPr>
            <w:tcW w:w="70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154.4</w:t>
            </w:r>
          </w:p>
        </w:tc>
        <w:tc>
          <w:tcPr>
            <w:tcW w:w="60" w:type="dxa"/>
            <w:vAlign w:val="bottom"/>
          </w:tcPr>
          <w:p>
            <w:pPr>
              <w:spacing w:after="0"/>
              <w:rPr>
                <w:sz w:val="17"/>
                <w:szCs w:val="17"/>
                <w:color w:val="auto"/>
              </w:rPr>
            </w:pPr>
          </w:p>
        </w:tc>
      </w:tr>
      <w:tr>
        <w:trPr>
          <w:trHeight w:val="196"/>
        </w:trPr>
        <w:tc>
          <w:tcPr>
            <w:tcW w:w="4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Condition</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1,021</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967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867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928</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851</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Merchandise inventories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1,285</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1,250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1,220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1,167</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rPr>
              <w:t>661</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620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590</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490</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427</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3,775</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3,577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3,487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3,367</w:t>
            </w: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3,050</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 and obligations under capital leases</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rPr>
              <w:t>130</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134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135</w:t>
            </w:r>
          </w:p>
        </w:tc>
        <w:tc>
          <w:tcPr>
            <w:tcW w:w="60" w:type="dxa"/>
            <w:vAlign w:val="bottom"/>
          </w:tcPr>
          <w:p>
            <w:pPr>
              <w:spacing w:after="0"/>
              <w:rPr>
                <w:sz w:val="17"/>
                <w:szCs w:val="17"/>
                <w:color w:val="auto"/>
              </w:rPr>
            </w:pPr>
          </w:p>
        </w:tc>
      </w:tr>
      <w:tr>
        <w:trPr>
          <w:trHeight w:val="203"/>
        </w:trPr>
        <w:tc>
          <w:tcPr>
            <w:tcW w:w="4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Total shareholders’ equity</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2,553</w:t>
            </w:r>
          </w:p>
        </w:tc>
        <w:tc>
          <w:tcPr>
            <w:tcW w:w="72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2,496</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2,496</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2,377</w:t>
            </w:r>
          </w:p>
        </w:tc>
        <w:tc>
          <w:tcPr>
            <w:tcW w:w="7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2,110</w:t>
            </w:r>
          </w:p>
        </w:tc>
        <w:tc>
          <w:tcPr>
            <w:tcW w:w="60" w:type="dxa"/>
            <w:vAlign w:val="bottom"/>
          </w:tcPr>
          <w:p>
            <w:pPr>
              <w:spacing w:after="0"/>
              <w:rPr>
                <w:sz w:val="17"/>
                <w:szCs w:val="17"/>
                <w:color w:val="auto"/>
              </w:rPr>
            </w:pP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Ratios</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580" w:type="dxa"/>
            <w:vAlign w:val="bottom"/>
          </w:tcPr>
          <w:p>
            <w:pPr>
              <w:ind w:left="20"/>
              <w:spacing w:after="0" w:line="243" w:lineRule="exact"/>
              <w:rPr>
                <w:sz w:val="20"/>
                <w:szCs w:val="20"/>
                <w:color w:val="auto"/>
              </w:rPr>
            </w:pPr>
            <w:r>
              <w:rPr>
                <w:rFonts w:ascii="Arial" w:cs="Arial" w:eastAsia="Arial" w:hAnsi="Arial"/>
                <w:sz w:val="17"/>
                <w:szCs w:val="17"/>
                <w:color w:val="auto"/>
              </w:rPr>
              <w:t>Sales per average gross square foot</w:t>
            </w:r>
            <w:r>
              <w:rPr>
                <w:rFonts w:ascii="Arial" w:cs="Arial" w:eastAsia="Arial" w:hAnsi="Arial"/>
                <w:sz w:val="28"/>
                <w:szCs w:val="28"/>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71"/>
              <w:spacing w:after="0"/>
              <w:rPr>
                <w:sz w:val="20"/>
                <w:szCs w:val="20"/>
                <w:color w:val="auto"/>
              </w:rPr>
            </w:pPr>
            <w:r>
              <w:rPr>
                <w:rFonts w:ascii="Arial" w:cs="Arial" w:eastAsia="Arial" w:hAnsi="Arial"/>
                <w:sz w:val="18"/>
                <w:szCs w:val="18"/>
                <w:b w:val="1"/>
                <w:bCs w:val="1"/>
                <w:color w:val="auto"/>
              </w:rPr>
              <w:t>504</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490</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460</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443</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1"/>
                <w:szCs w:val="2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SG&amp;A as a percentage of sales</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19.1%</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19.9</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20.9</w:t>
            </w:r>
          </w:p>
        </w:tc>
        <w:tc>
          <w:tcPr>
            <w:tcW w:w="7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22.1</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Earnings before interest and taxes (EBIT)</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841</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814</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668</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612</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441</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EBIT margin</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11.3%</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11.4</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9.9</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7.8</w:t>
            </w:r>
          </w:p>
        </w:tc>
        <w:tc>
          <w:tcPr>
            <w:tcW w:w="60" w:type="dxa"/>
            <w:vAlign w:val="bottom"/>
          </w:tcPr>
          <w:p>
            <w:pPr>
              <w:spacing w:after="0"/>
              <w:rPr>
                <w:sz w:val="17"/>
                <w:szCs w:val="17"/>
                <w:color w:val="auto"/>
              </w:rPr>
            </w:pPr>
          </w:p>
        </w:tc>
      </w:tr>
      <w:tr>
        <w:trPr>
          <w:trHeight w:val="243"/>
        </w:trPr>
        <w:tc>
          <w:tcPr>
            <w:tcW w:w="4580" w:type="dxa"/>
            <w:vAlign w:val="bottom"/>
          </w:tcPr>
          <w:p>
            <w:pPr>
              <w:ind w:left="20"/>
              <w:spacing w:after="0" w:line="243" w:lineRule="exact"/>
              <w:rPr>
                <w:sz w:val="20"/>
                <w:szCs w:val="20"/>
                <w:color w:val="auto"/>
              </w:rPr>
            </w:pPr>
            <w:r>
              <w:rPr>
                <w:rFonts w:ascii="Arial" w:cs="Arial" w:eastAsia="Arial" w:hAnsi="Arial"/>
                <w:sz w:val="17"/>
                <w:szCs w:val="17"/>
                <w:color w:val="auto"/>
              </w:rPr>
              <w:t>EBIT margin (non-GAAP)</w:t>
            </w:r>
            <w:r>
              <w:rPr>
                <w:rFonts w:ascii="Arial" w:cs="Arial" w:eastAsia="Arial" w:hAnsi="Arial"/>
                <w:sz w:val="28"/>
                <w:szCs w:val="28"/>
                <w:color w:val="auto"/>
                <w:vertAlign w:val="superscript"/>
              </w:rPr>
              <w:t>(3)</w:t>
            </w:r>
          </w:p>
        </w:tc>
        <w:tc>
          <w:tcPr>
            <w:tcW w:w="5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12.8%</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10.4</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9.9</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1"/>
                <w:szCs w:val="2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margin</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7.3%</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6.6</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r>
      <w:tr>
        <w:trPr>
          <w:trHeight w:val="243"/>
        </w:trPr>
        <w:tc>
          <w:tcPr>
            <w:tcW w:w="4580" w:type="dxa"/>
            <w:vAlign w:val="bottom"/>
          </w:tcPr>
          <w:p>
            <w:pPr>
              <w:ind w:left="20"/>
              <w:spacing w:after="0" w:line="243" w:lineRule="exact"/>
              <w:rPr>
                <w:sz w:val="20"/>
                <w:szCs w:val="20"/>
                <w:color w:val="auto"/>
              </w:rPr>
            </w:pPr>
            <w:r>
              <w:rPr>
                <w:rFonts w:ascii="Arial" w:cs="Arial" w:eastAsia="Arial" w:hAnsi="Arial"/>
                <w:sz w:val="17"/>
                <w:szCs w:val="17"/>
                <w:color w:val="auto"/>
              </w:rPr>
              <w:t>Net income margin (non-GAAP)</w:t>
            </w:r>
            <w:r>
              <w:rPr>
                <w:rFonts w:ascii="Arial" w:cs="Arial" w:eastAsia="Arial" w:hAnsi="Arial"/>
                <w:sz w:val="28"/>
                <w:szCs w:val="28"/>
                <w:color w:val="auto"/>
                <w:vertAlign w:val="superscript"/>
              </w:rPr>
              <w:t>(3)</w:t>
            </w:r>
          </w:p>
        </w:tc>
        <w:tc>
          <w:tcPr>
            <w:tcW w:w="5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8.2%</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6.6</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1"/>
                <w:szCs w:val="21"/>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Return on assets (ROA)</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14.7%</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14.7</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12.5</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12.4</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9.4</w:t>
            </w:r>
          </w:p>
        </w:tc>
        <w:tc>
          <w:tcPr>
            <w:tcW w:w="60" w:type="dxa"/>
            <w:vAlign w:val="bottom"/>
          </w:tcPr>
          <w:p>
            <w:pPr>
              <w:spacing w:after="0"/>
              <w:rPr>
                <w:sz w:val="17"/>
                <w:szCs w:val="17"/>
                <w:color w:val="auto"/>
              </w:rPr>
            </w:pPr>
          </w:p>
        </w:tc>
      </w:tr>
      <w:tr>
        <w:trPr>
          <w:trHeight w:val="243"/>
        </w:trPr>
        <w:tc>
          <w:tcPr>
            <w:tcW w:w="4580" w:type="dxa"/>
            <w:vAlign w:val="bottom"/>
          </w:tcPr>
          <w:p>
            <w:pPr>
              <w:ind w:left="20"/>
              <w:spacing w:after="0" w:line="243" w:lineRule="exact"/>
              <w:rPr>
                <w:sz w:val="20"/>
                <w:szCs w:val="20"/>
                <w:color w:val="auto"/>
              </w:rPr>
            </w:pPr>
            <w:r>
              <w:rPr>
                <w:rFonts w:ascii="Arial" w:cs="Arial" w:eastAsia="Arial" w:hAnsi="Arial"/>
                <w:sz w:val="17"/>
                <w:szCs w:val="17"/>
                <w:color w:val="auto"/>
              </w:rPr>
              <w:t>Return on invested capital (ROIC)</w:t>
            </w:r>
            <w:r>
              <w:rPr>
                <w:rFonts w:ascii="Arial" w:cs="Arial" w:eastAsia="Arial" w:hAnsi="Arial"/>
                <w:sz w:val="28"/>
                <w:szCs w:val="28"/>
                <w:color w:val="auto"/>
                <w:vertAlign w:val="superscript"/>
              </w:rPr>
              <w:t>(3)</w:t>
            </w:r>
          </w:p>
        </w:tc>
        <w:tc>
          <w:tcPr>
            <w:tcW w:w="5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15.8%</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14.1</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14.2</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1"/>
                <w:szCs w:val="21"/>
                <w:color w:val="auto"/>
              </w:rPr>
            </w:pPr>
          </w:p>
        </w:tc>
      </w:tr>
      <w:tr>
        <w:trPr>
          <w:trHeight w:val="243"/>
        </w:trPr>
        <w:tc>
          <w:tcPr>
            <w:tcW w:w="458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Net debt capitalization percent</w:t>
            </w:r>
            <w:r>
              <w:rPr>
                <w:rFonts w:ascii="Arial" w:cs="Arial" w:eastAsia="Arial" w:hAnsi="Arial"/>
                <w:sz w:val="28"/>
                <w:szCs w:val="28"/>
                <w:color w:val="auto"/>
                <w:vertAlign w:val="superscript"/>
              </w:rPr>
              <w:t>(3),(4)</w:t>
            </w: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47.4%</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43.4</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42.5</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37.2</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1"/>
                <w:szCs w:val="21"/>
                <w:color w:val="auto"/>
              </w:rPr>
            </w:pPr>
          </w:p>
        </w:tc>
      </w:tr>
      <w:tr>
        <w:trPr>
          <w:trHeight w:val="203"/>
        </w:trPr>
        <w:tc>
          <w:tcPr>
            <w:tcW w:w="4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Current ratio</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b w:val="1"/>
                <w:bCs w:val="1"/>
                <w:color w:val="auto"/>
              </w:rPr>
              <w:t>3.7</w:t>
            </w:r>
          </w:p>
        </w:tc>
        <w:tc>
          <w:tcPr>
            <w:tcW w:w="72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3.5</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3.8</w:t>
            </w: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3.7</w:t>
            </w:r>
          </w:p>
        </w:tc>
        <w:tc>
          <w:tcPr>
            <w:tcW w:w="7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Data</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228</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190</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206</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163</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152</w:t>
            </w:r>
          </w:p>
        </w:tc>
        <w:tc>
          <w:tcPr>
            <w:tcW w:w="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Number of stores at year end</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3,383</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3,423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3,473</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3,335</w:t>
            </w:r>
          </w:p>
        </w:tc>
        <w:tc>
          <w:tcPr>
            <w:tcW w:w="7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3,369</w:t>
            </w:r>
          </w:p>
        </w:tc>
        <w:tc>
          <w:tcPr>
            <w:tcW w:w="6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Total selling square footage at year end (in millions)</w:t>
            </w:r>
          </w:p>
        </w:tc>
        <w:tc>
          <w:tcPr>
            <w:tcW w:w="520" w:type="dxa"/>
            <w:vAlign w:val="bottom"/>
          </w:tcPr>
          <w:p>
            <w:pPr>
              <w:spacing w:after="0"/>
              <w:rPr>
                <w:sz w:val="17"/>
                <w:szCs w:val="17"/>
                <w:color w:val="auto"/>
              </w:rPr>
            </w:pPr>
          </w:p>
        </w:tc>
        <w:tc>
          <w:tcPr>
            <w:tcW w:w="72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7.58</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7.48</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7.47</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7.26</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7.38</w:t>
            </w:r>
          </w:p>
        </w:tc>
        <w:tc>
          <w:tcPr>
            <w:tcW w:w="60" w:type="dxa"/>
            <w:vAlign w:val="bottom"/>
          </w:tcPr>
          <w:p>
            <w:pPr>
              <w:spacing w:after="0"/>
              <w:rPr>
                <w:sz w:val="17"/>
                <w:szCs w:val="17"/>
                <w:color w:val="auto"/>
              </w:rPr>
            </w:pPr>
          </w:p>
        </w:tc>
      </w:tr>
      <w:tr>
        <w:trPr>
          <w:trHeight w:val="243"/>
        </w:trPr>
        <w:tc>
          <w:tcPr>
            <w:tcW w:w="45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Total gross square footage at year end (in millions)</w:t>
            </w:r>
          </w:p>
        </w:tc>
        <w:tc>
          <w:tcPr>
            <w:tcW w:w="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7"/>
              </w:rPr>
              <w:t>12.92</w:t>
            </w:r>
          </w:p>
        </w:tc>
        <w:tc>
          <w:tcPr>
            <w:tcW w:w="72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12.73</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12.71</w:t>
            </w:r>
          </w:p>
        </w:tc>
        <w:tc>
          <w:tcPr>
            <w:tcW w:w="74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12.32</w:t>
            </w:r>
          </w:p>
        </w:tc>
        <w:tc>
          <w:tcPr>
            <w:tcW w:w="70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12.45</w:t>
            </w:r>
          </w:p>
        </w:tc>
        <w:tc>
          <w:tcPr>
            <w:tcW w:w="60" w:type="dxa"/>
            <w:vAlign w:val="bottom"/>
          </w:tcPr>
          <w:p>
            <w:pPr>
              <w:spacing w:after="0"/>
              <w:rPr>
                <w:sz w:val="21"/>
                <w:szCs w:val="21"/>
                <w:color w:val="auto"/>
              </w:rPr>
            </w:pPr>
          </w:p>
        </w:tc>
      </w:tr>
    </w:tbl>
    <w:p>
      <w:pPr>
        <w:spacing w:after="0" w:line="113" w:lineRule="exact"/>
        <w:rPr>
          <w:sz w:val="20"/>
          <w:szCs w:val="20"/>
          <w:color w:val="auto"/>
        </w:rPr>
      </w:pPr>
    </w:p>
    <w:p>
      <w:pPr>
        <w:ind w:left="300" w:hanging="27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2012 represents the 53 weeks ended February 2, 2013.</w:t>
      </w:r>
    </w:p>
    <w:p>
      <w:pPr>
        <w:spacing w:after="0" w:line="122" w:lineRule="exact"/>
        <w:rPr>
          <w:rFonts w:ascii="Arial" w:cs="Arial" w:eastAsia="Arial" w:hAnsi="Arial"/>
          <w:sz w:val="14"/>
          <w:szCs w:val="14"/>
          <w:color w:val="auto"/>
        </w:rPr>
      </w:pPr>
    </w:p>
    <w:p>
      <w:pPr>
        <w:jc w:val="both"/>
        <w:ind w:left="300" w:right="539" w:hanging="272"/>
        <w:spacing w:after="0" w:line="276"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as Athletic Store sales divided by the average monthly ending gross square footage of the last thirteen months. The computation for each of the years presented reflects the foreign exchange rate in effect for such year. The 2012 amount has been calculated excluding the sales of the 53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week.</w:t>
      </w:r>
    </w:p>
    <w:p>
      <w:pPr>
        <w:ind w:left="300" w:hanging="27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Operations” for additional information and calculation.</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total debt and obligations under capital leases, net of cash, cash equivalents, and short-term investments. Additionally, this calculation includes the present value of operating leases, and accordingly is considered a non-GAAP measure.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right="1719"/>
        <w:spacing w:after="0" w:line="412" w:lineRule="auto"/>
        <w:rPr>
          <w:sz w:val="20"/>
          <w:szCs w:val="20"/>
          <w:color w:val="auto"/>
        </w:rPr>
      </w:pPr>
      <w:r>
        <w:rPr>
          <w:rFonts w:ascii="Arial" w:cs="Arial" w:eastAsia="Arial" w:hAnsi="Arial"/>
          <w:sz w:val="18"/>
          <w:szCs w:val="18"/>
          <w:b w:val="1"/>
          <w:bCs w:val="1"/>
          <w:i w:val="1"/>
          <w:iCs w:val="1"/>
          <w:color w:val="auto"/>
        </w:rPr>
        <w:t xml:space="preserve">Item 7. Management’s Discussion and Analysis of Financial Condition and Results of Operations </w:t>
      </w:r>
      <w:r>
        <w:rPr>
          <w:rFonts w:ascii="Arial" w:cs="Arial" w:eastAsia="Arial" w:hAnsi="Arial"/>
          <w:sz w:val="18"/>
          <w:szCs w:val="18"/>
          <w:b w:val="1"/>
          <w:bCs w:val="1"/>
          <w:color w:val="auto"/>
        </w:rPr>
        <w:t>Business Overview</w:t>
      </w:r>
    </w:p>
    <w:p>
      <w:pPr>
        <w:jc w:val="both"/>
        <w:ind w:left="60" w:right="519"/>
        <w:spacing w:after="0" w:line="252" w:lineRule="auto"/>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SIX:02, Kids Foot Locker, Champs Sports, Footaction, Runners Point and Sidestep. The Direct-to-Customers segment includes Footlocker.com, Inc. and other affiliates, including Eastbay, Inc., and our international ecommerce businesses, which sell to customers through their Internet and mobile sites and catalogs.</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Foot Locker brand is one of the most widely recognized names in the markets in which the Company operates, epitomizing premium quality for the active lifestyle customer. This brand equity has aided the Company’s ability to successfully develop and increase its portfolio of complementary retail store formats, such as Lady Foot Locker, and Kids Foot Locker, as well as Footlocker.com, its direct-to-customer business. Through various marketing channels, including broadcast, digital, social, print, and various sports sponsorships and events, the Company reinforces its image with a consistent message — namely, that it is the destination for athletically inspired shoes and apparel with a wide selection of merchandise in a full-service environment.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30,</w:t>
            </w:r>
          </w:p>
        </w:tc>
        <w:tc>
          <w:tcPr>
            <w:tcW w:w="10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Relocations/</w:t>
            </w:r>
          </w:p>
        </w:tc>
        <w:tc>
          <w:tcPr>
            <w:tcW w:w="158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Opened</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Closed</w:t>
            </w: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Remodels</w:t>
            </w: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Selling</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Foot Locker US</w:t>
            </w:r>
          </w:p>
        </w:tc>
        <w:tc>
          <w:tcPr>
            <w:tcW w:w="132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1,015</w:t>
            </w:r>
          </w:p>
        </w:tc>
        <w:tc>
          <w:tcPr>
            <w:tcW w:w="78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52</w:t>
            </w:r>
          </w:p>
        </w:tc>
        <w:tc>
          <w:tcPr>
            <w:tcW w:w="96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971</w:t>
            </w:r>
          </w:p>
        </w:tc>
        <w:tc>
          <w:tcPr>
            <w:tcW w:w="102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rPr>
              <w:t>54</w:t>
            </w:r>
          </w:p>
        </w:tc>
        <w:tc>
          <w:tcPr>
            <w:tcW w:w="80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b w:val="1"/>
                <w:bCs w:val="1"/>
                <w:color w:val="auto"/>
              </w:rPr>
              <w:t>2,451</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4,234</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w:t>
            </w: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603</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16</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606</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34</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863</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1,884</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Foot Locker Canada</w:t>
            </w:r>
          </w:p>
        </w:tc>
        <w:tc>
          <w:tcPr>
            <w:tcW w:w="13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126</w:t>
            </w: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125</w:t>
            </w:r>
          </w:p>
        </w:tc>
        <w:tc>
          <w:tcPr>
            <w:tcW w:w="10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8</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279</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Foot Locker Asia Pacific</w:t>
            </w: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91</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94</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6</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128</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Lady Foot Locker</w:t>
            </w:r>
          </w:p>
        </w:tc>
        <w:tc>
          <w:tcPr>
            <w:tcW w:w="13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198</w:t>
            </w: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156</w:t>
            </w:r>
          </w:p>
        </w:tc>
        <w:tc>
          <w:tcPr>
            <w:tcW w:w="10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208</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352</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SIX:02</w:t>
            </w: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15</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15</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30</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62</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Kids Foot Locker</w:t>
            </w:r>
          </w:p>
        </w:tc>
        <w:tc>
          <w:tcPr>
            <w:tcW w:w="13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357</w:t>
            </w: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27</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374</w:t>
            </w:r>
          </w:p>
        </w:tc>
        <w:tc>
          <w:tcPr>
            <w:tcW w:w="10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44</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602</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1,029</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Footaction</w:t>
            </w: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272</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13</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268</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20</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800</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1,303</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Champs Sports</w:t>
            </w:r>
          </w:p>
        </w:tc>
        <w:tc>
          <w:tcPr>
            <w:tcW w:w="13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547</w:t>
            </w: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550</w:t>
            </w:r>
          </w:p>
        </w:tc>
        <w:tc>
          <w:tcPr>
            <w:tcW w:w="10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41</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1,947</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2,972</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Runners Point</w:t>
            </w: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116</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w:t>
            </w:r>
          </w:p>
        </w:tc>
        <w:tc>
          <w:tcPr>
            <w:tcW w:w="7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121</w:t>
            </w: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158</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Sidestep</w:t>
            </w:r>
          </w:p>
        </w:tc>
        <w:tc>
          <w:tcPr>
            <w:tcW w:w="13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83</w:t>
            </w:r>
          </w:p>
        </w:tc>
        <w:tc>
          <w:tcPr>
            <w:tcW w:w="7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7</w:t>
            </w:r>
          </w:p>
        </w:tc>
        <w:tc>
          <w:tcPr>
            <w:tcW w:w="76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9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88</w:t>
            </w:r>
          </w:p>
        </w:tc>
        <w:tc>
          <w:tcPr>
            <w:tcW w:w="102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82</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3,423</w:t>
            </w:r>
          </w:p>
        </w:tc>
        <w:tc>
          <w:tcPr>
            <w:tcW w:w="78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111</w:t>
            </w:r>
          </w:p>
        </w:tc>
        <w:tc>
          <w:tcPr>
            <w:tcW w:w="7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151</w:t>
            </w:r>
          </w:p>
        </w:tc>
        <w:tc>
          <w:tcPr>
            <w:tcW w:w="9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3,383</w:t>
            </w:r>
          </w:p>
        </w:tc>
        <w:tc>
          <w:tcPr>
            <w:tcW w:w="10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209</w:t>
            </w:r>
          </w:p>
        </w:tc>
        <w:tc>
          <w:tcPr>
            <w:tcW w:w="8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7,580</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12,918</w:t>
            </w:r>
          </w:p>
        </w:tc>
        <w:tc>
          <w:tcPr>
            <w:tcW w:w="0" w:type="dxa"/>
            <w:vAlign w:val="bottom"/>
          </w:tcPr>
          <w:p>
            <w:pPr>
              <w:spacing w:after="0"/>
              <w:rPr>
                <w:sz w:val="1"/>
                <w:szCs w:val="1"/>
                <w:color w:val="auto"/>
              </w:rPr>
            </w:pP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135"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operates 3,383 stores in the Athletic Stores segment. The following is a brief description of the Athletic Stores segment’s operating businesses and their respective taglines:</w:t>
      </w:r>
    </w:p>
    <w:p>
      <w:pPr>
        <w:spacing w:after="0" w:line="70" w:lineRule="exact"/>
        <w:rPr>
          <w:sz w:val="20"/>
          <w:szCs w:val="20"/>
          <w:color w:val="auto"/>
        </w:rPr>
      </w:pPr>
    </w:p>
    <w:p>
      <w:pPr>
        <w:jc w:val="both"/>
        <w:ind w:left="60" w:right="519"/>
        <w:spacing w:after="0" w:line="255" w:lineRule="auto"/>
        <w:rPr>
          <w:sz w:val="20"/>
          <w:szCs w:val="20"/>
          <w:color w:val="auto"/>
        </w:rPr>
      </w:pPr>
      <w:r>
        <w:rPr>
          <w:rFonts w:ascii="Arial" w:cs="Arial" w:eastAsia="Arial" w:hAnsi="Arial"/>
          <w:sz w:val="18"/>
          <w:szCs w:val="18"/>
          <w:i w:val="1"/>
          <w:iCs w:val="1"/>
          <w:color w:val="auto"/>
        </w:rPr>
        <w:t xml:space="preserve">Foot Locker — “Approved” — </w:t>
      </w:r>
      <w:r>
        <w:rPr>
          <w:rFonts w:ascii="Arial" w:cs="Arial" w:eastAsia="Arial" w:hAnsi="Arial"/>
          <w:sz w:val="18"/>
          <w:szCs w:val="18"/>
          <w:color w:val="auto"/>
        </w:rPr>
        <w:t>Foot Locker is a leading global athletic footwear and apparel retailer, which caters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sneaker enthusiast — </w:t>
      </w:r>
      <w:r>
        <w:rPr>
          <w:rFonts w:ascii="Arial" w:cs="Arial" w:eastAsia="Arial" w:hAnsi="Arial"/>
          <w:sz w:val="18"/>
          <w:szCs w:val="18"/>
          <w:i w:val="1"/>
          <w:iCs w:val="1"/>
          <w:color w:val="auto"/>
        </w:rPr>
        <w:t>If it’s at Foot Locker, it’s Approved</w:t>
      </w:r>
      <w:r>
        <w:rPr>
          <w:rFonts w:ascii="Arial" w:cs="Arial" w:eastAsia="Arial" w:hAnsi="Arial"/>
          <w:sz w:val="18"/>
          <w:szCs w:val="18"/>
          <w:color w:val="auto"/>
        </w:rPr>
        <w:t>. Its stores offer the latest in athletically-inspired footwear and apparel, manufactured primarily by the leading athletic brands. Foot Locker provides the best selection of premium products for a wide variety of activities, including basketball, running, and training. Additionally, we operate 199 House of Hoops, primarily a shop-in-shop concept, which sells premier basketball-inspired footwear and apparel. Foot Locker’s 1,796 stores are located in 23 countries including 971 in the United States, Puerto Rico, U.S. Virgin Islands, and Guam, 125 in Canada, 606 in Europe, and a combined 94 in Australia and New Zealand. The domestic stores have an average of 2,500 selling square feet and the international stores have an average of 1,500 selling square feet.</w:t>
      </w:r>
    </w:p>
    <w:p>
      <w:pPr>
        <w:spacing w:after="0" w:line="77" w:lineRule="exact"/>
        <w:rPr>
          <w:sz w:val="20"/>
          <w:szCs w:val="20"/>
          <w:color w:val="auto"/>
        </w:rPr>
      </w:pPr>
    </w:p>
    <w:p>
      <w:pPr>
        <w:jc w:val="both"/>
        <w:ind w:left="60" w:right="519"/>
        <w:spacing w:after="0" w:line="258" w:lineRule="auto"/>
        <w:rPr>
          <w:sz w:val="20"/>
          <w:szCs w:val="20"/>
          <w:color w:val="auto"/>
        </w:rPr>
      </w:pPr>
      <w:r>
        <w:rPr>
          <w:rFonts w:ascii="Arial" w:cs="Arial" w:eastAsia="Arial" w:hAnsi="Arial"/>
          <w:sz w:val="18"/>
          <w:szCs w:val="18"/>
          <w:i w:val="1"/>
          <w:iCs w:val="1"/>
          <w:color w:val="auto"/>
        </w:rPr>
        <w:t xml:space="preserve">Lady Foot Locker — “The Place for Her” — </w:t>
      </w:r>
      <w:r>
        <w:rPr>
          <w:rFonts w:ascii="Arial" w:cs="Arial" w:eastAsia="Arial" w:hAnsi="Arial"/>
          <w:sz w:val="18"/>
          <w:szCs w:val="18"/>
          <w:color w:val="auto"/>
        </w:rPr>
        <w:t>Lady Foot Locker is a U.S. retailer of athletic footwear, apparel,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dedicated to active women. Its stores carry major athletic footwear, apparel, and accessories brands designed for a variety of activities, including running, walking, training, and fitness. Lady Foot Locker operates 156 stores that are located in the United States and Puerto Rico. These stores have an average of 1,300 selling square feet.</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SIX:02 — “It’s Your Time</w:t>
      </w:r>
      <w:r>
        <w:rPr>
          <w:rFonts w:ascii="Arial" w:cs="Arial" w:eastAsia="Arial" w:hAnsi="Arial"/>
          <w:sz w:val="18"/>
          <w:szCs w:val="18"/>
          <w:color w:val="auto"/>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SIX:02 is an elevated retail concept designed for the modern woman, featuring top</w:t>
      </w:r>
      <w:r>
        <w:rPr>
          <w:rFonts w:ascii="Arial" w:cs="Arial" w:eastAsia="Arial" w:hAnsi="Arial"/>
          <w:sz w:val="18"/>
          <w:szCs w:val="18"/>
          <w:i w:val="1"/>
          <w:iCs w:val="1"/>
          <w:color w:val="auto"/>
        </w:rPr>
        <w:t xml:space="preserve"> </w:t>
      </w:r>
      <w:r>
        <w:rPr>
          <w:rFonts w:ascii="Arial" w:cs="Arial" w:eastAsia="Arial" w:hAnsi="Arial"/>
          <w:sz w:val="18"/>
          <w:szCs w:val="18"/>
          <w:color w:val="auto"/>
        </w:rPr>
        <w:t>brands in athletic-inspired style. The apparel, footwear, and accessories assortments are carefully curated to inspire her best self-expression — in the gym and out of it. This banner has unique local fitness and fashion partners in each market and also leverages top celebrity and social influencers to connect meaningfully to all aspects of a woman’s life. SIX:02 operates 30 stores in the United States and have an average of 2,100 selling square feet.</w:t>
      </w:r>
    </w:p>
    <w:p>
      <w:pPr>
        <w:spacing w:after="0" w:line="76" w:lineRule="exact"/>
        <w:rPr>
          <w:sz w:val="20"/>
          <w:szCs w:val="20"/>
          <w:color w:val="auto"/>
        </w:rPr>
      </w:pPr>
    </w:p>
    <w:p>
      <w:pPr>
        <w:jc w:val="both"/>
        <w:ind w:left="40" w:right="519"/>
        <w:spacing w:after="0" w:line="261" w:lineRule="auto"/>
        <w:rPr>
          <w:sz w:val="20"/>
          <w:szCs w:val="20"/>
          <w:color w:val="auto"/>
        </w:rPr>
      </w:pPr>
      <w:r>
        <w:rPr>
          <w:rFonts w:ascii="Arial" w:cs="Arial" w:eastAsia="Arial" w:hAnsi="Arial"/>
          <w:sz w:val="18"/>
          <w:szCs w:val="18"/>
          <w:i w:val="1"/>
          <w:iCs w:val="1"/>
          <w:color w:val="auto"/>
        </w:rPr>
        <w:t xml:space="preserve">Kids Foot Locker — “Go Big” — </w:t>
      </w:r>
      <w:r>
        <w:rPr>
          <w:rFonts w:ascii="Arial" w:cs="Arial" w:eastAsia="Arial" w:hAnsi="Arial"/>
          <w:sz w:val="18"/>
          <w:szCs w:val="18"/>
          <w:color w:val="auto"/>
        </w:rPr>
        <w:t>Kids Foot Locker is a youth athletic retailer that offers the largest selection of brand-name athletic footwear, apparel and accessories for young athletes. Its stores feature an environment geared to appeal to both parents and children. Of its 374 stores, 349 are located in the United States, Puerto Rico, and the U.S. Virgin Islands, 18 in Europe, and 7 in Canada. These stores have an average of 1,600 selling square feet.</w:t>
      </w:r>
    </w:p>
    <w:p>
      <w:pPr>
        <w:spacing w:after="0" w:line="72"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Footaction — “Own It” — </w:t>
      </w:r>
      <w:r>
        <w:rPr>
          <w:rFonts w:ascii="Arial" w:cs="Arial" w:eastAsia="Arial" w:hAnsi="Arial"/>
          <w:sz w:val="18"/>
          <w:szCs w:val="18"/>
          <w:color w:val="auto"/>
        </w:rPr>
        <w:t>Footaction is a national athletic footwear and apparel retailer that offers the freshest, best</w:t>
      </w:r>
      <w:r>
        <w:rPr>
          <w:rFonts w:ascii="Arial" w:cs="Arial" w:eastAsia="Arial" w:hAnsi="Arial"/>
          <w:sz w:val="18"/>
          <w:szCs w:val="18"/>
          <w:i w:val="1"/>
          <w:iCs w:val="1"/>
          <w:color w:val="auto"/>
        </w:rPr>
        <w:t xml:space="preserve"> </w:t>
      </w:r>
      <w:r>
        <w:rPr>
          <w:rFonts w:ascii="Arial" w:cs="Arial" w:eastAsia="Arial" w:hAnsi="Arial"/>
          <w:sz w:val="18"/>
          <w:szCs w:val="18"/>
          <w:color w:val="auto"/>
        </w:rPr>
        <w:t>edited selection of athletic lifestyle brands and looks. This banner is uniquely positioned at the intersection of sport and style. The primary customer is a style-obsessed, confident, influential young male who is always dressed to impress. Its 268 stores are located throughout the United States and Puerto Rico and focus on authentic, premium product. The Footaction stores have an average of 3,000 selling square feet.</w:t>
      </w:r>
    </w:p>
    <w:p>
      <w:pPr>
        <w:spacing w:after="0" w:line="76"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Champs Sports — “We Know Game” — </w:t>
      </w:r>
      <w:r>
        <w:rPr>
          <w:rFonts w:ascii="Arial" w:cs="Arial" w:eastAsia="Arial" w:hAnsi="Arial"/>
          <w:sz w:val="18"/>
          <w:szCs w:val="18"/>
          <w:color w:val="auto"/>
        </w:rPr>
        <w:t>Champs Sports is one of the largest mall-based specialty athletic footwear and</w:t>
      </w:r>
      <w:r>
        <w:rPr>
          <w:rFonts w:ascii="Arial" w:cs="Arial" w:eastAsia="Arial" w:hAnsi="Arial"/>
          <w:sz w:val="18"/>
          <w:szCs w:val="18"/>
          <w:i w:val="1"/>
          <w:iCs w:val="1"/>
          <w:color w:val="auto"/>
        </w:rPr>
        <w:t xml:space="preserve"> </w:t>
      </w:r>
      <w:r>
        <w:rPr>
          <w:rFonts w:ascii="Arial" w:cs="Arial" w:eastAsia="Arial" w:hAnsi="Arial"/>
          <w:sz w:val="18"/>
          <w:szCs w:val="18"/>
          <w:color w:val="auto"/>
        </w:rPr>
        <w:t>apparel retailers in North America. Its product categories include athletic footwear and apparel, and sport-lifestyle inspired accessories. This assortment allows Champs Sports to differentiate itself from other mall-based stores by presenting complete head-to-toe merchandising stories representing the most powerful athletic brands, sports teams, and athletes in North America. Of its 550 stores, 519 are located throughout the United States, Puerto Rico, and the U.S. Virgin Islands and 31 in Canada. The Champs Sports stores have an average of 3,500 selling square feet.</w:t>
      </w:r>
    </w:p>
    <w:p>
      <w:pPr>
        <w:spacing w:after="0" w:line="75"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i w:val="1"/>
          <w:iCs w:val="1"/>
          <w:color w:val="auto"/>
        </w:rPr>
        <w:t xml:space="preserve">Runners Point </w:t>
      </w:r>
      <w:r>
        <w:rPr>
          <w:rFonts w:ascii="Arial" w:cs="Arial" w:eastAsia="Arial" w:hAnsi="Arial"/>
          <w:sz w:val="18"/>
          <w:szCs w:val="18"/>
          <w:color w:val="auto"/>
        </w:rPr>
        <w:t>—</w:t>
      </w:r>
      <w:r>
        <w:rPr>
          <w:rFonts w:ascii="Arial" w:cs="Arial" w:eastAsia="Arial" w:hAnsi="Arial"/>
          <w:sz w:val="18"/>
          <w:szCs w:val="18"/>
          <w:i w:val="1"/>
          <w:iCs w:val="1"/>
          <w:color w:val="auto"/>
        </w:rPr>
        <w:t xml:space="preserve"> “Your Way, Our Passion” — </w:t>
      </w:r>
      <w:r>
        <w:rPr>
          <w:rFonts w:ascii="Arial" w:cs="Arial" w:eastAsia="Arial" w:hAnsi="Arial"/>
          <w:sz w:val="18"/>
          <w:szCs w:val="18"/>
          <w:color w:val="auto"/>
        </w:rPr>
        <w:t>Runners Point specializes in running footwear, apparel,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performance and lifestyle purposes. Its 121 stores are located in Germany, Austria and Switzerland. This banner caters to local running communities providing technical products, training tips and access to local running and group events. The Runners Point stores have an average of 1,300 selling square feet.</w:t>
      </w:r>
    </w:p>
    <w:p>
      <w:pPr>
        <w:spacing w:after="0" w:line="72"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Sidestep </w:t>
      </w:r>
      <w:r>
        <w:rPr>
          <w:rFonts w:ascii="Arial" w:cs="Arial" w:eastAsia="Arial" w:hAnsi="Arial"/>
          <w:sz w:val="18"/>
          <w:szCs w:val="18"/>
          <w:color w:val="auto"/>
        </w:rPr>
        <w:t>—</w:t>
      </w:r>
      <w:r>
        <w:rPr>
          <w:rFonts w:ascii="Arial" w:cs="Arial" w:eastAsia="Arial" w:hAnsi="Arial"/>
          <w:sz w:val="18"/>
          <w:szCs w:val="18"/>
          <w:i w:val="1"/>
          <w:iCs w:val="1"/>
          <w:color w:val="auto"/>
        </w:rPr>
        <w:t xml:space="preserve"> “Sneaker Lifestyle” </w:t>
      </w:r>
      <w:r>
        <w:rPr>
          <w:rFonts w:ascii="Arial" w:cs="Arial" w:eastAsia="Arial" w:hAnsi="Arial"/>
          <w:sz w:val="18"/>
          <w:szCs w:val="18"/>
          <w:color w:val="auto"/>
        </w:rPr>
        <w:t>— Sidestep is a predominantly sports fashion footwear banner. Its 88 stores are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Germany, Austria, the Netherlands, and Switzerland. Sidestep caters to a more discerning, fashion consumer. Sidestep stores have an average of 900 selling square feet.</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Direct-to-Customers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Company’s Direct-to-Customers segment is multi-branded and sells directly to customers through its Internet and mobile sites and catalogs. The Direct-to-Customers segment operates the websites for eastbay.com, final-score.com, eastbayteamsales.com, and sp24.com. Additionally, this segment includes the websites aligned with the brand names of its store banners (footlocker.com, ladyfootlocker.com, six02.com kidsfootlocker.com, champssports.com, footaction.com, footlocker.ca, footlocker.eu, runnerspoint.com, and sidestep-shoes.com). These sites offer some of the largest online selections of athletically inspired shoes and apparel, while providing a seamless link between ecommerce and store banners.</w:t>
      </w:r>
    </w:p>
    <w:p>
      <w:pPr>
        <w:spacing w:after="0" w:line="81"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Eastbay </w:t>
      </w:r>
      <w:r>
        <w:rPr>
          <w:rFonts w:ascii="Arial" w:cs="Arial" w:eastAsia="Arial" w:hAnsi="Arial"/>
          <w:sz w:val="18"/>
          <w:szCs w:val="18"/>
          <w:color w:val="auto"/>
        </w:rPr>
        <w:t>—</w:t>
      </w:r>
      <w:r>
        <w:rPr>
          <w:rFonts w:ascii="Arial" w:cs="Arial" w:eastAsia="Arial" w:hAnsi="Arial"/>
          <w:sz w:val="18"/>
          <w:szCs w:val="18"/>
          <w:i w:val="1"/>
          <w:iCs w:val="1"/>
          <w:color w:val="auto"/>
        </w:rPr>
        <w:t xml:space="preserve"> “First Choice For Athletes” — </w:t>
      </w:r>
      <w:r>
        <w:rPr>
          <w:rFonts w:ascii="Arial" w:cs="Arial" w:eastAsia="Arial" w:hAnsi="Arial"/>
          <w:sz w:val="18"/>
          <w:szCs w:val="18"/>
          <w:color w:val="auto"/>
        </w:rPr>
        <w:t>Eastbay is among the largest direct marketers in the United States,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high school and other athletes with a complete sports solution including athletic footwear, apparel, equipment, team licensed, and private-label merchandise for a broad range of sports.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has two separate ten-year agreements with third parties for the operation of Foot Locker stores located within the Middle East and the Republic of Korea. The franchised stores located in Germany operate under the Runners Point banner. A total of 64 franchised stores were operating at January 30, 2016, of which 40 were operating in the Middle East, 16 in Germany, and 8 in the Republic of Korea. During 2015, the Company completed an acquisition from Futura Sport AG of 10 Runners Point and Sidestep stores, which were previously franchise stores. Royalty income from the franchised stores was not significant for any of the periods presented. These stores are not included in the Company’s operating store count above.</w:t>
      </w:r>
    </w:p>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13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In the following tables, the Company has presented certain financial measures and ratios identified as non-GAAP. The Company believes this non-GAAP information is useful to investors because it allows for a more direct comparison of the Company’s performance for 2015 as compared with prior years and is useful in assessing the Company’s progress in achieving its long-term financial objectives. The following represents a reconciliation of the non-GAAP measures discussed throughout the Overview of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548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92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25"/>
        </w:trPr>
        <w:tc>
          <w:tcPr>
            <w:tcW w:w="53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b w:val="1"/>
                <w:bCs w:val="1"/>
                <w:color w:val="auto"/>
              </w:rPr>
              <w:t>7,412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rPr>
                <w:sz w:val="20"/>
                <w:szCs w:val="20"/>
                <w:color w:val="auto"/>
              </w:rPr>
            </w:pPr>
            <w:r>
              <w:rPr>
                <w:rFonts w:ascii="Arial" w:cs="Arial" w:eastAsia="Arial" w:hAnsi="Arial"/>
                <w:sz w:val="18"/>
                <w:szCs w:val="18"/>
                <w:color w:val="auto"/>
              </w:rPr>
              <w:t>7,151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Pre-tax income:</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837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809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Pre-tax amounts excluded from GAAP:</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Pension litigation charge</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Runners Point Group integration and acquisition costs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Gain on sale of real estate</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pre-tax amounts excluded</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105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942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811</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Calculation of Earnings Before Interest and Taxes (EBIT):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837</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809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EBIT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841</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814</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b w:val="1"/>
                <w:bCs w:val="1"/>
                <w:color w:val="auto"/>
              </w:rPr>
              <w:t>942</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811</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EBIT (non-GAAP)</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946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color w:val="auto"/>
              </w:rPr>
              <w:t>816</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EBIT margin %</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196" w:lineRule="exact"/>
              <w:rPr>
                <w:sz w:val="20"/>
                <w:szCs w:val="20"/>
                <w:color w:val="auto"/>
              </w:rPr>
            </w:pPr>
            <w:r>
              <w:rPr>
                <w:rFonts w:ascii="Arial" w:cs="Arial" w:eastAsia="Arial" w:hAnsi="Arial"/>
                <w:sz w:val="18"/>
                <w:szCs w:val="18"/>
                <w:b w:val="1"/>
                <w:bCs w:val="1"/>
                <w:color w:val="auto"/>
              </w:rPr>
              <w:t>11.3%</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EBIT margin % (non-GAAP)</w:t>
            </w:r>
          </w:p>
        </w:tc>
        <w:tc>
          <w:tcPr>
            <w:tcW w:w="560" w:type="dxa"/>
            <w:vAlign w:val="bottom"/>
          </w:tcPr>
          <w:p>
            <w:pPr>
              <w:spacing w:after="0"/>
              <w:rPr>
                <w:sz w:val="17"/>
                <w:szCs w:val="17"/>
                <w:color w:val="auto"/>
              </w:rPr>
            </w:pPr>
          </w:p>
        </w:tc>
        <w:tc>
          <w:tcPr>
            <w:tcW w:w="7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12.8%</w:t>
            </w:r>
          </w:p>
        </w:tc>
        <w:tc>
          <w:tcPr>
            <w:tcW w:w="260" w:type="dxa"/>
            <w:vAlign w:val="bottom"/>
          </w:tcPr>
          <w:p>
            <w:pPr>
              <w:spacing w:after="0"/>
              <w:rPr>
                <w:sz w:val="17"/>
                <w:szCs w:val="17"/>
                <w:color w:val="auto"/>
              </w:rPr>
            </w:pPr>
          </w:p>
        </w:tc>
        <w:tc>
          <w:tcPr>
            <w:tcW w:w="7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After-tax income:</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541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After-tax amounts excluded from GAAP:</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Pension litigation charge</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61</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Gain on sale of property</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Settlement of foreign tax audits</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606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522</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Net income margin %</w:t>
            </w:r>
          </w:p>
        </w:tc>
        <w:tc>
          <w:tcPr>
            <w:tcW w:w="560" w:type="dxa"/>
            <w:vAlign w:val="bottom"/>
          </w:tcPr>
          <w:p>
            <w:pPr>
              <w:spacing w:after="0"/>
              <w:rPr>
                <w:sz w:val="17"/>
                <w:szCs w:val="17"/>
                <w:color w:val="auto"/>
              </w:rPr>
            </w:pPr>
          </w:p>
        </w:tc>
        <w:tc>
          <w:tcPr>
            <w:tcW w:w="7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17"/>
                <w:szCs w:val="17"/>
                <w:color w:val="auto"/>
              </w:rPr>
            </w:pPr>
          </w:p>
        </w:tc>
        <w:tc>
          <w:tcPr>
            <w:tcW w:w="7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7.3%</w:t>
            </w:r>
          </w:p>
        </w:tc>
        <w:tc>
          <w:tcPr>
            <w:tcW w:w="280" w:type="dxa"/>
            <w:vAlign w:val="bottom"/>
          </w:tcPr>
          <w:p>
            <w:pPr>
              <w:spacing w:after="0"/>
              <w:rPr>
                <w:sz w:val="17"/>
                <w:szCs w:val="17"/>
                <w:color w:val="auto"/>
              </w:rPr>
            </w:pP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margin % (non-GAAP)</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8.2%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3.84</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Pension litigation charge</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0.43</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Impairment and other charges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0.02</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5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8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Gain on sale of property</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Settlement of foreign tax audits</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b w:val="1"/>
                <w:bCs w:val="1"/>
                <w:color w:val="auto"/>
              </w:rPr>
              <w:t>4.29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3.58</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 estimates the tax effect of the non-GAAP adjustments by applying its marginal tax rate to each of the respective items. During 2013, the Company recorded a benefit of $3 million, or $0.02 per diluted share, to reflect the settlement of foreign tax audits, which resulted in a reduction in tax reserves established in prior periods.</w:t>
      </w:r>
    </w:p>
    <w:p>
      <w:pPr>
        <w:spacing w:after="0" w:line="94"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When assessing Return on Invested Capital (“ROIC”), the Company adjusts its results to reflect its operating leases as if they qualified for capital lease treatment. Operating leases are the primary financing vehicle used to fund store expansion and, therefore, we believe that the presentation of these leases as if they were capital</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8" w:name="page19"/>
    <w:bookmarkEnd w:id="1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180" w:right="539"/>
        <w:spacing w:after="0" w:line="256" w:lineRule="auto"/>
        <w:rPr>
          <w:sz w:val="20"/>
          <w:szCs w:val="20"/>
          <w:color w:val="auto"/>
        </w:rPr>
      </w:pPr>
      <w:r>
        <w:rPr>
          <w:rFonts w:ascii="Arial" w:cs="Arial" w:eastAsia="Arial" w:hAnsi="Arial"/>
          <w:sz w:val="18"/>
          <w:szCs w:val="18"/>
          <w:color w:val="auto"/>
        </w:rPr>
        <w:t>leases is appropriate. Accordingly, the asset base and net income amounts are adjusted to reflect this in the calculation of ROIC. ROIC, subject to certain adjustments, is also used as a measure in executive long-term incentive compensation.</w:t>
      </w:r>
    </w:p>
    <w:p>
      <w:pPr>
        <w:spacing w:after="0" w:line="94"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The closest U.S. GAAP measure is Return on Assets (“ROA”) and is also represented below. ROA remained unchanged compared with the prior year. Our ROIC improvement is due to an increase in our non-GAAP earnings before interest and income taxes, partially offset by an increase in our average invested capital, primarily related to an increase in capitalized operating leases. This reflected the inclusion of the new headquarters lease and the effect of opening larger stores supporting the various shop-in-shop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19685</wp:posOffset>
            </wp:positionV>
            <wp:extent cx="55568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ind w:left="1636"/>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r>
      <w:tr>
        <w:trPr>
          <w:trHeight w:val="237"/>
        </w:trPr>
        <w:tc>
          <w:tcPr>
            <w:tcW w:w="3920" w:type="dxa"/>
            <w:vAlign w:val="bottom"/>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ROA</w:t>
            </w:r>
            <w:r>
              <w:rPr>
                <w:rFonts w:ascii="Arial" w:cs="Arial" w:eastAsia="Arial" w:hAnsi="Arial"/>
                <w:sz w:val="13"/>
                <w:szCs w:val="13"/>
                <w:color w:val="auto"/>
              </w:rPr>
              <w:t>(1)</w:t>
            </w:r>
          </w:p>
        </w:tc>
        <w:tc>
          <w:tcPr>
            <w:tcW w:w="2800" w:type="dxa"/>
            <w:vAlign w:val="bottom"/>
            <w:shd w:val="clear" w:color="auto" w:fill="CCEEFF"/>
          </w:tcPr>
          <w:p>
            <w:pPr>
              <w:jc w:val="center"/>
              <w:ind w:left="1696"/>
              <w:spacing w:after="0"/>
              <w:rPr>
                <w:sz w:val="20"/>
                <w:szCs w:val="20"/>
                <w:color w:val="auto"/>
              </w:rPr>
            </w:pPr>
            <w:r>
              <w:rPr>
                <w:rFonts w:ascii="Arial" w:cs="Arial" w:eastAsia="Arial" w:hAnsi="Arial"/>
                <w:sz w:val="18"/>
                <w:szCs w:val="18"/>
                <w:b w:val="1"/>
                <w:bCs w:val="1"/>
                <w:color w:val="auto"/>
                <w:w w:val="97"/>
              </w:rPr>
              <w:t>14.7%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12.5%</w:t>
            </w:r>
          </w:p>
        </w:tc>
      </w:tr>
      <w:tr>
        <w:trPr>
          <w:trHeight w:val="243"/>
        </w:trPr>
        <w:tc>
          <w:tcPr>
            <w:tcW w:w="39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ROIC % (non-GAAP)</w:t>
            </w:r>
            <w:r>
              <w:rPr>
                <w:rFonts w:ascii="Arial" w:cs="Arial" w:eastAsia="Arial" w:hAnsi="Arial"/>
                <w:sz w:val="28"/>
                <w:szCs w:val="28"/>
                <w:color w:val="auto"/>
                <w:vertAlign w:val="superscript"/>
              </w:rPr>
              <w:t>(2)</w:t>
            </w:r>
          </w:p>
        </w:tc>
        <w:tc>
          <w:tcPr>
            <w:tcW w:w="2800" w:type="dxa"/>
            <w:vAlign w:val="bottom"/>
            <w:tcBorders>
              <w:bottom w:val="single" w:sz="8" w:color="auto"/>
            </w:tcBorders>
          </w:tcPr>
          <w:p>
            <w:pPr>
              <w:jc w:val="center"/>
              <w:ind w:left="1696"/>
              <w:spacing w:after="0"/>
              <w:rPr>
                <w:sz w:val="20"/>
                <w:szCs w:val="20"/>
                <w:color w:val="auto"/>
              </w:rPr>
            </w:pPr>
            <w:r>
              <w:rPr>
                <w:rFonts w:ascii="Arial" w:cs="Arial" w:eastAsia="Arial" w:hAnsi="Arial"/>
                <w:sz w:val="18"/>
                <w:szCs w:val="18"/>
                <w:b w:val="1"/>
                <w:bCs w:val="1"/>
                <w:color w:val="auto"/>
                <w:w w:val="97"/>
              </w:rPr>
              <w:t>15.8%</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15.0%</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14.1%</w:t>
            </w:r>
          </w:p>
        </w:tc>
      </w:tr>
    </w:tbl>
    <w:p>
      <w:pPr>
        <w:spacing w:after="0" w:line="113" w:lineRule="exact"/>
        <w:rPr>
          <w:sz w:val="20"/>
          <w:szCs w:val="20"/>
          <w:color w:val="auto"/>
        </w:rPr>
      </w:pPr>
    </w:p>
    <w:p>
      <w:pPr>
        <w:ind w:left="420" w:right="519" w:hanging="272"/>
        <w:spacing w:after="0" w:line="278"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net income of $541 million, $520 million, and $429 million divided by average total assets of $3,676 million, $3,532 million, and $3,427 million for 2015, 2014, and 2013, respectively.</w:t>
      </w:r>
    </w:p>
    <w:p>
      <w:pPr>
        <w:spacing w:after="0" w:line="86" w:lineRule="exact"/>
        <w:rPr>
          <w:rFonts w:ascii="Arial" w:cs="Arial" w:eastAsia="Arial" w:hAnsi="Arial"/>
          <w:sz w:val="14"/>
          <w:szCs w:val="14"/>
          <w:color w:val="auto"/>
        </w:rPr>
      </w:pPr>
    </w:p>
    <w:p>
      <w:pPr>
        <w:ind w:left="420" w:hanging="27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below for the calculation of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334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946</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EBIT (non-GAAP)</w:t>
            </w:r>
          </w:p>
        </w:tc>
        <w:tc>
          <w:tcPr>
            <w:tcW w:w="3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ind w:left="10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271"/>
              <w:spacing w:after="0" w:line="203" w:lineRule="exact"/>
              <w:rPr>
                <w:sz w:val="20"/>
                <w:szCs w:val="20"/>
                <w:color w:val="auto"/>
              </w:rPr>
            </w:pPr>
            <w:r>
              <w:rPr>
                <w:rFonts w:ascii="Arial" w:cs="Arial" w:eastAsia="Arial" w:hAnsi="Arial"/>
                <w:sz w:val="18"/>
                <w:szCs w:val="18"/>
                <w:color w:val="auto"/>
              </w:rPr>
              <w:t>816</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line="203"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Rent expense</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640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 Estimated depreciation on capitalized operating leases</w:t>
            </w:r>
            <w:r>
              <w:rPr>
                <w:rFonts w:ascii="Arial" w:cs="Arial" w:eastAsia="Arial" w:hAnsi="Arial"/>
                <w:sz w:val="28"/>
                <w:szCs w:val="28"/>
                <w:color w:val="auto"/>
                <w:vertAlign w:val="superscript"/>
              </w:rPr>
              <w:t>(3)</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(498)</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(482)</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operating profit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1"/>
              <w:spacing w:after="0" w:line="196" w:lineRule="exact"/>
              <w:rPr>
                <w:sz w:val="20"/>
                <w:szCs w:val="20"/>
                <w:color w:val="auto"/>
              </w:rPr>
            </w:pPr>
            <w:r>
              <w:rPr>
                <w:rFonts w:ascii="Arial" w:cs="Arial" w:eastAsia="Arial" w:hAnsi="Arial"/>
                <w:sz w:val="18"/>
                <w:szCs w:val="18"/>
                <w:b w:val="1"/>
                <w:bCs w:val="1"/>
                <w:color w:val="auto"/>
              </w:rPr>
              <w:t>1,088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1"/>
              <w:spacing w:after="0" w:line="196" w:lineRule="exact"/>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 Adjusted income tax expense</w:t>
            </w:r>
            <w:r>
              <w:rPr>
                <w:rFonts w:ascii="Arial" w:cs="Arial" w:eastAsia="Arial" w:hAnsi="Arial"/>
                <w:sz w:val="28"/>
                <w:szCs w:val="28"/>
                <w:color w:val="auto"/>
                <w:vertAlign w:val="superscript"/>
              </w:rPr>
              <w:t>(4)</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(391)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Adjusted return after taxes</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b w:val="1"/>
                <w:bCs w:val="1"/>
                <w:color w:val="auto"/>
              </w:rPr>
              <w:t>697</w:t>
            </w:r>
          </w:p>
        </w:tc>
        <w:tc>
          <w:tcPr>
            <w:tcW w:w="2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271"/>
              <w:spacing w:after="0" w:line="196" w:lineRule="exact"/>
              <w:rPr>
                <w:sz w:val="20"/>
                <w:szCs w:val="20"/>
                <w:color w:val="auto"/>
              </w:rPr>
            </w:pPr>
            <w:r>
              <w:rPr>
                <w:rFonts w:ascii="Arial" w:cs="Arial" w:eastAsia="Arial" w:hAnsi="Arial"/>
                <w:sz w:val="18"/>
                <w:szCs w:val="18"/>
                <w:color w:val="auto"/>
              </w:rPr>
              <w:t>622</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Average total assets</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3,676</w:t>
            </w:r>
          </w:p>
        </w:tc>
        <w:tc>
          <w:tcPr>
            <w:tcW w:w="1100" w:type="dxa"/>
            <w:vAlign w:val="bottom"/>
            <w:gridSpan w:val="2"/>
          </w:tcPr>
          <w:p>
            <w:pPr>
              <w:jc w:val="right"/>
              <w:ind w:right="271"/>
              <w:spacing w:after="0" w:line="196" w:lineRule="exact"/>
              <w:rPr>
                <w:sz w:val="20"/>
                <w:szCs w:val="20"/>
                <w:color w:val="auto"/>
              </w:rPr>
            </w:pPr>
            <w:r>
              <w:rPr>
                <w:rFonts w:ascii="Arial" w:cs="Arial" w:eastAsia="Arial" w:hAnsi="Arial"/>
                <w:sz w:val="18"/>
                <w:szCs w:val="18"/>
                <w:color w:val="auto"/>
              </w:rPr>
              <w:t>$ 3,532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Average cash, cash equivalents and short-term investments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(994)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 Average non-interest bearing current liabilities</w:t>
            </w:r>
          </w:p>
        </w:tc>
        <w:tc>
          <w:tcPr>
            <w:tcW w:w="380" w:type="dxa"/>
            <w:vAlign w:val="bottom"/>
          </w:tcPr>
          <w:p>
            <w:pPr>
              <w:spacing w:after="0"/>
              <w:rPr>
                <w:sz w:val="17"/>
                <w:szCs w:val="17"/>
                <w:color w:val="auto"/>
              </w:rPr>
            </w:pPr>
          </w:p>
        </w:tc>
        <w:tc>
          <w:tcPr>
            <w:tcW w:w="80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(697)</w:t>
            </w:r>
          </w:p>
        </w:tc>
        <w:tc>
          <w:tcPr>
            <w:tcW w:w="220" w:type="dxa"/>
            <w:vAlign w:val="bottom"/>
          </w:tcPr>
          <w:p>
            <w:pPr>
              <w:spacing w:after="0"/>
              <w:rPr>
                <w:sz w:val="17"/>
                <w:szCs w:val="17"/>
                <w:color w:val="auto"/>
              </w:rPr>
            </w:pP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180" w:type="dxa"/>
            <w:vAlign w:val="bottom"/>
          </w:tcPr>
          <w:p>
            <w:pPr>
              <w:spacing w:after="0"/>
              <w:rPr>
                <w:sz w:val="17"/>
                <w:szCs w:val="17"/>
                <w:color w:val="auto"/>
              </w:rPr>
            </w:pPr>
          </w:p>
        </w:tc>
        <w:tc>
          <w:tcPr>
            <w:tcW w:w="8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Average merchandise inventories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w w:val="98"/>
              </w:rPr>
              <w:t>(1,268)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8"/>
              </w:rPr>
              <w:t>(1,235)</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 Average estimated asset base of capitalized operating</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0"/>
              <w:spacing w:after="0" w:line="243"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(3)</w:t>
            </w:r>
          </w:p>
        </w:tc>
        <w:tc>
          <w:tcPr>
            <w:tcW w:w="380" w:type="dxa"/>
            <w:vAlign w:val="bottom"/>
          </w:tcPr>
          <w:p>
            <w:pPr>
              <w:spacing w:after="0"/>
              <w:rPr>
                <w:sz w:val="21"/>
                <w:szCs w:val="21"/>
                <w:color w:val="auto"/>
              </w:rPr>
            </w:pPr>
          </w:p>
        </w:tc>
        <w:tc>
          <w:tcPr>
            <w:tcW w:w="800" w:type="dxa"/>
            <w:vAlign w:val="bottom"/>
          </w:tcPr>
          <w:p>
            <w:pPr>
              <w:jc w:val="right"/>
              <w:ind w:right="191"/>
              <w:spacing w:after="0"/>
              <w:rPr>
                <w:sz w:val="20"/>
                <w:szCs w:val="20"/>
                <w:color w:val="auto"/>
              </w:rPr>
            </w:pPr>
            <w:r>
              <w:rPr>
                <w:rFonts w:ascii="Arial" w:cs="Arial" w:eastAsia="Arial" w:hAnsi="Arial"/>
                <w:sz w:val="18"/>
                <w:szCs w:val="18"/>
                <w:b w:val="1"/>
                <w:bCs w:val="1"/>
                <w:color w:val="auto"/>
              </w:rPr>
              <w:t>2,346</w:t>
            </w:r>
          </w:p>
        </w:tc>
        <w:tc>
          <w:tcPr>
            <w:tcW w:w="22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8"/>
                <w:szCs w:val="18"/>
                <w:color w:val="auto"/>
              </w:rPr>
              <w:t>2,093</w:t>
            </w:r>
          </w:p>
        </w:tc>
        <w:tc>
          <w:tcPr>
            <w:tcW w:w="180" w:type="dxa"/>
            <w:vAlign w:val="bottom"/>
          </w:tcPr>
          <w:p>
            <w:pPr>
              <w:spacing w:after="0"/>
              <w:rPr>
                <w:sz w:val="21"/>
                <w:szCs w:val="21"/>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+ 13-month average merchandise inventories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1,337</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rPr>
              <w:t>1,325</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 Average invested capital</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b w:val="1"/>
                <w:bCs w:val="1"/>
                <w:color w:val="auto"/>
              </w:rPr>
              <w:t>4,400</w:t>
            </w:r>
          </w:p>
        </w:tc>
        <w:tc>
          <w:tcPr>
            <w:tcW w:w="1100" w:type="dxa"/>
            <w:vAlign w:val="bottom"/>
            <w:tcBorders>
              <w:bottom w:val="single" w:sz="8" w:color="auto"/>
            </w:tcBorders>
            <w:gridSpan w:val="2"/>
          </w:tcPr>
          <w:p>
            <w:pPr>
              <w:jc w:val="right"/>
              <w:ind w:right="271"/>
              <w:spacing w:after="0" w:line="196" w:lineRule="exact"/>
              <w:rPr>
                <w:sz w:val="20"/>
                <w:szCs w:val="20"/>
                <w:color w:val="auto"/>
              </w:rPr>
            </w:pPr>
            <w:r>
              <w:rPr>
                <w:rFonts w:ascii="Arial" w:cs="Arial" w:eastAsia="Arial" w:hAnsi="Arial"/>
                <w:sz w:val="18"/>
                <w:szCs w:val="18"/>
                <w:color w:val="auto"/>
              </w:rPr>
              <w:t>$ 4,139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ROIC %</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15.8%</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15.0%</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420" w:right="519" w:hanging="272"/>
        <w:spacing w:after="0" w:line="265"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 determination of the capitalized operating leases and the adjustments to income have been calculated on a lease-by-lease basis and have been consistently calculated in each of the years presented above. Capitalized operating leases represent the best estimate of the asset base that would be recorded for operating leases as if they had been classified as capital or as if the property were purchased. The present value of operating leases is discounted using various interest rates ranging from 2.5 percent to 14.5 percent, which represent the Company’s incremental borrowing rate at inception of the lease. The capitalized operating leases and related income statements amounts disclosed above do not reflect the requirements of the recently issued Accounting Standards Update 2016-02, </w:t>
      </w:r>
      <w:r>
        <w:rPr>
          <w:rFonts w:ascii="Arial" w:cs="Arial" w:eastAsia="Arial" w:hAnsi="Arial"/>
          <w:sz w:val="14"/>
          <w:szCs w:val="14"/>
          <w:i w:val="1"/>
          <w:iCs w:val="1"/>
          <w:color w:val="auto"/>
        </w:rPr>
        <w:t>Leases.</w:t>
      </w:r>
    </w:p>
    <w:p>
      <w:pPr>
        <w:spacing w:after="0" w:line="94" w:lineRule="exact"/>
        <w:rPr>
          <w:rFonts w:ascii="Arial" w:cs="Arial" w:eastAsia="Arial" w:hAnsi="Arial"/>
          <w:sz w:val="14"/>
          <w:szCs w:val="14"/>
          <w:color w:val="auto"/>
        </w:rPr>
      </w:pPr>
    </w:p>
    <w:p>
      <w:pPr>
        <w:ind w:left="420" w:hanging="27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adjusted income tax expense represents the marginal tax rate applied to net operating profit for each of the periods presented.</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 of Consolidated Results</w:t>
      </w:r>
    </w:p>
    <w:p>
      <w:pPr>
        <w:spacing w:after="0" w:line="139"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In March 2015, the Company updated its long-range plan and long-term financial objectives as presented below. The following represents our results and our progress towards meeting the updated objectives. Non-GAAP results are presented for all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55486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rPr>
              <w:t>Long-term</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Objectives</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Sales ($ in millions)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14"/>
              <w:spacing w:after="0" w:line="196" w:lineRule="exact"/>
              <w:rPr>
                <w:sz w:val="20"/>
                <w:szCs w:val="20"/>
                <w:color w:val="auto"/>
              </w:rPr>
            </w:pPr>
            <w:r>
              <w:rPr>
                <w:rFonts w:ascii="Arial" w:cs="Arial" w:eastAsia="Arial" w:hAnsi="Arial"/>
                <w:sz w:val="18"/>
                <w:szCs w:val="18"/>
                <w:b w:val="1"/>
                <w:bCs w:val="1"/>
                <w:color w:val="auto"/>
              </w:rPr>
              <w:t>10,000</w:t>
            </w:r>
          </w:p>
        </w:tc>
        <w:tc>
          <w:tcPr>
            <w:tcW w:w="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b w:val="1"/>
                <w:bCs w:val="1"/>
                <w:color w:val="auto"/>
              </w:rPr>
              <w:t>7,412</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7,151</w:t>
            </w:r>
          </w:p>
        </w:tc>
        <w:tc>
          <w:tcPr>
            <w:tcW w:w="4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line="196" w:lineRule="exact"/>
              <w:rPr>
                <w:sz w:val="20"/>
                <w:szCs w:val="20"/>
                <w:color w:val="auto"/>
              </w:rPr>
            </w:pPr>
            <w:r>
              <w:rPr>
                <w:rFonts w:ascii="Arial" w:cs="Arial" w:eastAsia="Arial" w:hAnsi="Arial"/>
                <w:sz w:val="18"/>
                <w:szCs w:val="18"/>
                <w:color w:val="auto"/>
              </w:rPr>
              <w:t>6,505</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Sales per gross square foot</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600</w:t>
            </w:r>
          </w:p>
        </w:tc>
        <w:tc>
          <w:tcPr>
            <w:tcW w:w="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504</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490</w:t>
            </w: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460</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EBIT margin</w:t>
            </w: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12.5%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12.8%</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10.4%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Net income margin</w:t>
            </w:r>
          </w:p>
        </w:tc>
        <w:tc>
          <w:tcPr>
            <w:tcW w:w="940" w:type="dxa"/>
            <w:vAlign w:val="bottom"/>
          </w:tcPr>
          <w:p>
            <w:pPr>
              <w:spacing w:after="0"/>
              <w:rPr>
                <w:sz w:val="17"/>
                <w:szCs w:val="17"/>
                <w:color w:val="auto"/>
              </w:rPr>
            </w:pP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8.5%</w:t>
            </w:r>
          </w:p>
        </w:tc>
        <w:tc>
          <w:tcPr>
            <w:tcW w:w="34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8.2%</w:t>
            </w:r>
          </w:p>
        </w:tc>
        <w:tc>
          <w:tcPr>
            <w:tcW w:w="38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7.3%</w:t>
            </w:r>
          </w:p>
        </w:tc>
        <w:tc>
          <w:tcPr>
            <w:tcW w:w="400" w:type="dxa"/>
            <w:vAlign w:val="bottom"/>
          </w:tcPr>
          <w:p>
            <w:pPr>
              <w:spacing w:after="0"/>
              <w:rPr>
                <w:sz w:val="17"/>
                <w:szCs w:val="17"/>
                <w:color w:val="auto"/>
              </w:rPr>
            </w:pPr>
          </w:p>
        </w:tc>
        <w:tc>
          <w:tcPr>
            <w:tcW w:w="9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6.6%</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0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ROIC</w:t>
            </w:r>
          </w:p>
        </w:tc>
        <w:tc>
          <w:tcPr>
            <w:tcW w:w="9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17.0%</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15.8%</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15.0%</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14.1%</w:t>
            </w:r>
          </w:p>
        </w:tc>
        <w:tc>
          <w:tcPr>
            <w:tcW w:w="700" w:type="dxa"/>
            <w:vAlign w:val="bottom"/>
          </w:tcPr>
          <w:p>
            <w:pPr>
              <w:spacing w:after="0"/>
              <w:rPr>
                <w:sz w:val="17"/>
                <w:szCs w:val="17"/>
                <w:color w:val="auto"/>
              </w:rPr>
            </w:pPr>
          </w:p>
        </w:tc>
      </w:tr>
      <w:tr>
        <w:trPr>
          <w:trHeight w:val="777"/>
        </w:trPr>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Highlights of our 2015 financial performance include:</w:t>
      </w:r>
    </w:p>
    <w:p>
      <w:pPr>
        <w:spacing w:after="0" w:line="117" w:lineRule="exact"/>
        <w:rPr>
          <w:sz w:val="20"/>
          <w:szCs w:val="20"/>
          <w:color w:val="auto"/>
        </w:rPr>
      </w:pPr>
    </w:p>
    <w:p>
      <w:pPr>
        <w:jc w:val="both"/>
        <w:ind w:left="620" w:right="519" w:hanging="322"/>
        <w:spacing w:after="0" w:line="25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comparable-store sales, as noted in the table below, both increased and continued to benefit from exciting assortments and enhanced store formats across our various banners, as well as improved performance of the Company’s store banner.com 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111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2013</w:t>
            </w: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Sales increase</w:t>
            </w:r>
          </w:p>
        </w:tc>
        <w:tc>
          <w:tcPr>
            <w:tcW w:w="1880" w:type="dxa"/>
            <w:vAlign w:val="bottom"/>
            <w:shd w:val="clear" w:color="auto" w:fill="CCEEFF"/>
          </w:tcPr>
          <w:p>
            <w:pPr>
              <w:ind w:left="1060"/>
              <w:spacing w:after="0" w:line="196" w:lineRule="exact"/>
              <w:rPr>
                <w:sz w:val="20"/>
                <w:szCs w:val="20"/>
                <w:color w:val="auto"/>
              </w:rPr>
            </w:pPr>
            <w:r>
              <w:rPr>
                <w:rFonts w:ascii="Arial" w:cs="Arial" w:eastAsia="Arial" w:hAnsi="Arial"/>
                <w:sz w:val="18"/>
                <w:szCs w:val="18"/>
                <w:b w:val="1"/>
                <w:bCs w:val="1"/>
                <w:color w:val="auto"/>
              </w:rPr>
              <w:t>3.6%</w:t>
            </w:r>
          </w:p>
        </w:tc>
        <w:tc>
          <w:tcPr>
            <w:tcW w:w="12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9.9%</w:t>
            </w:r>
          </w:p>
        </w:tc>
        <w:tc>
          <w:tcPr>
            <w:tcW w:w="12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6.6%</w:t>
            </w:r>
          </w:p>
        </w:tc>
      </w:tr>
      <w:tr>
        <w:trPr>
          <w:trHeight w:val="203"/>
        </w:trPr>
        <w:tc>
          <w:tcPr>
            <w:tcW w:w="37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Comparable-store sales increase</w:t>
            </w:r>
          </w:p>
        </w:tc>
        <w:tc>
          <w:tcPr>
            <w:tcW w:w="188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b w:val="1"/>
                <w:bCs w:val="1"/>
                <w:color w:val="auto"/>
              </w:rPr>
              <w:t>8.5%</w:t>
            </w:r>
          </w:p>
        </w:tc>
        <w:tc>
          <w:tcPr>
            <w:tcW w:w="1260" w:type="dxa"/>
            <w:vAlign w:val="bottom"/>
            <w:tcBorders>
              <w:bottom w:val="single" w:sz="8" w:color="auto"/>
            </w:tcBorders>
          </w:tcPr>
          <w:p>
            <w:pPr>
              <w:ind w:left="420"/>
              <w:spacing w:after="0" w:line="202" w:lineRule="exact"/>
              <w:rPr>
                <w:sz w:val="20"/>
                <w:szCs w:val="20"/>
                <w:color w:val="auto"/>
              </w:rPr>
            </w:pPr>
            <w:r>
              <w:rPr>
                <w:rFonts w:ascii="Arial" w:cs="Arial" w:eastAsia="Arial" w:hAnsi="Arial"/>
                <w:sz w:val="18"/>
                <w:szCs w:val="18"/>
                <w:color w:val="auto"/>
              </w:rPr>
              <w:t>8.0%</w:t>
            </w:r>
          </w:p>
        </w:tc>
        <w:tc>
          <w:tcPr>
            <w:tcW w:w="1200" w:type="dxa"/>
            <w:vAlign w:val="bottom"/>
            <w:tcBorders>
              <w:bottom w:val="single" w:sz="8" w:color="auto"/>
            </w:tcBorders>
          </w:tcPr>
          <w:p>
            <w:pPr>
              <w:ind w:left="440"/>
              <w:spacing w:after="0" w:line="202" w:lineRule="exact"/>
              <w:rPr>
                <w:sz w:val="20"/>
                <w:szCs w:val="20"/>
                <w:color w:val="auto"/>
              </w:rPr>
            </w:pPr>
            <w:r>
              <w:rPr>
                <w:rFonts w:ascii="Arial" w:cs="Arial" w:eastAsia="Arial" w:hAnsi="Arial"/>
                <w:sz w:val="18"/>
                <w:szCs w:val="18"/>
                <w:color w:val="auto"/>
              </w:rPr>
              <w:t>4.2%</w:t>
            </w:r>
          </w:p>
        </w:tc>
      </w:tr>
    </w:tbl>
    <w:p>
      <w:pPr>
        <w:spacing w:after="0" w:line="107" w:lineRule="exact"/>
        <w:rPr>
          <w:sz w:val="20"/>
          <w:szCs w:val="20"/>
          <w:color w:val="auto"/>
        </w:rPr>
      </w:pPr>
    </w:p>
    <w:p>
      <w:pPr>
        <w:ind w:left="620" w:hanging="32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represents the percentage of sales from each of the major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11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r>
      <w:tr>
        <w:trPr>
          <w:trHeight w:val="196"/>
        </w:trPr>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Footwear sales</w:t>
            </w:r>
          </w:p>
        </w:tc>
        <w:tc>
          <w:tcPr>
            <w:tcW w:w="1960" w:type="dxa"/>
            <w:vAlign w:val="bottom"/>
            <w:shd w:val="clear" w:color="auto" w:fill="CCEEFF"/>
          </w:tcPr>
          <w:p>
            <w:pPr>
              <w:jc w:val="right"/>
              <w:ind w:right="356"/>
              <w:spacing w:after="0" w:line="196" w:lineRule="exact"/>
              <w:rPr>
                <w:sz w:val="20"/>
                <w:szCs w:val="20"/>
                <w:color w:val="auto"/>
              </w:rPr>
            </w:pPr>
            <w:r>
              <w:rPr>
                <w:rFonts w:ascii="Arial" w:cs="Arial" w:eastAsia="Arial" w:hAnsi="Arial"/>
                <w:sz w:val="18"/>
                <w:szCs w:val="18"/>
                <w:b w:val="1"/>
                <w:bCs w:val="1"/>
                <w:color w:val="auto"/>
              </w:rPr>
              <w:t>82%</w:t>
            </w:r>
          </w:p>
        </w:tc>
        <w:tc>
          <w:tcPr>
            <w:tcW w:w="1260" w:type="dxa"/>
            <w:vAlign w:val="bottom"/>
            <w:shd w:val="clear" w:color="auto" w:fill="CCEEFF"/>
          </w:tcPr>
          <w:p>
            <w:pPr>
              <w:jc w:val="right"/>
              <w:ind w:right="376"/>
              <w:spacing w:after="0" w:line="196" w:lineRule="exact"/>
              <w:rPr>
                <w:sz w:val="20"/>
                <w:szCs w:val="20"/>
                <w:color w:val="auto"/>
              </w:rPr>
            </w:pPr>
            <w:r>
              <w:rPr>
                <w:rFonts w:ascii="Arial" w:cs="Arial" w:eastAsia="Arial" w:hAnsi="Arial"/>
                <w:sz w:val="18"/>
                <w:szCs w:val="18"/>
                <w:color w:val="auto"/>
              </w:rPr>
              <w:t>79%</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77%</w:t>
            </w:r>
          </w:p>
        </w:tc>
      </w:tr>
      <w:tr>
        <w:trPr>
          <w:trHeight w:val="203"/>
        </w:trPr>
        <w:tc>
          <w:tcPr>
            <w:tcW w:w="3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Apparel and accessories sales</w:t>
            </w:r>
          </w:p>
        </w:tc>
        <w:tc>
          <w:tcPr>
            <w:tcW w:w="1960" w:type="dxa"/>
            <w:vAlign w:val="bottom"/>
            <w:tcBorders>
              <w:bottom w:val="single" w:sz="8" w:color="auto"/>
            </w:tcBorders>
          </w:tcPr>
          <w:p>
            <w:pPr>
              <w:jc w:val="right"/>
              <w:ind w:right="356"/>
              <w:spacing w:after="0" w:line="202" w:lineRule="exact"/>
              <w:rPr>
                <w:sz w:val="20"/>
                <w:szCs w:val="20"/>
                <w:color w:val="auto"/>
              </w:rPr>
            </w:pPr>
            <w:r>
              <w:rPr>
                <w:rFonts w:ascii="Arial" w:cs="Arial" w:eastAsia="Arial" w:hAnsi="Arial"/>
                <w:sz w:val="18"/>
                <w:szCs w:val="18"/>
                <w:b w:val="1"/>
                <w:bCs w:val="1"/>
                <w:color w:val="auto"/>
              </w:rPr>
              <w:t>18%</w:t>
            </w:r>
          </w:p>
        </w:tc>
        <w:tc>
          <w:tcPr>
            <w:tcW w:w="1260" w:type="dxa"/>
            <w:vAlign w:val="bottom"/>
            <w:tcBorders>
              <w:bottom w:val="single" w:sz="8" w:color="auto"/>
            </w:tcBorders>
          </w:tcPr>
          <w:p>
            <w:pPr>
              <w:jc w:val="right"/>
              <w:ind w:right="376"/>
              <w:spacing w:after="0" w:line="202" w:lineRule="exact"/>
              <w:rPr>
                <w:sz w:val="20"/>
                <w:szCs w:val="20"/>
                <w:color w:val="auto"/>
              </w:rPr>
            </w:pPr>
            <w:r>
              <w:rPr>
                <w:rFonts w:ascii="Arial" w:cs="Arial" w:eastAsia="Arial" w:hAnsi="Arial"/>
                <w:sz w:val="18"/>
                <w:szCs w:val="18"/>
                <w:color w:val="auto"/>
              </w:rPr>
              <w:t>21%</w:t>
            </w: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23%</w:t>
            </w:r>
          </w:p>
        </w:tc>
      </w:tr>
    </w:tbl>
    <w:p>
      <w:pPr>
        <w:spacing w:after="0" w:line="107" w:lineRule="exact"/>
        <w:rPr>
          <w:sz w:val="20"/>
          <w:szCs w:val="20"/>
          <w:color w:val="auto"/>
        </w:rPr>
      </w:pPr>
    </w:p>
    <w:p>
      <w:pPr>
        <w:jc w:val="both"/>
        <w:ind w:left="620" w:right="539" w:hanging="322"/>
        <w:spacing w:after="0" w:line="256"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from the Direct-to-Customers segment increased 9.1 percent to $944 million, compared with $865 million in 2014 and increased 60 basis points as a percentage of total sales to 12.7 percent. The direct business has been steadily increasing over the last several years, led by the growth in the store banners’ ecommerce sales.</w:t>
      </w:r>
    </w:p>
    <w:p>
      <w:pPr>
        <w:spacing w:after="0" w:line="93" w:lineRule="exact"/>
        <w:rPr>
          <w:rFonts w:ascii="Arial" w:cs="Arial" w:eastAsia="Arial" w:hAnsi="Arial"/>
          <w:sz w:val="18"/>
          <w:szCs w:val="18"/>
          <w:color w:val="auto"/>
        </w:rPr>
      </w:pPr>
    </w:p>
    <w:p>
      <w:pPr>
        <w:jc w:val="both"/>
        <w:ind w:left="620" w:right="519" w:hanging="322"/>
        <w:spacing w:after="0" w:line="256"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as a percentage of sales, increased by 60 basis points to 33.8 percent in 2015. The improvement was driven by a decrease in the occupancy and buyers’ expense rate coupled with an increase in the merchandise margin rate. These reflect effective leverage on higher sales and a lower markdown rate.</w:t>
      </w:r>
    </w:p>
    <w:p>
      <w:pPr>
        <w:spacing w:after="0" w:line="93"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SG&amp;A expenses on a constant currency basis were 19.2 percent of sales, a decrease of 70 basis points as compared with the prior year, as we continued to diligently manage expenses.</w:t>
      </w:r>
    </w:p>
    <w:p>
      <w:pPr>
        <w:spacing w:after="0" w:line="88"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 margin was 12.8 percent, surpassing the long-term financial objective and reflecting the strong earnings generated during 2015.</w:t>
      </w:r>
    </w:p>
    <w:p>
      <w:pPr>
        <w:spacing w:after="0" w:line="88"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on a non-GAAP basis was $606 million, or $4.29 diluted earnings per share, an increase of 19.8 percent from the prior-year period.</w:t>
      </w:r>
    </w:p>
    <w:p>
      <w:pPr>
        <w:spacing w:after="0" w:line="88" w:lineRule="exact"/>
        <w:rPr>
          <w:rFonts w:ascii="Arial" w:cs="Arial" w:eastAsia="Arial" w:hAnsi="Arial"/>
          <w:sz w:val="18"/>
          <w:szCs w:val="18"/>
          <w:color w:val="auto"/>
        </w:rPr>
      </w:pPr>
    </w:p>
    <w:p>
      <w:pPr>
        <w:jc w:val="both"/>
        <w:ind w:left="620" w:right="519" w:hanging="322"/>
        <w:spacing w:after="0" w:line="25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ended the year in a strong financial position. At year end, the Company had $891 million of cash and cash equivalents, net of debt and obligations under capital leases. Cash and cash equivalents at January 30, 2016 were $1,021 million, representing an increase of $54 million as compared with last year. This improvement reflects earnings strength and the successful execution of various key initiatives noted in the items below.</w:t>
      </w:r>
    </w:p>
    <w:p>
      <w:pPr>
        <w:spacing w:after="0" w:line="97" w:lineRule="exact"/>
        <w:rPr>
          <w:rFonts w:ascii="Arial" w:cs="Arial" w:eastAsia="Arial" w:hAnsi="Arial"/>
          <w:sz w:val="18"/>
          <w:szCs w:val="18"/>
          <w:color w:val="auto"/>
        </w:rPr>
      </w:pPr>
    </w:p>
    <w:p>
      <w:pPr>
        <w:ind w:left="620" w:hanging="32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provided by operating activities was $745 million, representing a $33 million increase over last year.</w:t>
      </w:r>
    </w:p>
    <w:p>
      <w:pPr>
        <w:spacing w:after="0" w:line="117" w:lineRule="exact"/>
        <w:rPr>
          <w:rFonts w:ascii="Arial" w:cs="Arial" w:eastAsia="Arial" w:hAnsi="Arial"/>
          <w:sz w:val="18"/>
          <w:szCs w:val="18"/>
          <w:color w:val="auto"/>
        </w:rPr>
      </w:pPr>
    </w:p>
    <w:p>
      <w:pPr>
        <w:jc w:val="both"/>
        <w:ind w:left="620" w:right="519" w:hanging="322"/>
        <w:spacing w:after="0" w:line="256"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capital expenditures during 2015 totaled $228 million and were primarily directed to the remodeling or relocation of 209 stores, the build-out of approximately 100 new stores, as well as other technology and infrastructure projects.</w:t>
      </w:r>
    </w:p>
    <w:p>
      <w:pPr>
        <w:spacing w:after="0" w:line="93" w:lineRule="exact"/>
        <w:rPr>
          <w:rFonts w:ascii="Arial" w:cs="Arial" w:eastAsia="Arial" w:hAnsi="Arial"/>
          <w:sz w:val="18"/>
          <w:szCs w:val="18"/>
          <w:color w:val="auto"/>
        </w:rPr>
      </w:pPr>
    </w:p>
    <w:p>
      <w:pPr>
        <w:jc w:val="both"/>
        <w:ind w:left="620" w:right="519" w:hanging="322"/>
        <w:spacing w:after="0" w:line="256"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2015 we returned significant value to our shareholders. Dividends totaling $139 million were declared and paid during 2015, and a total of 6.7 million shares were repurchased under our share repurchase program at a cost of $419 million.</w:t>
      </w:r>
    </w:p>
    <w:p>
      <w:pPr>
        <w:spacing w:after="0" w:line="93"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ROIC increased to 15.8 percent as compared to the prior year result of 15.0 percent, reflecting profitability improvements and a disciplined approach to capital spending.</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20" w:name="page21"/>
    <w:bookmarkEnd w:id="2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of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45720</wp:posOffset>
            </wp:positionV>
            <wp:extent cx="5565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Sales</w:t>
            </w:r>
          </w:p>
        </w:tc>
        <w:tc>
          <w:tcPr>
            <w:tcW w:w="1280" w:type="dxa"/>
            <w:vAlign w:val="bottom"/>
            <w:vMerge w:val="continue"/>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7,412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7,151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2,505</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2,374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8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1,415</w:t>
            </w:r>
          </w:p>
        </w:tc>
        <w:tc>
          <w:tcPr>
            <w:tcW w:w="3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1,426</w:t>
            </w:r>
          </w:p>
        </w:tc>
        <w:tc>
          <w:tcPr>
            <w:tcW w:w="3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148</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541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1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3.84</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Sales</w:t>
      </w:r>
    </w:p>
    <w:p>
      <w:pPr>
        <w:spacing w:after="0" w:line="135"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97"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Sales of $7,412 million in 2015 increased by 3.6 percent from sales of $7,151 million in 2014, this represented a comparable-store sales increase of 8.5 percent. Excluding the effect of foreign currency fluctuations, sales increased 8.9 percent as compared with 2014. Sales of $7,151 million in 2014 increased by 9.9 percent from sales of $6,505 million in 2013, this represented a comparable-store sales increase of 8.0 percent. Excluding the effect of foreign currency fluctuations and sales of Runners Point Group, sales increased 8.5 percent as compared with 2013.</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556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margin rate</w:t>
            </w:r>
          </w:p>
        </w:tc>
        <w:tc>
          <w:tcPr>
            <w:tcW w:w="1240" w:type="dxa"/>
            <w:vAlign w:val="bottom"/>
            <w:shd w:val="clear" w:color="auto" w:fill="CCEEFF"/>
          </w:tcPr>
          <w:p>
            <w:pPr>
              <w:jc w:val="right"/>
              <w:ind w:right="174"/>
              <w:spacing w:after="0" w:line="196" w:lineRule="exact"/>
              <w:rPr>
                <w:sz w:val="20"/>
                <w:szCs w:val="20"/>
                <w:color w:val="auto"/>
              </w:rPr>
            </w:pPr>
            <w:r>
              <w:rPr>
                <w:rFonts w:ascii="Arial" w:cs="Arial" w:eastAsia="Arial" w:hAnsi="Arial"/>
                <w:sz w:val="18"/>
                <w:szCs w:val="18"/>
                <w:b w:val="1"/>
                <w:bCs w:val="1"/>
                <w:color w:val="auto"/>
              </w:rPr>
              <w:t>33.8%</w:t>
            </w:r>
          </w:p>
        </w:tc>
        <w:tc>
          <w:tcPr>
            <w:tcW w:w="1060" w:type="dxa"/>
            <w:vAlign w:val="bottom"/>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33.2%</w:t>
            </w:r>
          </w:p>
        </w:tc>
        <w:tc>
          <w:tcPr>
            <w:tcW w:w="100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32.8%</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Basis point increase in the gross margin rate</w:t>
            </w:r>
          </w:p>
        </w:tc>
        <w:tc>
          <w:tcPr>
            <w:tcW w:w="1240" w:type="dxa"/>
            <w:vAlign w:val="bottom"/>
          </w:tcPr>
          <w:p>
            <w:pPr>
              <w:jc w:val="right"/>
              <w:ind w:right="334"/>
              <w:spacing w:after="0" w:line="202" w:lineRule="exact"/>
              <w:rPr>
                <w:sz w:val="20"/>
                <w:szCs w:val="20"/>
                <w:color w:val="auto"/>
              </w:rPr>
            </w:pPr>
            <w:r>
              <w:rPr>
                <w:rFonts w:ascii="Arial" w:cs="Arial" w:eastAsia="Arial" w:hAnsi="Arial"/>
                <w:sz w:val="18"/>
                <w:szCs w:val="18"/>
                <w:b w:val="1"/>
                <w:bCs w:val="1"/>
                <w:color w:val="auto"/>
              </w:rPr>
              <w:t>60</w:t>
            </w:r>
          </w:p>
        </w:tc>
        <w:tc>
          <w:tcPr>
            <w:tcW w:w="106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40</w:t>
            </w:r>
          </w:p>
        </w:tc>
        <w:tc>
          <w:tcPr>
            <w:tcW w:w="1000" w:type="dxa"/>
            <w:vAlign w:val="bottom"/>
          </w:tcPr>
          <w:p>
            <w:pPr>
              <w:spacing w:after="0"/>
              <w:rPr>
                <w:sz w:val="17"/>
                <w:szCs w:val="17"/>
                <w:color w:val="auto"/>
              </w:rPr>
            </w:pPr>
          </w:p>
        </w:tc>
      </w:tr>
      <w:tr>
        <w:trPr>
          <w:trHeight w:val="203"/>
        </w:trPr>
        <w:tc>
          <w:tcPr>
            <w:tcW w:w="5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Components of the increase-</w:t>
            </w: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Merchandise margin rate improvement/(decline)</w:t>
            </w:r>
          </w:p>
        </w:tc>
        <w:tc>
          <w:tcPr>
            <w:tcW w:w="1240" w:type="dxa"/>
            <w:vAlign w:val="bottom"/>
          </w:tcPr>
          <w:p>
            <w:pPr>
              <w:jc w:val="right"/>
              <w:ind w:right="334"/>
              <w:spacing w:after="0" w:line="202" w:lineRule="exact"/>
              <w:rPr>
                <w:sz w:val="20"/>
                <w:szCs w:val="20"/>
                <w:color w:val="auto"/>
              </w:rPr>
            </w:pPr>
            <w:r>
              <w:rPr>
                <w:rFonts w:ascii="Arial" w:cs="Arial" w:eastAsia="Arial" w:hAnsi="Arial"/>
                <w:sz w:val="18"/>
                <w:szCs w:val="18"/>
                <w:b w:val="1"/>
                <w:bCs w:val="1"/>
                <w:color w:val="auto"/>
              </w:rPr>
              <w:t>30</w:t>
            </w:r>
          </w:p>
        </w:tc>
        <w:tc>
          <w:tcPr>
            <w:tcW w:w="10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(30)</w:t>
            </w:r>
          </w:p>
        </w:tc>
        <w:tc>
          <w:tcPr>
            <w:tcW w:w="1000" w:type="dxa"/>
            <w:vAlign w:val="bottom"/>
          </w:tcPr>
          <w:p>
            <w:pPr>
              <w:spacing w:after="0"/>
              <w:rPr>
                <w:sz w:val="17"/>
                <w:szCs w:val="17"/>
                <w:color w:val="auto"/>
              </w:rPr>
            </w:pPr>
          </w:p>
        </w:tc>
      </w:tr>
      <w:tr>
        <w:trPr>
          <w:trHeight w:val="203"/>
        </w:trPr>
        <w:tc>
          <w:tcPr>
            <w:tcW w:w="548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Lower occupancy and buyers’ compensation expense rate</w:t>
            </w:r>
          </w:p>
        </w:tc>
        <w:tc>
          <w:tcPr>
            <w:tcW w:w="1240" w:type="dxa"/>
            <w:vAlign w:val="bottom"/>
            <w:tcBorders>
              <w:bottom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70</w:t>
            </w:r>
          </w:p>
        </w:tc>
        <w:tc>
          <w:tcPr>
            <w:tcW w:w="1000" w:type="dxa"/>
            <w:vAlign w:val="bottom"/>
            <w:tcBorders>
              <w:bottom w:val="single" w:sz="8" w:color="auto"/>
            </w:tcBorders>
            <w:shd w:val="clear" w:color="auto" w:fill="CCEEFF"/>
          </w:tcPr>
          <w:p>
            <w:pPr>
              <w:spacing w:after="0"/>
              <w:rPr>
                <w:sz w:val="17"/>
                <w:szCs w:val="17"/>
                <w:color w:val="auto"/>
              </w:rPr>
            </w:pPr>
          </w:p>
        </w:tc>
      </w:tr>
    </w:tbl>
    <w:p>
      <w:pPr>
        <w:spacing w:after="0" w:line="107"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gross margin rate improved by 60 basis points during 2015 as compared with the corresponding prior-year period. Excluding the effect of foreign currency fluctuations, the gross margin rate improved by 70 basis points in 2015. The improvement was driven by both an improved merchandise margin rate and a decrease in the occupancy and buyers’ compensation rate reflecting improved sales leverage. The improvement in the merchandise margin rate primarily reflected an enhanced ability to achieve full-priced selling, as fewer markdowns were needed due to the freshness of inventory.</w:t>
      </w:r>
    </w:p>
    <w:p>
      <w:pPr>
        <w:spacing w:after="0" w:line="101" w:lineRule="exact"/>
        <w:rPr>
          <w:sz w:val="20"/>
          <w:szCs w:val="20"/>
          <w:color w:val="auto"/>
        </w:rPr>
      </w:pPr>
    </w:p>
    <w:p>
      <w:pPr>
        <w:jc w:val="both"/>
        <w:ind w:left="180" w:right="519"/>
        <w:spacing w:after="0" w:line="253" w:lineRule="auto"/>
        <w:rPr>
          <w:sz w:val="20"/>
          <w:szCs w:val="20"/>
          <w:color w:val="auto"/>
        </w:rPr>
      </w:pPr>
      <w:r>
        <w:rPr>
          <w:rFonts w:ascii="Arial" w:cs="Arial" w:eastAsia="Arial" w:hAnsi="Arial"/>
          <w:sz w:val="18"/>
          <w:szCs w:val="18"/>
          <w:color w:val="auto"/>
        </w:rPr>
        <w:t>Gross margin in 2014 improved 40 basis points to 33.2 percent as compared with 2013. This improvement reflected a decrease in the occupancy and buyers’ compensation rate, which reflected improved leverage of primarily fixed costs. Merchandise margin declined by 30 basis points in 2014 as the cost of merchandise increased as compared with 2013. This primarily reflected the effect of lower initial markups driven by supplier and category mix, and lower shipping and handling margin, partially offset by lower markdowns.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5486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w w:val="97"/>
              </w:rPr>
              <w:t>1,415</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40" w:type="dxa"/>
            <w:vAlign w:val="bottom"/>
          </w:tcPr>
          <w:p>
            <w:pPr>
              <w:ind w:left="20"/>
              <w:spacing w:after="0" w:line="203" w:lineRule="exact"/>
              <w:rPr>
                <w:sz w:val="20"/>
                <w:szCs w:val="20"/>
                <w:color w:val="auto"/>
              </w:rPr>
            </w:pPr>
            <w:r>
              <w:rPr>
                <w:rFonts w:ascii="Arial" w:cs="Arial" w:eastAsia="Arial" w:hAnsi="Arial"/>
                <w:sz w:val="18"/>
                <w:szCs w:val="18"/>
                <w:color w:val="auto"/>
              </w:rPr>
              <w:t>SG&amp;A</w:t>
            </w:r>
          </w:p>
        </w:tc>
        <w:tc>
          <w:tcPr>
            <w:tcW w:w="23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20" w:type="dxa"/>
            <w:vAlign w:val="bottom"/>
          </w:tcPr>
          <w:p>
            <w:pPr>
              <w:jc w:val="right"/>
              <w:ind w:right="296"/>
              <w:spacing w:after="0" w:line="203" w:lineRule="exact"/>
              <w:rPr>
                <w:sz w:val="20"/>
                <w:szCs w:val="20"/>
                <w:color w:val="auto"/>
              </w:rPr>
            </w:pPr>
            <w:r>
              <w:rPr>
                <w:rFonts w:ascii="Arial" w:cs="Arial" w:eastAsia="Arial" w:hAnsi="Arial"/>
                <w:sz w:val="18"/>
                <w:szCs w:val="18"/>
                <w:color w:val="auto"/>
              </w:rPr>
              <w:t>$ 1,426</w:t>
            </w:r>
          </w:p>
        </w:tc>
        <w:tc>
          <w:tcPr>
            <w:tcW w:w="1020" w:type="dxa"/>
            <w:vAlign w:val="bottom"/>
          </w:tcPr>
          <w:p>
            <w:pPr>
              <w:jc w:val="right"/>
              <w:ind w:right="196"/>
              <w:spacing w:after="0" w:line="203" w:lineRule="exact"/>
              <w:rPr>
                <w:sz w:val="20"/>
                <w:szCs w:val="20"/>
                <w:color w:val="auto"/>
              </w:rPr>
            </w:pPr>
            <w:r>
              <w:rPr>
                <w:rFonts w:ascii="Arial" w:cs="Arial" w:eastAsia="Arial" w:hAnsi="Arial"/>
                <w:sz w:val="18"/>
                <w:szCs w:val="18"/>
                <w:color w:val="auto"/>
              </w:rPr>
              <w:t>$  1,334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(11)</w:t>
            </w:r>
          </w:p>
        </w:tc>
        <w:tc>
          <w:tcPr>
            <w:tcW w:w="112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    92</w:t>
            </w:r>
          </w:p>
        </w:tc>
        <w:tc>
          <w:tcPr>
            <w:tcW w:w="102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23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(0.8)%</w:t>
            </w:r>
          </w:p>
        </w:tc>
        <w:tc>
          <w:tcPr>
            <w:tcW w:w="11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6.9%</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SG&amp;A as a percentage of sales</w:t>
            </w:r>
          </w:p>
        </w:tc>
        <w:tc>
          <w:tcPr>
            <w:tcW w:w="2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19.1%</w:t>
            </w:r>
          </w:p>
        </w:tc>
        <w:tc>
          <w:tcPr>
            <w:tcW w:w="1120" w:type="dxa"/>
            <w:vAlign w:val="bottom"/>
            <w:tcBorders>
              <w:bottom w:val="single" w:sz="8" w:color="auto"/>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19.9%</w:t>
            </w:r>
          </w:p>
        </w:tc>
        <w:tc>
          <w:tcPr>
            <w:tcW w:w="102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20.5%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4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Excluding the effect of foreign currency fluctuations, SG&amp;A increased by $72 million for 2015 as compared with 2014. The increase was driven by higher variable expenses to support sales, such as store wages and banking expenses. As a percentage of sales, SG&amp;A improved 80 basis points representing improved leverage on our sales increase. Consistent with the prior year, this improvement reflects effective expense management, specifically store wage improvements due to productivity gains reflecting the continued utilization of hiring and scheduling tools.</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Excluding the effect of foreign currency fluctuations, SG&amp;A increased by $101 million for 2014 as compared with 2013. Runners Point Group, which was acquired in early July 2013, represented an incremental $39 million in expenses in 2014. Additionally, the Company incurred $2 million in integration costs during 2014. Excluding these items, the increase was driven by higher variable expenses to support sales, such as store wages and banking expenses. As a percentage of sales, SG&amp;A improved 60 basis points representing improved leverage on our sales increase. This improvement reflected continued effective expense management, including store wages, which benefitted from the utilization of hiring and scheduling tools, as well as enhanced associate training.</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56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  148</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Depreciation and Amortization</w:t>
            </w:r>
          </w:p>
        </w:tc>
        <w:tc>
          <w:tcPr>
            <w:tcW w:w="2560" w:type="dxa"/>
            <w:vAlign w:val="bottom"/>
            <w:vMerge w:val="continue"/>
          </w:tcPr>
          <w:p>
            <w:pPr>
              <w:spacing w:after="0"/>
              <w:rPr>
                <w:sz w:val="17"/>
                <w:szCs w:val="17"/>
                <w:color w:val="auto"/>
              </w:rPr>
            </w:pPr>
          </w:p>
        </w:tc>
        <w:tc>
          <w:tcPr>
            <w:tcW w:w="1140" w:type="dxa"/>
            <w:vAlign w:val="bottom"/>
          </w:tcPr>
          <w:p>
            <w:pPr>
              <w:jc w:val="right"/>
              <w:ind w:right="357"/>
              <w:spacing w:after="0" w:line="203" w:lineRule="exact"/>
              <w:rPr>
                <w:sz w:val="20"/>
                <w:szCs w:val="20"/>
                <w:color w:val="auto"/>
              </w:rPr>
            </w:pPr>
            <w:r>
              <w:rPr>
                <w:rFonts w:ascii="Arial" w:cs="Arial" w:eastAsia="Arial" w:hAnsi="Arial"/>
                <w:sz w:val="18"/>
                <w:szCs w:val="18"/>
                <w:color w:val="auto"/>
              </w:rPr>
              <w:t>$  139</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5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9</w:t>
            </w:r>
          </w:p>
        </w:tc>
        <w:tc>
          <w:tcPr>
            <w:tcW w:w="1140" w:type="dxa"/>
            <w:vAlign w:val="bottom"/>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 Change</w:t>
            </w:r>
          </w:p>
        </w:tc>
        <w:tc>
          <w:tcPr>
            <w:tcW w:w="25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6.5%</w:t>
            </w:r>
          </w:p>
        </w:tc>
        <w:tc>
          <w:tcPr>
            <w:tcW w:w="1140" w:type="dxa"/>
            <w:vAlign w:val="bottom"/>
            <w:tcBorders>
              <w:bottom w:val="single" w:sz="8" w:color="auto"/>
            </w:tcBorders>
          </w:tcPr>
          <w:p>
            <w:pPr>
              <w:jc w:val="right"/>
              <w:ind w:right="197"/>
              <w:spacing w:after="0" w:line="202" w:lineRule="exact"/>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Excluding the effect of foreign currency fluctuations, depreciation and amortization increased $17 million in 2015. On a constant currency basis, the increases in each year presented reflect increased capital spending on store improvements, our digital sites and other various technologies. In addition, the 2014 amount included $2 million of capital accrual adjustments made during the third quarter of 2014, which reduced depreciation and amortization.</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Pension Litigation Charge</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 xml:space="preserve">During the third quarter of 2015, the Company recorded a $100 million pension litigation charge ($61 million after-tax or $0.43 per diluted share). This charge relates to a class action in which the plaintiffs alleged that the Company failed to properly disclose the effects of the 1996 conversion of the retirement plan to a defined benefit plan with a cash balance formula. In September 2015, the court ruled in favor of the plaintiffs and issued a decision ordering that the pension plan be reformed. The Company is appealing the court’s decision, and the judgment has been stayed pending the outcome of the appeal. The Company’s reasonable estimate of this liability is a range between $100 million and $200 million, with no amount within that range more probable than any other amount. Therefore, in accordance with U.S. GAAP, the Company recorded a pre-tax charge of $100 million. Please see Item 8. “Consolidated Financial Statements and Supplementary Data,” Note 23,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254"/>
              <w:spacing w:after="0"/>
              <w:rPr>
                <w:sz w:val="20"/>
                <w:szCs w:val="20"/>
                <w:color w:val="auto"/>
              </w:rPr>
            </w:pPr>
            <w:r>
              <w:rPr>
                <w:rFonts w:ascii="Arial" w:cs="Arial" w:eastAsia="Arial" w:hAnsi="Arial"/>
                <w:sz w:val="18"/>
                <w:szCs w:val="18"/>
                <w:b w:val="1"/>
                <w:bCs w:val="1"/>
                <w:color w:val="auto"/>
              </w:rPr>
              <w:t>11</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Interest expense</w:t>
            </w:r>
          </w:p>
        </w:tc>
        <w:tc>
          <w:tcPr>
            <w:tcW w:w="1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tcPr>
          <w:p>
            <w:pPr>
              <w:ind w:left="18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94"/>
              <w:spacing w:after="0" w:line="203" w:lineRule="exact"/>
              <w:rPr>
                <w:sz w:val="20"/>
                <w:szCs w:val="20"/>
                <w:color w:val="auto"/>
              </w:rPr>
            </w:pPr>
            <w:r>
              <w:rPr>
                <w:rFonts w:ascii="Arial" w:cs="Arial" w:eastAsia="Arial" w:hAnsi="Arial"/>
                <w:sz w:val="18"/>
                <w:szCs w:val="18"/>
                <w:color w:val="auto"/>
              </w:rPr>
              <w:t>11</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14"/>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(7)</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interest rate (excluding fees)</w:t>
            </w: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b w:val="1"/>
                <w:bCs w:val="1"/>
                <w:color w:val="auto"/>
              </w:rPr>
              <w:t>7.2%</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Net interest expense decreased by $1 million in 2015 as compared with 2014, reflecting increased income due to higher interest rates. Net interest expense in 2014 was essentially unchanged from 2013. The Company did not have any short-term borrowings, other than amounts outstanding in connection with capital leases, for any of the periods presented.</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2" w:name="page23"/>
    <w:bookmarkEnd w:id="2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180" w:right="519"/>
        <w:spacing w:after="0" w:line="252" w:lineRule="auto"/>
        <w:rPr>
          <w:sz w:val="20"/>
          <w:szCs w:val="20"/>
          <w:color w:val="auto"/>
        </w:rPr>
      </w:pPr>
      <w:r>
        <w:rPr>
          <w:rFonts w:ascii="Arial" w:cs="Arial" w:eastAsia="Arial" w:hAnsi="Arial"/>
          <w:sz w:val="18"/>
          <w:szCs w:val="18"/>
          <w:color w:val="auto"/>
        </w:rPr>
        <w:t>The effective tax rate for 2015 was 35.4 percent, as compared with 35.7 percent in 2014. The Company regularly assesses the adequacy of the provisions for income tax contingencies in accordance with the applicable authoritative guidance on accounting for income taxes. As a result, the reserves for unrecognized tax benefits may be adjusted due to new facts and developments, such as changes to interpretations of relevant tax law, assessments from taxing authorities, settlements with taxing authorities, and lapses of statutes of limitations. The effective tax rate for 2015 and 2014 includes reserve releases totaling $4 million and $5 million, respectively, due to audit settlements and lapses of statutes of limitations.</w:t>
      </w:r>
    </w:p>
    <w:p>
      <w:pPr>
        <w:spacing w:after="0" w:line="99"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In 2015, the Company recorded a pension-related litigation charge of $ 100 million with a related tax benefit of $39 million. This litigation charge reduced the overall effective rate because it reduced the proportion of the Company’s worldwide income taxed in the United States, where the tax rates are the highest.</w:t>
      </w:r>
    </w:p>
    <w:p>
      <w:pPr>
        <w:spacing w:after="0" w:line="94" w:lineRule="exact"/>
        <w:rPr>
          <w:sz w:val="20"/>
          <w:szCs w:val="20"/>
          <w:color w:val="auto"/>
        </w:rPr>
      </w:pPr>
    </w:p>
    <w:p>
      <w:pPr>
        <w:jc w:val="both"/>
        <w:ind w:left="180" w:right="519"/>
        <w:spacing w:after="0" w:line="262" w:lineRule="auto"/>
        <w:rPr>
          <w:sz w:val="20"/>
          <w:szCs w:val="20"/>
          <w:color w:val="auto"/>
        </w:rPr>
      </w:pPr>
      <w:r>
        <w:rPr>
          <w:rFonts w:ascii="Arial" w:cs="Arial" w:eastAsia="Arial" w:hAnsi="Arial"/>
          <w:sz w:val="18"/>
          <w:szCs w:val="18"/>
          <w:color w:val="auto"/>
        </w:rPr>
        <w:t>Excluding the reserve releases in 2015 and in 2014 and the effect of the pension litigation charge, the effective tax rate for 2015 was essentially unchanged as compared with 2014.</w:t>
      </w:r>
    </w:p>
    <w:p>
      <w:pPr>
        <w:spacing w:after="0" w:line="88" w:lineRule="exact"/>
        <w:rPr>
          <w:sz w:val="20"/>
          <w:szCs w:val="20"/>
          <w:color w:val="auto"/>
        </w:rPr>
      </w:pPr>
    </w:p>
    <w:p>
      <w:pPr>
        <w:jc w:val="both"/>
        <w:ind w:left="180" w:right="519"/>
        <w:spacing w:after="0" w:line="256" w:lineRule="auto"/>
        <w:rPr>
          <w:sz w:val="20"/>
          <w:szCs w:val="20"/>
          <w:color w:val="auto"/>
        </w:rPr>
      </w:pPr>
      <w:r>
        <w:rPr>
          <w:rFonts w:ascii="Arial" w:cs="Arial" w:eastAsia="Arial" w:hAnsi="Arial"/>
          <w:sz w:val="18"/>
          <w:szCs w:val="18"/>
          <w:color w:val="auto"/>
        </w:rPr>
        <w:t>The effective tax rate for 2014 was 35.7 percent, as compared with 35.3 percent in 2013. Excluding the reserve releases, the effective tax rate for 2014 increased as compared with 2013 primarily due to the higher proportion of income earned in the United States, which is a higher tax jurisdiction.</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Information</w:t>
      </w:r>
    </w:p>
    <w:p>
      <w:pPr>
        <w:spacing w:after="0" w:line="139" w:lineRule="exact"/>
        <w:rPr>
          <w:sz w:val="20"/>
          <w:szCs w:val="20"/>
          <w:color w:val="auto"/>
        </w:rPr>
      </w:pPr>
    </w:p>
    <w:p>
      <w:pPr>
        <w:jc w:val="both"/>
        <w:ind w:left="180" w:right="519"/>
        <w:spacing w:after="0" w:line="254" w:lineRule="auto"/>
        <w:rPr>
          <w:sz w:val="20"/>
          <w:szCs w:val="20"/>
          <w:color w:val="auto"/>
        </w:rPr>
      </w:pPr>
      <w:r>
        <w:rPr>
          <w:rFonts w:ascii="Arial" w:cs="Arial" w:eastAsia="Arial" w:hAnsi="Arial"/>
          <w:sz w:val="18"/>
          <w:szCs w:val="18"/>
          <w:color w:val="auto"/>
        </w:rPr>
        <w:t>The Company’s two reportable segments, Athletic Stores and Direct-to-Customers, are based on its method of internal reporting. The Company evaluates performance based on several factors, the primary financial measure of which is division results. Division profit reflects income before income taxes, pension litigation charge, corporate expense, non-operating income, and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18415</wp:posOffset>
            </wp:positionV>
            <wp:extent cx="5565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4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4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6,468</w:t>
            </w:r>
          </w:p>
        </w:tc>
        <w:tc>
          <w:tcPr>
            <w:tcW w:w="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6,286</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5,790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1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944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865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715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7,412</w:t>
            </w:r>
          </w:p>
        </w:tc>
        <w:tc>
          <w:tcPr>
            <w:tcW w:w="3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7,151</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6,505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Results</w:t>
            </w: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872</w:t>
            </w:r>
          </w:p>
        </w:tc>
        <w:tc>
          <w:tcPr>
            <w:tcW w:w="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656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1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142</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109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1,014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740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Less: Pension litigation charge</w:t>
            </w:r>
          </w:p>
        </w:tc>
        <w:tc>
          <w:tcPr>
            <w:tcW w:w="1620" w:type="dxa"/>
            <w:vAlign w:val="bottom"/>
          </w:tcPr>
          <w:p>
            <w:pPr>
              <w:spacing w:after="0"/>
              <w:rPr>
                <w:sz w:val="17"/>
                <w:szCs w:val="17"/>
                <w:color w:val="auto"/>
              </w:rPr>
            </w:pPr>
          </w:p>
        </w:tc>
        <w:tc>
          <w:tcPr>
            <w:tcW w:w="7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7"/>
                <w:szCs w:val="17"/>
                <w:color w:val="auto"/>
              </w:rPr>
            </w:pP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Less: Corporate expense</w:t>
            </w:r>
          </w:p>
        </w:tc>
        <w:tc>
          <w:tcPr>
            <w:tcW w:w="16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77</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7"/>
                <w:szCs w:val="17"/>
                <w:color w:val="auto"/>
              </w:rPr>
            </w:pPr>
          </w:p>
        </w:tc>
        <w:tc>
          <w:tcPr>
            <w:tcW w:w="7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837</w:t>
            </w:r>
          </w:p>
        </w:tc>
        <w:tc>
          <w:tcPr>
            <w:tcW w:w="300" w:type="dxa"/>
            <w:vAlign w:val="bottom"/>
          </w:tcPr>
          <w:p>
            <w:pPr>
              <w:spacing w:after="0"/>
              <w:rPr>
                <w:sz w:val="17"/>
                <w:szCs w:val="17"/>
                <w:color w:val="auto"/>
              </w:rPr>
            </w:pPr>
          </w:p>
        </w:tc>
        <w:tc>
          <w:tcPr>
            <w:tcW w:w="80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805</w:t>
            </w:r>
          </w:p>
        </w:tc>
        <w:tc>
          <w:tcPr>
            <w:tcW w:w="24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664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Earnings before interest expense and income taxes</w:t>
            </w:r>
          </w:p>
        </w:tc>
        <w:tc>
          <w:tcPr>
            <w:tcW w:w="1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841</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814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668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837</w:t>
            </w:r>
          </w:p>
        </w:tc>
        <w:tc>
          <w:tcPr>
            <w:tcW w:w="30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809</w:t>
            </w:r>
          </w:p>
        </w:tc>
        <w:tc>
          <w:tcPr>
            <w:tcW w:w="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663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20" w:type="dxa"/>
            <w:vAlign w:val="bottom"/>
          </w:tcPr>
          <w:p>
            <w:pPr>
              <w:jc w:val="right"/>
              <w:ind w:right="111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4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48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6,468</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2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120" w:type="dxa"/>
            <w:vAlign w:val="bottom"/>
            <w:gridSpan w:val="2"/>
          </w:tcPr>
          <w:p>
            <w:pPr>
              <w:jc w:val="right"/>
              <w:ind w:right="294"/>
              <w:spacing w:after="0" w:line="203" w:lineRule="exact"/>
              <w:rPr>
                <w:sz w:val="20"/>
                <w:szCs w:val="20"/>
                <w:color w:val="auto"/>
              </w:rPr>
            </w:pPr>
            <w:r>
              <w:rPr>
                <w:rFonts w:ascii="Arial" w:cs="Arial" w:eastAsia="Arial" w:hAnsi="Arial"/>
                <w:sz w:val="18"/>
                <w:szCs w:val="18"/>
                <w:color w:val="auto"/>
              </w:rPr>
              <w:t>$ 6,286</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182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216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872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Division profit margin</w:t>
            </w:r>
          </w:p>
        </w:tc>
        <w:tc>
          <w:tcPr>
            <w:tcW w:w="2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13.5%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12.4%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2015 compared with 2014</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Excluding the effect of foreign currency fluctuations, sales from the Athletic Stores segment increased 8.6 percent. Comparable-store sales increased by 7.6 percent. Foot Locker Europe and Foot Locker Asia Pacific led the comparable-stores sales increase. Foot Locker Europe generated double digit comparable-store gains in footwear, apparel, and accessories. The increase in footwear was primarily related to sales of classic court styles, lifestyle running, and men’s basketball. Apparel sales experienced gains in both the branded and private label categories.</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strong performance internationally was partially offset by the underperformance of the Runners Point and Sidestep stores. The sales decline at our Runners Point and Sidestep stores reflected the continued segmentation process and the overreliance on a few key running styles. Our segmentation process includes better defining product offerings and executing upon our multi-banner strategy in the European market. We are broadening the assortment in the Runners Point stores beyond performance running to include more lifestyle running products, while the Sidestep stores are being shifted to lifestyle and casual footwear. We continue to refine this segmentation strategy, which we believe will position these banners to contribute to our further success in Europe.</w:t>
      </w:r>
    </w:p>
    <w:p>
      <w:pPr>
        <w:spacing w:after="0" w:line="9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Domestically, sales increases were led by Foot Locker and Kids Foot Locker with all formats generating a comparable-store sales increase. Running and basketball were the strongest drivers of footwear sales. The Jordan brand, as well as the rise of new marquee styles contributed to the growth in the basketball category. Children’s footwear sales also performed well across all of the divisions. Sales continue to benefit from the expansion of shop-in-shop partnerships with our key vendors. The Company opened more than 40 shop-in-shops during the year, including 21 House of Hoops shops in partnership with Nike.</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While Lady Foot Locker/SIX:02’s overall sales declined slightly in 2015, the combined banners produced a mid-single digit comparable-store sales gain, the seventh consecutive quarter with a comparable-store sales gain. The comparable-store gain was led by both footwear and apparel, partially offset by a decline in accessories. The overall sales decline reflects 42 Lady Foot Locker store closures, partially offset by the opening of 15 SIX:02 stores during the year. The SIX:02 banner provides the female customer with elevated, athletic-inspired product assortments featuring top brands. During 2015, we continued to work with our vendors to refine this assortment to include more fashion styles. This initiative, as well other actions to promote brand development, will continue into 2016.</w:t>
      </w:r>
    </w:p>
    <w:p>
      <w:pPr>
        <w:spacing w:after="0" w:line="99"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Champs Sports generated a low single digit comparable-store sales increase driven by gains in footwear sales partially offset by declines in apparel and accessories. The decline in apparel primarily reflects the continuation of the customer’s shift away from licensed apparel.</w:t>
      </w:r>
    </w:p>
    <w:p>
      <w:pPr>
        <w:spacing w:after="0" w:line="94"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Division profit increased by $95 million to $872 million in 2015 as compared with last year reflecting higher sales and an improved gross margin rate. Variable expenses, such as store wages, were also diligently managed, resulting in an improved SG&amp;A rate. Due to the underperformance of the Runners Point and Sidestep stores during 2015, an impairment review was performed. The review resulted in an impairment charge totaling $4 million, which was recorded to write down long-lived assets such as store fixtures and leasehold improvements for 61 stores.</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2014 compared with 2013</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Excluding the effect of foreign currency fluctuations, primarily related to the euro and Canadian dollar, sales from the Athletic Stores segment increased by 9.4 percent in 2014. Comparable-store sales increased by 6.7 percent. This segment included $133 million of incremental sales related to the Runners Point stores, which were acquired in early July 2013. Excluding the sales of the Runners Point stores, the comparable-store gain was primarily driven by Kids Foot Locker, Foot Locker U.S., Footaction, and Foot Locker Europe. While Lady Foot Locker’s overall sales declined in 2014, the banner generated a comparable-store gain for the year. The shift into more performance oriented assortments has resonated with our customers, as both footwear and apparel grew on a comparable-store basis. The overall Lady Foot Locker sales decrease in 2014 primarily reflected a net decline of 44 stores.</w:t>
      </w:r>
    </w:p>
    <w:p>
      <w:pPr>
        <w:spacing w:after="0" w:line="98"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Basketball, running, and children’s footwear were strong drivers of sales increases. Sales of basketball footwear were driven by Jordan and key marquee player styles, while running shoes from Nike and Adidas had strong results. Additionally, children’s footwear continued to perform well across multiple divisions. Apparel sales were challenging primarily in Foot Locker Europe and Champs Sports, as customers have shifted away from certain lifestyle and licensed apparel programs, which had previously driven strong results. This segment benefitted from strong banner differentiation, which has created unique store designs and product assortments which have resonated with customers and enhanced the shopping experience.</w:t>
      </w:r>
    </w:p>
    <w:p>
      <w:pPr>
        <w:spacing w:after="0" w:line="9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Included in 2014 division profit was a $1 million impairment charge related to the write-down of a trade name for our stores operating in the Republic of Ireland, reflecting historical and projected underperformance. Additionally, a $1 million charge was recorded to fully write down the value of a private-label brand acquired as part of the Runners Point Group acquisition, as a result of exiting the product line. The overall division profit improvement in 2014 primarily reflected higher sales, an improved gross margin rate, and effective control over variable expenses, such as store wages.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Direct-to-Customers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944</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2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3"/>
              <w:spacing w:after="0" w:line="203" w:lineRule="exact"/>
              <w:rPr>
                <w:sz w:val="20"/>
                <w:szCs w:val="20"/>
                <w:color w:val="auto"/>
              </w:rPr>
            </w:pPr>
            <w:r>
              <w:rPr>
                <w:rFonts w:ascii="Arial" w:cs="Arial" w:eastAsia="Arial" w:hAnsi="Arial"/>
                <w:sz w:val="18"/>
                <w:szCs w:val="18"/>
                <w:color w:val="auto"/>
              </w:rPr>
              <w:t>865</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34"/>
              <w:spacing w:after="0" w:line="203" w:lineRule="exact"/>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 Change</w:t>
            </w:r>
          </w:p>
        </w:tc>
        <w:tc>
          <w:tcPr>
            <w:tcW w:w="21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9.1%</w:t>
            </w:r>
          </w:p>
        </w:tc>
        <w:tc>
          <w:tcPr>
            <w:tcW w:w="320" w:type="dxa"/>
            <w:vAlign w:val="bottom"/>
          </w:tcPr>
          <w:p>
            <w:pPr>
              <w:spacing w:after="0"/>
              <w:rPr>
                <w:sz w:val="17"/>
                <w:szCs w:val="17"/>
                <w:color w:val="auto"/>
              </w:rPr>
            </w:pPr>
          </w:p>
        </w:tc>
        <w:tc>
          <w:tcPr>
            <w:tcW w:w="8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21.0%</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142</w:t>
            </w:r>
          </w:p>
        </w:tc>
        <w:tc>
          <w:tcPr>
            <w:tcW w:w="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Division profit margin</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15.0%</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12.6%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2015 compared with 2014</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Excluding the effect of foreign currency fluctuations, sales of the Direct-to-Customers segment increased 10.6 percent as compared with the prior year, while comparable sales increased by 14.4 percent. The increase was primarily a result of continued strong sales performance of the Company’s domestic store-banner websites, as well as growth in our international ecommerce business, particularly in Europe. Of the total increase, sales from our U.S. store-banner websites comprised the majority of the increase. The growth in ecommerce reflects the continued elevation of the connection between the in-store experience and the banner websites, as well as the development of features and functionality to deliver an enhanced digital experience. These increases were partially offset by the 2014 closure of the CCS direct business. The strongest category for this segment was footwear, led by basketball and casual styles. Apparel increased slightly as compared with the prior year, which primarily reflected gains in the branded apparel category.</w:t>
      </w:r>
    </w:p>
    <w:p>
      <w:pPr>
        <w:spacing w:after="0" w:line="10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This segment generated a division profit increase of $33 million as compared with 2014, which represented a division profit margin improvement of 240 basis points. The increase was the result of strong flow-through of sales to profit, resulting from improved gross margins due to more full-price selling and effective expense management. The improvement in gross margin was due, in part, to the fact that 2014 was negatively affected by the liquidation of the CCS merchandise. Division profit in 2015 included a $1 million impairment charge to write down the value of the SP24.com ecommerce trade name, which was acquired with the Runners Point Group. SP24.com is a clearance website that has been deemphasized as we focus on full-priced selling on the websites aligned with the stores banners.</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2014 compared with 2013</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Comparable sales increased 17.8 percent as compared to 2013, led by basketball and running footwear. The Direct-to-Customers segment included $18 million of incremental sales related to the ecommerce division of Runners Point Group, which the Company acquired during the second quarter of 2013. Excluding those sales, the increase was primarily a result of continued strong sales performance related to the Company’s store-banner websites both in the U.S. and in Europe, as well as increased Eastbay sales. Of the total increase, sales from our U.S. store-banner websites comprised the majority of the increase, which reflected the continued success of several initiatives, including the improvement of connectivity of the store banners to the ecommerce sites, enhancements to the mobile ecommerce sites, investments in technology to improve the shopping experience, and investments in making the sites more engaging. These increases were offset, in part, by a decline in the CCS business, which transitioned to the Eastbay banner during the third quarter of 2014.</w:t>
      </w:r>
    </w:p>
    <w:p>
      <w:pPr>
        <w:spacing w:after="0" w:line="10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Division profit increased by $25 million as compared to 2013, representing a division profit margin improvement of 90 basis points. The 2014 results included a $2 million impairment charge related to the CCS business, which was triggered by the Company’s decision to transition the skate business to the Eastbay banner. Gross margin was negatively affected by the liquidation of the CCS merchandise and the effects of providing additional free shipping offers. Notwithstanding this, the increase in division profit was the result of strong flow-through of sales to profit and good expense management.</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77</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Arial" w:cs="Arial" w:eastAsia="Arial" w:hAnsi="Arial"/>
                <w:sz w:val="18"/>
                <w:szCs w:val="18"/>
                <w:color w:val="auto"/>
              </w:rPr>
              <w:t>Corporate expense</w:t>
            </w:r>
          </w:p>
        </w:tc>
        <w:tc>
          <w:tcPr>
            <w:tcW w:w="23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80" w:type="dxa"/>
            <w:vAlign w:val="bottom"/>
          </w:tcPr>
          <w:p>
            <w:pPr>
              <w:ind w:left="20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96"/>
              <w:spacing w:after="0" w:line="203" w:lineRule="exact"/>
              <w:rPr>
                <w:sz w:val="20"/>
                <w:szCs w:val="20"/>
                <w:color w:val="auto"/>
              </w:rPr>
            </w:pPr>
            <w:r>
              <w:rPr>
                <w:rFonts w:ascii="Arial" w:cs="Arial" w:eastAsia="Arial" w:hAnsi="Arial"/>
                <w:sz w:val="18"/>
                <w:szCs w:val="18"/>
                <w:color w:val="auto"/>
              </w:rPr>
              <w:t>81</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line="203"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2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(4)</w:t>
            </w:r>
          </w:p>
        </w:tc>
        <w:tc>
          <w:tcPr>
            <w:tcW w:w="3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$11 million, $13 million, and $12 million in 2015, 2014, and 2013, respectively.</w:t>
      </w:r>
    </w:p>
    <w:p>
      <w:pPr>
        <w:spacing w:after="0" w:line="9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Corporate expense decreased by $4 million in 2015 as compared with the prior year. Depreciation and amortization included in corporate expense decreased by $2 million. The annual adjustment of the allocation of corporate expense to the operating divisions reduced corporate expense by $5 million. These decreases were offset by $3 million of costs incurred in late 2015 relating to the spring 2016 relocation of our corporate headquarters within New York City.</w:t>
      </w:r>
    </w:p>
    <w:p>
      <w:pPr>
        <w:spacing w:after="0" w:line="9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Corporate expense increased by $5 million in 2014 as compared with 2013. This increase was primarily related to incentive compensation and legal costs, which increased $8 million and $2 million, respectively. Additionally, depreciation and amortization included in corporate expense increased by $ 1 million. These increases were partially offset by the annual adjustment to the allocation of corporate expense to the operating divisions, which reduced corporate expense by $4 million. In addition, acquisition and integration costs related to Runners Point Group were $4 million less in 2014 than in 2013.</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Company’s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its short-term and long-term operating strategies.</w:t>
      </w:r>
    </w:p>
    <w:p>
      <w:pPr>
        <w:spacing w:after="0" w:line="97"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generally finances real estate with operating leases. Management believes its cash, cash equivalents, and future cash flow from operations will be adequate to fund these requirements.</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of January 30, 2016, the Company had $1,021 million of cash and cash equivalents, of which $608 million was held in foreign jurisdictions. Because we plan to permanently reinvest our foreign earnings, in accordance with U.S. GAAP, we have not provided for U.S. federal and state income taxes or foreign withholding taxes that may result from potential future remittances of undistributed earnings of foreign subsidiaries. Depending on the source, amount, and timing of a repatriation, some tax may be payable. The Company believes that its cash invested domestically and future domestic cash flows are sufficient to satisfy domestic requirements.</w:t>
      </w:r>
    </w:p>
    <w:p>
      <w:pPr>
        <w:spacing w:after="0" w:line="10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and retirement of debt, if any, will depend on prevailing market conditions, liquidity requirements, contractual restrictions, and other factors. The amounts involved may be material. As of January 30, 2016, approximately $637 million remained available under the Company’s current $1 billion share repurchase program.</w:t>
      </w:r>
    </w:p>
    <w:p>
      <w:pPr>
        <w:spacing w:after="0" w:line="97"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On February 17, 2016, the Board of Directors declared a quarterly dividend of $0.275 per share to be paid on April 29, 2016, representing a 10 percent increase over the Company’s previous quarterly per share amount.</w:t>
      </w:r>
    </w:p>
    <w:p>
      <w:pPr>
        <w:spacing w:after="0" w:line="70"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 xml:space="preserve">As discussed further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8. Financial Statements and Supplementary Data,” the Company recorded a pre-tax charge of $ 100 million ($61 million after-tax) in 2015. In light of the uncertainties involved in this matter, there is no assurance that the ultimate resolution will not differ from the amount currently accrued by the Company. The $ 100 million charge has been classified as a long-term liability due to the uncertainty involved with the resolution of this litigation, as the appeals process can be lengthy. The pension plan is sufficiently funded to absorb a $100 million liability and, accordingly, we do not anticipate the need to make any additional pension contributions in the near term in connection with this matter. The timing and the amount of any future contributions to the pension plan are dependent on the funded status of the plan and various other factors, such as interest rates and the performance of the plan’s assets.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suppliers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Maintaining access to merchandise that the Company considers appropriate for its business may be subject to the policies and practices of its key suppliers. Therefore, the Company believes that it is critical to continue to maintain satisfactory relationships with its key suppliers. In 2015 and 2014, the Company purchased approximately 90 percent and 89 percent, respectively, of its merchandise from its top five suppliers and expects to continue to obtain a significant percentage of its athletic product from these suppliers in future periods. Approximately 72 percent in 2015 and 73 percent in 2014 was purchased from one supplier — Nike, Inc.</w:t>
      </w:r>
    </w:p>
    <w:p>
      <w:pPr>
        <w:spacing w:after="0" w:line="101"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Company’s 2016 planned capital expenditures and lease acquisition costs are approximately $297 million. Planned capital expenditures are $292 million and planned lease acquisition costs related to the Company’s operations in Europe are $5 million. The Company’s planned capital expenditures reflect $210 million focused on elevating the customer’s in-store experience. It also includes the remodeling and expansion of over 250 existing stores, the planned opening of approximately 90 stores primarily related to Kids Foot Locker in the U.S. and Europe, as well as the continued expansion of the Foot Locker banner in Europe. Planned spending for 2016 also includes $82 million for the development of information systems, including a new ecommerce order management system, websites, infrastructure, and costs related to the relocation of our corporate headquarters within New York City. The Company has the ability to revise and reschedule much of the anticipated capital expenditure program, should the Company’s financial position require it.</w:t>
      </w: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Free Cash Flow (non-GAAP measure)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addition to net cash provided by operating activities, the Company uses free cash flow as a useful measure of performance and as an indication of the strength of the Company and its ability to generate cash. The Company defines free cash flow as net cash provided by operating activities less capital expenditures (which is classified as an investing activity). The Company believes the presentation of free cash flow is relevant and useful for investors because it allows investors to evaluate the cash generated from the Company’s underlying operations in a manner similar to the method used by management.</w:t>
      </w:r>
    </w:p>
    <w:p>
      <w:pPr>
        <w:spacing w:after="0" w:line="101"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96"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following table presents a reconciliation of the Company’s net cash flow provided by operating activities, the most directly comparable U.S. GAAP financial measure,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745</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712</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line="203"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1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b w:val="1"/>
                <w:bCs w:val="1"/>
                <w:color w:val="auto"/>
              </w:rPr>
              <w:t>(228)</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(190)</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Free cash flow (non-GAAP)</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517</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5"/>
              <w:spacing w:after="0" w:line="196" w:lineRule="exact"/>
              <w:rPr>
                <w:sz w:val="20"/>
                <w:szCs w:val="20"/>
                <w:color w:val="auto"/>
              </w:rPr>
            </w:pPr>
            <w:r>
              <w:rPr>
                <w:rFonts w:ascii="Arial" w:cs="Arial" w:eastAsia="Arial" w:hAnsi="Arial"/>
                <w:sz w:val="18"/>
                <w:szCs w:val="18"/>
                <w:color w:val="auto"/>
              </w:rPr>
              <w:t>522</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500" w:type="dxa"/>
            <w:vAlign w:val="bottom"/>
            <w:gridSpan w:val="3"/>
          </w:tcPr>
          <w:p>
            <w:pPr>
              <w:ind w:left="60"/>
              <w:spacing w:after="0"/>
              <w:rPr>
                <w:sz w:val="20"/>
                <w:szCs w:val="20"/>
                <w:color w:val="auto"/>
              </w:rPr>
            </w:pPr>
            <w:r>
              <w:rPr>
                <w:rFonts w:ascii="Arial" w:cs="Arial" w:eastAsia="Arial" w:hAnsi="Arial"/>
                <w:sz w:val="18"/>
                <w:szCs w:val="18"/>
                <w:i w:val="1"/>
                <w:iCs w:val="1"/>
                <w:color w:val="auto"/>
              </w:rPr>
              <w:t>Operating Activities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745</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712</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line="203"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4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33</w:t>
            </w:r>
          </w:p>
        </w:tc>
        <w:tc>
          <w:tcPr>
            <w:tcW w:w="32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182</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5565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amount provided by operating activities reflects income adjusted for non-cash items and working capital changes. Adjustments to net income for non-cash items include non-cash impairment charges, depreciation and amortization, deferred income taxes, share-based compensation expense and related tax benefits.</w:t>
      </w:r>
    </w:p>
    <w:p>
      <w:pPr>
        <w:spacing w:after="0" w:line="94"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improvements in both 2015 and 2014 represented the Company’s earnings strength and working capital improvements. During 2015, the Company contributed $4 million to its U.S. qualified pension plans as compared with $6 million contributed to its Canadian qualified pension plan in 2014. Pension contributions were $2 million in 2013. The amounts and timing of pension contributions are dependent on several factors, including asset performance. Cash paid for income taxes was $283 million, $251 million, and $175 million for 2015, 2014, and 2013, respectively.</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230</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investing activities</w:t>
            </w:r>
          </w:p>
        </w:tc>
        <w:tc>
          <w:tcPr>
            <w:tcW w:w="1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6"/>
              <w:spacing w:after="0" w:line="203" w:lineRule="exact"/>
              <w:rPr>
                <w:sz w:val="20"/>
                <w:szCs w:val="20"/>
                <w:color w:val="auto"/>
              </w:rPr>
            </w:pPr>
            <w:r>
              <w:rPr>
                <w:rFonts w:ascii="Arial" w:cs="Arial" w:eastAsia="Arial" w:hAnsi="Arial"/>
                <w:sz w:val="18"/>
                <w:szCs w:val="18"/>
                <w:color w:val="auto"/>
              </w:rPr>
              <w:t>176</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Capital expenditures in 2015 were $228 million, an increase of $38 million compared with the prior year. Current year capital expenditures primarily related to the remodeling of 209 stores, the build-out of 111 new stores, preparing for our corporate headquarters relocation within New York City, and other corporate technology projects. Capital expenditures in 2014 were $190 million, primarily related to the remodeling of 319 stores, the build-out of 86 new stores, and various corporate technology upgrades. This was a decrease of $16 million as compared with 2013, as the timing of certain projects shifted to 2015. As of the end of fiscal 2015, approximately 30 percent of our domestic Foot Locker and Champs Sports stores and approximately 20 percent of the Footaction stores have been remodeled to the current store format.</w:t>
      </w:r>
    </w:p>
    <w:p>
      <w:pPr>
        <w:spacing w:after="0" w:line="98"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During the third quarter of 2015, the Company completed an asset acquisition for $2 million involving 10 previously franchised Runners Point and Sidestep stores in Switzerland.</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During 2014, the Company sold real estate for proceeds of $ 5 million and recorded a gain on sale of $4 million. In addition, maturities of short-term investments totaled $9 million in 2014. This compares with net sales and maturities of short-term investments of $ 37 million during 2013. The activity during 2013 included the purchase of Runners Point Group for $81 million, net of cash acquired.</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565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456</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financing activities</w:t>
            </w:r>
          </w:p>
        </w:tc>
        <w:tc>
          <w:tcPr>
            <w:tcW w:w="1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6"/>
              <w:spacing w:after="0" w:line="203" w:lineRule="exact"/>
              <w:rPr>
                <w:sz w:val="20"/>
                <w:szCs w:val="20"/>
                <w:color w:val="auto"/>
              </w:rPr>
            </w:pPr>
            <w:r>
              <w:rPr>
                <w:rFonts w:ascii="Arial" w:cs="Arial" w:eastAsia="Arial" w:hAnsi="Arial"/>
                <w:sz w:val="18"/>
                <w:szCs w:val="18"/>
                <w:color w:val="auto"/>
              </w:rPr>
              <w:t>401</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9"/>
              <w:spacing w:after="0" w:line="20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Change</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rPr>
              <w:t>55</w:t>
            </w:r>
          </w:p>
        </w:tc>
        <w:tc>
          <w:tcPr>
            <w:tcW w:w="32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Cash used in financing activities consists primarily of the Company’s return to shareholders initiatives, including its share repurchase program and cash dividend payments,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419</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3" w:lineRule="exact"/>
              <w:rPr>
                <w:sz w:val="20"/>
                <w:szCs w:val="20"/>
                <w:color w:val="auto"/>
              </w:rPr>
            </w:pPr>
            <w:r>
              <w:rPr>
                <w:rFonts w:ascii="Arial" w:cs="Arial" w:eastAsia="Arial" w:hAnsi="Arial"/>
                <w:sz w:val="18"/>
                <w:szCs w:val="18"/>
                <w:color w:val="auto"/>
              </w:rPr>
              <w:t>Share repurchases</w:t>
            </w:r>
          </w:p>
        </w:tc>
        <w:tc>
          <w:tcPr>
            <w:tcW w:w="1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305</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line="203"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Dividends paid on common stock</w:t>
            </w:r>
          </w:p>
        </w:tc>
        <w:tc>
          <w:tcPr>
            <w:tcW w:w="17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139</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127</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returned to shareholders</w:t>
            </w:r>
          </w:p>
        </w:tc>
        <w:tc>
          <w:tcPr>
            <w:tcW w:w="1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558</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432</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During 2015, 2014, and 2013, the Company repurchased 6,693,100 shares, 5,888,698 shares, and 6,424,286 shares of its common stock under its share repurchase programs, respectively. Additionally, the Company declared and paid dividends representing a quarterly rate of $0.25, $0.22, and $0.20 per share in 2015, 2014, and 2013, respectively.</w:t>
      </w:r>
    </w:p>
    <w:p>
      <w:pPr>
        <w:spacing w:after="0" w:line="94"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Offsetting the amounts above were proceeds received from the issuance of common stock and treasury stock in connection with the employee stock programs of $69 million, $22 million, and $30 million for 2015, 2014, and 2013, respectively. In connection with stock option exercises, the Company recorded excess tax benefits related to share-based compensation of $35 million, $12 million, and $9 million for 2015, 2014, and 2013, respectively.</w:t>
      </w:r>
    </w:p>
    <w:p>
      <w:pPr>
        <w:spacing w:after="0" w:line="9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financing activity also includes payments on capital lease obligations of $2 million, $3 million, and $1 million for 2015, 2014, and 2013, respectively. These obligations were recorded in connection with the acquisition of the Runners Point Group.</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Structure</w:t>
      </w:r>
    </w:p>
    <w:p>
      <w:pPr>
        <w:spacing w:after="0" w:line="139"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 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 The Company’s management currently does not expect to borrow under the facility in 2016, other than amounts used to support standby letters of credit.</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Credit Rating</w:t>
      </w:r>
    </w:p>
    <w:p>
      <w:pPr>
        <w:spacing w:after="0" w:line="135"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As of March 24, 2016, the Company’s corporate credit ratings from Standard &amp; Poor’s and Moody’s Investors Service are BB+ and Ba1, respectively. In addition, Moody’s Investors Service has rated the Company’s senior unsecured notes Ba2.</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Debt Capitalization and Equity (non-GAAP Measure)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For purposes of calculating debt to total capitalization, the Company includes the present value of operating lease commitments in total net debt. Total net debt including the present value of operating leases is considered a non-GAAP financial measure. The present value of operating leases is discounted using various interest rates ranging from 2.5 percent to 14.5 percent, which represent the Company’s incremental borrowing rate at inception of the lease. Operating leases are the primary financing vehicle used to fund store expansion and, therefore, we believe that the inclusion of the present value of operating leases in total debt is useful to our investors, credit constituencies, and rating agencies.</w:t>
      </w:r>
    </w:p>
    <w:p>
      <w:pPr>
        <w:spacing w:after="0" w:line="101"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following table sets forth the components of the Company’s capitalization, both with and without the present value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6172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Long-term debt and obligations under capital leases</w:t>
            </w:r>
          </w:p>
        </w:tc>
        <w:tc>
          <w:tcPr>
            <w:tcW w:w="560" w:type="dxa"/>
            <w:vAlign w:val="bottom"/>
            <w:vMerge w:val="continue"/>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b w:val="1"/>
                <w:bCs w:val="1"/>
                <w:color w:val="auto"/>
              </w:rPr>
              <w:t>130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Present value of operating leases</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b w:val="1"/>
                <w:bCs w:val="1"/>
                <w:color w:val="auto"/>
              </w:rPr>
              <w:t>3,192</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196"/>
        </w:trPr>
        <w:tc>
          <w:tcPr>
            <w:tcW w:w="6440" w:type="dxa"/>
            <w:vAlign w:val="bottom"/>
          </w:tcPr>
          <w:p>
            <w:pPr>
              <w:ind w:left="200"/>
              <w:spacing w:after="0" w:line="196" w:lineRule="exact"/>
              <w:rPr>
                <w:sz w:val="20"/>
                <w:szCs w:val="20"/>
                <w:color w:val="auto"/>
              </w:rPr>
            </w:pPr>
            <w:r>
              <w:rPr>
                <w:rFonts w:ascii="Arial" w:cs="Arial" w:eastAsia="Arial" w:hAnsi="Arial"/>
                <w:sz w:val="18"/>
                <w:szCs w:val="18"/>
                <w:color w:val="auto"/>
              </w:rPr>
              <w:t>Total debt including the present value of operating leases</w:t>
            </w:r>
          </w:p>
        </w:tc>
        <w:tc>
          <w:tcPr>
            <w:tcW w:w="560" w:type="dxa"/>
            <w:vAlign w:val="bottom"/>
          </w:tcPr>
          <w:p>
            <w:pPr>
              <w:spacing w:after="0"/>
              <w:rPr>
                <w:sz w:val="17"/>
                <w:szCs w:val="17"/>
                <w:color w:val="auto"/>
              </w:rPr>
            </w:pPr>
          </w:p>
        </w:tc>
        <w:tc>
          <w:tcPr>
            <w:tcW w:w="780" w:type="dxa"/>
            <w:vAlign w:val="bottom"/>
          </w:tcPr>
          <w:p>
            <w:pPr>
              <w:jc w:val="right"/>
              <w:ind w:right="193"/>
              <w:spacing w:after="0" w:line="196" w:lineRule="exact"/>
              <w:rPr>
                <w:sz w:val="20"/>
                <w:szCs w:val="20"/>
                <w:color w:val="auto"/>
              </w:rPr>
            </w:pPr>
            <w:r>
              <w:rPr>
                <w:rFonts w:ascii="Arial" w:cs="Arial" w:eastAsia="Arial" w:hAnsi="Arial"/>
                <w:sz w:val="18"/>
                <w:szCs w:val="18"/>
                <w:b w:val="1"/>
                <w:bCs w:val="1"/>
                <w:color w:val="auto"/>
              </w:rPr>
              <w:t>3,322</w:t>
            </w:r>
          </w:p>
        </w:tc>
        <w:tc>
          <w:tcPr>
            <w:tcW w:w="300" w:type="dxa"/>
            <w:vAlign w:val="bottom"/>
          </w:tcPr>
          <w:p>
            <w:pPr>
              <w:spacing w:after="0"/>
              <w:rPr>
                <w:sz w:val="17"/>
                <w:szCs w:val="17"/>
                <w:color w:val="auto"/>
              </w:rPr>
            </w:pPr>
          </w:p>
        </w:tc>
        <w:tc>
          <w:tcPr>
            <w:tcW w:w="80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b w:val="1"/>
                <w:bCs w:val="1"/>
                <w:color w:val="auto"/>
              </w:rPr>
              <w:t>1,021</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net debt including the present value of operating leases</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b w:val="1"/>
                <w:bCs w:val="1"/>
                <w:color w:val="auto"/>
              </w:rPr>
              <w:t>2,301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b w:val="1"/>
                <w:bCs w:val="1"/>
                <w:color w:val="auto"/>
              </w:rPr>
              <w:t>2,553</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capitalization</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93"/>
              <w:spacing w:after="0" w:line="196" w:lineRule="exact"/>
              <w:rPr>
                <w:sz w:val="20"/>
                <w:szCs w:val="20"/>
                <w:color w:val="auto"/>
              </w:rPr>
            </w:pPr>
            <w:r>
              <w:rPr>
                <w:rFonts w:ascii="Arial" w:cs="Arial" w:eastAsia="Arial" w:hAnsi="Arial"/>
                <w:sz w:val="18"/>
                <w:szCs w:val="18"/>
                <w:b w:val="1"/>
                <w:bCs w:val="1"/>
                <w:color w:val="auto"/>
              </w:rPr>
              <w:t>4,854</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Total net debt capitalization percent</w:t>
            </w:r>
          </w:p>
        </w:tc>
        <w:tc>
          <w:tcPr>
            <w:tcW w:w="560" w:type="dxa"/>
            <w:vAlign w:val="bottom"/>
          </w:tcPr>
          <w:p>
            <w:pPr>
              <w:spacing w:after="0"/>
              <w:rPr>
                <w:sz w:val="17"/>
                <w:szCs w:val="17"/>
                <w:color w:val="auto"/>
              </w:rPr>
            </w:pPr>
          </w:p>
        </w:tc>
        <w:tc>
          <w:tcPr>
            <w:tcW w:w="780" w:type="dxa"/>
            <w:vAlign w:val="bottom"/>
          </w:tcPr>
          <w:p>
            <w:pPr>
              <w:jc w:val="right"/>
              <w:ind w:right="193"/>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8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net debt capitalization percent including the present value of operating</w:t>
            </w:r>
          </w:p>
        </w:tc>
        <w:tc>
          <w:tcPr>
            <w:tcW w:w="5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leases (non-GAAP)</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Company’s cash and cash equivalents increased by $54 million during 2015, which was the result of strong cash flow generation from operating activities. Including the present value of operating leases, the Company’s net debt capitalization percent increased 400 basis points in 2015, reflecting the effect of lease renewals and the obligation associated with the New York City office headquarters, partially offset by foreign exchange fluctuations.</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9"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The following tables represent the scheduled maturities of the Company’s contractual cash obligations and other commercial commitments at January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471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Payments Due by Fiscal Period</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54"/>
              <w:spacing w:after="0" w:line="143" w:lineRule="exact"/>
              <w:rPr>
                <w:sz w:val="20"/>
                <w:szCs w:val="20"/>
                <w:color w:val="auto"/>
              </w:rPr>
            </w:pPr>
            <w:r>
              <w:rPr>
                <w:rFonts w:ascii="Arial" w:cs="Arial" w:eastAsia="Arial" w:hAnsi="Arial"/>
                <w:sz w:val="14"/>
                <w:szCs w:val="14"/>
                <w:b w:val="1"/>
                <w:bCs w:val="1"/>
                <w:color w:val="auto"/>
              </w:rPr>
              <w:t>2021 and</w:t>
            </w:r>
          </w:p>
        </w:tc>
      </w:tr>
      <w:tr>
        <w:trPr>
          <w:trHeight w:val="17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Cash Obligations</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2017 – 2018</w:t>
            </w: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 – 2020</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Beyond</w:t>
            </w:r>
          </w:p>
        </w:tc>
      </w:tr>
      <w:tr>
        <w:trPr>
          <w:trHeight w:val="196"/>
        </w:trPr>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32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Long-term debt</w:t>
            </w:r>
            <w:r>
              <w:rPr>
                <w:rFonts w:ascii="Arial" w:cs="Arial" w:eastAsia="Arial" w:hAnsi="Arial"/>
                <w:sz w:val="28"/>
                <w:szCs w:val="28"/>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r>
      <w:tr>
        <w:trPr>
          <w:trHeight w:val="243"/>
        </w:trPr>
        <w:tc>
          <w:tcPr>
            <w:tcW w:w="3200" w:type="dxa"/>
            <w:vAlign w:val="bottom"/>
          </w:tcPr>
          <w:p>
            <w:pPr>
              <w:ind w:left="20"/>
              <w:spacing w:after="0" w:line="243"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(2)</w:t>
            </w:r>
          </w:p>
        </w:tc>
        <w:tc>
          <w:tcPr>
            <w:tcW w:w="54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4,105</w:t>
            </w:r>
          </w:p>
        </w:tc>
        <w:tc>
          <w:tcPr>
            <w:tcW w:w="3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574</w:t>
            </w:r>
          </w:p>
        </w:tc>
        <w:tc>
          <w:tcPr>
            <w:tcW w:w="360" w:type="dxa"/>
            <w:vAlign w:val="bottom"/>
          </w:tcPr>
          <w:p>
            <w:pPr>
              <w:spacing w:after="0"/>
              <w:rPr>
                <w:sz w:val="21"/>
                <w:szCs w:val="21"/>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1,648</w:t>
            </w:r>
          </w:p>
        </w:tc>
      </w:tr>
      <w:tr>
        <w:trPr>
          <w:trHeight w:val="203"/>
        </w:trPr>
        <w:tc>
          <w:tcPr>
            <w:tcW w:w="3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leases</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243"/>
        </w:trPr>
        <w:tc>
          <w:tcPr>
            <w:tcW w:w="32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 long-term liabilities</w:t>
            </w:r>
            <w:r>
              <w:rPr>
                <w:rFonts w:ascii="Arial" w:cs="Arial" w:eastAsia="Arial" w:hAnsi="Arial"/>
                <w:sz w:val="28"/>
                <w:szCs w:val="28"/>
                <w:color w:val="auto"/>
                <w:vertAlign w:val="superscript"/>
              </w:rPr>
              <w:t>(3)</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contractual cash obligations</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4,315</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611</w:t>
            </w:r>
          </w:p>
        </w:tc>
        <w:tc>
          <w:tcPr>
            <w:tcW w:w="36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1,054</w:t>
            </w:r>
          </w:p>
        </w:tc>
        <w:tc>
          <w:tcPr>
            <w:tcW w:w="28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873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1,777</w:t>
            </w:r>
          </w:p>
        </w:tc>
      </w:tr>
      <w:tr>
        <w:trPr>
          <w:trHeight w:val="196"/>
        </w:trPr>
        <w:tc>
          <w:tcPr>
            <w:tcW w:w="32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Other Commercial Commitments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32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8"/>
                <w:szCs w:val="28"/>
                <w:color w:val="auto"/>
                <w:vertAlign w:val="superscript"/>
              </w:rPr>
              <w:t>(4)</w:t>
            </w:r>
          </w:p>
        </w:tc>
        <w:tc>
          <w:tcPr>
            <w:tcW w:w="5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2,524</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2,524</w:t>
            </w: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(5)</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 commitments</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2,558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2,546</w:t>
            </w:r>
          </w:p>
        </w:tc>
        <w:tc>
          <w:tcPr>
            <w:tcW w:w="36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r>
    </w:tbl>
    <w:p>
      <w:pPr>
        <w:spacing w:after="0" w:line="113" w:lineRule="exact"/>
        <w:rPr>
          <w:sz w:val="20"/>
          <w:szCs w:val="20"/>
          <w:color w:val="auto"/>
        </w:rPr>
      </w:pPr>
    </w:p>
    <w:p>
      <w:pPr>
        <w:jc w:val="both"/>
        <w:ind w:left="300" w:right="519" w:hanging="272"/>
        <w:spacing w:after="0" w:line="270"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amounts presented above represent the contractual maturities of the Company’s long-term debt, including interest; however, it excludes the unamortized gain of the interest rate swap of $11 million. Additional information is included in the </w:t>
      </w:r>
      <w:r>
        <w:rPr>
          <w:rFonts w:ascii="Arial" w:cs="Arial" w:eastAsia="Arial" w:hAnsi="Arial"/>
          <w:sz w:val="14"/>
          <w:szCs w:val="14"/>
          <w:i w:val="1"/>
          <w:iCs w:val="1"/>
          <w:color w:val="auto"/>
        </w:rPr>
        <w:t>Long-Term Debt and Obligations Under Capital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Leases </w:t>
      </w:r>
      <w:r>
        <w:rPr>
          <w:rFonts w:ascii="Arial" w:cs="Arial" w:eastAsia="Arial" w:hAnsi="Arial"/>
          <w:sz w:val="14"/>
          <w:szCs w:val="14"/>
          <w:color w:val="auto"/>
        </w:rPr>
        <w:t>note under “Item 8. Consolidated Financial Statements and Supplementary Data.”</w:t>
      </w:r>
    </w:p>
    <w:p>
      <w:pPr>
        <w:spacing w:after="0" w:line="91" w:lineRule="exact"/>
        <w:rPr>
          <w:rFonts w:ascii="Arial" w:cs="Arial" w:eastAsia="Arial" w:hAnsi="Arial"/>
          <w:sz w:val="14"/>
          <w:szCs w:val="14"/>
          <w:color w:val="auto"/>
        </w:rPr>
      </w:pPr>
    </w:p>
    <w:p>
      <w:pPr>
        <w:jc w:val="both"/>
        <w:ind w:left="300" w:right="519" w:hanging="272"/>
        <w:spacing w:after="0" w:line="267"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presented represent the future minimum lease payments under non-cancellable operating leases. In addition to minimum rent, certain of the Company’s leases require the payment of additional costs for insurance, maintenance, and other costs. These costs have historically represented approximately 20 to 30 percent of the minimum rent amount. These additional amounts are not included in the table of contractual commitments as the timing and/or amounts of such payments are unknown.</w:t>
      </w:r>
    </w:p>
    <w:p>
      <w:pPr>
        <w:spacing w:after="0" w:line="93" w:lineRule="exact"/>
        <w:rPr>
          <w:rFonts w:ascii="Arial" w:cs="Arial" w:eastAsia="Arial" w:hAnsi="Arial"/>
          <w:sz w:val="14"/>
          <w:szCs w:val="14"/>
          <w:color w:val="auto"/>
        </w:rPr>
      </w:pPr>
    </w:p>
    <w:p>
      <w:pPr>
        <w:jc w:val="both"/>
        <w:ind w:left="300" w:right="519" w:hanging="272"/>
        <w:spacing w:after="0" w:line="264"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Company’s other liabilities in the Consolidated Balance Sheet at January 30, 2016 primarily comprise pension and postretirement benefits, deferred rent liability, income taxes, workers’ compensation and general liability reserves, and various other accruals. The amount presented in the table represents the Company’s 2016 U.S. qualified pension contribution of $25 million. Other than this liability, other amounts (including the Company’s unrecognized tax benefits of $36 million, as well as penalties and interest of $2 million) have been excluded from the above table as the timing and/or amount of any cash payment is uncertain. The timing of the remaining amounts that are known has not been included as they are minimal and not useful to the presentation. Additional information is included in the </w:t>
      </w:r>
      <w:r>
        <w:rPr>
          <w:rFonts w:ascii="Arial" w:cs="Arial" w:eastAsia="Arial" w:hAnsi="Arial"/>
          <w:sz w:val="14"/>
          <w:szCs w:val="14"/>
          <w:i w:val="1"/>
          <w:iCs w:val="1"/>
          <w:color w:val="auto"/>
        </w:rPr>
        <w:t>Other Liabilities, Financial Instruments and Risk</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w:t>
      </w:r>
      <w:r>
        <w:rPr>
          <w:rFonts w:ascii="Arial" w:cs="Arial" w:eastAsia="Arial" w:hAnsi="Arial"/>
          <w:sz w:val="14"/>
          <w:szCs w:val="14"/>
          <w:color w:val="auto"/>
        </w:rPr>
        <w:t>, and</w:t>
      </w:r>
      <w:r>
        <w:rPr>
          <w:rFonts w:ascii="Arial" w:cs="Arial" w:eastAsia="Arial" w:hAnsi="Arial"/>
          <w:sz w:val="14"/>
          <w:szCs w:val="14"/>
          <w:i w:val="1"/>
          <w:iCs w:val="1"/>
          <w:color w:val="auto"/>
        </w:rPr>
        <w:t xml:space="preserve"> Retirement Plans and Other Benefits </w:t>
      </w:r>
      <w:r>
        <w:rPr>
          <w:rFonts w:ascii="Arial" w:cs="Arial" w:eastAsia="Arial" w:hAnsi="Arial"/>
          <w:sz w:val="14"/>
          <w:szCs w:val="14"/>
          <w:color w:val="auto"/>
        </w:rPr>
        <w:t>notes under “Item 8. Consolidated Financial Statements and Supplementary Data.”</w:t>
      </w:r>
    </w:p>
    <w:p>
      <w:pPr>
        <w:spacing w:after="0" w:line="97"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open purchase orders, as well as other commitments for merchandise purchases, at January 30, 2016. The Company is obligated under the terms of purchase orders; however, the Company is generally able to renegotiate the timing and quantity of these orders with certain suppliers in response to shifts in consumer preferences.</w:t>
      </w:r>
    </w:p>
    <w:p>
      <w:pPr>
        <w:spacing w:after="0" w:line="91" w:lineRule="exact"/>
        <w:rPr>
          <w:rFonts w:ascii="Arial" w:cs="Arial" w:eastAsia="Arial" w:hAnsi="Arial"/>
          <w:sz w:val="14"/>
          <w:szCs w:val="14"/>
          <w:color w:val="auto"/>
        </w:rPr>
      </w:pPr>
    </w:p>
    <w:p>
      <w:pPr>
        <w:ind w:left="300" w:hanging="27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payments required by non-merchandise purchase agreements.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 xml:space="preserve">The majority of the Company’s contractual obligations relate to operating leases for our stores. Future scheduled lease payments under non-cancellable operating leases as of January 30, 2016 are described in the table under </w:t>
      </w:r>
      <w:r>
        <w:rPr>
          <w:rFonts w:ascii="Arial" w:cs="Arial" w:eastAsia="Arial" w:hAnsi="Arial"/>
          <w:sz w:val="18"/>
          <w:szCs w:val="18"/>
          <w:i w:val="1"/>
          <w:iCs w:val="1"/>
          <w:color w:val="auto"/>
        </w:rPr>
        <w:t>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and Commitments </w:t>
      </w:r>
      <w:r>
        <w:rPr>
          <w:rFonts w:ascii="Arial" w:cs="Arial" w:eastAsia="Arial" w:hAnsi="Arial"/>
          <w:sz w:val="18"/>
          <w:szCs w:val="18"/>
          <w:color w:val="auto"/>
        </w:rPr>
        <w:t>above and with additional information in the</w:t>
      </w:r>
      <w:r>
        <w:rPr>
          <w:rFonts w:ascii="Arial" w:cs="Arial" w:eastAsia="Arial" w:hAnsi="Arial"/>
          <w:sz w:val="18"/>
          <w:szCs w:val="18"/>
          <w:i w:val="1"/>
          <w:iCs w:val="1"/>
          <w:color w:val="auto"/>
        </w:rPr>
        <w:t xml:space="preserve"> Leases </w:t>
      </w:r>
      <w:r>
        <w:rPr>
          <w:rFonts w:ascii="Arial" w:cs="Arial" w:eastAsia="Arial" w:hAnsi="Arial"/>
          <w:sz w:val="18"/>
          <w:szCs w:val="18"/>
          <w:color w:val="auto"/>
        </w:rPr>
        <w:t>note in “Item 8.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Supplementary Data.”</w:t>
      </w:r>
    </w:p>
    <w:p>
      <w:pPr>
        <w:spacing w:after="0" w:line="96"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Company does not participate in transactions that generate relationships with unconsolidated entities or financial partnerships, including variable interest entities. Our policy prohibits the use of derivatives for which there is no underlying exposure.</w:t>
      </w:r>
    </w:p>
    <w:p>
      <w:pPr>
        <w:spacing w:after="0" w:line="9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connection with the sale of various businesses and assets, the Company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management believes that the resolution of such contingencies will not significantly affect the Company’s consolidated financial position, liquidity, or results of operations. The Company is also operating certain stores for which lease agreements are in the process of being negotiated with landlords. Although there is no contractual commitment to make these payments, it is likely that leases will be executed.</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Management’s responsibility for integrity and objectivity in the preparation and presentation of the financial statements requires diligent application of appropriate accounting policies. Generally, the Company’s accounting policies and methods are those specifically required by U.S. generally accepted accounting principles. Included in the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note in “Item 8. Consolidated Financial Statements and Supplementary Data” is a</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of the Company’s most significant accounting policies.</w:t>
      </w:r>
    </w:p>
    <w:p>
      <w:pPr>
        <w:spacing w:after="0" w:line="97"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In some cases, management is required to calculate amounts based on estimates for matters that are inherently uncertain. The Company believes the following to be the most critical of those accounting policies that necessitate subjective judgments.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Merchandise Inventories and Cost of Sales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(“RIM”). The RIM is commonly used by retail companies to value inventories at cost and calculate gross margins due to its practicality. Under the retail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RIM is a system of averages that requires management’s estimates and assumptions regarding markups, markdowns and shrink, among others, and as such, could result in distortions of inventory amounts.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Judgment is required for these estimates and assumptions, as well as to differentiate between promotional and other markdowns that may be required to correctly reflect merchandise inventories at the lower of cost or market. The Company provides reserves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Management believes this method and its related assumptions, which have been consistently applied, to be reasonable.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Impairment of Long-Lived Tangible Assets, Goodwill and Other Intangibles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performs an impairment review when circumstances indicate that the carrying value of long-lived tangible assets may not be recoverable. Management’s policy in determining whether an impairment indicator exists, a triggering event, comprises measurable operating performance criteria at the division level as well as qualitative measures. If an analysis is necessitated by the occurrence of a triggering event, the Company uses assumptions, which are predominately identified from the Company’s strategic long-range plans, in performing an impairment review. In the calculation of the fair value of long-lived assets, the Company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Management believes its policy is reasonable and is consistently applied. Future expected cash flows are based upon estimates that, if not achieved, may result in significantly different results. During 2015, the Company conducted an impairment review of the Runners Point and Sidestep store-level assets, which resulted in an impairment charge of $4 million.</w:t>
      </w:r>
    </w:p>
    <w:p>
      <w:pPr>
        <w:spacing w:after="0" w:line="103"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reviews goodwill for impairment annually during the first quarter of its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w:t>
      </w:r>
    </w:p>
    <w:p>
      <w:pPr>
        <w:spacing w:after="0" w:line="9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In performing the qualitative assessment, management considers many factors in evaluating whether the carrying value of goodwill may not be recoverable, including declines in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using a</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two-step test. The initial step requires that the carrying value of each reporting unit be compared with its estimated fair value. The second step — to evaluate goodwill of a reporting unit for impairment — is only required if the carrying value of that reporting unit exceeds its estimated fair value. The Company uses a combination of a discounted cash flow approach and a market-based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The market approach requires judgment and uses one or more methods to compare the reporting unit with similar businesses, business ownership interests, or securities that have been sold. Due to the inherent uncertainty involved in making these estimates, actual results could differ from those estimates. The Company evaluates the merits of each significant assumption, both individually and in the aggregate, used to determine the fair value of the reporting units, as well as the fair values of the corresponding assets and liabilities within the reporting units.</w:t>
      </w:r>
    </w:p>
    <w:p>
      <w:pPr>
        <w:spacing w:after="0" w:line="103"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2015, the Company elected to perform its review of goodwill using a qualitative approach, and no reporting units were evaluated using the two-step impairment method. Based on the qualitative assessment performed, we concluded that it is more likely than not that the fair values of our reporting units exceeded their respective carrying values and that there are no reporting units at risk of impairment. In 2014, the Company elected to perform the first step of the two-step impairment analysis in connection with its annual review. This analysis concluded that the fair value of all the reporting units substantially exceeded their carrying values.</w:t>
      </w:r>
    </w:p>
    <w:p>
      <w:pPr>
        <w:spacing w:after="0" w:line="101"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Owned trademarks and trade names that have been determined to have indefinite lives are not subject to amortization but are reviewed at least annually for potential impairment. Our impairment evaluation for indefinite-lived intangible assets consists of either a qualitative or quantitative assessment, similar to the process for goodwill.</w:t>
      </w:r>
    </w:p>
    <w:p>
      <w:pPr>
        <w:spacing w:after="0" w:line="94"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If the results of the qualitative assessment indicate that it is more likely than not that the fair value of the indefinite lived intangible is less than its carrying amount, or if we elect to proceed directly to a quantitative assessment, we calculate the fair value using a discounted cash flow method, based on the relief-from-royalty concept, and compare the fair value to the carrying value to determine if the asset is impaired.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 Our 2015 annual assessment using the quantitative method did not result in an impairment charge. However, during the fourth quarter of 2015, as a result of a triggering event, we recorded an impairment charge for indefinite-lived intangibles of $1 million.</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Company estimates the fair value of options granted using the Black-Scholes option pricing model. The Black-Scholes option pricing valuation model requires the use of subjective assumptions. Changes in these assumptions, listed below, can materially affect the fair value of the options.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Risk-free Interest Rate — The risk-free interest rate is determined using the Federal Reserve nominal rates for 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zero-coupon bonds with maturities similar to those of the expected term of the award being valued.</w:t>
      </w:r>
    </w:p>
    <w:p>
      <w:pPr>
        <w:spacing w:after="0" w:line="117"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Expected Volatility — The Company estimates the expected volatility of its common stock at the grant date using a weighted-average of the Company’s historical volatility and implied volatility from traded options on the Company’s common stock. A 50 basis point change in volatility would cause a 2 percent change to the fair value.</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Expected Term — The expected term of options granted is estimated using historical exercise and post-vesting employment termination patterns, which the Company believes are representative of future behavior. Changing the expected term by one year changes the fair value by 8 to 9 percent depending on if the change was an increase or decrease, respectively.</w:t>
      </w:r>
    </w:p>
    <w:p>
      <w:pPr>
        <w:spacing w:after="0" w:line="96"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Dividend Yield — The expected dividend yield is derived from the Company’s historical experience. A 50 basis point change to the dividend yield would change the fair value by approximately 6 percent.</w:t>
      </w:r>
    </w:p>
    <w:p>
      <w:pPr>
        <w:spacing w:after="0" w:line="88"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Share-based compensation expense is recorded for those awards expected to vest using an estimated forfeiture rate based on the Company’s historical pre-vesting forfeiture data, which it believes are representative of future behavior, and periodically will revise those estimates in subsequent periods if actual forfeitures differ from those estimates.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Legal Contingencies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is exposed to various legal proceedings and claims arising in the ordinary course of business. The Company records a liability when a loss is probable and the amount of loss can be reasonably estimated. The accrual is recorded based on the reasonably estimable loss or range of loss. When no point of loss is more likely than another, we record the lowest amount in the estimated range of loss and disclose the estimated range. In 2015, the Company recorded a pre-tax charge of $100 million related to its pension plan litigation.</w:t>
      </w:r>
    </w:p>
    <w:p>
      <w:pPr>
        <w:spacing w:after="0" w:line="9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There is significant judgment required in both the probability determination and as to whether an exposure can be reasonably estimated. Management believes the accruals recorded in the Company’s consolidated financial statements properly reflect loss exposures that are both probable and reasonably estimable. Due to the inherent uncertainty involved in making these estimates, actual results could differ from those estimates.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Pension and Postretirement Liabilities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Management reviews all assumptions used to determine its obligations for pension and postretirement liabilities annually with its independent actuaries, taking into consideration existing and future economic conditions and the Company’s intentions with regard to the plans. The assumptions used are:</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Long-Term Rate of Return — The expected rate of return on plan assets is the long-term rate of return expected to be earned on the plans’ assets and is recognized as a component of pension expense. The rate is based on the plans’ weighted-average target asset allocation, as well as historical and future expected performance of those assets. The target asset allocation is selected to obtain an investment return that is sufficient to cover the expected benefit payments and to reduce future contributions by the Company. The expected rate of return on plan assets is reviewed annually and revised, as necessary, to reflect changes in the financial markets and our investment strategy. The weighted-average long-term rate of return used to determine 2015 pension expense was 6.25 percent.</w:t>
      </w:r>
    </w:p>
    <w:p>
      <w:pPr>
        <w:spacing w:after="0" w:line="9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 decrease of 50 basis points in the weighted-average expected long-term rate of return would have increased 2015 pension expense by approximately $3 million. The actual return on plan assets in a given year typically differs from the expected long-term rate of return, and the resulting gain or loss is deferred and amortized into expense over the average life expectancy of the inactive participants.</w:t>
      </w:r>
    </w:p>
    <w:p>
      <w:pPr>
        <w:spacing w:after="0" w:line="9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Discount Rate — An assumed discount rate is used to measure the present value of future cash flow obligations of the plans and the interest cost component of pension expense and postretirement income. The cash flows are then discounted to their present value and an overall discount rate is determined. The discount rate is determined by reference to the Bond:Link interest rate model based upon a portfolio of highly rated U.S. corporate bonds with individual bonds that are theoretically purchased to settle the plan’s anticipated cash outflows. The discount rate selected to measure the present value of the Company’s Canadian benefit obligations was developed by using the plan’s bond portfolio indices, which match the benefit obligations. The weighted-average discount rates used to determine the 2015 benefit obligations related to the Company’s pension and postretirement plans was 4.1 percent for both.</w:t>
      </w: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Changing the weighted-average discount rate by 50 basis points would have changed the accumulated benefit obligation of the pension plans at January 30, 2016 by approximately $30 million and $33 million, depending on if the change was an increase or decrease, respectively. A decrease of 50 basis points in the weighted-average discount rate would have increased the accumulated benefit obligation on the postretirement plan by approximately $1 million. Such a decrease would not have significantly changed 2015 pension expense or postretirement income.</w:t>
      </w:r>
    </w:p>
    <w:p>
      <w:pPr>
        <w:spacing w:after="0" w:line="9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Trend Rate — The Company maintains two postretirement medical plans, one covering certain executive officers and key employees of the Company (“SERP Medical Plan”), and the other covering all other associates. With respect to the SERP Medical Plan, a one percent change in the assumed health care cost trend rate would change this plan’s accumulated benefit obligation by approximately $2 million.</w:t>
      </w:r>
    </w:p>
    <w:p>
      <w:pPr>
        <w:spacing w:after="0" w:line="9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With respect to the postretirement medical plan covering all other associates, there is limited risk to the Company for increases in health care costs since, beginning in 2001, new retirees have assumed the full expected costs and then-existing retirees have assumed all increases in such costs.</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Mortality Assumptions — The mortality table used to determine the pension obligation in 2015 and 2014 was the RP 2000 mortality table with generational projection using scale AA for both males and females. This mortality table was chosen after considering alternative tables including the RP 2014 table. We chose the RP 2000 table because it resulted in the closest match to the Company’s actual experience. For the SERP Medical Plan, the mortality assumption was updated to the RPH 2015 table with generational projection using MP 2015, which represents the most recent study from the Society of Actuaries. The RPH 2015 table with generational projection using MP 2014 was used in the prior year.</w:t>
      </w:r>
    </w:p>
    <w:p>
      <w:pPr>
        <w:spacing w:after="0" w:line="99"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Company expects to record postretirement income of approximately $1 million and pension expense of approximately $20 million in 2016.</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accordance with U.S. GAAP, deferred tax assets are recognized for tax credit and net operating loss carryforwards, reduced by a valuation allowance, which is established when it is more likely than not that some portion or all of the deferred tax assets will not be realized. Management is required to estimate taxable income for future years by taxing jurisdiction and to use its judgment to determine whether or not to record a valuation allowance for part or all of a deferred tax asset. Estimates of taxable income are based upon the Company’s strategic long-range plans. A one percent change in the Company’s overall statutory tax rate for 2015 would have resulted in a change of $5 million to the carrying value of the net deferred tax asset and a corresponding charge or credit to income tax expense depending on whether the tax rate change was a decrease or an increase.</w:t>
      </w:r>
    </w:p>
    <w:p>
      <w:pPr>
        <w:spacing w:after="0" w:line="98"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has operations in multiple taxing jurisdictions and is subject to audit in these jurisdictions. Tax audits by their nature are often complex and can require several years to resolve. Accruals of tax contingencies require management to make estimates and judgments with respect to the ultimate outcome of tax audits. Actual results could vary from these estimates.</w:t>
      </w:r>
    </w:p>
    <w:p>
      <w:pPr>
        <w:spacing w:after="0" w:line="9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The Company expects its 2016 effective tax rate to approximate 36.5 percent, excluding the effect of any nonrecurring items that may occur. The actual tax rate will vary depending primarily on the level and mix of income earned in the United States as compared with its international operations.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 xml:space="preserve">Descriptions of the recently issued accounting principles, and the accounting principles adopted by the Company during the year ended January 30, 2016, if any, are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in “Item 8. Consolidated Financial Statements and Supplementary Data.”</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cybersecurity breaches,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02"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in Part I, Item 1A. Any changes in such assumptions or factors could produce significantly different results. The Company undertakes no obligation to update forward-looking statements, whether as a result of new information, future events, or otherwise.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7A. Quantitative and Qualitative Disclosures About Market Risk</w:t>
      </w:r>
    </w:p>
    <w:p>
      <w:pPr>
        <w:spacing w:after="0" w:line="121"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color w:val="auto"/>
        </w:rPr>
        <w:t xml:space="preserve">Information regarding foreign exchange risk management is included in the </w:t>
      </w:r>
      <w:r>
        <w:rPr>
          <w:rFonts w:ascii="Arial" w:cs="Arial" w:eastAsia="Arial" w:hAnsi="Arial"/>
          <w:sz w:val="18"/>
          <w:szCs w:val="18"/>
          <w:i w:val="1"/>
          <w:iCs w:val="1"/>
          <w:color w:val="auto"/>
        </w:rPr>
        <w:t>Financial Instruments and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note under “Item 8. Consolidated Financial Statements and Supplementary Data.”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8. Consolidated Financial Statements and Supplementary Data</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following Consolidated Financial Statements of the Company for the years ended January 30, 2016, January 31, 2015, and February 1, 2014 are included as part of this Report:</w:t>
      </w:r>
    </w:p>
    <w:p>
      <w:pPr>
        <w:spacing w:after="0" w:line="88" w:lineRule="exact"/>
        <w:rPr>
          <w:sz w:val="20"/>
          <w:szCs w:val="20"/>
          <w:color w:val="auto"/>
        </w:rPr>
      </w:pPr>
    </w:p>
    <w:p>
      <w:pPr>
        <w:ind w:left="600" w:right="51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Operations for the Fiscal Years January 30, 2016, January 31, 2015, and February 1, 2014.</w:t>
      </w:r>
    </w:p>
    <w:p>
      <w:pPr>
        <w:spacing w:after="0" w:line="88" w:lineRule="exact"/>
        <w:rPr>
          <w:rFonts w:ascii="Arial" w:cs="Arial" w:eastAsia="Arial" w:hAnsi="Arial"/>
          <w:sz w:val="18"/>
          <w:szCs w:val="18"/>
          <w:color w:val="auto"/>
        </w:rPr>
      </w:pPr>
    </w:p>
    <w:p>
      <w:pPr>
        <w:ind w:left="600" w:right="53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January 30, 2016, January 31, 2015, and February 1, 2014.</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Balance Sheets as of January 30, 2016 and January 31, 2015.</w:t>
      </w:r>
    </w:p>
    <w:p>
      <w:pPr>
        <w:spacing w:after="0" w:line="117" w:lineRule="exact"/>
        <w:rPr>
          <w:rFonts w:ascii="Arial" w:cs="Arial" w:eastAsia="Arial" w:hAnsi="Arial"/>
          <w:sz w:val="18"/>
          <w:szCs w:val="18"/>
          <w:color w:val="auto"/>
        </w:rPr>
      </w:pPr>
    </w:p>
    <w:p>
      <w:pPr>
        <w:ind w:left="600" w:right="53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Shareholders’ Equity for the Fiscal Years January 30, 2016, January 31, 2015, and February 1, 2014.</w:t>
      </w:r>
    </w:p>
    <w:p>
      <w:pPr>
        <w:spacing w:after="0" w:line="88" w:lineRule="exact"/>
        <w:rPr>
          <w:rFonts w:ascii="Arial" w:cs="Arial" w:eastAsia="Arial" w:hAnsi="Arial"/>
          <w:sz w:val="18"/>
          <w:szCs w:val="18"/>
          <w:color w:val="auto"/>
        </w:rPr>
      </w:pPr>
    </w:p>
    <w:p>
      <w:pPr>
        <w:ind w:left="600" w:right="539" w:hanging="322"/>
        <w:spacing w:after="0" w:line="262"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January 30, 2016, January 31, 2015, and February 1, 2014.</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have audited the accompanying consolidated balance sheets of Foot Locker, Inc. and subsidiaries as of January 30, 2016 and January 31, 2015, and the related consolidated statements of operations, comprehensive income, shareholders’ equity, and cash flows for each of the years in the three-year period ended January 30, 2016. These consolidated financial statements are the responsibility of the Company’s management. Our responsibility is to express an opinion on these consolidated financial statements based on our audits.</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1"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Foot Locker, Inc. and subsidiaries as of January 30, 2016 and January 31, 2015, and the results of their operations and their cash flows for each of the years in the three-year period ended January 30, 2016, in conformity with U.S. generally accepted accounting principles.</w:t>
      </w:r>
    </w:p>
    <w:p>
      <w:pPr>
        <w:spacing w:after="0" w:line="9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Foot Locker, Inc.’s internal control over financial reporting as of January 30,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March 24, 2016 expressed an unqualified opinion on the effectiveness of the Company’s internal control over financial reporting.</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24, 2016</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88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25"/>
        </w:trPr>
        <w:tc>
          <w:tcPr>
            <w:tcW w:w="52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7,412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7,151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sales</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4,907</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4,777</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1,415</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1,426</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148</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Litigation, impairment and other charges</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105</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income</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6,575</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6,342</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7"/>
                <w:szCs w:val="17"/>
                <w:color w:val="auto"/>
              </w:rPr>
            </w:pPr>
          </w:p>
        </w:tc>
        <w:tc>
          <w:tcPr>
            <w:tcW w:w="76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rPr>
              <w:t>837</w:t>
            </w:r>
          </w:p>
        </w:tc>
        <w:tc>
          <w:tcPr>
            <w:tcW w:w="300" w:type="dxa"/>
            <w:vAlign w:val="bottom"/>
          </w:tcPr>
          <w:p>
            <w:pPr>
              <w:spacing w:after="0"/>
              <w:rPr>
                <w:sz w:val="17"/>
                <w:szCs w:val="17"/>
                <w:color w:val="auto"/>
              </w:rPr>
            </w:pPr>
          </w:p>
        </w:tc>
        <w:tc>
          <w:tcPr>
            <w:tcW w:w="7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809</w:t>
            </w:r>
          </w:p>
        </w:tc>
        <w:tc>
          <w:tcPr>
            <w:tcW w:w="340" w:type="dxa"/>
            <w:vAlign w:val="bottom"/>
          </w:tcPr>
          <w:p>
            <w:pPr>
              <w:spacing w:after="0"/>
              <w:rPr>
                <w:sz w:val="17"/>
                <w:szCs w:val="17"/>
                <w:color w:val="auto"/>
              </w:rPr>
            </w:pPr>
          </w:p>
        </w:tc>
        <w:tc>
          <w:tcPr>
            <w:tcW w:w="76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296</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289</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541</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520</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Basic earnings per share</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3.89</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3.61</w:t>
            </w:r>
          </w:p>
        </w:tc>
        <w:tc>
          <w:tcPr>
            <w:tcW w:w="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outstanding</w:t>
            </w:r>
          </w:p>
        </w:tc>
        <w:tc>
          <w:tcPr>
            <w:tcW w:w="66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139.1</w:t>
            </w:r>
          </w:p>
        </w:tc>
        <w:tc>
          <w:tcPr>
            <w:tcW w:w="300" w:type="dxa"/>
            <w:vAlign w:val="bottom"/>
          </w:tcPr>
          <w:p>
            <w:pPr>
              <w:spacing w:after="0"/>
              <w:rPr>
                <w:sz w:val="17"/>
                <w:szCs w:val="17"/>
                <w:color w:val="auto"/>
              </w:rPr>
            </w:pPr>
          </w:p>
        </w:tc>
        <w:tc>
          <w:tcPr>
            <w:tcW w:w="7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143.9</w:t>
            </w:r>
          </w:p>
        </w:tc>
        <w:tc>
          <w:tcPr>
            <w:tcW w:w="34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3.84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3.56</w:t>
            </w: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Weighted-average shares outstanding, assuming dilution</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140.8</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146.0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541</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line="203" w:lineRule="exact"/>
              <w:rPr>
                <w:sz w:val="20"/>
                <w:szCs w:val="20"/>
                <w:color w:val="auto"/>
              </w:rPr>
            </w:pPr>
            <w:r>
              <w:rPr>
                <w:rFonts w:ascii="Arial" w:cs="Arial" w:eastAsia="Arial" w:hAnsi="Arial"/>
                <w:sz w:val="18"/>
                <w:szCs w:val="18"/>
                <w:color w:val="auto"/>
              </w:rPr>
              <w:t>520</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line="203"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comprehensive income,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Foreign currency translation adjustment: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Translation adjustment arising during the period,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Cash flow hedges: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fair value of derivatives, net of income tax</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Pension and postretirement adjustments: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actuarial gain (loss) and prior service cost and foreign currency</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fluctuations arising during the year, net of income tax expense</w:t>
            </w: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(benefit) of $(10), $(7) and $2 million, respectively</w:t>
            </w:r>
          </w:p>
        </w:tc>
        <w:tc>
          <w:tcPr>
            <w:tcW w:w="3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net actuarial gain/loss and prior service cost included</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in net periodic benefit costs, net of income tax expense of $5, $4,</w:t>
            </w:r>
          </w:p>
        </w:tc>
        <w:tc>
          <w:tcPr>
            <w:tcW w:w="340" w:type="dxa"/>
            <w:vAlign w:val="bottom"/>
          </w:tcPr>
          <w:p>
            <w:pPr>
              <w:spacing w:after="0"/>
              <w:rPr>
                <w:sz w:val="17"/>
                <w:szCs w:val="17"/>
                <w:color w:val="auto"/>
              </w:rPr>
            </w:pPr>
          </w:p>
        </w:tc>
        <w:tc>
          <w:tcPr>
            <w:tcW w:w="68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and $5 million, respectively</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rPr>
              <w:t>494</w:t>
            </w:r>
          </w:p>
        </w:tc>
        <w:tc>
          <w:tcPr>
            <w:tcW w:w="34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387</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5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8"/>
                <w:szCs w:val="18"/>
                <w:color w:val="auto"/>
              </w:rPr>
            </w:pPr>
          </w:p>
        </w:tc>
        <w:tc>
          <w:tcPr>
            <w:tcW w:w="180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8"/>
        </w:trPr>
        <w:tc>
          <w:tcPr>
            <w:tcW w:w="56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1,021</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1,285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300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2,606</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Property and equipment, net</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661</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Deferred taxes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234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Goodwill</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156</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73</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3,775</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279</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420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Current portion of capital lease obligations</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700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Long-term debt and obligations under capital leases</w:t>
            </w:r>
          </w:p>
        </w:tc>
        <w:tc>
          <w:tcPr>
            <w:tcW w:w="134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129</w:t>
            </w:r>
          </w:p>
        </w:tc>
        <w:tc>
          <w:tcPr>
            <w:tcW w:w="3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liabilities</w:t>
            </w: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393</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340" w:type="dxa"/>
            <w:vAlign w:val="bottom"/>
          </w:tcPr>
          <w:p>
            <w:pPr>
              <w:spacing w:after="0"/>
              <w:rPr>
                <w:sz w:val="17"/>
                <w:szCs w:val="17"/>
                <w:color w:val="auto"/>
              </w:rPr>
            </w:pPr>
          </w:p>
        </w:tc>
        <w:tc>
          <w:tcPr>
            <w:tcW w:w="7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1,222</w:t>
            </w:r>
          </w:p>
        </w:tc>
        <w:tc>
          <w:tcPr>
            <w:tcW w:w="32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1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2,553</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3,775</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
        </w:trPr>
        <w:tc>
          <w:tcPr>
            <w:tcW w:w="5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56000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 Paid-In</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Capital &amp;</w:t>
            </w:r>
          </w:p>
        </w:tc>
        <w:tc>
          <w:tcPr>
            <w:tcW w:w="60" w:type="dxa"/>
            <w:vAlign w:val="bottom"/>
          </w:tcPr>
          <w:p>
            <w:pPr>
              <w:spacing w:after="0"/>
              <w:rPr>
                <w:sz w:val="14"/>
                <w:szCs w:val="14"/>
                <w:color w:val="auto"/>
              </w:rPr>
            </w:pPr>
          </w:p>
        </w:tc>
        <w:tc>
          <w:tcPr>
            <w:tcW w:w="144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Retained Comprehensive Shareholders’</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20" w:type="dxa"/>
            <w:vAlign w:val="bottom"/>
            <w:gridSpan w:val="9"/>
          </w:tcPr>
          <w:p>
            <w:pPr>
              <w:jc w:val="right"/>
              <w:ind w:right="301"/>
              <w:spacing w:after="0"/>
              <w:rPr>
                <w:sz w:val="20"/>
                <w:szCs w:val="20"/>
                <w:color w:val="auto"/>
              </w:rPr>
            </w:pPr>
            <w:r>
              <w:rPr>
                <w:rFonts w:ascii="Arial" w:cs="Arial" w:eastAsia="Arial" w:hAnsi="Arial"/>
                <w:sz w:val="14"/>
                <w:szCs w:val="14"/>
                <w:b w:val="1"/>
                <w:bCs w:val="1"/>
                <w:color w:val="auto"/>
              </w:rPr>
              <w:t>(shares in thousands, amounts in millions)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February 2, 2013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166,909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(16,839)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$2,076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(171)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2,377</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tcPr>
          <w:p>
            <w:pPr>
              <w:jc w:val="right"/>
              <w:spacing w:after="0"/>
              <w:rPr>
                <w:sz w:val="20"/>
                <w:szCs w:val="20"/>
                <w:color w:val="auto"/>
              </w:rPr>
            </w:pPr>
            <w:r>
              <w:rPr>
                <w:rFonts w:ascii="Arial" w:cs="Arial" w:eastAsia="Arial" w:hAnsi="Arial"/>
                <w:sz w:val="16"/>
                <w:szCs w:val="16"/>
                <w:color w:val="auto"/>
              </w:rPr>
              <w:t>665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Excess tax benefits from equity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Acquired in exchange of stock options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(“ESPP”)</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1"/>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($0.80 per share)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adjustments,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net of tax</w:t>
            </w:r>
          </w:p>
        </w:tc>
        <w:tc>
          <w:tcPr>
            <w:tcW w:w="7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February 1, 2014</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169,039</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921</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(23,612)</w:t>
            </w:r>
          </w:p>
        </w:tc>
        <w:tc>
          <w:tcPr>
            <w:tcW w:w="1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(626)</w:t>
            </w:r>
          </w:p>
        </w:tc>
        <w:tc>
          <w:tcPr>
            <w:tcW w:w="680" w:type="dxa"/>
            <w:vAlign w:val="bottom"/>
            <w:gridSpan w:val="2"/>
          </w:tcPr>
          <w:p>
            <w:pPr>
              <w:jc w:val="right"/>
              <w:ind w:right="28"/>
              <w:spacing w:after="0" w:line="183" w:lineRule="exact"/>
              <w:rPr>
                <w:sz w:val="20"/>
                <w:szCs w:val="20"/>
                <w:color w:val="auto"/>
              </w:rPr>
            </w:pPr>
            <w:r>
              <w:rPr>
                <w:rFonts w:ascii="Arial" w:cs="Arial" w:eastAsia="Arial" w:hAnsi="Arial"/>
                <w:sz w:val="16"/>
                <w:szCs w:val="16"/>
                <w:b w:val="1"/>
                <w:bCs w:val="1"/>
                <w:color w:val="auto"/>
              </w:rPr>
              <w:t>$2,387</w:t>
            </w:r>
          </w:p>
        </w:tc>
        <w:tc>
          <w:tcPr>
            <w:tcW w:w="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21"/>
              <w:spacing w:after="0" w:line="183" w:lineRule="exact"/>
              <w:rPr>
                <w:sz w:val="20"/>
                <w:szCs w:val="20"/>
                <w:color w:val="auto"/>
              </w:rPr>
            </w:pPr>
            <w:r>
              <w:rPr>
                <w:rFonts w:ascii="Arial" w:cs="Arial" w:eastAsia="Arial" w:hAnsi="Arial"/>
                <w:sz w:val="16"/>
                <w:szCs w:val="16"/>
                <w:b w:val="1"/>
                <w:bCs w:val="1"/>
                <w:color w:val="auto"/>
              </w:rPr>
              <w:t>(186)</w:t>
            </w:r>
          </w:p>
        </w:tc>
        <w:tc>
          <w:tcPr>
            <w:tcW w:w="22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2,496</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tcPr>
          <w:p>
            <w:pPr>
              <w:jc w:val="right"/>
              <w:spacing w:after="0"/>
              <w:rPr>
                <w:sz w:val="20"/>
                <w:szCs w:val="20"/>
                <w:color w:val="auto"/>
              </w:rPr>
            </w:pPr>
            <w:r>
              <w:rPr>
                <w:rFonts w:ascii="Arial" w:cs="Arial" w:eastAsia="Arial" w:hAnsi="Arial"/>
                <w:sz w:val="16"/>
                <w:szCs w:val="16"/>
                <w:color w:val="auto"/>
              </w:rPr>
              <w:t>912</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Excess tax benefits from equity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(5,889)</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(305)</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 ESPP</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160</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6"/>
                <w:szCs w:val="16"/>
                <w:color w:val="auto"/>
              </w:rPr>
              <w:t>520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($0.88 per share)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(132)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January 31, 2015</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170,529</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979</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(29,665)</w:t>
            </w:r>
          </w:p>
        </w:tc>
        <w:tc>
          <w:tcPr>
            <w:tcW w:w="1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(944)</w:t>
            </w:r>
          </w:p>
        </w:tc>
        <w:tc>
          <w:tcPr>
            <w:tcW w:w="680" w:type="dxa"/>
            <w:vAlign w:val="bottom"/>
            <w:gridSpan w:val="2"/>
          </w:tcPr>
          <w:p>
            <w:pPr>
              <w:jc w:val="right"/>
              <w:ind w:right="28"/>
              <w:spacing w:after="0" w:line="183" w:lineRule="exact"/>
              <w:rPr>
                <w:sz w:val="20"/>
                <w:szCs w:val="20"/>
                <w:color w:val="auto"/>
              </w:rPr>
            </w:pPr>
            <w:r>
              <w:rPr>
                <w:rFonts w:ascii="Arial" w:cs="Arial" w:eastAsia="Arial" w:hAnsi="Arial"/>
                <w:sz w:val="16"/>
                <w:szCs w:val="16"/>
                <w:b w:val="1"/>
                <w:bCs w:val="1"/>
                <w:color w:val="auto"/>
              </w:rPr>
              <w:t>$2,780</w:t>
            </w:r>
          </w:p>
        </w:tc>
        <w:tc>
          <w:tcPr>
            <w:tcW w:w="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21"/>
              <w:spacing w:after="0" w:line="183" w:lineRule="exact"/>
              <w:rPr>
                <w:sz w:val="20"/>
                <w:szCs w:val="20"/>
                <w:color w:val="auto"/>
              </w:rPr>
            </w:pPr>
            <w:r>
              <w:rPr>
                <w:rFonts w:ascii="Arial" w:cs="Arial" w:eastAsia="Arial" w:hAnsi="Arial"/>
                <w:sz w:val="16"/>
                <w:szCs w:val="16"/>
                <w:b w:val="1"/>
                <w:bCs w:val="1"/>
                <w:color w:val="auto"/>
              </w:rPr>
              <w:t>(319)</w:t>
            </w:r>
          </w:p>
        </w:tc>
        <w:tc>
          <w:tcPr>
            <w:tcW w:w="22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2,496</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issued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Issued under director and stock plans</w:t>
            </w:r>
          </w:p>
        </w:tc>
        <w:tc>
          <w:tcPr>
            <w:tcW w:w="720" w:type="dxa"/>
            <w:vAlign w:val="bottom"/>
          </w:tcPr>
          <w:p>
            <w:pPr>
              <w:jc w:val="right"/>
              <w:spacing w:after="0"/>
              <w:rPr>
                <w:sz w:val="20"/>
                <w:szCs w:val="20"/>
                <w:color w:val="auto"/>
              </w:rPr>
            </w:pPr>
            <w:r>
              <w:rPr>
                <w:rFonts w:ascii="Arial" w:cs="Arial" w:eastAsia="Arial" w:hAnsi="Arial"/>
                <w:sz w:val="16"/>
                <w:szCs w:val="16"/>
                <w:color w:val="auto"/>
              </w:rPr>
              <w:t>2,570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Excess tax benefits from equity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withholding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(6,693)</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Reissued – ESPP</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1"/>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541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($1.00 per share)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 net of tax</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Change in cash flow hedges, net of tax</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adjustments,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net of tax</w:t>
            </w:r>
          </w:p>
        </w:tc>
        <w:tc>
          <w:tcPr>
            <w:tcW w:w="7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Balance at January 30, 2016</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173,398</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1,108</w:t>
            </w:r>
          </w:p>
        </w:tc>
        <w:tc>
          <w:tcPr>
            <w:tcW w:w="7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(36,421)</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(1,371)</w:t>
            </w:r>
          </w:p>
        </w:tc>
        <w:tc>
          <w:tcPr>
            <w:tcW w:w="680" w:type="dxa"/>
            <w:vAlign w:val="bottom"/>
            <w:tcBorders>
              <w:bottom w:val="single" w:sz="8" w:color="auto"/>
            </w:tcBorders>
            <w:gridSpan w:val="2"/>
          </w:tcPr>
          <w:p>
            <w:pPr>
              <w:jc w:val="right"/>
              <w:ind w:right="28"/>
              <w:spacing w:after="0" w:line="183" w:lineRule="exact"/>
              <w:rPr>
                <w:sz w:val="20"/>
                <w:szCs w:val="20"/>
                <w:color w:val="auto"/>
              </w:rPr>
            </w:pPr>
            <w:r>
              <w:rPr>
                <w:rFonts w:ascii="Arial" w:cs="Arial" w:eastAsia="Arial" w:hAnsi="Arial"/>
                <w:sz w:val="16"/>
                <w:szCs w:val="16"/>
                <w:b w:val="1"/>
                <w:bCs w:val="1"/>
                <w:color w:val="auto"/>
              </w:rPr>
              <w:t>$3,182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(366)</w:t>
            </w:r>
          </w:p>
        </w:tc>
        <w:tc>
          <w:tcPr>
            <w:tcW w:w="22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565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5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From Operating Activities</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541</w:t>
            </w:r>
          </w:p>
        </w:tc>
        <w:tc>
          <w:tcPr>
            <w:tcW w:w="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impairment charges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139</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22</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real estate</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8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Qualified pension plan contributions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w:t>
            </w: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Merchandise inventories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(49)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Accrued and other liabilities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line="202" w:lineRule="exact"/>
              <w:rPr>
                <w:sz w:val="20"/>
                <w:szCs w:val="20"/>
                <w:color w:val="auto"/>
              </w:rPr>
            </w:pPr>
            <w:r>
              <w:rPr>
                <w:rFonts w:ascii="Arial" w:cs="Arial" w:eastAsia="Arial" w:hAnsi="Arial"/>
                <w:sz w:val="18"/>
                <w:szCs w:val="18"/>
                <w:color w:val="auto"/>
              </w:rPr>
              <w:t>Pension litigation accrual</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100</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40</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745</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1"/>
              <w:spacing w:after="0" w:line="196" w:lineRule="exact"/>
              <w:rPr>
                <w:sz w:val="20"/>
                <w:szCs w:val="20"/>
                <w:color w:val="auto"/>
              </w:rPr>
            </w:pPr>
            <w:r>
              <w:rPr>
                <w:rFonts w:ascii="Arial" w:cs="Arial" w:eastAsia="Arial" w:hAnsi="Arial"/>
                <w:sz w:val="18"/>
                <w:szCs w:val="18"/>
                <w:color w:val="auto"/>
              </w:rPr>
              <w:t>712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From Investing Activities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(228)</w:t>
            </w:r>
          </w:p>
        </w:tc>
        <w:tc>
          <w:tcPr>
            <w:tcW w:w="320" w:type="dxa"/>
            <w:vAlign w:val="bottom"/>
          </w:tcPr>
          <w:p>
            <w:pPr>
              <w:spacing w:after="0"/>
              <w:rPr>
                <w:sz w:val="17"/>
                <w:szCs w:val="17"/>
                <w:color w:val="auto"/>
              </w:rPr>
            </w:pPr>
          </w:p>
        </w:tc>
        <w:tc>
          <w:tcPr>
            <w:tcW w:w="8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(190)</w:t>
            </w:r>
          </w:p>
        </w:tc>
        <w:tc>
          <w:tcPr>
            <w:tcW w:w="24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 of business, net of cash acquired</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Proceeds from sale of real estate</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maturities of short-term investments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Purchases of short-term investments</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Gain from lease terminations</w:t>
            </w:r>
          </w:p>
        </w:tc>
        <w:tc>
          <w:tcPr>
            <w:tcW w:w="4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(230)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(176)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From Financing Activities</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Purchase of treasury shares</w:t>
            </w:r>
          </w:p>
        </w:tc>
        <w:tc>
          <w:tcPr>
            <w:tcW w:w="48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(419)</w:t>
            </w:r>
          </w:p>
        </w:tc>
        <w:tc>
          <w:tcPr>
            <w:tcW w:w="320" w:type="dxa"/>
            <w:vAlign w:val="bottom"/>
          </w:tcPr>
          <w:p>
            <w:pPr>
              <w:spacing w:after="0"/>
              <w:rPr>
                <w:sz w:val="17"/>
                <w:szCs w:val="17"/>
                <w:color w:val="auto"/>
              </w:rPr>
            </w:pPr>
          </w:p>
        </w:tc>
        <w:tc>
          <w:tcPr>
            <w:tcW w:w="8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(305)</w:t>
            </w:r>
          </w:p>
        </w:tc>
        <w:tc>
          <w:tcPr>
            <w:tcW w:w="24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Dividends paid on common stock</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(139)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64</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Treasury stock reissued under employee stock plan</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Reduction in long-term debt and obligations under capital leases</w:t>
            </w:r>
          </w:p>
        </w:tc>
        <w:tc>
          <w:tcPr>
            <w:tcW w:w="4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(456)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(401)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73"/>
        </w:trPr>
        <w:tc>
          <w:tcPr>
            <w:tcW w:w="54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Effect of Exchange Rate Fluctuations on Cash and Cash</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Equivalents</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Change in Cash and Cash Equivalents</w:t>
            </w:r>
          </w:p>
        </w:tc>
        <w:tc>
          <w:tcPr>
            <w:tcW w:w="480" w:type="dxa"/>
            <w:vAlign w:val="bottom"/>
          </w:tcPr>
          <w:p>
            <w:pPr>
              <w:spacing w:after="0"/>
              <w:rPr>
                <w:sz w:val="17"/>
                <w:szCs w:val="17"/>
                <w:color w:val="auto"/>
              </w:rPr>
            </w:pP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54</w:t>
            </w:r>
          </w:p>
        </w:tc>
        <w:tc>
          <w:tcPr>
            <w:tcW w:w="320" w:type="dxa"/>
            <w:vAlign w:val="bottom"/>
          </w:tcPr>
          <w:p>
            <w:pPr>
              <w:spacing w:after="0"/>
              <w:rPr>
                <w:sz w:val="17"/>
                <w:szCs w:val="17"/>
                <w:color w:val="auto"/>
              </w:rPr>
            </w:pP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7"/>
                <w:szCs w:val="17"/>
                <w:color w:val="auto"/>
              </w:rPr>
            </w:pPr>
          </w:p>
        </w:tc>
        <w:tc>
          <w:tcPr>
            <w:tcW w:w="7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at Beginning of Year</w:t>
            </w:r>
          </w:p>
        </w:tc>
        <w:tc>
          <w:tcPr>
            <w:tcW w:w="4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967</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858</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at End of Year</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1,021</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1"/>
              <w:spacing w:after="0" w:line="196" w:lineRule="exact"/>
              <w:rPr>
                <w:sz w:val="20"/>
                <w:szCs w:val="20"/>
                <w:color w:val="auto"/>
              </w:rPr>
            </w:pPr>
            <w:r>
              <w:rPr>
                <w:rFonts w:ascii="Arial" w:cs="Arial" w:eastAsia="Arial" w:hAnsi="Arial"/>
                <w:sz w:val="18"/>
                <w:szCs w:val="18"/>
                <w:color w:val="auto"/>
              </w:rPr>
              <w:t>967</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Paid During the Year:</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Interest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11</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b w:val="1"/>
                <w:bCs w:val="1"/>
                <w:color w:val="auto"/>
              </w:rPr>
              <w:t>283</w:t>
            </w:r>
          </w:p>
        </w:tc>
        <w:tc>
          <w:tcPr>
            <w:tcW w:w="32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251</w:t>
            </w:r>
          </w:p>
        </w:tc>
        <w:tc>
          <w:tcPr>
            <w:tcW w:w="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3" w:lineRule="exact"/>
        <w:rPr>
          <w:sz w:val="20"/>
          <w:szCs w:val="20"/>
          <w:color w:val="auto"/>
        </w:rPr>
      </w:pPr>
    </w:p>
    <w:p>
      <w:pPr>
        <w:ind w:left="40" w:right="5999" w:firstLine="8"/>
        <w:spacing w:after="0" w:line="388" w:lineRule="auto"/>
        <w:tabs>
          <w:tab w:leader="none" w:pos="29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consolidated financial statements include the accounts of Foot Locker, Inc. and its domestic and international subsidiaries (the “Company”), all of which are wholly owned. All significant intercompany amounts have been eliminated. 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Reporting Year</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fiscal year end for the Company is the Saturday closest to the last day in January. Fiscal years 2015, 2014, and 2013 represented the 52 weeks ended January 30, 2016, January 31, 2015, and February 1, 2014, respectively. References to years in this annual report relate to fiscal years rather than calendar years.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Revenue from retail stores is recognized at the point of sale when the product is delivered to customers. Internet and catalog sales revenue is recognized upon estimated receipt by the customer. Sales include shipping and handling fees for all periods presented. Sales include merchandise, net of returns, and exclude taxes. The Company provides for estimated returns based on return history and sales levels. Revenue from layaway sales is recognized when the customer receives the product, rather than when the initial deposit is paid.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Gift Cards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sells gift cards to its customers, which do not have expiration dates. Revenue from gift card sales is recorded when the gift cards are redeemed or when the likelihood of the gift card being redeemed by the customer is remote and there is no legal obligation to remit the value of unredeemed gift cards to the relevant jurisdictions, referred to as breakage. The Company has determined its gift card breakage rate based upon historical redemption patterns. Historical experience indicates that after 12 months, the likelihood of redemption is deemed to be remote. Gift card breakage income is included in selling, general and administrative expenses and unredeemed gift cards are recorded as a current liability. Gift card breakage was $5 million for 2015 and 2014, and $4 million for 2013.</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Store Pre-Opening and Closing Costs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Store pre-opening costs are charged to expense as incurred. In the event a store is closed before its lease has expired, the estimated post-closing lease exit costs, less any sublease rental income, is provided for once the store ceases to be used.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Advertising Costs and Sales Promotion</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Advertising and sales promotion costs are expensed at the time the advertising or promotion takes place, net of reimbursements for cooperative advertising. Advertising expenses also include advertising costs as required by some of the Company’s mall-based leases. Cooperative advertising reimbursements earned for the launch and promotion of certain products agreed upon with vendors are recorded in the same period as the associated expenses are incurred.</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Reimbursement received in excess of expenses incurred related to specific, incremental, and identifiable advertising costs, is accounted for as a reduction to the cost of merchandise, which is reflected in cost of sales as the merchandise is sold.</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Advertising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119</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3" w:lineRule="exact"/>
              <w:rPr>
                <w:sz w:val="20"/>
                <w:szCs w:val="20"/>
                <w:color w:val="auto"/>
              </w:rPr>
            </w:pPr>
            <w:r>
              <w:rPr>
                <w:rFonts w:ascii="Arial" w:cs="Arial" w:eastAsia="Arial" w:hAnsi="Arial"/>
                <w:sz w:val="18"/>
                <w:szCs w:val="18"/>
                <w:color w:val="auto"/>
              </w:rPr>
              <w:t>Advertising expenses</w:t>
            </w:r>
          </w:p>
        </w:tc>
        <w:tc>
          <w:tcPr>
            <w:tcW w:w="14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line="203" w:lineRule="exact"/>
              <w:rPr>
                <w:sz w:val="20"/>
                <w:szCs w:val="20"/>
                <w:color w:val="auto"/>
              </w:rPr>
            </w:pPr>
            <w:r>
              <w:rPr>
                <w:rFonts w:ascii="Arial" w:cs="Arial" w:eastAsia="Arial" w:hAnsi="Arial"/>
                <w:sz w:val="18"/>
                <w:szCs w:val="18"/>
                <w:color w:val="auto"/>
              </w:rPr>
              <w:t>125</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Cooperative advertising reimbursements</w:t>
            </w:r>
          </w:p>
        </w:tc>
        <w:tc>
          <w:tcPr>
            <w:tcW w:w="14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(19)</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advertising expense</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100</w:t>
            </w:r>
          </w:p>
        </w:tc>
        <w:tc>
          <w:tcPr>
            <w:tcW w:w="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color w:val="auto"/>
              </w:rPr>
              <w:t>104</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4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Catalog Costs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Catalog costs, which are primarily comprised of paper, printing, and postage, are capitalized and amortized over the expected customer response period related to each catalog, which is generally 90 days. Cooperative reimbursements earned for the promotion of certain products are agreed upon with vendors and are recorded in the same period as the associated catalog expenses are amortized. Prepaid catalog costs were $2 million and $3 million at January 30, 2016 and January 31, 2015,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Catalog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28</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Catalog costs</w:t>
            </w:r>
          </w:p>
        </w:tc>
        <w:tc>
          <w:tcPr>
            <w:tcW w:w="19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80" w:type="dxa"/>
            <w:vAlign w:val="bottom"/>
          </w:tcPr>
          <w:p>
            <w:pPr>
              <w:ind w:left="20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4"/>
              <w:spacing w:after="0" w:line="203" w:lineRule="exact"/>
              <w:rPr>
                <w:sz w:val="20"/>
                <w:szCs w:val="20"/>
                <w:color w:val="auto"/>
              </w:rPr>
            </w:pPr>
            <w:r>
              <w:rPr>
                <w:rFonts w:ascii="Arial" w:cs="Arial" w:eastAsia="Arial" w:hAnsi="Arial"/>
                <w:sz w:val="18"/>
                <w:szCs w:val="18"/>
                <w:color w:val="auto"/>
              </w:rPr>
              <w:t>32</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34"/>
              <w:spacing w:after="0" w:line="203"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Cooperative reimbursements</w:t>
            </w:r>
          </w:p>
        </w:tc>
        <w:tc>
          <w:tcPr>
            <w:tcW w:w="1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catalog expense</w:t>
            </w:r>
          </w:p>
        </w:tc>
        <w:tc>
          <w:tcPr>
            <w:tcW w:w="1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b w:val="1"/>
                <w:bCs w:val="1"/>
                <w:color w:val="auto"/>
              </w:rPr>
              <w:t>21</w:t>
            </w:r>
          </w:p>
        </w:tc>
        <w:tc>
          <w:tcPr>
            <w:tcW w:w="3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Earnings Per Share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541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139.1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143.9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3"/>
        </w:trPr>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Basic earnings per share</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3.89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3.61</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139.1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143.9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Dilutive effect of potential common shares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 assuming dilution</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140.8</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146.0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3.84</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Potential common shares include the dilutive effect of stock options and restricted stock units. Options to purchase 0.6 million shares of common stock for both January 30, 2016 and January 31, 2015, and 1.0 million shares at February 1, 2014, were not included in the computations primarily because the exercise price of the options was greater than the average market price of the common shares and, therefore, the effect of their inclusion would be antidilutive. Contingently issuable shares of 0.2 million, 0.3 million, and 0.2 million at January 30, 2016, January 31, 2015, and February 1, 2014, respectively, have not been included as the vesting conditions have not been satisfied.</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Company recognizes compensation expense for share-based awards based on the grant date fair value of those awards. Additionally, stock-based compensation expense includes an estimate for pre-vesting forfeitures and expense is recognized on a straight-line basis over the requisite service period for each vesting tranche of the award. See Note 22,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for information on the assumptions used to calculate the fair value of share-based compensation.</w:t>
      </w:r>
    </w:p>
    <w:p>
      <w:pPr>
        <w:spacing w:after="0" w:line="97"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Upon exercise of stock options, issuance of restricted stock or units, or issuance of shares under the employees stock purchase plan, the Company will issue authorized but unissued common stock or use common stock held in treasury. The Company may make repurchases of its common stock from time to time, subject to legal and contractual restrictions, market conditions, and other factors.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Cash equivalents at January 30, 2016 and January 31, 2015 were $983 million and $930 million, respectively.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Changes in the fair value of available-for-sale securities are reported as a component of accumulated other comprehensive loss in the Consolidated Statements of Shareholders’ Equity and are not reflected in the Consolidated Statements of Operations until a sale transaction occurs or when declines in fair value are deemed to be other-than-temporary. The Company routinely reviews available-for-sale securities for other-than-temporary declines in fair value below the cost basis, and when events or changes in circumstances indicate the carrying value of a security may not be recoverable, the security is written down to fair value. As of January 30, 2016, the Company held $6 million of available-for-sale securities, which represented the Company’s auction rate security. See Note 20</w:t>
      </w:r>
      <w:r>
        <w:rPr>
          <w:rFonts w:ascii="Arial" w:cs="Arial" w:eastAsia="Arial" w:hAnsi="Arial"/>
          <w:sz w:val="18"/>
          <w:szCs w:val="18"/>
          <w:i w:val="1"/>
          <w:iCs w:val="1"/>
          <w:color w:val="auto"/>
        </w:rPr>
        <w: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further discussion of these investments.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Merchandise Inventories and Cost of Sales</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Direct-to-Customers business are valued at the lower of cost or market using weighted-average cost, which approximates FIFO.</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retail inventory method is commonly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Company provides reserves based on current selling prices when the inventory has not been marked down to market. Transportation, distribution center, and sourcing costs are capitalized in merchandise inventories. The Company expenses the freight associated with transfers between its store locations in the period incurred. The Company maintains an accrual for shrinkage based on historical rates.</w:t>
      </w:r>
    </w:p>
    <w:p>
      <w:pPr>
        <w:spacing w:after="0" w:line="98"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 Occupancy costs include the amortization of amounts received from landlords for tenant improvements.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Property and Equipment</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Property and equipment are recorded at cost, less accumulated depreciation and amortization. Significant additions and improvements to property and equipment are capitalized. Depreciation and amortization are computed on a straight-line basis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50857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Arial" w:cs="Arial" w:eastAsia="Arial" w:hAnsi="Arial"/>
                <w:sz w:val="18"/>
                <w:szCs w:val="18"/>
                <w:color w:val="auto"/>
              </w:rPr>
              <w:t>Buildings</w:t>
            </w:r>
          </w:p>
        </w:tc>
        <w:tc>
          <w:tcPr>
            <w:tcW w:w="3420" w:type="dxa"/>
            <w:vAlign w:val="bottom"/>
            <w:gridSpan w:val="2"/>
          </w:tcPr>
          <w:p>
            <w:pPr>
              <w:ind w:left="640"/>
              <w:spacing w:after="0"/>
              <w:rPr>
                <w:sz w:val="20"/>
                <w:szCs w:val="20"/>
                <w:color w:val="auto"/>
              </w:rPr>
            </w:pPr>
            <w:r>
              <w:rPr>
                <w:rFonts w:ascii="Arial" w:cs="Arial" w:eastAsia="Arial" w:hAnsi="Arial"/>
                <w:sz w:val="18"/>
                <w:szCs w:val="18"/>
                <w:color w:val="auto"/>
              </w:rPr>
              <w:t>Maximum of 50 years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42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8"/>
              </w:rPr>
              <w:t>10 years or term of lease, if shorter</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760" w:type="dxa"/>
            <w:vAlign w:val="bottom"/>
          </w:tcPr>
          <w:p>
            <w:pPr>
              <w:ind w:left="640"/>
              <w:spacing w:after="0" w:line="202" w:lineRule="exact"/>
              <w:rPr>
                <w:sz w:val="20"/>
                <w:szCs w:val="20"/>
                <w:color w:val="auto"/>
              </w:rPr>
            </w:pPr>
            <w:r>
              <w:rPr>
                <w:rFonts w:ascii="Arial" w:cs="Arial" w:eastAsia="Arial" w:hAnsi="Arial"/>
                <w:sz w:val="18"/>
                <w:szCs w:val="18"/>
                <w:color w:val="auto"/>
                <w:w w:val="99"/>
              </w:rPr>
              <w:t>3</w:t>
            </w:r>
          </w:p>
        </w:tc>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 10 years</w:t>
            </w: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Software</w:t>
            </w:r>
          </w:p>
        </w:tc>
        <w:tc>
          <w:tcPr>
            <w:tcW w:w="760" w:type="dxa"/>
            <w:vAlign w:val="bottom"/>
          </w:tcPr>
          <w:p>
            <w:pPr>
              <w:ind w:left="640"/>
              <w:spacing w:after="0"/>
              <w:rPr>
                <w:sz w:val="20"/>
                <w:szCs w:val="20"/>
                <w:color w:val="auto"/>
              </w:rPr>
            </w:pPr>
            <w:r>
              <w:rPr>
                <w:rFonts w:ascii="Arial" w:cs="Arial" w:eastAsia="Arial" w:hAnsi="Arial"/>
                <w:sz w:val="18"/>
                <w:szCs w:val="18"/>
                <w:color w:val="auto"/>
                <w:w w:val="99"/>
              </w:rPr>
              <w:t>2</w:t>
            </w:r>
          </w:p>
        </w:tc>
        <w:tc>
          <w:tcPr>
            <w:tcW w:w="2660" w:type="dxa"/>
            <w:vAlign w:val="bottom"/>
          </w:tcPr>
          <w:p>
            <w:pPr>
              <w:ind w:left="20"/>
              <w:spacing w:after="0"/>
              <w:rPr>
                <w:sz w:val="20"/>
                <w:szCs w:val="20"/>
                <w:color w:val="auto"/>
              </w:rPr>
            </w:pPr>
            <w:r>
              <w:rPr>
                <w:rFonts w:ascii="Arial" w:cs="Arial" w:eastAsia="Arial" w:hAnsi="Arial"/>
                <w:sz w:val="18"/>
                <w:szCs w:val="18"/>
                <w:color w:val="auto"/>
              </w:rPr>
              <w:t>– 7 years</w:t>
            </w:r>
          </w:p>
        </w:tc>
      </w:tr>
    </w:tbl>
    <w:p>
      <w:pPr>
        <w:spacing w:after="0" w:line="94"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Maintenance and repairs are charged to current operations as incurred. Major renewals or replacements that substantially extend the useful life of an asset are capitalized and depreciated.</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Internal-Use Software Development Costs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and was $46 million and $39 million at January 30, 2016 and January 31, 2015,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Recoverability of Long-Lived Tangible Assets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performs an impairment review when circumstances indicate that the carrying value of long-lived tangible assets may not be recoverable. Management’s policy in determining whether an impairment indicator exists, a triggering event, comprises measurable operating performance criteria at the division level, as well as qualitative measures. The Company considers historical performance and future estimated results, which are predominately identified from the Company’s strategic long-range plans, in its evaluation of potential store-level impairment and then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w:t>
      </w:r>
    </w:p>
    <w:p>
      <w:pPr>
        <w:spacing w:after="0" w:line="200" w:lineRule="exact"/>
        <w:rPr>
          <w:sz w:val="20"/>
          <w:szCs w:val="20"/>
          <w:color w:val="auto"/>
        </w:rPr>
      </w:pPr>
    </w:p>
    <w:p>
      <w:pPr>
        <w:spacing w:after="0" w:line="3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discounting expected future cash flows at the Company’s weighted-average cost of capital. The Company estimates fair value based on the best information available using estimates, judgments, and projections as considered necessary.</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35"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Goodwill and intangible assets with indefinite lives are reviewed for impairment annually during the first quarter of each fiscal year or more frequently if impairment indicators arise.</w:t>
      </w:r>
    </w:p>
    <w:p>
      <w:pPr>
        <w:spacing w:after="0" w:line="8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review of goodwill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 intangible asset is greater than its carrying value, the two-step test is performed to identify potential impairment. If it is determined that it is not more likely than not that the fair value of the reporting unit is less than its carrying value, it is unnecessary to perform the two-step impairment test.</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Based on certain circumstances, we may elect to bypass the qualitative assessment and proceed directly to performing the first step of the two-step impairment test. The first step of the two-step goodwill impairment test compares the fair value of the reporting unit to its carrying amount, including goodwill.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value of the asset exceeds its fair value, an impairment loss is recognized in the amount of the excess. The fair value of each reporting unit is determined using a combination of market and discounted cash flow approaches.</w:t>
      </w:r>
    </w:p>
    <w:p>
      <w:pPr>
        <w:spacing w:after="0" w:line="9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Intangible assets that are determined to have finite lives are amortized over their useful lives and are measured for impairment only when events or changes in circumstances indicate that the carrying value may be impaired. 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concept, and compare the fair value to the carrying value to determine if the asset is impaired.</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Financial Instruments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All derivative financial instruments are recorded in the Company’s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the Company to increased earnings volatility.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categorizes its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Fair value is determined based upon the exit price that would be received to</w:t>
      </w: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ind w:left="40" w:right="519"/>
        <w:spacing w:after="0" w:line="262" w:lineRule="auto"/>
        <w:rPr>
          <w:sz w:val="20"/>
          <w:szCs w:val="20"/>
          <w:color w:val="auto"/>
        </w:rPr>
      </w:pPr>
      <w:r>
        <w:rPr>
          <w:rFonts w:ascii="Arial" w:cs="Arial" w:eastAsia="Arial" w:hAnsi="Arial"/>
          <w:sz w:val="18"/>
          <w:szCs w:val="18"/>
          <w:color w:val="auto"/>
        </w:rPr>
        <w:t>sell an asset or paid to transfer a liability in an orderly transaction between market participants exclusive of any transaction costs. The Company’s financial assets recorded at fair value are categorized as follows: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17" w:lineRule="exact"/>
        <w:rPr>
          <w:sz w:val="20"/>
          <w:szCs w:val="20"/>
          <w:color w:val="auto"/>
        </w:rPr>
      </w:pPr>
    </w:p>
    <w:p>
      <w:pPr>
        <w:jc w:val="both"/>
        <w:ind w:left="320" w:right="539"/>
        <w:spacing w:after="0" w:line="269"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markets that are not active; and model-derived valuations in which all significant inputs or significant value-drivers are observable in active markets.</w:t>
      </w:r>
    </w:p>
    <w:p>
      <w:pPr>
        <w:spacing w:after="0" w:line="60" w:lineRule="exact"/>
        <w:rPr>
          <w:sz w:val="20"/>
          <w:szCs w:val="20"/>
          <w:color w:val="auto"/>
        </w:rPr>
      </w:pPr>
    </w:p>
    <w:p>
      <w:pPr>
        <w:jc w:val="both"/>
        <w:ind w:left="320" w:right="539"/>
        <w:spacing w:after="0" w:line="287"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Model-derived valuations in which one or more significant inputs or significant value-drivers are</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accounts for its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1"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Deferred tax assets are recognized for tax credits and net operating loss carryforwards, reduced by a valuation allowance, which is established when it is more likely than not that some portion or all of the deferred tax assets will not be realized. The effect on deferred tax assets and liabilities of a change in tax rates is recognized in income in the period that includes the enactment date.</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recognizes net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01"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taxing authority may challenge positions that the Company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The Company recognizes interest and penalties related to unrecognized tax benefits within income tax expense in the accompanying Consolidated Statement of Operations. Accrued interest and penalties are included within the related tax liability line in the Consolidated Balance Sheet. Provision for U.S. income taxes on undistributed earnings of foreign subsidiaries is made only on those amounts in excess of the funds considered to be permanently reinvested.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Pension and Postretirement Obligations</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discount rate for the U.S. plans is determined by reference to the Bond:Link interest rate model based upon a portfolio of highly 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Company’s</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Canadian benefit obligations was developed by using the plan’s bond portfolio indices, which match the benefit obligations. The Company measures its plan assets and benefit obligations using the month-end date that is closest to our fiscal year end.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Insurance Liabilities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is primarily self-insured for health care, workers’ compensation, and general liability costs. Accordingly, provisions are made for the Company’s actuarially determined estimates of discounted future claim costs for such risks, for the aggregate of claims reported and claims incurred but not yet reported. Self-insured liabilities totaled $13 million at both January 30, 2016 and January 31, 2015. The Company discounts its workers’ compensation and general liability reserves using a risk-free interest rate. Imputed interest expense related to these liabilities was not significant for any of the periods presented.</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for Leases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recognizes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 Translation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within shareholders’ equity.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 Accounting Pronouncements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This amendment changes how deferred taxes are recognized by eliminating the requirement of presenting deferred tax liabilities and assets as current and noncurrent on the balance sheet. Instead, the requirement will be to classify all deferred tax liabilities and assets as noncurrent. ASU 2015-17 is effective for annual reporting periods beginning after December 15, 2016, including interim periods within that reporting period, with earlier adoption permitted. ASU 2015-17 can be adopted either prospectively or retrospectively to all periods presented. The Company plans on early adopting ASU 2015-17 prospectively during fiscal year 2016. The adoption of this guidance is not expected to have an effect on our results of operations or cash flows, as this represents only a change in balance sheet classification.</w:t>
      </w:r>
    </w:p>
    <w:p>
      <w:pPr>
        <w:spacing w:after="0" w:line="87"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revises the existing guidance related to leases by requiring lessees to recognize a lease liability and a right-of-use asset for all leases. This ASU also requires additional disclosure regarding leasing arrangements. This standard will be effective for fiscal years beginning after December 15, 2018, including interim periods within those fiscal years, and requires a modified retrospective adoption, with earlier adoption permitted. The Company is currently evaluating the impact of the adoption of this ASU on its consolidated financial statements.</w:t>
      </w:r>
    </w:p>
    <w:p>
      <w:pPr>
        <w:spacing w:after="0" w:line="200" w:lineRule="exact"/>
        <w:rPr>
          <w:sz w:val="20"/>
          <w:szCs w:val="20"/>
          <w:color w:val="auto"/>
        </w:rPr>
      </w:pPr>
    </w:p>
    <w:p>
      <w:pPr>
        <w:spacing w:after="0" w:line="3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On August 3, 2015, the Company completed an insignificant asset acquisition from Futura Sport AG for total consideration of $2 million. The assets acquired include store fixtures, lease agreements, and inventory for 10 Runners Point and Sidestep franchise stores in Switzerland. The purchase price allocation has been completed as of January 30, 2016.</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The Company has determined that its reportable segments are those that are based on its method of internal reporting. As of January 30, 2016, the Company has two reportable segments, Athletic Stores and Direct-to-Customers. The accounting policies of both segments are the same as those described in the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note. The Company evaluates performance based on several factors, of which the primary financial measure is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results. Division profit reflects income before income taxes, pension litigation charge, corporate expense, non-operating income, and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21590</wp:posOffset>
            </wp:positionV>
            <wp:extent cx="5565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1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b w:val="1"/>
                <w:bCs w:val="1"/>
                <w:color w:val="auto"/>
              </w:rPr>
              <w:t>6,468</w:t>
            </w:r>
          </w:p>
        </w:tc>
        <w:tc>
          <w:tcPr>
            <w:tcW w:w="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6,286</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1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944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865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sales</w:t>
            </w:r>
          </w:p>
        </w:tc>
        <w:tc>
          <w:tcPr>
            <w:tcW w:w="1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7,412</w:t>
            </w:r>
          </w:p>
        </w:tc>
        <w:tc>
          <w:tcPr>
            <w:tcW w:w="3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7,151</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Results</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Athletic Stores</w:t>
            </w:r>
            <w:r>
              <w:rPr>
                <w:rFonts w:ascii="Arial" w:cs="Arial" w:eastAsia="Arial" w:hAnsi="Arial"/>
                <w:sz w:val="28"/>
                <w:szCs w:val="28"/>
                <w:color w:val="auto"/>
                <w:vertAlign w:val="superscript"/>
              </w:rPr>
              <w:t>(1)</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872</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Direct-to-Customers</w:t>
            </w:r>
            <w:r>
              <w:rPr>
                <w:rFonts w:ascii="Arial" w:cs="Arial" w:eastAsia="Arial" w:hAnsi="Arial"/>
                <w:sz w:val="28"/>
                <w:szCs w:val="28"/>
                <w:color w:val="auto"/>
                <w:vertAlign w:val="superscript"/>
              </w:rPr>
              <w:t>(2)</w:t>
            </w:r>
          </w:p>
        </w:tc>
        <w:tc>
          <w:tcPr>
            <w:tcW w:w="18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142</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1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1,014</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886</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Less: Pension litigation charge</w:t>
            </w:r>
          </w:p>
        </w:tc>
        <w:tc>
          <w:tcPr>
            <w:tcW w:w="1840" w:type="dxa"/>
            <w:vAlign w:val="bottom"/>
          </w:tcPr>
          <w:p>
            <w:pPr>
              <w:spacing w:after="0"/>
              <w:rPr>
                <w:sz w:val="17"/>
                <w:szCs w:val="17"/>
                <w:color w:val="auto"/>
              </w:rPr>
            </w:pPr>
          </w:p>
        </w:tc>
        <w:tc>
          <w:tcPr>
            <w:tcW w:w="7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7"/>
                <w:szCs w:val="17"/>
                <w:color w:val="auto"/>
              </w:rPr>
            </w:pPr>
          </w:p>
        </w:tc>
        <w:tc>
          <w:tcPr>
            <w:tcW w:w="80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7"/>
                <w:szCs w:val="17"/>
                <w:color w:val="auto"/>
              </w:rPr>
              <w:t>Less: Corporate expense</w:t>
            </w:r>
            <w:r>
              <w:rPr>
                <w:rFonts w:ascii="Arial" w:cs="Arial" w:eastAsia="Arial" w:hAnsi="Arial"/>
                <w:sz w:val="28"/>
                <w:szCs w:val="28"/>
                <w:color w:val="auto"/>
                <w:vertAlign w:val="superscript"/>
              </w:rPr>
              <w:t>(3)</w:t>
            </w:r>
          </w:p>
        </w:tc>
        <w:tc>
          <w:tcPr>
            <w:tcW w:w="18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1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837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805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b w:val="1"/>
                <w:bCs w:val="1"/>
                <w:color w:val="auto"/>
              </w:rPr>
              <w:t>837</w:t>
            </w:r>
          </w:p>
        </w:tc>
        <w:tc>
          <w:tcPr>
            <w:tcW w:w="3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809</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00" w:right="519" w:hanging="272"/>
        <w:spacing w:after="0" w:line="267"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Included in the results for 2015, 2014, and 2013 are impairment and other charges of $4 million, $2 million, and $2 million, respectively. The 2015 amount reflects charges to write-down long-lived store assets of Runners Point. The 2014 amount reflected impairment charges to fully write-down the value of certain trade names. The 2013 amounts were incurred in connection with the closure of CCS stores. See Note 4, </w:t>
      </w:r>
      <w:r>
        <w:rPr>
          <w:rFonts w:ascii="Arial" w:cs="Arial" w:eastAsia="Arial" w:hAnsi="Arial"/>
          <w:sz w:val="14"/>
          <w:szCs w:val="14"/>
          <w:i w:val="1"/>
          <w:iCs w:val="1"/>
          <w:color w:val="auto"/>
        </w:rPr>
        <w:t>Litigation,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Impairment and Other Charges </w:t>
      </w:r>
      <w:r>
        <w:rPr>
          <w:rFonts w:ascii="Arial" w:cs="Arial" w:eastAsia="Arial" w:hAnsi="Arial"/>
          <w:sz w:val="14"/>
          <w:szCs w:val="14"/>
          <w:color w:val="auto"/>
        </w:rPr>
        <w:t>for additional information.</w:t>
      </w:r>
    </w:p>
    <w:p>
      <w:pPr>
        <w:spacing w:after="0" w:line="93"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Included in the results for 2015 is a $1 million non-cash impairment charge relating to an ecommerce trade name. The 2014 amount reflected non-cash impairment charges of $2 million related to the CCS trade name. See Note 4, </w:t>
      </w:r>
      <w:r>
        <w:rPr>
          <w:rFonts w:ascii="Arial" w:cs="Arial" w:eastAsia="Arial" w:hAnsi="Arial"/>
          <w:sz w:val="14"/>
          <w:szCs w:val="14"/>
          <w:i w:val="1"/>
          <w:iCs w:val="1"/>
          <w:color w:val="auto"/>
        </w:rPr>
        <w:t>Litigation, Impairment and Other Charges</w:t>
      </w:r>
      <w:r>
        <w:rPr>
          <w:rFonts w:ascii="Arial" w:cs="Arial" w:eastAsia="Arial" w:hAnsi="Arial"/>
          <w:sz w:val="14"/>
          <w:szCs w:val="14"/>
          <w:color w:val="auto"/>
        </w:rPr>
        <w:t xml:space="preserve"> for additional information.</w:t>
      </w:r>
    </w:p>
    <w:p>
      <w:pPr>
        <w:spacing w:after="0" w:line="91" w:lineRule="exact"/>
        <w:rPr>
          <w:rFonts w:ascii="Arial" w:cs="Arial" w:eastAsia="Arial" w:hAnsi="Arial"/>
          <w:sz w:val="14"/>
          <w:szCs w:val="14"/>
          <w:color w:val="auto"/>
        </w:rPr>
      </w:pPr>
    </w:p>
    <w:p>
      <w:pPr>
        <w:jc w:val="both"/>
        <w:ind w:left="300" w:right="539" w:hanging="272"/>
        <w:spacing w:after="0" w:line="270"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Corporate expense for all years presented reflects the reallocation of expense between corporate and the operating divisions. Based upon annual internal studies of corporate expense, the allocation of such expenses to the operating divisions was increased by $5 million for 2015, $4 million for 2014, and $27 million for 2013 thereby reducing corporate expense.</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22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373"/>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1820" w:type="dxa"/>
            <w:vAlign w:val="bottom"/>
            <w:gridSpan w:val="3"/>
            <w:vMerge w:val="restart"/>
          </w:tcPr>
          <w:p>
            <w:pPr>
              <w:jc w:val="right"/>
              <w:ind w:right="33"/>
              <w:spacing w:after="0"/>
              <w:rPr>
                <w:sz w:val="20"/>
                <w:szCs w:val="20"/>
                <w:color w:val="auto"/>
              </w:rPr>
            </w:pPr>
            <w:r>
              <w:rPr>
                <w:rFonts w:ascii="Arial" w:cs="Arial" w:eastAsia="Arial" w:hAnsi="Arial"/>
                <w:sz w:val="14"/>
                <w:szCs w:val="14"/>
                <w:b w:val="1"/>
                <w:bCs w:val="1"/>
                <w:color w:val="auto"/>
              </w:rPr>
              <w:t>Capital Expenditures</w:t>
            </w:r>
            <w:r>
              <w:rPr>
                <w:rFonts w:ascii="Arial" w:cs="Arial" w:eastAsia="Arial" w:hAnsi="Arial"/>
                <w:sz w:val="23"/>
                <w:szCs w:val="23"/>
                <w:b w:val="1"/>
                <w:bCs w:val="1"/>
                <w:color w:val="auto"/>
                <w:vertAlign w:val="superscript"/>
              </w:rPr>
              <w:t>(1)</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and Amortization</w:t>
            </w:r>
          </w:p>
        </w:tc>
        <w:tc>
          <w:tcPr>
            <w:tcW w:w="160" w:type="dxa"/>
            <w:vAlign w:val="bottom"/>
          </w:tcPr>
          <w:p>
            <w:pPr>
              <w:spacing w:after="0"/>
              <w:rPr>
                <w:sz w:val="15"/>
                <w:szCs w:val="15"/>
                <w:color w:val="auto"/>
              </w:rPr>
            </w:pPr>
          </w:p>
        </w:tc>
        <w:tc>
          <w:tcPr>
            <w:tcW w:w="182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 Assets</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$ 130</w:t>
            </w: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$ 119</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$ 112</w:t>
            </w:r>
          </w:p>
        </w:tc>
        <w:tc>
          <w:tcPr>
            <w:tcW w:w="7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$ 181</w:t>
            </w:r>
          </w:p>
        </w:tc>
        <w:tc>
          <w:tcPr>
            <w:tcW w:w="6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$ 151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$ 163</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$ 2,612</w:t>
            </w:r>
          </w:p>
        </w:tc>
        <w:tc>
          <w:tcPr>
            <w:tcW w:w="9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$ 2,499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$ 2,398</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7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rPr>
              <w:t>7</w:t>
            </w:r>
          </w:p>
        </w:tc>
        <w:tc>
          <w:tcPr>
            <w:tcW w:w="6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9</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8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330</w:t>
            </w:r>
          </w:p>
        </w:tc>
        <w:tc>
          <w:tcPr>
            <w:tcW w:w="9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315</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137</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126</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72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b w:val="1"/>
                <w:bCs w:val="1"/>
                <w:color w:val="auto"/>
              </w:rPr>
              <w:t>188</w:t>
            </w:r>
          </w:p>
        </w:tc>
        <w:tc>
          <w:tcPr>
            <w:tcW w:w="66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2,942</w:t>
            </w:r>
          </w:p>
        </w:tc>
        <w:tc>
          <w:tcPr>
            <w:tcW w:w="96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2,814</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Corporate</w:t>
            </w: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7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13</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rPr>
              <w:t>40</w:t>
            </w:r>
          </w:p>
        </w:tc>
        <w:tc>
          <w:tcPr>
            <w:tcW w:w="6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30</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8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833</w:t>
            </w:r>
          </w:p>
        </w:tc>
        <w:tc>
          <w:tcPr>
            <w:tcW w:w="9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763</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Company</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$ 148</w:t>
            </w:r>
          </w:p>
        </w:tc>
        <w:tc>
          <w:tcPr>
            <w:tcW w:w="74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$ 139</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$ 133</w:t>
            </w:r>
          </w:p>
        </w:tc>
        <w:tc>
          <w:tcPr>
            <w:tcW w:w="720" w:type="dxa"/>
            <w:vAlign w:val="bottom"/>
            <w:tcBorders>
              <w:bottom w:val="single" w:sz="8" w:color="auto"/>
            </w:tcBorders>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b w:val="1"/>
                <w:bCs w:val="1"/>
                <w:color w:val="auto"/>
              </w:rPr>
              <w:t>$ 228</w:t>
            </w:r>
          </w:p>
        </w:tc>
        <w:tc>
          <w:tcPr>
            <w:tcW w:w="66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$ 190</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$ 206</w:t>
            </w:r>
          </w:p>
        </w:tc>
        <w:tc>
          <w:tcPr>
            <w:tcW w:w="8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$ 3,775</w:t>
            </w:r>
          </w:p>
        </w:tc>
        <w:tc>
          <w:tcPr>
            <w:tcW w:w="96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$ 3,577</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$ 3,487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cash capital expenditures for all years presented.</w:t>
      </w:r>
    </w:p>
    <w:p>
      <w:pPr>
        <w:spacing w:after="0" w:line="11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Sales and long-lived asset information by geographic area as of and for the fiscal years ended January 30, 2016, January 31, 2015, and February 1, 2014 are presented in the following tables. Sales are attributed to the country in which the sales transaction is fulfilled. Long-lived assets reflect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5,305</w:t>
            </w:r>
          </w:p>
        </w:tc>
        <w:tc>
          <w:tcPr>
            <w:tcW w:w="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International</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2,107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2,175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sales</w:t>
            </w:r>
          </w:p>
        </w:tc>
        <w:tc>
          <w:tcPr>
            <w:tcW w:w="2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7,412</w:t>
            </w:r>
          </w:p>
        </w:tc>
        <w:tc>
          <w:tcPr>
            <w:tcW w:w="3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7,151</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669"/>
        </w:trPr>
        <w:tc>
          <w:tcPr>
            <w:tcW w:w="3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Long-Lived Assets</w:t>
            </w:r>
          </w:p>
        </w:tc>
        <w:tc>
          <w:tcPr>
            <w:tcW w:w="2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486</w:t>
            </w:r>
          </w:p>
        </w:tc>
        <w:tc>
          <w:tcPr>
            <w:tcW w:w="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International</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175</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174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long-lived assets</w:t>
            </w:r>
          </w:p>
        </w:tc>
        <w:tc>
          <w:tcPr>
            <w:tcW w:w="2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b w:val="1"/>
                <w:bCs w:val="1"/>
                <w:color w:val="auto"/>
              </w:rPr>
              <w:t>661</w:t>
            </w:r>
          </w:p>
        </w:tc>
        <w:tc>
          <w:tcPr>
            <w:tcW w:w="3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620</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-891540</wp:posOffset>
            </wp:positionV>
            <wp:extent cx="5565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For the year ended January 30, 2016, the countries that comprised the majority of the sales and long-lived assets for the international category were Germany, Italy, Canada, and France. No other individual country included in the international category is significant.</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Litigation, Impairment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r>
      <w:tr>
        <w:trPr>
          <w:trHeight w:val="195"/>
        </w:trPr>
        <w:tc>
          <w:tcPr>
            <w:tcW w:w="4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Pension litigation charge</w:t>
            </w:r>
          </w:p>
        </w:tc>
        <w:tc>
          <w:tcPr>
            <w:tcW w:w="1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100</w:t>
            </w: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line="203"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Other intangible asset impairments</w:t>
            </w:r>
          </w:p>
        </w:tc>
        <w:tc>
          <w:tcPr>
            <w:tcW w:w="12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7"/>
                <w:szCs w:val="17"/>
                <w:color w:val="auto"/>
              </w:rPr>
            </w:pPr>
          </w:p>
        </w:tc>
        <w:tc>
          <w:tcPr>
            <w:tcW w:w="8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CCS store closure costs</w:t>
            </w:r>
          </w:p>
        </w:tc>
        <w:tc>
          <w:tcPr>
            <w:tcW w:w="1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w:t>
            </w:r>
          </w:p>
        </w:tc>
      </w:tr>
      <w:tr>
        <w:trPr>
          <w:trHeight w:val="196"/>
        </w:trPr>
        <w:tc>
          <w:tcPr>
            <w:tcW w:w="46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litigation, impairment and other charges</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105</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2</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 xml:space="preserve">During the third quarter of 2015, the Company recorded a $100 million pension litigation charge. Please see Note 23, </w:t>
      </w: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Litigation, Impairment and Other Charges – (continued)</w:t>
      </w:r>
    </w:p>
    <w:p>
      <w:pPr>
        <w:spacing w:after="0" w:line="13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2015, the Company evaluated the long-lived assets of Runners Point and Sidestep for impairment and recorded a non-cash charge of $4 million to write-down store fixtures and leasehold improvements for 61 stores. As a result of the impairment review related to long-lived assets, the Company performed a review of other intangible assets and recorded a non-cash impairment charge of $1 million, which was recorded to fully write down the value of an ecommerce trade name reflecting a decline in sales as the Company has shifted away from the use of this website.</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connection with the Company’s former CCS ecommerce business, the Company recorded charges of $ 2 million in each of 2014 and 2013. The 2014 charge represented impairment of the CCS trade name to its fair value, which was realized upon sale during 2014. The 2013 charge represented costs associated with the closure of CCS stores. Also during 2014, the Company recorded additional intangible asset impairment charges totaling $2 million related to the full write down of the trade name related to stores in the Republic of Ireland and a full write down of the value of a private-label brand acquired as part of the Runners Point Group acquisition, to reflect the exit of this product line.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Income</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Other income includes non-operating items, such as: gains from insurance recoveries; discounts/premiums paid on the repurchase and retirement of bonds; royalty income; and the changes in fair value, premiums paid, realized gains associated with foreign currency option contracts and property sales. Other income was $4 million in 2015, $9 million in 2014, and $4 million in 2013.</w:t>
      </w:r>
    </w:p>
    <w:p>
      <w:pPr>
        <w:spacing w:after="0" w:line="96"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For 2015, other income includes a $2 million insurance recovery related to a business interruption claim and $2 million of royalty income. For 2014, it included a $4 million gain on a sale of property, $2 million of royalty income, $2 million of realized gain associated with foreign currency option contracts, and $1 million of lease termination gains related to the sales of leasehold interests. Other income in 2013 represented $2 million of royalty income and $2 million related to lease termination gains.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Merchandise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LIFO inventories</w:t>
            </w:r>
          </w:p>
        </w:tc>
        <w:tc>
          <w:tcPr>
            <w:tcW w:w="2380" w:type="dxa"/>
            <w:vAlign w:val="bottom"/>
            <w:vMerge w:val="continue"/>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b w:val="1"/>
                <w:bCs w:val="1"/>
                <w:color w:val="auto"/>
              </w:rPr>
              <w:t>847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FIFO inventories</w:t>
            </w:r>
          </w:p>
        </w:tc>
        <w:tc>
          <w:tcPr>
            <w:tcW w:w="2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7"/>
              <w:spacing w:after="0" w:line="202" w:lineRule="exact"/>
              <w:rPr>
                <w:sz w:val="20"/>
                <w:szCs w:val="20"/>
                <w:color w:val="auto"/>
              </w:rPr>
            </w:pPr>
            <w:r>
              <w:rPr>
                <w:rFonts w:ascii="Arial" w:cs="Arial" w:eastAsia="Arial" w:hAnsi="Arial"/>
                <w:sz w:val="18"/>
                <w:szCs w:val="18"/>
                <w:b w:val="1"/>
                <w:bCs w:val="1"/>
                <w:color w:val="auto"/>
              </w:rPr>
              <w:t>438</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merchandise inventories</w:t>
            </w:r>
          </w:p>
        </w:tc>
        <w:tc>
          <w:tcPr>
            <w:tcW w:w="2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1,285</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value of the Company’s LIFO inventories, as calculated on a LIFO basis, approximates their value as calculated on a FIFO basis.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Arial" w:cs="Arial" w:eastAsia="Arial" w:hAnsi="Arial"/>
                <w:sz w:val="18"/>
                <w:szCs w:val="18"/>
                <w:color w:val="auto"/>
              </w:rPr>
              <w:t>Net receivables</w:t>
            </w:r>
          </w:p>
        </w:tc>
        <w:tc>
          <w:tcPr>
            <w:tcW w:w="1860" w:type="dxa"/>
            <w:vAlign w:val="bottom"/>
            <w:vMerge w:val="continue"/>
          </w:tcPr>
          <w:p>
            <w:pPr>
              <w:spacing w:after="0"/>
              <w:rPr>
                <w:sz w:val="19"/>
                <w:szCs w:val="19"/>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b w:val="1"/>
                <w:bCs w:val="1"/>
                <w:color w:val="auto"/>
              </w:rPr>
              <w:t>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rent</w:t>
            </w:r>
          </w:p>
        </w:tc>
        <w:tc>
          <w:tcPr>
            <w:tcW w:w="18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81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186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66</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Deferred taxes and costs</w:t>
            </w:r>
          </w:p>
        </w:tc>
        <w:tc>
          <w:tcPr>
            <w:tcW w:w="186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of derivative contracts</w:t>
            </w:r>
          </w:p>
        </w:tc>
        <w:tc>
          <w:tcPr>
            <w:tcW w:w="18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Income tax receivable</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rPr>
              <w:t>300</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565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6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Land</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61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Buildings:</w:t>
            </w: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840" w:type="dxa"/>
            <w:vAlign w:val="bottom"/>
          </w:tcPr>
          <w:p>
            <w:pPr>
              <w:spacing w:after="0"/>
              <w:rPr>
                <w:sz w:val="17"/>
                <w:szCs w:val="17"/>
                <w:color w:val="auto"/>
              </w:rPr>
            </w:pPr>
          </w:p>
        </w:tc>
        <w:tc>
          <w:tcPr>
            <w:tcW w:w="7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Furniture, fixtures, equipment and software development costs:</w:t>
            </w: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840" w:type="dxa"/>
            <w:vAlign w:val="bottom"/>
          </w:tcPr>
          <w:p>
            <w:pPr>
              <w:spacing w:after="0"/>
              <w:rPr>
                <w:sz w:val="17"/>
                <w:szCs w:val="17"/>
                <w:color w:val="auto"/>
              </w:rPr>
            </w:pPr>
          </w:p>
        </w:tc>
        <w:tc>
          <w:tcPr>
            <w:tcW w:w="7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954</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Assets under capital leases</w:t>
            </w: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8</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jc w:val="right"/>
              <w:ind w:right="93"/>
              <w:spacing w:after="0" w:line="196" w:lineRule="exact"/>
              <w:rPr>
                <w:sz w:val="20"/>
                <w:szCs w:val="20"/>
                <w:color w:val="auto"/>
              </w:rPr>
            </w:pPr>
            <w:r>
              <w:rPr>
                <w:rFonts w:ascii="Arial" w:cs="Arial" w:eastAsia="Arial" w:hAnsi="Arial"/>
                <w:sz w:val="18"/>
                <w:szCs w:val="18"/>
                <w:b w:val="1"/>
                <w:bCs w:val="1"/>
                <w:color w:val="auto"/>
              </w:rPr>
              <w:t>1,009</w:t>
            </w:r>
          </w:p>
        </w:tc>
        <w:tc>
          <w:tcPr>
            <w:tcW w:w="340" w:type="dxa"/>
            <w:vAlign w:val="bottom"/>
          </w:tcPr>
          <w:p>
            <w:pPr>
              <w:spacing w:after="0"/>
              <w:rPr>
                <w:sz w:val="17"/>
                <w:szCs w:val="17"/>
                <w:color w:val="auto"/>
              </w:rPr>
            </w:pPr>
          </w:p>
        </w:tc>
        <w:tc>
          <w:tcPr>
            <w:tcW w:w="7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(640)</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jc w:val="right"/>
              <w:ind w:right="93"/>
              <w:spacing w:after="0" w:line="196" w:lineRule="exact"/>
              <w:rPr>
                <w:sz w:val="20"/>
                <w:szCs w:val="20"/>
                <w:color w:val="auto"/>
              </w:rPr>
            </w:pPr>
            <w:r>
              <w:rPr>
                <w:rFonts w:ascii="Arial" w:cs="Arial" w:eastAsia="Arial" w:hAnsi="Arial"/>
                <w:sz w:val="18"/>
                <w:szCs w:val="18"/>
                <w:b w:val="1"/>
                <w:bCs w:val="1"/>
                <w:color w:val="auto"/>
              </w:rPr>
              <w:t>369</w:t>
            </w:r>
          </w:p>
        </w:tc>
        <w:tc>
          <w:tcPr>
            <w:tcW w:w="340" w:type="dxa"/>
            <w:vAlign w:val="bottom"/>
          </w:tcPr>
          <w:p>
            <w:pPr>
              <w:spacing w:after="0"/>
              <w:rPr>
                <w:sz w:val="17"/>
                <w:szCs w:val="17"/>
                <w:color w:val="auto"/>
              </w:rPr>
            </w:pPr>
          </w:p>
        </w:tc>
        <w:tc>
          <w:tcPr>
            <w:tcW w:w="7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Alterations to leased and owned buildings</w:t>
            </w: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840" w:type="dxa"/>
            <w:vAlign w:val="bottom"/>
          </w:tcPr>
          <w:p>
            <w:pPr>
              <w:spacing w:after="0"/>
              <w:rPr>
                <w:sz w:val="17"/>
                <w:szCs w:val="17"/>
                <w:color w:val="auto"/>
              </w:rPr>
            </w:pPr>
          </w:p>
        </w:tc>
        <w:tc>
          <w:tcPr>
            <w:tcW w:w="7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804</w:t>
            </w:r>
          </w:p>
        </w:tc>
        <w:tc>
          <w:tcPr>
            <w:tcW w:w="34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amortization</w:t>
            </w: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(512)</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292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b w:val="1"/>
                <w:bCs w:val="1"/>
                <w:color w:val="auto"/>
              </w:rPr>
              <w:t>661</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Goodwill</w:t>
      </w:r>
    </w:p>
    <w:p>
      <w:pPr>
        <w:spacing w:after="0" w:line="139"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The Athletic Stores segment’s goodwill is net of accumulated impairment charges of $167 million for all periods presented. The 2015 and 2014 annual goodwill impairment tests did not result in an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Athletic</w:t>
            </w:r>
          </w:p>
        </w:tc>
        <w:tc>
          <w:tcPr>
            <w:tcW w:w="11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Direct-to-</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Stores</w:t>
            </w: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Customers</w:t>
            </w:r>
          </w:p>
        </w:tc>
        <w:tc>
          <w:tcPr>
            <w:tcW w:w="8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millions)</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line="203" w:lineRule="exact"/>
              <w:rPr>
                <w:sz w:val="20"/>
                <w:szCs w:val="20"/>
                <w:color w:val="auto"/>
              </w:rPr>
            </w:pPr>
            <w:r>
              <w:rPr>
                <w:rFonts w:ascii="Arial" w:cs="Arial" w:eastAsia="Arial" w:hAnsi="Arial"/>
                <w:sz w:val="18"/>
                <w:szCs w:val="18"/>
                <w:color w:val="auto"/>
              </w:rPr>
              <w:t>Goodwill at February 1, 2014</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5"/>
              <w:spacing w:after="0" w:line="203"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480" w:type="dxa"/>
            <w:vAlign w:val="bottom"/>
          </w:tcPr>
          <w:p>
            <w:pPr>
              <w:ind w:left="26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line="203" w:lineRule="exact"/>
              <w:rPr>
                <w:sz w:val="20"/>
                <w:szCs w:val="20"/>
                <w:color w:val="auto"/>
              </w:rPr>
            </w:pPr>
            <w:r>
              <w:rPr>
                <w:rFonts w:ascii="Arial" w:cs="Arial" w:eastAsia="Arial" w:hAnsi="Arial"/>
                <w:sz w:val="18"/>
                <w:szCs w:val="18"/>
                <w:color w:val="auto"/>
              </w:rPr>
              <w:t>142</w:t>
            </w:r>
          </w:p>
        </w:tc>
        <w:tc>
          <w:tcPr>
            <w:tcW w:w="340" w:type="dxa"/>
            <w:vAlign w:val="bottom"/>
          </w:tcPr>
          <w:p>
            <w:pPr>
              <w:jc w:val="right"/>
              <w:ind w:right="152"/>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3"/>
              <w:spacing w:after="0" w:line="203" w:lineRule="exact"/>
              <w:rPr>
                <w:sz w:val="20"/>
                <w:szCs w:val="20"/>
                <w:color w:val="auto"/>
              </w:rPr>
            </w:pPr>
            <w:r>
              <w:rPr>
                <w:rFonts w:ascii="Arial" w:cs="Arial" w:eastAsia="Arial" w:hAnsi="Arial"/>
                <w:sz w:val="18"/>
                <w:szCs w:val="18"/>
                <w:color w:val="auto"/>
                <w:w w:val="93"/>
              </w:rPr>
              <w:t>163</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line="196" w:lineRule="exact"/>
              <w:rPr>
                <w:sz w:val="20"/>
                <w:szCs w:val="20"/>
                <w:color w:val="auto"/>
              </w:rPr>
            </w:pPr>
            <w:r>
              <w:rPr>
                <w:rFonts w:ascii="Arial" w:cs="Arial" w:eastAsia="Arial" w:hAnsi="Arial"/>
                <w:sz w:val="18"/>
                <w:szCs w:val="18"/>
                <w:color w:val="auto"/>
              </w:rPr>
              <w:t>Goodwill at January 31, 2015</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c>
          <w:tcPr>
            <w:tcW w:w="48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line="196" w:lineRule="exact"/>
              <w:rPr>
                <w:sz w:val="20"/>
                <w:szCs w:val="20"/>
                <w:color w:val="auto"/>
              </w:rPr>
            </w:pPr>
            <w:r>
              <w:rPr>
                <w:rFonts w:ascii="Arial" w:cs="Arial" w:eastAsia="Arial" w:hAnsi="Arial"/>
                <w:sz w:val="18"/>
                <w:szCs w:val="18"/>
                <w:color w:val="auto"/>
              </w:rPr>
              <w:t>140</w:t>
            </w:r>
          </w:p>
        </w:tc>
        <w:tc>
          <w:tcPr>
            <w:tcW w:w="340" w:type="dxa"/>
            <w:vAlign w:val="bottom"/>
          </w:tcPr>
          <w:p>
            <w:pPr>
              <w:jc w:val="right"/>
              <w:ind w:right="15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3"/>
              <w:spacing w:after="0" w:line="196" w:lineRule="exact"/>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Goodwill at January 30, 2016</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17</w:t>
            </w: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139</w:t>
            </w:r>
          </w:p>
        </w:tc>
        <w:tc>
          <w:tcPr>
            <w:tcW w:w="3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w w:val="93"/>
              </w:rPr>
              <w:t>156</w:t>
            </w:r>
          </w:p>
        </w:tc>
        <w:tc>
          <w:tcPr>
            <w:tcW w:w="0" w:type="dxa"/>
            <w:vAlign w:val="bottom"/>
          </w:tcPr>
          <w:p>
            <w:pPr>
              <w:spacing w:after="0"/>
              <w:rPr>
                <w:sz w:val="1"/>
                <w:szCs w:val="1"/>
                <w:color w:val="auto"/>
              </w:rPr>
            </w:pPr>
          </w:p>
        </w:tc>
      </w:tr>
      <w:tr>
        <w:trPr>
          <w:trHeight w:val="21"/>
        </w:trPr>
        <w:tc>
          <w:tcPr>
            <w:tcW w:w="3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10. Other Intangible Assets, net</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00" w:type="dxa"/>
            <w:vAlign w:val="bottom"/>
          </w:tcPr>
          <w:p>
            <w:pPr>
              <w:spacing w:after="0"/>
              <w:rPr>
                <w:sz w:val="24"/>
                <w:szCs w:val="24"/>
                <w:color w:val="auto"/>
              </w:rPr>
            </w:pPr>
          </w:p>
        </w:tc>
        <w:tc>
          <w:tcPr>
            <w:tcW w:w="16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rPr>
              <w:t>January 30, 2016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rPr>
              <w:t>Wtd. Avg.</w:t>
            </w:r>
          </w:p>
        </w:tc>
        <w:tc>
          <w:tcPr>
            <w:tcW w:w="60" w:type="dxa"/>
            <w:vAlign w:val="bottom"/>
          </w:tcPr>
          <w:p>
            <w:pPr>
              <w:spacing w:after="0"/>
              <w:rPr>
                <w:sz w:val="24"/>
                <w:szCs w:val="24"/>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January 31, 2015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20" w:type="dxa"/>
            <w:vAlign w:val="bottom"/>
            <w:gridSpan w:val="2"/>
            <w:vMerge w:val="restart"/>
          </w:tcPr>
          <w:p>
            <w:pPr>
              <w:jc w:val="center"/>
              <w:ind w:right="75"/>
              <w:spacing w:after="0"/>
              <w:rPr>
                <w:sz w:val="20"/>
                <w:szCs w:val="20"/>
                <w:color w:val="auto"/>
              </w:rPr>
            </w:pPr>
            <w:r>
              <w:rPr>
                <w:rFonts w:ascii="Arial" w:cs="Arial" w:eastAsia="Arial" w:hAnsi="Arial"/>
                <w:sz w:val="14"/>
                <w:szCs w:val="14"/>
                <w:b w:val="1"/>
                <w:bCs w:val="1"/>
                <w:color w:val="auto"/>
              </w:rPr>
              <w:t>Life in</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58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Gross</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Accum.</w:t>
            </w:r>
          </w:p>
        </w:tc>
        <w:tc>
          <w:tcPr>
            <w:tcW w:w="240" w:type="dxa"/>
            <w:vAlign w:val="bottom"/>
          </w:tcPr>
          <w:p>
            <w:pPr>
              <w:spacing w:after="0"/>
              <w:rPr>
                <w:sz w:val="11"/>
                <w:szCs w:val="11"/>
                <w:color w:val="auto"/>
              </w:rPr>
            </w:pPr>
          </w:p>
        </w:tc>
        <w:tc>
          <w:tcPr>
            <w:tcW w:w="40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w w:val="97"/>
              </w:rPr>
              <w:t>Net</w:t>
            </w:r>
          </w:p>
        </w:tc>
        <w:tc>
          <w:tcPr>
            <w:tcW w:w="16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4"/>
                <w:szCs w:val="14"/>
                <w:b w:val="1"/>
                <w:bCs w:val="1"/>
                <w:color w:val="auto"/>
              </w:rPr>
              <w:t>Gross</w:t>
            </w:r>
          </w:p>
        </w:tc>
        <w:tc>
          <w:tcPr>
            <w:tcW w:w="104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Accum.</w:t>
            </w:r>
          </w:p>
        </w:tc>
        <w:tc>
          <w:tcPr>
            <w:tcW w:w="52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value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amort.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020" w:type="dxa"/>
            <w:vAlign w:val="bottom"/>
            <w:tcBorders>
              <w:bottom w:val="single" w:sz="8" w:color="auto"/>
            </w:tcBorders>
            <w:gridSpan w:val="2"/>
          </w:tcPr>
          <w:p>
            <w:pPr>
              <w:jc w:val="center"/>
              <w:ind w:right="75"/>
              <w:spacing w:after="0" w:line="189" w:lineRule="exact"/>
              <w:rPr>
                <w:sz w:val="20"/>
                <w:szCs w:val="20"/>
                <w:color w:val="auto"/>
              </w:rPr>
            </w:pPr>
            <w:r>
              <w:rPr>
                <w:rFonts w:ascii="Arial" w:cs="Arial" w:eastAsia="Arial" w:hAnsi="Arial"/>
                <w:sz w:val="13"/>
                <w:szCs w:val="13"/>
                <w:b w:val="1"/>
                <w:bCs w:val="1"/>
                <w:color w:val="auto"/>
              </w:rPr>
              <w:t>Years</w:t>
            </w:r>
            <w:r>
              <w:rPr>
                <w:rFonts w:ascii="Arial" w:cs="Arial" w:eastAsia="Arial" w:hAnsi="Arial"/>
                <w:sz w:val="21"/>
                <w:szCs w:val="21"/>
                <w:b w:val="1"/>
                <w:bCs w:val="1"/>
                <w:color w:val="auto"/>
                <w:vertAlign w:val="superscript"/>
              </w:rPr>
              <w:t>(2)</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w:t>
            </w: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line="236" w:lineRule="exact"/>
              <w:rPr>
                <w:sz w:val="20"/>
                <w:szCs w:val="20"/>
                <w:color w:val="auto"/>
              </w:rPr>
            </w:pPr>
            <w:r>
              <w:rPr>
                <w:rFonts w:ascii="Arial" w:cs="Arial" w:eastAsia="Arial" w:hAnsi="Arial"/>
                <w:sz w:val="17"/>
                <w:szCs w:val="17"/>
                <w:color w:val="auto"/>
              </w:rPr>
              <w:t>Amortized intangible assets:</w:t>
            </w:r>
            <w:r>
              <w:rPr>
                <w:rFonts w:ascii="Arial" w:cs="Arial" w:eastAsia="Arial" w:hAnsi="Arial"/>
                <w:sz w:val="27"/>
                <w:szCs w:val="27"/>
                <w:color w:val="auto"/>
                <w:vertAlign w:val="superscript"/>
              </w:rPr>
              <w:t>(1)</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Lease acquisition costs</w:t>
            </w:r>
          </w:p>
        </w:tc>
        <w:tc>
          <w:tcPr>
            <w:tcW w:w="5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rPr>
              <w:t>$ 119</w:t>
            </w:r>
          </w:p>
        </w:tc>
        <w:tc>
          <w:tcPr>
            <w:tcW w:w="78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12</w:t>
            </w:r>
          </w:p>
        </w:tc>
        <w:tc>
          <w:tcPr>
            <w:tcW w:w="1180" w:type="dxa"/>
            <w:vAlign w:val="bottom"/>
            <w:gridSpan w:val="3"/>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rPr>
              <w:t>10.0</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$ 128</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Trademarks/trade names</w:t>
            </w: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20</w:t>
            </w: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7"/>
                <w:szCs w:val="17"/>
                <w:color w:val="auto"/>
              </w:rPr>
            </w:pPr>
          </w:p>
        </w:tc>
        <w:tc>
          <w:tcPr>
            <w:tcW w:w="4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8</w:t>
            </w:r>
          </w:p>
        </w:tc>
        <w:tc>
          <w:tcPr>
            <w:tcW w:w="1180" w:type="dxa"/>
            <w:vAlign w:val="bottom"/>
            <w:gridSpan w:val="3"/>
          </w:tcPr>
          <w:p>
            <w:pPr>
              <w:jc w:val="right"/>
              <w:ind w:right="195"/>
              <w:spacing w:after="0" w:line="202" w:lineRule="exact"/>
              <w:rPr>
                <w:sz w:val="20"/>
                <w:szCs w:val="20"/>
                <w:color w:val="auto"/>
              </w:rPr>
            </w:pPr>
            <w:r>
              <w:rPr>
                <w:rFonts w:ascii="Arial" w:cs="Arial" w:eastAsia="Arial" w:hAnsi="Arial"/>
                <w:sz w:val="18"/>
                <w:szCs w:val="18"/>
                <w:b w:val="1"/>
                <w:bCs w:val="1"/>
                <w:color w:val="auto"/>
              </w:rPr>
              <w:t>20.0</w:t>
            </w:r>
          </w:p>
        </w:tc>
        <w:tc>
          <w:tcPr>
            <w:tcW w:w="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Favorable leases</w:t>
            </w:r>
          </w:p>
        </w:tc>
        <w:tc>
          <w:tcPr>
            <w:tcW w:w="580" w:type="dxa"/>
            <w:vAlign w:val="bottom"/>
            <w:tcBorders>
              <w:bottom w:val="single" w:sz="8" w:color="auto"/>
            </w:tcBorders>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rPr>
              <w:t>7</w:t>
            </w:r>
          </w:p>
        </w:tc>
        <w:tc>
          <w:tcPr>
            <w:tcW w:w="78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w:t>
            </w:r>
          </w:p>
        </w:tc>
        <w:tc>
          <w:tcPr>
            <w:tcW w:w="1180" w:type="dxa"/>
            <w:vAlign w:val="bottom"/>
            <w:tcBorders>
              <w:bottom w:val="single" w:sz="8" w:color="auto"/>
            </w:tcBorders>
            <w:gridSpan w:val="3"/>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rPr>
              <w:t>7.8</w:t>
            </w: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$ 146</w:t>
            </w:r>
          </w:p>
        </w:tc>
        <w:tc>
          <w:tcPr>
            <w:tcW w:w="7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$(124)</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22</w:t>
            </w:r>
          </w:p>
        </w:tc>
        <w:tc>
          <w:tcPr>
            <w:tcW w:w="1180" w:type="dxa"/>
            <w:vAlign w:val="bottom"/>
            <w:tcBorders>
              <w:bottom w:val="single" w:sz="8" w:color="auto"/>
            </w:tcBorders>
            <w:gridSpan w:val="3"/>
          </w:tcPr>
          <w:p>
            <w:pPr>
              <w:jc w:val="right"/>
              <w:ind w:right="195"/>
              <w:spacing w:after="0" w:line="196" w:lineRule="exact"/>
              <w:rPr>
                <w:sz w:val="20"/>
                <w:szCs w:val="20"/>
                <w:color w:val="auto"/>
              </w:rPr>
            </w:pPr>
            <w:r>
              <w:rPr>
                <w:rFonts w:ascii="Arial" w:cs="Arial" w:eastAsia="Arial" w:hAnsi="Arial"/>
                <w:sz w:val="18"/>
                <w:szCs w:val="18"/>
                <w:b w:val="1"/>
                <w:bCs w:val="1"/>
                <w:color w:val="auto"/>
              </w:rPr>
              <w:t>13.8</w:t>
            </w:r>
          </w:p>
        </w:tc>
        <w:tc>
          <w:tcPr>
            <w:tcW w:w="5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$ 156</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Indefinite life intangible assets:</w:t>
            </w:r>
            <w:r>
              <w:rPr>
                <w:rFonts w:ascii="Arial" w:cs="Arial" w:eastAsia="Arial" w:hAnsi="Arial"/>
                <w:sz w:val="27"/>
                <w:szCs w:val="27"/>
                <w:color w:val="auto"/>
                <w:vertAlign w:val="superscript"/>
              </w:rPr>
              <w:t>(1)</w:t>
            </w: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Runners Point Group trademarks/trade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17"/>
                <w:szCs w:val="17"/>
                <w:color w:val="auto"/>
              </w:rPr>
              <w:t>names</w:t>
            </w:r>
            <w:r>
              <w:rPr>
                <w:rFonts w:ascii="Arial" w:cs="Arial" w:eastAsia="Arial" w:hAnsi="Arial"/>
                <w:sz w:val="28"/>
                <w:szCs w:val="28"/>
                <w:color w:val="auto"/>
                <w:vertAlign w:val="superscript"/>
              </w:rPr>
              <w:t>(3)</w:t>
            </w:r>
          </w:p>
        </w:tc>
        <w:tc>
          <w:tcPr>
            <w:tcW w:w="5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23</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Other intangible assets, net</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45</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3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-1843405</wp:posOffset>
            </wp:positionV>
            <wp:extent cx="5565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right="519" w:hanging="272"/>
        <w:spacing w:after="0" w:line="278"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movements in the ending balances also reflect the effect of foreign currency fluctuations due primarily to the movements of the euro in relation to the U.S. dollar.</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weighted-average useful life is as of January 30, 2016 and excludes those assets that are fully amortized.</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non-cash impairment charges of $1 million recorded in both 2015 and 2014. These impairment charges are described more fully in Note 4</w:t>
      </w:r>
      <w:r>
        <w:rPr>
          <w:rFonts w:ascii="Arial" w:cs="Arial" w:eastAsia="Arial" w:hAnsi="Arial"/>
          <w:sz w:val="14"/>
          <w:szCs w:val="14"/>
          <w:i w:val="1"/>
          <w:iCs w:val="1"/>
          <w:color w:val="auto"/>
        </w:rPr>
        <w:t>, Litigation, Impairment and Other Charges</w:t>
      </w:r>
      <w:r>
        <w:rPr>
          <w:rFonts w:ascii="Arial" w:cs="Arial" w:eastAsia="Arial" w:hAnsi="Arial"/>
          <w:sz w:val="14"/>
          <w:szCs w:val="14"/>
          <w:color w:val="auto"/>
        </w:rPr>
        <w: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Other Intangible Assets, net – (continued)</w:t>
      </w:r>
    </w:p>
    <w:p>
      <w:pPr>
        <w:spacing w:after="0" w:line="13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Amortizing intangible assets primarily represent lease acquisition costs, which are amounts that are required to secure prime lease locations and other lease rights, primarily in Europe. Amortizing intangible assets decreased by $2 million in 2015, which reflects additions of $3 million related to new leases in Europe and the United States, partially offset by $1 million in foreign currency fluctuations. Amortization expense for intangibles subject to amortization was $4 million, $6 million, and $11 million for 2015, 2014, and 2013,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amortization expense for finite lived intangibles for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2017</w:t>
            </w: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w:t>
            </w: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2019</w:t>
            </w: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2020</w:t>
            </w:r>
          </w:p>
        </w:tc>
        <w:tc>
          <w:tcPr>
            <w:tcW w:w="2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58"/>
        </w:trPr>
        <w:tc>
          <w:tcPr>
            <w:tcW w:w="4880" w:type="dxa"/>
            <w:vAlign w:val="bottom"/>
          </w:tcPr>
          <w:p>
            <w:pPr>
              <w:ind w:left="60"/>
              <w:spacing w:after="0"/>
              <w:rPr>
                <w:sz w:val="20"/>
                <w:szCs w:val="20"/>
                <w:color w:val="auto"/>
              </w:rPr>
            </w:pPr>
            <w:r>
              <w:rPr>
                <w:rFonts w:ascii="Arial" w:cs="Arial" w:eastAsia="Arial" w:hAnsi="Arial"/>
                <w:sz w:val="18"/>
                <w:szCs w:val="18"/>
                <w:b w:val="1"/>
                <w:bCs w:val="1"/>
                <w:color w:val="auto"/>
              </w:rPr>
              <w:t>11. Other Assets</w:t>
            </w: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Restricted cash</w:t>
            </w:r>
            <w:r>
              <w:rPr>
                <w:rFonts w:ascii="Arial" w:cs="Arial" w:eastAsia="Arial" w:hAnsi="Arial"/>
                <w:sz w:val="30"/>
                <w:szCs w:val="30"/>
                <w:color w:val="auto"/>
                <w:vertAlign w:val="superscript"/>
              </w:rPr>
              <w:t>(1)</w:t>
            </w:r>
          </w:p>
        </w:tc>
        <w:tc>
          <w:tcPr>
            <w:tcW w:w="2100" w:type="dxa"/>
            <w:vAlign w:val="bottom"/>
          </w:tcPr>
          <w:p>
            <w:pPr>
              <w:spacing w:after="0"/>
              <w:rPr>
                <w:sz w:val="18"/>
                <w:szCs w:val="18"/>
                <w:color w:val="auto"/>
              </w:rPr>
            </w:pPr>
          </w:p>
        </w:tc>
        <w:tc>
          <w:tcPr>
            <w:tcW w:w="180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8"/>
        </w:trPr>
        <w:tc>
          <w:tcPr>
            <w:tcW w:w="4880" w:type="dxa"/>
            <w:vAlign w:val="bottom"/>
            <w:vMerge w:val="continue"/>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 costs</w:t>
            </w: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Pension asset</w:t>
            </w:r>
          </w:p>
        </w:tc>
        <w:tc>
          <w:tcPr>
            <w:tcW w:w="2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52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Auction rate security</w:t>
            </w: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line="243" w:lineRule="exact"/>
              <w:rPr>
                <w:sz w:val="20"/>
                <w:szCs w:val="20"/>
                <w:color w:val="auto"/>
              </w:rPr>
            </w:pPr>
            <w:r>
              <w:rPr>
                <w:rFonts w:ascii="Arial" w:cs="Arial" w:eastAsia="Arial" w:hAnsi="Arial"/>
                <w:sz w:val="17"/>
                <w:szCs w:val="17"/>
                <w:color w:val="auto"/>
              </w:rPr>
              <w:t>Funds deposited in insurance trust</w:t>
            </w:r>
            <w:r>
              <w:rPr>
                <w:rFonts w:ascii="Arial" w:cs="Arial" w:eastAsia="Arial" w:hAnsi="Arial"/>
                <w:sz w:val="28"/>
                <w:szCs w:val="28"/>
                <w:color w:val="auto"/>
                <w:vertAlign w:val="superscript"/>
              </w:rPr>
              <w:t>(2)</w:t>
            </w:r>
          </w:p>
        </w:tc>
        <w:tc>
          <w:tcPr>
            <w:tcW w:w="2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1"/>
                <w:szCs w:val="21"/>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w:t>
            </w:r>
          </w:p>
        </w:tc>
        <w:tc>
          <w:tcPr>
            <w:tcW w:w="52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
        </w:trPr>
        <w:tc>
          <w:tcPr>
            <w:tcW w:w="4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-1328420</wp:posOffset>
            </wp:positionV>
            <wp:extent cx="5565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Restricted cash is comprised of amounts held in escrow in connection with various leasing arrangements in Europe.</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is required by its insurers to collateralize part of the self-insured workers’ compensation and liability claims. The Company has chosen to satisfy these collateral requirements by depositing funds in insurance trusts.</w:t>
      </w:r>
    </w:p>
    <w:p>
      <w:pPr>
        <w:spacing w:after="0" w:line="99" w:lineRule="exact"/>
        <w:rPr>
          <w:rFonts w:ascii="Arial" w:cs="Arial" w:eastAsia="Arial" w:hAnsi="Arial"/>
          <w:sz w:val="14"/>
          <w:szCs w:val="14"/>
          <w:color w:val="auto"/>
        </w:rPr>
      </w:pPr>
    </w:p>
    <w:p>
      <w:pPr>
        <w:ind w:left="420" w:hanging="352"/>
        <w:spacing w:after="0"/>
        <w:tabs>
          <w:tab w:leader="none" w:pos="4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565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Current deferred tax liabilities</w:t>
            </w:r>
          </w:p>
        </w:tc>
        <w:tc>
          <w:tcPr>
            <w:tcW w:w="1380" w:type="dxa"/>
            <w:vAlign w:val="bottom"/>
            <w:vMerge w:val="continue"/>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62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Taxes other than income taxes</w:t>
            </w: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56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Other payroll and payroll related costs, excluding taxes</w:t>
            </w:r>
          </w:p>
        </w:tc>
        <w:tc>
          <w:tcPr>
            <w:tcW w:w="13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54</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Customer deposits</w:t>
            </w:r>
            <w:r>
              <w:rPr>
                <w:rFonts w:ascii="Arial" w:cs="Arial" w:eastAsia="Arial" w:hAnsi="Arial"/>
                <w:sz w:val="28"/>
                <w:szCs w:val="28"/>
                <w:color w:val="auto"/>
                <w:vertAlign w:val="superscript"/>
              </w:rPr>
              <w:t>(1)</w:t>
            </w:r>
          </w:p>
        </w:tc>
        <w:tc>
          <w:tcPr>
            <w:tcW w:w="13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Incentive bonuses</w:t>
            </w:r>
          </w:p>
        </w:tc>
        <w:tc>
          <w:tcPr>
            <w:tcW w:w="13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46</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 payable</w:t>
            </w: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line="243" w:lineRule="exact"/>
              <w:rPr>
                <w:sz w:val="20"/>
                <w:szCs w:val="20"/>
                <w:color w:val="auto"/>
              </w:rPr>
            </w:pPr>
            <w:r>
              <w:rPr>
                <w:rFonts w:ascii="Arial" w:cs="Arial" w:eastAsia="Arial" w:hAnsi="Arial"/>
                <w:sz w:val="17"/>
                <w:szCs w:val="17"/>
                <w:color w:val="auto"/>
              </w:rPr>
              <w:t>Property and equipment</w:t>
            </w:r>
            <w:r>
              <w:rPr>
                <w:rFonts w:ascii="Arial" w:cs="Arial" w:eastAsia="Arial" w:hAnsi="Arial"/>
                <w:sz w:val="28"/>
                <w:szCs w:val="28"/>
                <w:color w:val="auto"/>
                <w:vertAlign w:val="superscript"/>
              </w:rPr>
              <w:t>(2)</w:t>
            </w:r>
          </w:p>
        </w:tc>
        <w:tc>
          <w:tcPr>
            <w:tcW w:w="138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90</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420</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right="519" w:hanging="272"/>
        <w:spacing w:after="0" w:line="278"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Customer deposits include unredeemed gift cards and certificates, merchandise credits, and deferred revenue related to undelivered merchandise, including layaway sales.</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Accruals for property and equipment are properly excluded from the statements of cash flows for all years presented.</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Revolving Credit Facility</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On January 27, 2012, the Company entered into an amended and restated credit agreement (the “2011 Restated Credit Agreement”) with its banks. 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w:t>
      </w:r>
    </w:p>
    <w:p>
      <w:pPr>
        <w:spacing w:after="0" w:line="9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uses the credit facility to support standby letters of credit in connection with insurance programs. The letters of credit outstanding as of January 30, 2016 were not significant. Deferred financing fees are amortized over the life of the facility on a straight-line basis, which is comparable to the interest method. The unamortized balance at January 30, 2016 is $ 1 million. The quarterly facility fees paid on the unused portion was 0.25 percent for both 2015 and 2014. There were no short-term borrowings during 2015 or 2014. Interest expense, including facility fees, related to the revolving credit facility was $1 million for all years presented.</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Long-Term Debt and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8.5% debentures payable 2022</w:t>
            </w:r>
          </w:p>
        </w:tc>
        <w:tc>
          <w:tcPr>
            <w:tcW w:w="1380" w:type="dxa"/>
            <w:vAlign w:val="bottom"/>
            <w:vMerge w:val="continue"/>
          </w:tcPr>
          <w:p>
            <w:pPr>
              <w:spacing w:after="0"/>
              <w:rPr>
                <w:sz w:val="19"/>
                <w:szCs w:val="19"/>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Unamortized gain related to interest rate swaps</w:t>
            </w:r>
            <w:r>
              <w:rPr>
                <w:rFonts w:ascii="Arial" w:cs="Arial" w:eastAsia="Arial" w:hAnsi="Arial"/>
                <w:sz w:val="28"/>
                <w:szCs w:val="28"/>
                <w:color w:val="auto"/>
                <w:vertAlign w:val="superscript"/>
              </w:rPr>
              <w:t>(1)</w:t>
            </w:r>
          </w:p>
        </w:tc>
        <w:tc>
          <w:tcPr>
            <w:tcW w:w="13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Obligations under capital leases</w:t>
            </w: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rPr>
              <w:t>130</w:t>
            </w:r>
          </w:p>
        </w:tc>
        <w:tc>
          <w:tcPr>
            <w:tcW w:w="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current portion of obligations under capital leases</w:t>
            </w: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right="539" w:hanging="272"/>
        <w:spacing w:after="0" w:line="278"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2009, the Company terminated an interest rate swap at a gain. This gain is being amortized as part of interest expense over the remaining term of the debt using the effective-yield method.</w:t>
      </w:r>
    </w:p>
    <w:p>
      <w:pPr>
        <w:spacing w:after="0" w:line="81"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Interest expense related to long-term debt and the amortization of the associated debt issuance costs was $9 million for all years presented.</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long-term debt and minimum rent payments under capital leases in future periods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9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Long-Term</w:t>
            </w:r>
          </w:p>
        </w:tc>
        <w:tc>
          <w:tcPr>
            <w:tcW w:w="26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37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Debt</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Leases</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3780" w:type="dxa"/>
            <w:vAlign w:val="bottom"/>
          </w:tcPr>
          <w:p>
            <w:pPr>
              <w:ind w:left="20"/>
              <w:spacing w:after="0" w:line="203" w:lineRule="exact"/>
              <w:rPr>
                <w:sz w:val="20"/>
                <w:szCs w:val="20"/>
                <w:color w:val="auto"/>
              </w:rPr>
            </w:pPr>
            <w:r>
              <w:rPr>
                <w:rFonts w:ascii="Arial" w:cs="Arial" w:eastAsia="Arial" w:hAnsi="Arial"/>
                <w:sz w:val="18"/>
                <w:szCs w:val="18"/>
                <w:color w:val="auto"/>
              </w:rPr>
              <w:t>2016</w:t>
            </w:r>
          </w:p>
        </w:tc>
        <w:tc>
          <w:tcPr>
            <w:tcW w:w="218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ind w:left="12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1</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1</w:t>
            </w:r>
          </w:p>
        </w:tc>
      </w:tr>
      <w:tr>
        <w:trPr>
          <w:trHeight w:val="203"/>
        </w:trPr>
        <w:tc>
          <w:tcPr>
            <w:tcW w:w="3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 – 2020</w:t>
            </w:r>
          </w:p>
        </w:tc>
        <w:tc>
          <w:tcPr>
            <w:tcW w:w="2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118</w:t>
            </w:r>
          </w:p>
        </w:tc>
      </w:tr>
      <w:tr>
        <w:trPr>
          <w:trHeight w:val="196"/>
        </w:trPr>
        <w:tc>
          <w:tcPr>
            <w:tcW w:w="378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119</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18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Current portion</w:t>
            </w:r>
          </w:p>
        </w:tc>
        <w:tc>
          <w:tcPr>
            <w:tcW w:w="2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w:t>
            </w:r>
          </w:p>
        </w:tc>
      </w:tr>
      <w:tr>
        <w:trPr>
          <w:trHeight w:val="196"/>
        </w:trPr>
        <w:tc>
          <w:tcPr>
            <w:tcW w:w="37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118</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565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Straight-line rent liability</w:t>
            </w:r>
          </w:p>
        </w:tc>
        <w:tc>
          <w:tcPr>
            <w:tcW w:w="1480" w:type="dxa"/>
            <w:vAlign w:val="bottom"/>
            <w:vMerge w:val="continue"/>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155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Pension litigation liability</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Pension benefits</w:t>
            </w:r>
          </w:p>
        </w:tc>
        <w:tc>
          <w:tcPr>
            <w:tcW w:w="14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69</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Postretirement benefits</w:t>
            </w:r>
          </w:p>
        </w:tc>
        <w:tc>
          <w:tcPr>
            <w:tcW w:w="14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taxes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Workers’ compensation and general liability reserves</w:t>
            </w:r>
          </w:p>
        </w:tc>
        <w:tc>
          <w:tcPr>
            <w:tcW w:w="148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393</w:t>
            </w:r>
          </w:p>
        </w:tc>
        <w:tc>
          <w:tcPr>
            <w:tcW w:w="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Leases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The Company is obligated under operating leases for almost all of its store properties. Some of the store leases contain renewal options with varying terms and conditions. Management expects that in the normal course of business, expiring leases will generally be renewed or, upon making a decision to relocate, replaced by leases on other premises. Operating lease periods generally range from 5 to 10 years.</w:t>
      </w:r>
    </w:p>
    <w:p>
      <w:pPr>
        <w:spacing w:after="0" w:line="96"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Certain leases provide for additional rent payments based on a percentage of store sales. Also, most of the Company’s leases require the payment of certain executory costs such as insurance, maintenance, and other costs in addition to the future minimum lease payments. These costs, including the amortization of lease rights, totaled $137 million in 2015, $132 million in 2014, and $128 million in 2013.</w:t>
      </w:r>
    </w:p>
    <w:p>
      <w:pPr>
        <w:spacing w:after="0" w:line="96"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Included in the amounts below, are non-store expenses that totaled $18 million in 2015, $17 million in 2014, and $16 million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618</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line="203" w:lineRule="exact"/>
              <w:rPr>
                <w:sz w:val="20"/>
                <w:szCs w:val="20"/>
                <w:color w:val="auto"/>
              </w:rPr>
            </w:pPr>
            <w:r>
              <w:rPr>
                <w:rFonts w:ascii="Arial" w:cs="Arial" w:eastAsia="Arial" w:hAnsi="Arial"/>
                <w:sz w:val="18"/>
                <w:szCs w:val="18"/>
                <w:color w:val="auto"/>
              </w:rPr>
              <w:t>Minimum rent</w:t>
            </w:r>
          </w:p>
        </w:tc>
        <w:tc>
          <w:tcPr>
            <w:tcW w:w="18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line="203" w:lineRule="exact"/>
              <w:rPr>
                <w:sz w:val="20"/>
                <w:szCs w:val="20"/>
                <w:color w:val="auto"/>
              </w:rPr>
            </w:pPr>
            <w:r>
              <w:rPr>
                <w:rFonts w:ascii="Arial" w:cs="Arial" w:eastAsia="Arial" w:hAnsi="Arial"/>
                <w:sz w:val="18"/>
                <w:szCs w:val="18"/>
                <w:color w:val="auto"/>
              </w:rPr>
              <w:t>615</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Contingent rent based on sales</w:t>
            </w: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27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b w:val="1"/>
                <w:bCs w:val="1"/>
                <w:color w:val="auto"/>
              </w:rPr>
              <w:t>640</w:t>
            </w:r>
          </w:p>
        </w:tc>
        <w:tc>
          <w:tcPr>
            <w:tcW w:w="34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54"/>
              <w:spacing w:after="0" w:line="196" w:lineRule="exact"/>
              <w:rPr>
                <w:sz w:val="20"/>
                <w:szCs w:val="20"/>
                <w:color w:val="auto"/>
              </w:rPr>
            </w:pPr>
            <w:r>
              <w:rPr>
                <w:rFonts w:ascii="Arial" w:cs="Arial" w:eastAsia="Arial" w:hAnsi="Arial"/>
                <w:sz w:val="18"/>
                <w:szCs w:val="18"/>
                <w:color w:val="auto"/>
              </w:rPr>
              <w:t>635</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Future minimum lease payments under non-cancellable operating leases, net of future non-cancellable operating sublease payments,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2"/>
          </w:tcPr>
          <w:p>
            <w:pPr>
              <w:ind w:left="2540"/>
              <w:spacing w:after="0"/>
              <w:rPr>
                <w:sz w:val="20"/>
                <w:szCs w:val="20"/>
                <w:color w:val="auto"/>
              </w:rPr>
            </w:pPr>
            <w:r>
              <w:rPr>
                <w:rFonts w:ascii="Arial" w:cs="Arial" w:eastAsia="Arial" w:hAnsi="Arial"/>
                <w:sz w:val="14"/>
                <w:szCs w:val="14"/>
                <w:b w:val="1"/>
                <w:bCs w:val="1"/>
                <w:color w:val="auto"/>
              </w:rPr>
              <w:t>($ in millions)</w:t>
            </w:r>
          </w:p>
        </w:tc>
      </w:tr>
      <w:tr>
        <w:trPr>
          <w:trHeight w:val="196"/>
        </w:trPr>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2780" w:type="dxa"/>
            <w:vAlign w:val="bottom"/>
            <w:shd w:val="clear" w:color="auto" w:fill="CCEEFF"/>
          </w:tcPr>
          <w:p>
            <w:pPr>
              <w:ind w:left="25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574</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2017</w:t>
            </w:r>
          </w:p>
        </w:tc>
        <w:tc>
          <w:tcPr>
            <w:tcW w:w="27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542</w:t>
            </w: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w:t>
            </w:r>
          </w:p>
        </w:tc>
        <w:tc>
          <w:tcPr>
            <w:tcW w:w="27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490</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2019</w:t>
            </w:r>
          </w:p>
        </w:tc>
        <w:tc>
          <w:tcPr>
            <w:tcW w:w="27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2020</w:t>
            </w:r>
          </w:p>
        </w:tc>
        <w:tc>
          <w:tcPr>
            <w:tcW w:w="27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53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2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1,648</w:t>
            </w:r>
          </w:p>
        </w:tc>
      </w:tr>
      <w:tr>
        <w:trPr>
          <w:trHeight w:val="237"/>
        </w:trPr>
        <w:tc>
          <w:tcPr>
            <w:tcW w:w="5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lease commitments</w:t>
            </w:r>
          </w:p>
        </w:tc>
        <w:tc>
          <w:tcPr>
            <w:tcW w:w="2780" w:type="dxa"/>
            <w:vAlign w:val="bottom"/>
            <w:tcBorders>
              <w:bottom w:val="single" w:sz="8" w:color="auto"/>
            </w:tcBorders>
            <w:shd w:val="clear" w:color="auto" w:fill="CCEEFF"/>
          </w:tcPr>
          <w:p>
            <w:pPr>
              <w:ind w:left="25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Accumulated Other Comprehensive Loss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net of tax,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(119)</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color w:val="auto"/>
              </w:rPr>
              <w:t>Foreign currency translation adjustments</w:t>
            </w:r>
          </w:p>
        </w:tc>
        <w:tc>
          <w:tcPr>
            <w:tcW w:w="9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(75)</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Unrecognized pension cost and postretirement benefit</w:t>
            </w:r>
          </w:p>
        </w:tc>
        <w:tc>
          <w:tcPr>
            <w:tcW w:w="92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(248)</w:t>
            </w:r>
          </w:p>
        </w:tc>
        <w:tc>
          <w:tcPr>
            <w:tcW w:w="340" w:type="dxa"/>
            <w:vAlign w:val="bottom"/>
          </w:tcPr>
          <w:p>
            <w:pPr>
              <w:spacing w:after="0"/>
              <w:rPr>
                <w:sz w:val="17"/>
                <w:szCs w:val="17"/>
                <w:color w:val="auto"/>
              </w:rPr>
            </w:pPr>
          </w:p>
        </w:tc>
        <w:tc>
          <w:tcPr>
            <w:tcW w:w="8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(240)</w:t>
            </w:r>
          </w:p>
        </w:tc>
        <w:tc>
          <w:tcPr>
            <w:tcW w:w="24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Unrealized loss on available-for-sale security</w:t>
            </w:r>
          </w:p>
        </w:tc>
        <w:tc>
          <w:tcPr>
            <w:tcW w:w="9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(366)</w:t>
            </w:r>
          </w:p>
        </w:tc>
        <w:tc>
          <w:tcPr>
            <w:tcW w:w="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(319)</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accumulated other comprehensive loss for the period ended January 30,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rPr>
              <w:t>Loss on</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ind w:right="95"/>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rPr>
              <w:t>Items Related</w:t>
            </w:r>
          </w:p>
        </w:tc>
        <w:tc>
          <w:tcPr>
            <w:tcW w:w="22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Available-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ind w:right="95"/>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 Pension and</w:t>
            </w:r>
          </w:p>
        </w:tc>
        <w:tc>
          <w:tcPr>
            <w:tcW w:w="2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22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Translation</w:t>
            </w:r>
          </w:p>
        </w:tc>
        <w:tc>
          <w:tcPr>
            <w:tcW w:w="10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Cash Flow</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rPr>
              <w:t>Sale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Hedges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Benefits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Security</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96"/>
        </w:trPr>
        <w:tc>
          <w:tcPr>
            <w:tcW w:w="3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January 31, 2015</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3"/>
              <w:spacing w:after="0" w:line="196"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(319)</w:t>
            </w: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OCI before reclassification</w:t>
            </w:r>
          </w:p>
        </w:tc>
        <w:tc>
          <w:tcPr>
            <w:tcW w:w="380" w:type="dxa"/>
            <w:vAlign w:val="bottom"/>
          </w:tcPr>
          <w:p>
            <w:pPr>
              <w:spacing w:after="0"/>
              <w:rPr>
                <w:sz w:val="17"/>
                <w:szCs w:val="17"/>
                <w:color w:val="auto"/>
              </w:rPr>
            </w:pPr>
          </w:p>
        </w:tc>
        <w:tc>
          <w:tcPr>
            <w:tcW w:w="8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78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1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82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(55)</w:t>
            </w:r>
          </w:p>
        </w:tc>
      </w:tr>
      <w:tr>
        <w:trPr>
          <w:trHeight w:val="203"/>
        </w:trPr>
        <w:tc>
          <w:tcPr>
            <w:tcW w:w="31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Reclassified from AOCI</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w:t>
            </w:r>
          </w:p>
        </w:tc>
      </w:tr>
      <w:tr>
        <w:trPr>
          <w:trHeight w:val="196"/>
        </w:trPr>
        <w:tc>
          <w:tcPr>
            <w:tcW w:w="3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Other comprehensive income/(loss)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(47)</w:t>
            </w:r>
          </w:p>
        </w:tc>
      </w:tr>
      <w:tr>
        <w:trPr>
          <w:trHeight w:val="237"/>
        </w:trPr>
        <w:tc>
          <w:tcPr>
            <w:tcW w:w="3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January 30, 2016</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73"/>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(248)</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(366)</w:t>
            </w: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accumulated other comprehensive loss for the period ended January 30,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Amortization of actuarial (gain) loss:</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Pension benefits – amortization of actuarial loss</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Postretirement benefits – amortization of actuarial gain</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Net periodic benefit cost (see Note 21)</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52"/>
              <w:spacing w:after="0" w:line="196"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18. Income Taxes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gridSpan w:val="3"/>
          </w:tcPr>
          <w:p>
            <w:pPr>
              <w:ind w:left="60"/>
              <w:spacing w:after="0"/>
              <w:rPr>
                <w:sz w:val="20"/>
                <w:szCs w:val="20"/>
                <w:color w:val="auto"/>
              </w:rPr>
            </w:pPr>
            <w:r>
              <w:rPr>
                <w:rFonts w:ascii="Arial" w:cs="Arial" w:eastAsia="Arial" w:hAnsi="Arial"/>
                <w:sz w:val="18"/>
                <w:szCs w:val="18"/>
                <w:color w:val="auto"/>
              </w:rPr>
              <w:t>The domestic and international components of pre-tax income are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668</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Domestic</w:t>
            </w:r>
          </w:p>
        </w:tc>
        <w:tc>
          <w:tcPr>
            <w:tcW w:w="8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654</w:t>
            </w:r>
          </w:p>
        </w:tc>
        <w:tc>
          <w:tcPr>
            <w:tcW w:w="240" w:type="dxa"/>
            <w:vAlign w:val="bottom"/>
          </w:tcPr>
          <w:p>
            <w:pPr>
              <w:ind w:left="4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169</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155</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pre-tax income</w:t>
            </w: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837</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809</w:t>
            </w:r>
          </w:p>
        </w:tc>
        <w:tc>
          <w:tcPr>
            <w:tcW w:w="2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-762635</wp:posOffset>
            </wp:positionV>
            <wp:extent cx="5565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provision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5565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Federal</w:t>
            </w:r>
          </w:p>
        </w:tc>
        <w:tc>
          <w:tcPr>
            <w:tcW w:w="1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212</w:t>
            </w:r>
          </w:p>
        </w:tc>
        <w:tc>
          <w:tcPr>
            <w:tcW w:w="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194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37</w:t>
            </w:r>
          </w:p>
        </w:tc>
        <w:tc>
          <w:tcPr>
            <w:tcW w:w="340" w:type="dxa"/>
            <w:vAlign w:val="bottom"/>
          </w:tcPr>
          <w:p>
            <w:pPr>
              <w:spacing w:after="0"/>
              <w:rPr>
                <w:sz w:val="17"/>
                <w:szCs w:val="17"/>
                <w:color w:val="auto"/>
              </w:rPr>
            </w:pPr>
          </w:p>
        </w:tc>
        <w:tc>
          <w:tcPr>
            <w:tcW w:w="8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19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53</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current tax provision</w:t>
            </w:r>
          </w:p>
        </w:tc>
        <w:tc>
          <w:tcPr>
            <w:tcW w:w="1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302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269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1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1940" w:type="dxa"/>
            <w:vAlign w:val="bottom"/>
          </w:tcPr>
          <w:p>
            <w:pPr>
              <w:spacing w:after="0"/>
              <w:rPr>
                <w:sz w:val="17"/>
                <w:szCs w:val="17"/>
                <w:color w:val="auto"/>
              </w:rPr>
            </w:pPr>
          </w:p>
        </w:tc>
        <w:tc>
          <w:tcPr>
            <w:tcW w:w="6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7"/>
                <w:szCs w:val="17"/>
                <w:color w:val="auto"/>
              </w:rPr>
            </w:pPr>
          </w:p>
        </w:tc>
        <w:tc>
          <w:tcPr>
            <w:tcW w:w="8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1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International</w:t>
            </w:r>
          </w:p>
        </w:tc>
        <w:tc>
          <w:tcPr>
            <w:tcW w:w="1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provision</w:t>
            </w:r>
          </w:p>
        </w:tc>
        <w:tc>
          <w:tcPr>
            <w:tcW w:w="19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income tax provision</w:t>
            </w:r>
          </w:p>
        </w:tc>
        <w:tc>
          <w:tcPr>
            <w:tcW w:w="1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296</w:t>
            </w:r>
          </w:p>
        </w:tc>
        <w:tc>
          <w:tcPr>
            <w:tcW w:w="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289</w:t>
            </w:r>
          </w:p>
        </w:tc>
        <w:tc>
          <w:tcPr>
            <w:tcW w:w="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Provision has been made in the accompanying Consolidated Statements of Operations for additional income taxes applicable to dividends received or expected to be received, if any, from international subsidiaries. The amount of unremitted earnings of international subsidiaries for which no such tax is provided and which is considered to be permanently reinvested in the subsidiaries totaled $1,087 million and $999 million at January 30, 2016 and January 31, 2015, respectively. The determination of the amount of the deferred tax liability related to permanently reinvested earnings is not practicable.</w:t>
      </w:r>
    </w:p>
    <w:p>
      <w:pPr>
        <w:spacing w:after="0" w:line="101"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568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15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b w:val="1"/>
                <w:bCs w:val="1"/>
                <w:color w:val="auto"/>
              </w:rPr>
              <w:t>35.0%</w:t>
            </w:r>
          </w:p>
        </w:tc>
        <w:tc>
          <w:tcPr>
            <w:tcW w:w="10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35.0%</w:t>
            </w:r>
          </w:p>
        </w:tc>
        <w:tc>
          <w:tcPr>
            <w:tcW w:w="10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35.0%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income taxes, net of federal tax benefit</w:t>
            </w:r>
          </w:p>
        </w:tc>
        <w:tc>
          <w:tcPr>
            <w:tcW w:w="156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2.8</w:t>
            </w:r>
          </w:p>
        </w:tc>
        <w:tc>
          <w:tcPr>
            <w:tcW w:w="106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3.2</w:t>
            </w:r>
          </w:p>
        </w:tc>
        <w:tc>
          <w:tcPr>
            <w:tcW w:w="10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3.5</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 income taxed at varying rates</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(2.1)</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Foreign tax credits</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(2.8)</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(2.5)</w:t>
            </w: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(2.5)</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Domestic/foreign tax settlements</w:t>
            </w:r>
          </w:p>
        </w:tc>
        <w:tc>
          <w:tcPr>
            <w:tcW w:w="1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(0.1)</w:t>
            </w:r>
          </w:p>
        </w:tc>
        <w:tc>
          <w:tcPr>
            <w:tcW w:w="10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(0.6)</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Federal tax credits</w:t>
            </w:r>
          </w:p>
        </w:tc>
        <w:tc>
          <w:tcPr>
            <w:tcW w:w="15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(0.2)</w:t>
            </w:r>
          </w:p>
        </w:tc>
        <w:tc>
          <w:tcPr>
            <w:tcW w:w="10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(0.2)</w:t>
            </w: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(0.2)</w:t>
            </w:r>
          </w:p>
        </w:tc>
      </w:tr>
      <w:tr>
        <w:trPr>
          <w:trHeight w:val="203"/>
        </w:trPr>
        <w:tc>
          <w:tcPr>
            <w:tcW w:w="51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2.8</w:t>
            </w:r>
          </w:p>
        </w:tc>
        <w:tc>
          <w:tcPr>
            <w:tcW w:w="106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2.7</w:t>
            </w:r>
          </w:p>
        </w:tc>
        <w:tc>
          <w:tcPr>
            <w:tcW w:w="100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2.2</w:t>
            </w:r>
          </w:p>
        </w:tc>
      </w:tr>
      <w:tr>
        <w:trPr>
          <w:trHeight w:val="196"/>
        </w:trPr>
        <w:tc>
          <w:tcPr>
            <w:tcW w:w="5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15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35.4%</w:t>
            </w:r>
          </w:p>
        </w:tc>
        <w:tc>
          <w:tcPr>
            <w:tcW w:w="106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35.7%</w:t>
            </w:r>
          </w:p>
        </w:tc>
        <w:tc>
          <w:tcPr>
            <w:tcW w:w="10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35.3%</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the Company’s deferred tax assets and deferred tax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700" w:type="dxa"/>
            <w:vAlign w:val="bottom"/>
          </w:tcPr>
          <w:p>
            <w:pPr>
              <w:spacing w:after="0"/>
              <w:rPr>
                <w:sz w:val="18"/>
                <w:szCs w:val="18"/>
                <w:color w:val="auto"/>
              </w:rPr>
            </w:pPr>
          </w:p>
        </w:tc>
        <w:tc>
          <w:tcPr>
            <w:tcW w:w="180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8"/>
        </w:trPr>
        <w:tc>
          <w:tcPr>
            <w:tcW w:w="528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 loss/credit carryforwards and capital loss</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Employee benefits</w:t>
            </w:r>
          </w:p>
        </w:tc>
        <w:tc>
          <w:tcPr>
            <w:tcW w:w="170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97</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17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121</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Straight-line rent</w:t>
            </w:r>
          </w:p>
        </w:tc>
        <w:tc>
          <w:tcPr>
            <w:tcW w:w="170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34</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1700" w:type="dxa"/>
            <w:vAlign w:val="bottom"/>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b w:val="1"/>
                <w:bCs w:val="1"/>
                <w:color w:val="auto"/>
              </w:rPr>
              <w:t>299</w:t>
            </w:r>
          </w:p>
        </w:tc>
        <w:tc>
          <w:tcPr>
            <w:tcW w:w="360" w:type="dxa"/>
            <w:vAlign w:val="bottom"/>
          </w:tcPr>
          <w:p>
            <w:pPr>
              <w:spacing w:after="0"/>
              <w:rPr>
                <w:sz w:val="17"/>
                <w:szCs w:val="17"/>
                <w:color w:val="auto"/>
              </w:rPr>
            </w:pPr>
          </w:p>
        </w:tc>
        <w:tc>
          <w:tcPr>
            <w:tcW w:w="760" w:type="dxa"/>
            <w:vAlign w:val="bottom"/>
          </w:tcPr>
          <w:p>
            <w:pPr>
              <w:jc w:val="right"/>
              <w:ind w:right="151"/>
              <w:spacing w:after="0" w:line="196"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Valuation allowance</w:t>
            </w:r>
          </w:p>
        </w:tc>
        <w:tc>
          <w:tcPr>
            <w:tcW w:w="1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Total deferred tax assets, net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294</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1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1700" w:type="dxa"/>
            <w:vAlign w:val="bottom"/>
          </w:tcPr>
          <w:p>
            <w:pPr>
              <w:spacing w:after="0"/>
              <w:rPr>
                <w:sz w:val="17"/>
                <w:szCs w:val="17"/>
                <w:color w:val="auto"/>
              </w:rPr>
            </w:pP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104</w:t>
            </w:r>
          </w:p>
        </w:tc>
        <w:tc>
          <w:tcPr>
            <w:tcW w:w="360" w:type="dxa"/>
            <w:vAlign w:val="bottom"/>
          </w:tcPr>
          <w:p>
            <w:pPr>
              <w:spacing w:after="0"/>
              <w:rPr>
                <w:sz w:val="17"/>
                <w:szCs w:val="17"/>
                <w:color w:val="auto"/>
              </w:rPr>
            </w:pP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 and other intangible assets</w:t>
            </w:r>
          </w:p>
        </w:tc>
        <w:tc>
          <w:tcPr>
            <w:tcW w:w="17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20</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deferred tax liabilities</w:t>
            </w: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130</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deferred tax asset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164</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caption reported in:</w:t>
            </w:r>
          </w:p>
        </w:tc>
        <w:tc>
          <w:tcPr>
            <w:tcW w:w="1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1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234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7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1700" w:type="dxa"/>
            <w:vAlign w:val="bottom"/>
          </w:tcPr>
          <w:p>
            <w:pPr>
              <w:spacing w:after="0"/>
              <w:rPr>
                <w:sz w:val="17"/>
                <w:szCs w:val="17"/>
                <w:color w:val="auto"/>
              </w:rPr>
            </w:pPr>
          </w:p>
        </w:tc>
        <w:tc>
          <w:tcPr>
            <w:tcW w:w="6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17"/>
                <w:szCs w:val="17"/>
                <w:color w:val="auto"/>
              </w:rPr>
            </w:pPr>
          </w:p>
        </w:tc>
        <w:tc>
          <w:tcPr>
            <w:tcW w:w="7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164</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Based upon the level of historical taxable income and projections for future taxable income, which are based upon the Company’s strategic long-range plans, over the periods in which the temporary differences are anticipated to reverse, management believes it is more likely than not that the Company will realize the benefits of these deductible differences, net of the valuation allowances at January 30, 2016. However, the amount of the deferred tax asset considered realizable could be adjusted in the future if estimates of taxable income are revised.</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As of January 30, 2016, the Company has a valuation allowance of $5 million to reduce its deferred tax assets to an amount that is more likely than not to be realized. A valuation allowance of $3 million relates to the deferred tax assets arising from a capital loss associated with an impairment of the Northern Group note receivable in 2008. The Company does not anticipate realizing capital gains to utilize the capital loss associated with the note receivable impairment. A valuation allowance of $ 2 million was recorded against tax loss carryforwards of certain foreign entities. Based on the history of losses and the absence of prudent and feasible business plans for generating future taxable income in certain foreign entities, the Company believes it is more likely than not that the benefit of these loss carryforwards will not be realized.</w:t>
      </w:r>
    </w:p>
    <w:p>
      <w:pPr>
        <w:spacing w:after="0" w:line="98"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At January 30, 2016, the Company has state operating loss carryforwards with a potential tax benefit of $2 million that expire between 2021 and 2035. The Company will have, when realized, a capital loss with a potential benefit of $3 million arising from a note receivable. This loss will carryforward for 5 years after realization. The Company has U.S. state credits of $1 million that expire in 2024. The Company has international operating loss carryforwards with a potential tax benefit of $2 million, a portion of which will expire between 2016 and 2034 and a portion of which will never expire. The state and international operating loss carryforwards do not include unrecognized tax benefits.</w:t>
      </w:r>
    </w:p>
    <w:p>
      <w:pPr>
        <w:spacing w:after="0" w:line="200" w:lineRule="exact"/>
        <w:rPr>
          <w:sz w:val="20"/>
          <w:szCs w:val="20"/>
          <w:color w:val="auto"/>
        </w:rPr>
      </w:pPr>
    </w:p>
    <w:p>
      <w:pPr>
        <w:spacing w:after="0" w:line="36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operates in multiple taxing jurisdictions and is subject to audit. Audits can involve complex issues that may require an extended period of time to resolve. A taxing authority may challenge positions that the Company has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Company’s U.S. Federal income tax filings have been examined by the Internal Revenue Service through 2014. The Company is participating in the IRS’s Compliance Assurance Process (“CAP”) for 2015, which is expected to conclude during 2016. The Company has started the CAP for 2016. Due to the recent utilization of net operating loss carryforwards, the Company is subject to state and local tax examinations effectively including years from 1996 to the present. To date, no adjustments have been proposed in any audits that will have a material effect on the Company’s financial position or results of operations.</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At January 30, 2016 and January 31, 2015, the Company had $38 million and $40 million, respectively of gross unrecognized tax benefits, and $37 million and $39 million, respectively, of net unrecognized tax benefits that would, if recognized, affect the Company’s annual effective tax rate. The Company has classified certain income tax liabilities as current or noncurrent based on management’s estimate of when these liabilities will be settled. Interest expense and penalties related to unrecognized tax benefits are classified as income tax expense. Interest was not significant for any of the periods presented. The Company recognized $1 million of interest income in 2013. The total amount of accrued interest and penalties was $2 million in 2015, 2014, and 2013.</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activity related to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3" w:lineRule="exact"/>
              <w:rPr>
                <w:sz w:val="20"/>
                <w:szCs w:val="20"/>
                <w:color w:val="auto"/>
              </w:rPr>
            </w:pPr>
            <w:r>
              <w:rPr>
                <w:rFonts w:ascii="Arial" w:cs="Arial" w:eastAsia="Arial" w:hAnsi="Arial"/>
                <w:sz w:val="18"/>
                <w:szCs w:val="18"/>
                <w:color w:val="auto"/>
              </w:rPr>
              <w:t>Unrecognized tax benefits at beginning of year</w:t>
            </w:r>
          </w:p>
        </w:tc>
        <w:tc>
          <w:tcPr>
            <w:tcW w:w="14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94"/>
              <w:spacing w:after="0" w:line="203" w:lineRule="exact"/>
              <w:rPr>
                <w:sz w:val="20"/>
                <w:szCs w:val="20"/>
                <w:color w:val="auto"/>
              </w:rPr>
            </w:pPr>
            <w:r>
              <w:rPr>
                <w:rFonts w:ascii="Arial" w:cs="Arial" w:eastAsia="Arial" w:hAnsi="Arial"/>
                <w:sz w:val="18"/>
                <w:szCs w:val="18"/>
                <w:color w:val="auto"/>
              </w:rPr>
              <w:t>48</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1420" w:type="dxa"/>
            <w:vAlign w:val="bottom"/>
          </w:tcPr>
          <w:p>
            <w:pPr>
              <w:spacing w:after="0"/>
              <w:rPr>
                <w:sz w:val="17"/>
                <w:szCs w:val="17"/>
                <w:color w:val="auto"/>
              </w:rPr>
            </w:pPr>
          </w:p>
        </w:tc>
        <w:tc>
          <w:tcPr>
            <w:tcW w:w="52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7"/>
                <w:szCs w:val="17"/>
                <w:color w:val="auto"/>
              </w:rPr>
            </w:pPr>
          </w:p>
        </w:tc>
        <w:tc>
          <w:tcPr>
            <w:tcW w:w="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Increases related to prior period tax positions</w:t>
            </w: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prior period tax positions</w:t>
            </w:r>
          </w:p>
        </w:tc>
        <w:tc>
          <w:tcPr>
            <w:tcW w:w="1420" w:type="dxa"/>
            <w:vAlign w:val="bottom"/>
          </w:tcPr>
          <w:p>
            <w:pPr>
              <w:spacing w:after="0"/>
              <w:rPr>
                <w:sz w:val="17"/>
                <w:szCs w:val="17"/>
                <w:color w:val="auto"/>
              </w:rPr>
            </w:pPr>
          </w:p>
        </w:tc>
        <w:tc>
          <w:tcPr>
            <w:tcW w:w="52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Settlements</w:t>
            </w: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Lapse of statute of limitations</w:t>
            </w:r>
          </w:p>
        </w:tc>
        <w:tc>
          <w:tcPr>
            <w:tcW w:w="1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4"/>
              <w:spacing w:after="0" w:line="202"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Unrecognized tax benefits at end of year</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rPr>
              <w:t>38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294"/>
              <w:spacing w:after="0" w:line="196"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It is reasonably possible that the liability associated with the Company’s unrecognized tax benefits will increase or decrease within the next twelve months. These changes may be the result of foreign currency fluctuations, ongoing audits or the expiration of statutes of limitations. Settlements could increase earnings in an amount ranging from $0 to $5 million based on current estimates. Audit outcomes and the timing of audit settlements are subject to significant uncertainty. Although management believes that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its accounting policies, the Company has not recorded any potential impact of these settlements.</w:t>
      </w:r>
    </w:p>
    <w:p>
      <w:pPr>
        <w:spacing w:after="0" w:line="200" w:lineRule="exact"/>
        <w:rPr>
          <w:sz w:val="20"/>
          <w:szCs w:val="20"/>
          <w:color w:val="auto"/>
        </w:rPr>
      </w:pPr>
    </w:p>
    <w:p>
      <w:pPr>
        <w:spacing w:after="0" w:line="36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Financial Instruments and Risk Management</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Additional information is contained within Note 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0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primary currencies to which the Company is exposed are the euro, British pound, Canadian dollar, and Australian dollar. For the most part, merchandise inventories are purchased by each geographic area in their respective local currency. The exception to this is the United Kingdom, whose merchandise inventory purchases are denominated in euros.</w:t>
      </w:r>
    </w:p>
    <w:p>
      <w:pPr>
        <w:spacing w:after="0" w:line="9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w:t>
      </w:r>
    </w:p>
    <w:p>
      <w:pPr>
        <w:spacing w:after="0" w:line="9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the Company excludes the time value of the contract from the assessment of effectiveness. As of January 30, 2016, all of the Company’s hedged forecasted transactions are less than twelve months, and the Company expects all derivative-related amounts reported in AOCL to be reclassified to earnings within twelve months. During 2015, the net change in the fair value of the foreign exchange derivative financial instruments designated as cash flow hedges of the purchase of inventory resulted in a gain of $5 million and therefore decreased AOCL, this resulted in a gain of $2 million included in AOCL as of January 30, 2016.</w:t>
      </w:r>
    </w:p>
    <w:p>
      <w:pPr>
        <w:spacing w:after="0" w:line="105"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notional value of the contracts outstanding at January 30, 2016 was $72 million and these contracts mature at various dates through January 2017.</w:t>
      </w: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4639" w:firstLine="8"/>
        <w:spacing w:after="0" w:line="388" w:lineRule="auto"/>
        <w:tabs>
          <w:tab w:leader="none" w:pos="41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Management – (continued) </w:t>
      </w:r>
      <w:r>
        <w:rPr>
          <w:rFonts w:ascii="Arial" w:cs="Arial" w:eastAsia="Arial" w:hAnsi="Arial"/>
          <w:sz w:val="18"/>
          <w:szCs w:val="18"/>
          <w:i w:val="1"/>
          <w:iCs w:val="1"/>
          <w:color w:val="auto"/>
        </w:rPr>
        <w:t>Derivative Holdings Not Designated as Hedges</w:t>
      </w:r>
    </w:p>
    <w:p>
      <w:pPr>
        <w:spacing w:after="0" w:line="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enters into foreign exchange forward contracts that are not designated as hedges in order to manage the costs of foreign currency-denominated merchandise purchases and intercompany transactions. Changes in the fair value of these foreign exchange forward contracts are recorded in earnings immediately within selling, general and administrative expenses. The net change in fair value was $1 million in 2015, was not significant for 2014, and was $1 million for 2013. The notional value of the contracts outstanding at January 30, 2016 was $13 million, and these contracts mature at various dates through March 2016.</w:t>
      </w:r>
    </w:p>
    <w:p>
      <w:pPr>
        <w:spacing w:after="0" w:line="10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mitigates the effect of fluctuating foreign exchange rates on the reporting of foreign currency-denominated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2015, and was $1 million for 2014. There were no contracts outstanding at January 30, 2016.</w:t>
      </w:r>
    </w:p>
    <w:p>
      <w:pPr>
        <w:spacing w:after="0" w:line="9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diesel fuel forward contracts outstanding at January 30, 2016 was $1 million and these contracts mature at various dates through May 2016.</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Derivative Contracts</w:t>
      </w:r>
    </w:p>
    <w:p>
      <w:pPr>
        <w:spacing w:after="0" w:line="135"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2740" w:type="dxa"/>
            <w:vAlign w:val="bottom"/>
            <w:tcBorders>
              <w:bottom w:val="single" w:sz="8" w:color="auto"/>
            </w:tcBorders>
          </w:tcPr>
          <w:p>
            <w:pPr>
              <w:jc w:val="center"/>
              <w:ind w:left="894"/>
              <w:spacing w:after="0"/>
              <w:rPr>
                <w:sz w:val="20"/>
                <w:szCs w:val="20"/>
                <w:color w:val="auto"/>
              </w:rPr>
            </w:pPr>
            <w:r>
              <w:rPr>
                <w:rFonts w:ascii="Arial" w:cs="Arial" w:eastAsia="Arial" w:hAnsi="Arial"/>
                <w:sz w:val="14"/>
                <w:szCs w:val="14"/>
                <w:b w:val="1"/>
                <w:bCs w:val="1"/>
                <w:color w:val="auto"/>
              </w:rPr>
              <w:t>Balance Sheet Caption</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Hedging Instruments:</w:t>
            </w:r>
          </w:p>
        </w:tc>
        <w:tc>
          <w:tcPr>
            <w:tcW w:w="2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740" w:type="dxa"/>
            <w:vAlign w:val="bottom"/>
          </w:tcPr>
          <w:p>
            <w:pPr>
              <w:jc w:val="center"/>
              <w:ind w:left="914"/>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740" w:type="dxa"/>
            <w:vAlign w:val="bottom"/>
            <w:shd w:val="clear" w:color="auto" w:fill="CCEEFF"/>
          </w:tcPr>
          <w:p>
            <w:pPr>
              <w:jc w:val="center"/>
              <w:ind w:left="914"/>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w:t>
            </w: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Non-hedging Instruments:</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740" w:type="dxa"/>
            <w:vAlign w:val="bottom"/>
            <w:tcBorders>
              <w:bottom w:val="single" w:sz="8" w:color="auto"/>
            </w:tcBorders>
            <w:shd w:val="clear" w:color="auto" w:fill="CCEEFF"/>
          </w:tcPr>
          <w:p>
            <w:pPr>
              <w:jc w:val="center"/>
              <w:ind w:left="914"/>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Notional Values and Foreign Currency Exchange Rates</w:t>
      </w:r>
    </w:p>
    <w:p>
      <w:pPr>
        <w:spacing w:after="0" w:line="135"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table below presents the notional amounts for all outstanding derivatives and the weighted-average exchange rates of foreign exchange forward contracts at January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Contract Value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r>
      <w:tr>
        <w:trPr>
          <w:trHeight w:val="175"/>
        </w:trPr>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Exchange Rate</w:t>
            </w:r>
          </w:p>
        </w:tc>
      </w:tr>
      <w:tr>
        <w:trPr>
          <w:trHeight w:val="169"/>
        </w:trPr>
        <w:tc>
          <w:tcPr>
            <w:tcW w:w="3940" w:type="dxa"/>
            <w:vAlign w:val="bottom"/>
            <w:tcBorders>
              <w:left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Inventory</w:t>
            </w:r>
          </w:p>
        </w:tc>
        <w:tc>
          <w:tcPr>
            <w:tcW w:w="2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7"/>
        </w:trPr>
        <w:tc>
          <w:tcPr>
            <w:tcW w:w="820" w:type="dxa"/>
            <w:vAlign w:val="bottom"/>
            <w:tcBorders>
              <w:lef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r>
        <w:trPr>
          <w:trHeight w:val="203"/>
        </w:trPr>
        <w:tc>
          <w:tcPr>
            <w:tcW w:w="39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24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72</w:t>
            </w:r>
          </w:p>
        </w:tc>
        <w:tc>
          <w:tcPr>
            <w:tcW w:w="14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0.7359</w:t>
            </w:r>
          </w:p>
        </w:tc>
      </w:tr>
      <w:tr>
        <w:trPr>
          <w:trHeight w:val="176"/>
        </w:trPr>
        <w:tc>
          <w:tcPr>
            <w:tcW w:w="3940" w:type="dxa"/>
            <w:vAlign w:val="bottom"/>
            <w:tcBorders>
              <w:left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Intercompany</w:t>
            </w:r>
          </w:p>
        </w:tc>
        <w:tc>
          <w:tcPr>
            <w:tcW w:w="2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7"/>
        </w:trPr>
        <w:tc>
          <w:tcPr>
            <w:tcW w:w="820" w:type="dxa"/>
            <w:vAlign w:val="bottom"/>
            <w:tcBorders>
              <w:left w:val="single" w:sz="8" w:color="CCEEFF"/>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r>
        <w:trPr>
          <w:trHeight w:val="203"/>
        </w:trPr>
        <w:tc>
          <w:tcPr>
            <w:tcW w:w="39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24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11</w:t>
            </w:r>
          </w:p>
        </w:tc>
        <w:tc>
          <w:tcPr>
            <w:tcW w:w="14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0.7298</w:t>
            </w:r>
          </w:p>
        </w:tc>
      </w:tr>
      <w:tr>
        <w:trPr>
          <w:trHeight w:val="203"/>
        </w:trPr>
        <w:tc>
          <w:tcPr>
            <w:tcW w:w="3940" w:type="dxa"/>
            <w:vAlign w:val="bottom"/>
            <w:tcBorders>
              <w:left w:val="single" w:sz="8" w:color="CCEEFF"/>
              <w:bottom w:val="single" w:sz="8" w:color="auto"/>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Buy US/Sell CAD</w:t>
            </w:r>
          </w:p>
        </w:tc>
        <w:tc>
          <w:tcPr>
            <w:tcW w:w="248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w:t>
            </w:r>
          </w:p>
        </w:tc>
        <w:tc>
          <w:tcPr>
            <w:tcW w:w="140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1.4080</w:t>
            </w:r>
          </w:p>
        </w:tc>
      </w:tr>
      <w:tr>
        <w:trPr>
          <w:trHeight w:val="196"/>
        </w:trPr>
        <w:tc>
          <w:tcPr>
            <w:tcW w:w="394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Diesel fuel forwards</w:t>
            </w:r>
          </w:p>
        </w:tc>
        <w:tc>
          <w:tcPr>
            <w:tcW w:w="248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Risk</w:t>
      </w:r>
    </w:p>
    <w:p>
      <w:pPr>
        <w:spacing w:after="0" w:line="135"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The retailing business is highly competitive. Price, quality, selection of merchandise, reputation, store location, advertising, and customer service are important competitive factors in the Company’s business. The Company operates in 23 countries and purchased approximately 90 percent of its merchandise in 2015 from its top 5 suppliers. In 2015, the Company purchased approximately 72 percent of its athletic merchandise from one</w:t>
      </w: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Financial Instruments and Risk Management – (continued)</w:t>
      </w:r>
    </w:p>
    <w:p>
      <w:pPr>
        <w:spacing w:after="0" w:line="139"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major supplier, Nike, Inc. (“Nike”), and approximately 11 percent from another major supplier. Each of our operating divisions is highly dependent on Nike; they individually purchased 55 to 82 percent of their merchandise from Nike.</w:t>
      </w:r>
    </w:p>
    <w:p>
      <w:pPr>
        <w:spacing w:after="0" w:line="88"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Included in the Company’s Consolidated Balance Sheet at January 30, 2016, are the net assets of the Company’s European operations, which total $904 million and are located in 19 countries, 11 of which have adopted the euro as their functional currency.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Fair Value Measurements</w:t>
      </w:r>
    </w:p>
    <w:p>
      <w:pPr>
        <w:spacing w:after="0" w:line="13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following table provides a summary of the recognized assets and liabilities that are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January 30, 2016</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January 31, 2015</w:t>
            </w:r>
          </w:p>
        </w:tc>
      </w:tr>
      <w:tr>
        <w:trPr>
          <w:trHeight w:val="211"/>
        </w:trPr>
        <w:tc>
          <w:tcPr>
            <w:tcW w:w="3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millions)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8"/>
        </w:trPr>
        <w:tc>
          <w:tcPr>
            <w:tcW w:w="3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Available-for-sale securities</w:t>
            </w: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6</w:t>
            </w:r>
          </w:p>
        </w:tc>
        <w:tc>
          <w:tcPr>
            <w:tcW w:w="42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7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r>
      <w:tr>
        <w:trPr>
          <w:trHeight w:val="196"/>
        </w:trPr>
        <w:tc>
          <w:tcPr>
            <w:tcW w:w="3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9</w:t>
            </w:r>
          </w:p>
        </w:tc>
        <w:tc>
          <w:tcPr>
            <w:tcW w:w="42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3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w:t>
            </w:r>
          </w:p>
        </w:tc>
      </w:tr>
      <w:tr>
        <w:trPr>
          <w:trHeight w:val="237"/>
        </w:trPr>
        <w:tc>
          <w:tcPr>
            <w:tcW w:w="3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9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3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000" w:type="dxa"/>
            <w:vAlign w:val="bottom"/>
            <w:vMerge w:val="continue"/>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b w:val="1"/>
                <w:bCs w:val="1"/>
                <w:color w:val="auto"/>
              </w:rPr>
              <w:t>130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w:t>
            </w:r>
          </w:p>
        </w:tc>
        <w:tc>
          <w:tcPr>
            <w:tcW w:w="3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9"/>
              <w:spacing w:after="0" w:line="202" w:lineRule="exact"/>
              <w:rPr>
                <w:sz w:val="20"/>
                <w:szCs w:val="20"/>
                <w:color w:val="auto"/>
              </w:rPr>
            </w:pPr>
            <w:r>
              <w:rPr>
                <w:rFonts w:ascii="Arial" w:cs="Arial" w:eastAsia="Arial" w:hAnsi="Arial"/>
                <w:sz w:val="18"/>
                <w:szCs w:val="18"/>
                <w:b w:val="1"/>
                <w:bCs w:val="1"/>
                <w:color w:val="auto"/>
              </w:rPr>
              <w:t>156</w:t>
            </w:r>
          </w:p>
        </w:tc>
        <w:tc>
          <w:tcPr>
            <w:tcW w:w="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are classified as Level 2.</w:t>
      </w:r>
    </w:p>
    <w:p>
      <w:pPr>
        <w:spacing w:after="0" w:line="88"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carrying values of cash and cash equivalents, short-term investments, and other current receivables and payables approximate their fair value.</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6559" w:firstLine="8"/>
        <w:spacing w:after="0" w:line="411" w:lineRule="auto"/>
        <w:tabs>
          <w:tab w:leader="none" w:pos="41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Other Benefits </w:t>
      </w:r>
      <w:r>
        <w:rPr>
          <w:rFonts w:ascii="Arial" w:cs="Arial" w:eastAsia="Arial" w:hAnsi="Arial"/>
          <w:sz w:val="17"/>
          <w:szCs w:val="17"/>
          <w:i w:val="1"/>
          <w:iCs w:val="1"/>
          <w:color w:val="auto"/>
        </w:rPr>
        <w:t>Pension and Other Postretirement Plans</w:t>
      </w:r>
    </w:p>
    <w:p>
      <w:pPr>
        <w:spacing w:after="0" w:line="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In addition, the Company has a defined benefit plan for certain individuals of Runners Point Group. The Company also sponsors postretirement medical and life insurance plans, which are available to most of its retired U.S. employees. These plans are contributory and are not funded. The measurement date of the assets and liabilities is the month-end date that is closest to our fiscal year end. The following tables set forth the plans’ changes in benefit obligations and plan assets, funded status, and amounts recognized in the Consolidated Balance Sheets, as of January 30, 2016 and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565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Postretirement Benefits</w:t>
            </w:r>
          </w:p>
        </w:tc>
      </w:tr>
      <w:tr>
        <w:trPr>
          <w:trHeight w:val="196"/>
        </w:trPr>
        <w:tc>
          <w:tcPr>
            <w:tcW w:w="4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r>
      <w:tr>
        <w:trPr>
          <w:trHeight w:val="196"/>
        </w:trPr>
        <w:tc>
          <w:tcPr>
            <w:tcW w:w="4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 in millions)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Change in benefit obligation</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Benefit obligation at beginning of year</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722</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674</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19</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15</w:t>
            </w: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cost</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17</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660" w:type="dxa"/>
            <w:vAlign w:val="bottom"/>
          </w:tcPr>
          <w:p>
            <w:pPr>
              <w:spacing w:after="0"/>
              <w:rPr>
                <w:sz w:val="17"/>
                <w:szCs w:val="17"/>
                <w:color w:val="auto"/>
              </w:rPr>
            </w:pP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7"/>
                <w:szCs w:val="17"/>
                <w:color w:val="auto"/>
              </w:rPr>
            </w:pP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w:t>
            </w: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Plan participants’ contributions</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w:t>
            </w: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6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17"/>
                <w:szCs w:val="17"/>
                <w:color w:val="auto"/>
              </w:rPr>
            </w:pP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67</w:t>
            </w:r>
          </w:p>
        </w:tc>
        <w:tc>
          <w:tcPr>
            <w:tcW w:w="30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7"/>
                <w:szCs w:val="17"/>
                <w:color w:val="auto"/>
              </w:rPr>
            </w:pPr>
          </w:p>
        </w:tc>
        <w:tc>
          <w:tcPr>
            <w:tcW w:w="7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w:t>
            </w: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Benefits paid</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b w:val="1"/>
                <w:bCs w:val="1"/>
                <w:color w:val="auto"/>
              </w:rPr>
              <w:t>(51)</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rPr>
              <w:t>(3)</w:t>
            </w:r>
          </w:p>
        </w:tc>
      </w:tr>
      <w:tr>
        <w:trPr>
          <w:trHeight w:val="196"/>
        </w:trPr>
        <w:tc>
          <w:tcPr>
            <w:tcW w:w="42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Benefit obligation at end of year</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b w:val="1"/>
                <w:bCs w:val="1"/>
                <w:color w:val="auto"/>
              </w:rPr>
              <w:t>667</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722</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b w:val="1"/>
                <w:bCs w:val="1"/>
                <w:color w:val="auto"/>
              </w:rPr>
              <w:t>14</w:t>
            </w:r>
          </w:p>
        </w:tc>
        <w:tc>
          <w:tcPr>
            <w:tcW w:w="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19</w:t>
            </w:r>
          </w:p>
        </w:tc>
      </w:tr>
      <w:tr>
        <w:trPr>
          <w:trHeight w:val="196"/>
        </w:trPr>
        <w:tc>
          <w:tcPr>
            <w:tcW w:w="42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686</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Actual (loss) return on plan assets</w:t>
            </w:r>
          </w:p>
        </w:tc>
        <w:tc>
          <w:tcPr>
            <w:tcW w:w="6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17"/>
                <w:szCs w:val="17"/>
                <w:color w:val="auto"/>
              </w:rPr>
            </w:pP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90</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Employer contributions</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6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(51)</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r>
      <w:tr>
        <w:trPr>
          <w:trHeight w:val="196"/>
        </w:trPr>
        <w:tc>
          <w:tcPr>
            <w:tcW w:w="42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Fair value of plan assets at end of year</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b w:val="1"/>
                <w:bCs w:val="1"/>
                <w:color w:val="auto"/>
              </w:rPr>
              <w:t>602</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686</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Funded status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rPr>
              <w:t>(65)</w:t>
            </w:r>
          </w:p>
        </w:tc>
        <w:tc>
          <w:tcPr>
            <w:tcW w:w="3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b w:val="1"/>
                <w:bCs w:val="1"/>
                <w:color w:val="auto"/>
              </w:rPr>
              <w:t>(14)</w:t>
            </w:r>
          </w:p>
        </w:tc>
        <w:tc>
          <w:tcPr>
            <w:tcW w:w="3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(19)</w:t>
            </w: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Amounts recognized on the balance sheet:</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6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17"/>
                <w:szCs w:val="17"/>
                <w:color w:val="auto"/>
              </w:rPr>
            </w:pPr>
          </w:p>
        </w:tc>
        <w:tc>
          <w:tcPr>
            <w:tcW w:w="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w:t>
            </w:r>
          </w:p>
        </w:tc>
      </w:tr>
      <w:tr>
        <w:trPr>
          <w:trHeight w:val="203"/>
        </w:trPr>
        <w:tc>
          <w:tcPr>
            <w:tcW w:w="42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(69)</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(46)</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(13)</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(18)</w:t>
            </w:r>
          </w:p>
        </w:tc>
      </w:tr>
      <w:tr>
        <w:trPr>
          <w:trHeight w:val="196"/>
        </w:trPr>
        <w:tc>
          <w:tcPr>
            <w:tcW w:w="4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(65)</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(14)</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(19)</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42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Amounts recognized in accumulated other</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5"/>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loss, pre-tax:</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Net loss (gain)</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410</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394</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(10)</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w:t>
            </w:r>
          </w:p>
        </w:tc>
      </w:tr>
      <w:tr>
        <w:trPr>
          <w:trHeight w:val="203"/>
        </w:trPr>
        <w:tc>
          <w:tcPr>
            <w:tcW w:w="42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Prior service cost</w:t>
            </w: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b w:val="1"/>
                <w:bCs w:val="1"/>
                <w:color w:val="auto"/>
              </w:rPr>
              <w:t>411</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395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(10)</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(6)</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As of January 30, 2016 and January 31, 2015, the Canadian qualified pension plan’s assets exceeded its accumulated benefit obligation. Information for those pension plans with an accumulated benefit obligation in excess of plan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18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180" w:type="dxa"/>
            <w:vAlign w:val="bottom"/>
            <w:vMerge w:val="continue"/>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b w:val="1"/>
                <w:bCs w:val="1"/>
                <w:color w:val="auto"/>
              </w:rPr>
              <w:t>617</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Accumulated benefit obligation</w:t>
            </w:r>
          </w:p>
        </w:tc>
        <w:tc>
          <w:tcPr>
            <w:tcW w:w="2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b w:val="1"/>
                <w:bCs w:val="1"/>
                <w:color w:val="auto"/>
              </w:rPr>
              <w:t>617</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Fair value of plan assets</w:t>
            </w:r>
          </w:p>
        </w:tc>
        <w:tc>
          <w:tcPr>
            <w:tcW w:w="2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b w:val="1"/>
                <w:bCs w:val="1"/>
                <w:color w:val="auto"/>
              </w:rPr>
              <w:t>544</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changes in accumulated other comprehensive loss (pre-tax) at January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Pension</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49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Benefits</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4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4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 in millions)</w:t>
            </w: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Net actuarial loss (gain) at beginning of year</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5"/>
              <w:spacing w:after="0" w:line="203" w:lineRule="exact"/>
              <w:rPr>
                <w:sz w:val="20"/>
                <w:szCs w:val="20"/>
                <w:color w:val="auto"/>
              </w:rPr>
            </w:pPr>
            <w:r>
              <w:rPr>
                <w:rFonts w:ascii="Arial" w:cs="Arial" w:eastAsia="Arial" w:hAnsi="Arial"/>
                <w:sz w:val="18"/>
                <w:szCs w:val="18"/>
                <w:color w:val="auto"/>
              </w:rPr>
              <w:t>394</w:t>
            </w:r>
          </w:p>
        </w:tc>
        <w:tc>
          <w:tcPr>
            <w:tcW w:w="38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(6)</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16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Loss (gain) arising during the year</w:t>
            </w:r>
          </w:p>
        </w:tc>
        <w:tc>
          <w:tcPr>
            <w:tcW w:w="1600" w:type="dxa"/>
            <w:vAlign w:val="bottom"/>
          </w:tcPr>
          <w:p>
            <w:pPr>
              <w:spacing w:after="0"/>
              <w:rPr>
                <w:sz w:val="17"/>
                <w:szCs w:val="17"/>
                <w:color w:val="auto"/>
              </w:rPr>
            </w:pPr>
          </w:p>
        </w:tc>
        <w:tc>
          <w:tcPr>
            <w:tcW w:w="8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9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w:t>
            </w:r>
          </w:p>
        </w:tc>
      </w:tr>
      <w:tr>
        <w:trPr>
          <w:trHeight w:val="203"/>
        </w:trPr>
        <w:tc>
          <w:tcPr>
            <w:tcW w:w="49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fluctuations</w:t>
            </w:r>
          </w:p>
        </w:tc>
        <w:tc>
          <w:tcPr>
            <w:tcW w:w="16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ind w:left="20"/>
              <w:spacing w:after="0" w:line="236" w:lineRule="exact"/>
              <w:rPr>
                <w:sz w:val="20"/>
                <w:szCs w:val="20"/>
                <w:color w:val="auto"/>
              </w:rPr>
            </w:pPr>
            <w:r>
              <w:rPr>
                <w:rFonts w:ascii="Arial" w:cs="Arial" w:eastAsia="Arial" w:hAnsi="Arial"/>
                <w:sz w:val="17"/>
                <w:szCs w:val="17"/>
                <w:color w:val="auto"/>
              </w:rPr>
              <w:t xml:space="preserve">Net actuarial loss (gain) at end of year </w:t>
            </w:r>
            <w:r>
              <w:rPr>
                <w:rFonts w:ascii="Arial" w:cs="Arial" w:eastAsia="Arial" w:hAnsi="Arial"/>
                <w:sz w:val="27"/>
                <w:szCs w:val="27"/>
                <w:color w:val="auto"/>
                <w:vertAlign w:val="superscript"/>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410</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w:t>
            </w:r>
          </w:p>
        </w:tc>
      </w:tr>
      <w:tr>
        <w:trPr>
          <w:trHeight w:val="243"/>
        </w:trPr>
        <w:tc>
          <w:tcPr>
            <w:tcW w:w="4940" w:type="dxa"/>
            <w:vAlign w:val="bottom"/>
            <w:tcBorders>
              <w:bottom w:val="single" w:sz="8" w:color="auto"/>
            </w:tcBorders>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Net prior service cost at end of year </w:t>
            </w:r>
            <w:r>
              <w:rPr>
                <w:rFonts w:ascii="Arial" w:cs="Arial" w:eastAsia="Arial" w:hAnsi="Arial"/>
                <w:sz w:val="28"/>
                <w:szCs w:val="28"/>
                <w:color w:val="auto"/>
                <w:vertAlign w:val="superscript"/>
              </w:rPr>
              <w:t>(2)</w:t>
            </w:r>
          </w:p>
        </w:tc>
        <w:tc>
          <w:tcPr>
            <w:tcW w:w="1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r>
      <w:tr>
        <w:trPr>
          <w:trHeight w:val="196"/>
        </w:trPr>
        <w:tc>
          <w:tcPr>
            <w:tcW w:w="49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amount recognized</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rPr>
              <w:t>411</w:t>
            </w:r>
          </w:p>
        </w:tc>
        <w:tc>
          <w:tcPr>
            <w:tcW w:w="3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color w:val="auto"/>
              </w:rPr>
              <w:t>(10)</w:t>
            </w: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00" w:right="539" w:hanging="272"/>
        <w:spacing w:after="0" w:line="278"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in accumulated other comprehensive loss that are expected to be recognized as components of net periodic benefit cost (income) during the next year are approximately $14 million and $(2) million related to the pension and postretirement plans, respectively.</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net prior service cost did not change during the year and is not expected to change significantly during the next year.</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weighted-average assumptions were used to determine the benefit obligations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Pension Benefits</w:t>
            </w:r>
          </w:p>
        </w:tc>
        <w:tc>
          <w:tcPr>
            <w:tcW w:w="24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Postretirement Benefits</w:t>
            </w:r>
          </w:p>
        </w:tc>
      </w:tr>
      <w:tr>
        <w:trPr>
          <w:trHeight w:val="196"/>
        </w:trPr>
        <w:tc>
          <w:tcPr>
            <w:tcW w:w="3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2014</w:t>
            </w:r>
          </w:p>
        </w:tc>
      </w:tr>
      <w:tr>
        <w:trPr>
          <w:trHeight w:val="196"/>
        </w:trPr>
        <w:tc>
          <w:tcPr>
            <w:tcW w:w="3380" w:type="dxa"/>
            <w:vAlign w:val="bottom"/>
          </w:tcPr>
          <w:p>
            <w:pPr>
              <w:ind w:left="20"/>
              <w:spacing w:after="0" w:line="196" w:lineRule="exact"/>
              <w:rPr>
                <w:sz w:val="20"/>
                <w:szCs w:val="20"/>
                <w:color w:val="auto"/>
              </w:rPr>
            </w:pPr>
            <w:r>
              <w:rPr>
                <w:rFonts w:ascii="Arial" w:cs="Arial" w:eastAsia="Arial" w:hAnsi="Arial"/>
                <w:sz w:val="18"/>
                <w:szCs w:val="18"/>
                <w:color w:val="auto"/>
              </w:rPr>
              <w:t>Discount rate</w:t>
            </w:r>
          </w:p>
        </w:tc>
        <w:tc>
          <w:tcPr>
            <w:tcW w:w="1700" w:type="dxa"/>
            <w:vAlign w:val="bottom"/>
          </w:tcPr>
          <w:p>
            <w:pPr>
              <w:ind w:left="860"/>
              <w:spacing w:after="0" w:line="196" w:lineRule="exact"/>
              <w:rPr>
                <w:sz w:val="20"/>
                <w:szCs w:val="20"/>
                <w:color w:val="auto"/>
              </w:rPr>
            </w:pPr>
            <w:r>
              <w:rPr>
                <w:rFonts w:ascii="Arial" w:cs="Arial" w:eastAsia="Arial" w:hAnsi="Arial"/>
                <w:sz w:val="18"/>
                <w:szCs w:val="18"/>
                <w:b w:val="1"/>
                <w:bCs w:val="1"/>
                <w:color w:val="auto"/>
              </w:rPr>
              <w:t>4.1%</w:t>
            </w:r>
          </w:p>
        </w:tc>
        <w:tc>
          <w:tcPr>
            <w:tcW w:w="1240" w:type="dxa"/>
            <w:vAlign w:val="bottom"/>
          </w:tcPr>
          <w:p>
            <w:pPr>
              <w:ind w:left="420"/>
              <w:spacing w:after="0" w:line="196" w:lineRule="exact"/>
              <w:rPr>
                <w:sz w:val="20"/>
                <w:szCs w:val="20"/>
                <w:color w:val="auto"/>
              </w:rPr>
            </w:pPr>
            <w:r>
              <w:rPr>
                <w:rFonts w:ascii="Arial" w:cs="Arial" w:eastAsia="Arial" w:hAnsi="Arial"/>
                <w:sz w:val="18"/>
                <w:szCs w:val="18"/>
                <w:color w:val="auto"/>
              </w:rPr>
              <w:t>3.4%</w:t>
            </w:r>
          </w:p>
        </w:tc>
        <w:tc>
          <w:tcPr>
            <w:tcW w:w="1260" w:type="dxa"/>
            <w:vAlign w:val="bottom"/>
          </w:tcPr>
          <w:p>
            <w:pPr>
              <w:jc w:val="right"/>
              <w:ind w:right="362"/>
              <w:spacing w:after="0" w:line="196" w:lineRule="exact"/>
              <w:rPr>
                <w:sz w:val="20"/>
                <w:szCs w:val="20"/>
                <w:color w:val="auto"/>
              </w:rPr>
            </w:pPr>
            <w:r>
              <w:rPr>
                <w:rFonts w:ascii="Arial" w:cs="Arial" w:eastAsia="Arial" w:hAnsi="Arial"/>
                <w:sz w:val="18"/>
                <w:szCs w:val="18"/>
                <w:b w:val="1"/>
                <w:bCs w:val="1"/>
                <w:color w:val="auto"/>
              </w:rPr>
              <w:t>4.1%</w:t>
            </w:r>
          </w:p>
        </w:tc>
        <w:tc>
          <w:tcPr>
            <w:tcW w:w="1200" w:type="dxa"/>
            <w:vAlign w:val="bottom"/>
          </w:tcPr>
          <w:p>
            <w:pPr>
              <w:ind w:left="440"/>
              <w:spacing w:after="0" w:line="196" w:lineRule="exact"/>
              <w:rPr>
                <w:sz w:val="20"/>
                <w:szCs w:val="20"/>
                <w:color w:val="auto"/>
              </w:rPr>
            </w:pPr>
            <w:r>
              <w:rPr>
                <w:rFonts w:ascii="Arial" w:cs="Arial" w:eastAsia="Arial" w:hAnsi="Arial"/>
                <w:sz w:val="18"/>
                <w:szCs w:val="18"/>
                <w:color w:val="auto"/>
              </w:rPr>
              <w:t>3.4%</w:t>
            </w:r>
          </w:p>
        </w:tc>
      </w:tr>
      <w:tr>
        <w:trPr>
          <w:trHeight w:val="203"/>
        </w:trPr>
        <w:tc>
          <w:tcPr>
            <w:tcW w:w="33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1700" w:type="dxa"/>
            <w:vAlign w:val="bottom"/>
            <w:tcBorders>
              <w:bottom w:val="single" w:sz="8" w:color="auto"/>
            </w:tcBorders>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3.7%</w:t>
            </w:r>
          </w:p>
        </w:tc>
        <w:tc>
          <w:tcPr>
            <w:tcW w:w="124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3.7%</w:t>
            </w:r>
          </w:p>
        </w:tc>
        <w:tc>
          <w:tcPr>
            <w:tcW w:w="1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$604 million and $557 million for 2015 and 2014, respectively.</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Assumptions used in the calculation of net benefit cost include the discount rate selected and disclosed at the end of the previous year as well as other assumptions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Postretirement Benefits</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2015</w:t>
            </w:r>
          </w:p>
        </w:tc>
        <w:tc>
          <w:tcPr>
            <w:tcW w:w="16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line="196" w:lineRule="exact"/>
              <w:rPr>
                <w:sz w:val="20"/>
                <w:szCs w:val="20"/>
                <w:color w:val="auto"/>
              </w:rPr>
            </w:pPr>
            <w:r>
              <w:rPr>
                <w:rFonts w:ascii="Arial" w:cs="Arial" w:eastAsia="Arial" w:hAnsi="Arial"/>
                <w:sz w:val="18"/>
                <w:szCs w:val="18"/>
                <w:color w:val="auto"/>
              </w:rPr>
              <w:t>Discount rate</w:t>
            </w:r>
          </w:p>
        </w:tc>
        <w:tc>
          <w:tcPr>
            <w:tcW w:w="740" w:type="dxa"/>
            <w:vAlign w:val="bottom"/>
          </w:tcPr>
          <w:p>
            <w:pPr>
              <w:ind w:left="220"/>
              <w:spacing w:after="0" w:line="196" w:lineRule="exact"/>
              <w:rPr>
                <w:sz w:val="20"/>
                <w:szCs w:val="20"/>
                <w:color w:val="auto"/>
              </w:rPr>
            </w:pPr>
            <w:r>
              <w:rPr>
                <w:rFonts w:ascii="Arial" w:cs="Arial" w:eastAsia="Arial" w:hAnsi="Arial"/>
                <w:sz w:val="18"/>
                <w:szCs w:val="18"/>
                <w:b w:val="1"/>
                <w:bCs w:val="1"/>
                <w:color w:val="auto"/>
              </w:rPr>
              <w:t>3.4%</w:t>
            </w: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auto"/>
              </w:rPr>
              <w:t>4.3%</w:t>
            </w:r>
          </w:p>
        </w:tc>
        <w:tc>
          <w:tcPr>
            <w:tcW w:w="840" w:type="dxa"/>
            <w:vAlign w:val="bottom"/>
          </w:tcPr>
          <w:p>
            <w:pPr>
              <w:ind w:left="140"/>
              <w:spacing w:after="0" w:line="196" w:lineRule="exact"/>
              <w:rPr>
                <w:sz w:val="20"/>
                <w:szCs w:val="20"/>
                <w:color w:val="auto"/>
              </w:rPr>
            </w:pPr>
            <w:r>
              <w:rPr>
                <w:rFonts w:ascii="Arial" w:cs="Arial" w:eastAsia="Arial" w:hAnsi="Arial"/>
                <w:sz w:val="18"/>
                <w:szCs w:val="18"/>
                <w:color w:val="auto"/>
              </w:rPr>
              <w:t>3.8%</w:t>
            </w:r>
          </w:p>
        </w:tc>
        <w:tc>
          <w:tcPr>
            <w:tcW w:w="740" w:type="dxa"/>
            <w:vAlign w:val="bottom"/>
          </w:tcPr>
          <w:p>
            <w:pPr>
              <w:ind w:left="320"/>
              <w:spacing w:after="0" w:line="196" w:lineRule="exact"/>
              <w:rPr>
                <w:sz w:val="20"/>
                <w:szCs w:val="20"/>
                <w:color w:val="auto"/>
              </w:rPr>
            </w:pPr>
            <w:r>
              <w:rPr>
                <w:rFonts w:ascii="Arial" w:cs="Arial" w:eastAsia="Arial" w:hAnsi="Arial"/>
                <w:sz w:val="18"/>
                <w:szCs w:val="18"/>
                <w:b w:val="1"/>
                <w:bCs w:val="1"/>
                <w:color w:val="auto"/>
                <w:w w:val="97"/>
              </w:rPr>
              <w:t>3.4%</w:t>
            </w:r>
          </w:p>
        </w:tc>
        <w:tc>
          <w:tcPr>
            <w:tcW w:w="1660" w:type="dxa"/>
            <w:vAlign w:val="bottom"/>
          </w:tcPr>
          <w:p>
            <w:pPr>
              <w:ind w:left="600"/>
              <w:spacing w:after="0" w:line="196" w:lineRule="exact"/>
              <w:rPr>
                <w:sz w:val="20"/>
                <w:szCs w:val="20"/>
                <w:color w:val="auto"/>
              </w:rPr>
            </w:pPr>
            <w:r>
              <w:rPr>
                <w:rFonts w:ascii="Arial" w:cs="Arial" w:eastAsia="Arial" w:hAnsi="Arial"/>
                <w:sz w:val="18"/>
                <w:szCs w:val="18"/>
                <w:color w:val="auto"/>
              </w:rPr>
              <w:t>4.2%</w:t>
            </w:r>
          </w:p>
        </w:tc>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3.7%</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1" w:lineRule="exact"/>
              <w:rPr>
                <w:sz w:val="20"/>
                <w:szCs w:val="20"/>
                <w:color w:val="auto"/>
              </w:rPr>
            </w:pPr>
            <w:r>
              <w:rPr>
                <w:rFonts w:ascii="Arial" w:cs="Arial" w:eastAsia="Arial" w:hAnsi="Arial"/>
                <w:sz w:val="18"/>
                <w:szCs w:val="18"/>
                <w:color w:val="auto"/>
              </w:rPr>
              <w:t>Expected long-term rate of</w:t>
            </w:r>
          </w:p>
        </w:tc>
        <w:tc>
          <w:tcPr>
            <w:tcW w:w="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6.1%</w:t>
            </w: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return on assets</w:t>
            </w:r>
          </w:p>
        </w:tc>
        <w:tc>
          <w:tcPr>
            <w:tcW w:w="7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6.3%</w:t>
            </w:r>
          </w:p>
        </w:tc>
        <w:tc>
          <w:tcPr>
            <w:tcW w:w="84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6.2%</w:t>
            </w:r>
          </w:p>
        </w:tc>
        <w:tc>
          <w:tcPr>
            <w:tcW w:w="7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future contributions by the Company.</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net benefit expense (income)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Postretirement Benefits</w:t>
            </w:r>
          </w:p>
        </w:tc>
        <w:tc>
          <w:tcPr>
            <w:tcW w:w="660" w:type="dxa"/>
            <w:vAlign w:val="bottom"/>
            <w:tcBorders>
              <w:bottom w:val="single" w:sz="8" w:color="auto"/>
            </w:tcBorders>
          </w:tcPr>
          <w:p>
            <w:pPr>
              <w:spacing w:after="0"/>
              <w:rPr>
                <w:sz w:val="15"/>
                <w:szCs w:val="15"/>
                <w:color w:val="auto"/>
              </w:rPr>
            </w:pPr>
          </w:p>
        </w:tc>
      </w:tr>
      <w:tr>
        <w:trPr>
          <w:trHeight w:val="196"/>
        </w:trPr>
        <w:tc>
          <w:tcPr>
            <w:tcW w:w="2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r>
      <w:tr>
        <w:trPr>
          <w:trHeight w:val="196"/>
        </w:trPr>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 in millions)</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rPr>
              <w:t>17</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7"/>
                <w:szCs w:val="17"/>
                <w:color w:val="auto"/>
              </w:rPr>
            </w:pPr>
          </w:p>
        </w:tc>
        <w:tc>
          <w:tcPr>
            <w:tcW w:w="5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7"/>
                <w:szCs w:val="17"/>
                <w:color w:val="auto"/>
              </w:rPr>
            </w:pPr>
          </w:p>
        </w:tc>
        <w:tc>
          <w:tcPr>
            <w:tcW w:w="8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6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7"/>
                <w:szCs w:val="17"/>
                <w:color w:val="auto"/>
              </w:rPr>
            </w:pPr>
          </w:p>
        </w:tc>
        <w:tc>
          <w:tcPr>
            <w:tcW w:w="6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6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w:t>
            </w: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r>
      <w:tr>
        <w:trPr>
          <w:trHeight w:val="203"/>
        </w:trPr>
        <w:tc>
          <w:tcPr>
            <w:tcW w:w="2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(3)</w:t>
            </w:r>
          </w:p>
        </w:tc>
      </w:tr>
      <w:tr>
        <w:trPr>
          <w:trHeight w:val="237"/>
        </w:trPr>
        <w:tc>
          <w:tcPr>
            <w:tcW w:w="26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benefit expense (income)</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b w:val="1"/>
                <w:bCs w:val="1"/>
                <w:color w:val="auto"/>
              </w:rPr>
              <w:t>16</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3"/>
              <w:spacing w:after="0" w:line="196" w:lineRule="exact"/>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(2)</w:t>
            </w: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Beginning with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increases.</w:t>
      </w:r>
    </w:p>
    <w:p>
      <w:pPr>
        <w:spacing w:after="0" w:line="96"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January 30, 2016 was approximately $11 million. The following initial and ultimate cost trend rate assumptions were used to determine the benefit obligations under the 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565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Trend Rate</w:t>
            </w: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color w:val="auto"/>
              </w:rPr>
              <w:t>Initial cost trend rate</w:t>
            </w:r>
          </w:p>
        </w:tc>
        <w:tc>
          <w:tcPr>
            <w:tcW w:w="880" w:type="dxa"/>
            <w:vAlign w:val="bottom"/>
          </w:tcPr>
          <w:p>
            <w:pPr>
              <w:jc w:val="right"/>
              <w:ind w:right="97"/>
              <w:spacing w:after="0" w:line="196" w:lineRule="exact"/>
              <w:rPr>
                <w:sz w:val="20"/>
                <w:szCs w:val="20"/>
                <w:color w:val="auto"/>
              </w:rPr>
            </w:pPr>
            <w:r>
              <w:rPr>
                <w:rFonts w:ascii="Arial" w:cs="Arial" w:eastAsia="Arial" w:hAnsi="Arial"/>
                <w:sz w:val="18"/>
                <w:szCs w:val="18"/>
                <w:b w:val="1"/>
                <w:bCs w:val="1"/>
                <w:color w:val="auto"/>
              </w:rPr>
              <w:t>7.0%</w:t>
            </w:r>
          </w:p>
        </w:tc>
        <w:tc>
          <w:tcPr>
            <w:tcW w:w="1120" w:type="dxa"/>
            <w:vAlign w:val="bottom"/>
          </w:tcPr>
          <w:p>
            <w:pPr>
              <w:jc w:val="right"/>
              <w:ind w:right="274"/>
              <w:spacing w:after="0" w:line="196" w:lineRule="exact"/>
              <w:rPr>
                <w:sz w:val="20"/>
                <w:szCs w:val="20"/>
                <w:color w:val="auto"/>
              </w:rPr>
            </w:pPr>
            <w:r>
              <w:rPr>
                <w:rFonts w:ascii="Arial" w:cs="Arial" w:eastAsia="Arial" w:hAnsi="Arial"/>
                <w:sz w:val="18"/>
                <w:szCs w:val="18"/>
                <w:color w:val="auto"/>
              </w:rPr>
              <w:t>7.0%</w:t>
            </w:r>
          </w:p>
        </w:tc>
        <w:tc>
          <w:tcPr>
            <w:tcW w:w="76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7.0%</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1280" w:type="dxa"/>
            <w:vAlign w:val="bottom"/>
          </w:tcPr>
          <w:p>
            <w:pPr>
              <w:jc w:val="right"/>
              <w:ind w:right="317"/>
              <w:spacing w:after="0" w:line="196" w:lineRule="exact"/>
              <w:rPr>
                <w:sz w:val="20"/>
                <w:szCs w:val="20"/>
                <w:color w:val="auto"/>
              </w:rPr>
            </w:pPr>
            <w:r>
              <w:rPr>
                <w:rFonts w:ascii="Arial" w:cs="Arial" w:eastAsia="Arial" w:hAnsi="Arial"/>
                <w:sz w:val="18"/>
                <w:szCs w:val="18"/>
                <w:color w:val="auto"/>
              </w:rPr>
              <w:t>5.0%</w:t>
            </w:r>
          </w:p>
        </w:tc>
        <w:tc>
          <w:tcPr>
            <w:tcW w:w="7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8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5.0%</w:t>
            </w:r>
          </w:p>
        </w:tc>
        <w:tc>
          <w:tcPr>
            <w:tcW w:w="11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128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880" w:type="dxa"/>
            <w:vAlign w:val="bottom"/>
            <w:vMerge w:val="restart"/>
          </w:tcPr>
          <w:p>
            <w:pPr>
              <w:jc w:val="right"/>
              <w:ind w:right="257"/>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reached</w:t>
            </w:r>
          </w:p>
        </w:tc>
        <w:tc>
          <w:tcPr>
            <w:tcW w:w="8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434"/>
              <w:spacing w:after="0" w:line="203" w:lineRule="exact"/>
              <w:rPr>
                <w:sz w:val="20"/>
                <w:szCs w:val="20"/>
                <w:color w:val="auto"/>
              </w:rPr>
            </w:pPr>
            <w:r>
              <w:rPr>
                <w:rFonts w:ascii="Arial" w:cs="Arial" w:eastAsia="Arial" w:hAnsi="Arial"/>
                <w:sz w:val="18"/>
                <w:szCs w:val="18"/>
                <w:color w:val="auto"/>
              </w:rPr>
              <w:t>2019</w:t>
            </w:r>
          </w:p>
        </w:tc>
        <w:tc>
          <w:tcPr>
            <w:tcW w:w="760" w:type="dxa"/>
            <w:vAlign w:val="bottom"/>
            <w:tcBorders>
              <w:bottom w:val="single" w:sz="8" w:color="auto"/>
            </w:tcBorders>
          </w:tcPr>
          <w:p>
            <w:pPr>
              <w:jc w:val="right"/>
              <w:ind w:right="274"/>
              <w:spacing w:after="0" w:line="203" w:lineRule="exact"/>
              <w:rPr>
                <w:sz w:val="20"/>
                <w:szCs w:val="20"/>
                <w:color w:val="auto"/>
              </w:rPr>
            </w:pPr>
            <w:r>
              <w:rPr>
                <w:rFonts w:ascii="Arial" w:cs="Arial" w:eastAsia="Arial" w:hAnsi="Arial"/>
                <w:sz w:val="18"/>
                <w:szCs w:val="18"/>
                <w:color w:val="auto"/>
                <w:w w:val="94"/>
              </w:rPr>
              <w:t>2018</w:t>
            </w:r>
          </w:p>
        </w:tc>
        <w:tc>
          <w:tcPr>
            <w:tcW w:w="7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477"/>
              <w:spacing w:after="0" w:line="203" w:lineRule="exact"/>
              <w:rPr>
                <w:sz w:val="20"/>
                <w:szCs w:val="20"/>
                <w:color w:val="auto"/>
              </w:rPr>
            </w:pPr>
            <w:r>
              <w:rPr>
                <w:rFonts w:ascii="Arial" w:cs="Arial" w:eastAsia="Arial" w:hAnsi="Arial"/>
                <w:sz w:val="18"/>
                <w:szCs w:val="18"/>
                <w:color w:val="auto"/>
              </w:rPr>
              <w:t>2015</w:t>
            </w:r>
          </w:p>
        </w:tc>
        <w:tc>
          <w:tcPr>
            <w:tcW w:w="72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initial and ultimate cost trend rate assumptions were used to determine the net periodic cost under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Trend Rate</w:t>
            </w: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color w:val="auto"/>
              </w:rPr>
              <w:t>Initial cost trend rate</w:t>
            </w:r>
          </w:p>
        </w:tc>
        <w:tc>
          <w:tcPr>
            <w:tcW w:w="880" w:type="dxa"/>
            <w:vAlign w:val="bottom"/>
          </w:tcPr>
          <w:p>
            <w:pPr>
              <w:jc w:val="right"/>
              <w:ind w:right="97"/>
              <w:spacing w:after="0" w:line="196" w:lineRule="exact"/>
              <w:rPr>
                <w:sz w:val="20"/>
                <w:szCs w:val="20"/>
                <w:color w:val="auto"/>
              </w:rPr>
            </w:pPr>
            <w:r>
              <w:rPr>
                <w:rFonts w:ascii="Arial" w:cs="Arial" w:eastAsia="Arial" w:hAnsi="Arial"/>
                <w:sz w:val="18"/>
                <w:szCs w:val="18"/>
                <w:b w:val="1"/>
                <w:bCs w:val="1"/>
                <w:color w:val="auto"/>
              </w:rPr>
              <w:t>7.0%</w:t>
            </w:r>
          </w:p>
        </w:tc>
        <w:tc>
          <w:tcPr>
            <w:tcW w:w="1120" w:type="dxa"/>
            <w:vAlign w:val="bottom"/>
          </w:tcPr>
          <w:p>
            <w:pPr>
              <w:jc w:val="right"/>
              <w:ind w:right="274"/>
              <w:spacing w:after="0" w:line="196" w:lineRule="exact"/>
              <w:rPr>
                <w:sz w:val="20"/>
                <w:szCs w:val="20"/>
                <w:color w:val="auto"/>
              </w:rPr>
            </w:pPr>
            <w:r>
              <w:rPr>
                <w:rFonts w:ascii="Arial" w:cs="Arial" w:eastAsia="Arial" w:hAnsi="Arial"/>
                <w:sz w:val="18"/>
                <w:szCs w:val="18"/>
                <w:color w:val="auto"/>
              </w:rPr>
              <w:t>7.0%</w:t>
            </w:r>
          </w:p>
        </w:tc>
        <w:tc>
          <w:tcPr>
            <w:tcW w:w="76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7.5%</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1280" w:type="dxa"/>
            <w:vAlign w:val="bottom"/>
          </w:tcPr>
          <w:p>
            <w:pPr>
              <w:jc w:val="right"/>
              <w:ind w:right="317"/>
              <w:spacing w:after="0" w:line="196" w:lineRule="exact"/>
              <w:rPr>
                <w:sz w:val="20"/>
                <w:szCs w:val="20"/>
                <w:color w:val="auto"/>
              </w:rPr>
            </w:pPr>
            <w:r>
              <w:rPr>
                <w:rFonts w:ascii="Arial" w:cs="Arial" w:eastAsia="Arial" w:hAnsi="Arial"/>
                <w:sz w:val="18"/>
                <w:szCs w:val="18"/>
                <w:color w:val="auto"/>
              </w:rPr>
              <w:t>5.0%</w:t>
            </w:r>
          </w:p>
        </w:tc>
        <w:tc>
          <w:tcPr>
            <w:tcW w:w="7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8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5.0%</w:t>
            </w:r>
          </w:p>
        </w:tc>
        <w:tc>
          <w:tcPr>
            <w:tcW w:w="11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128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880" w:type="dxa"/>
            <w:vAlign w:val="bottom"/>
            <w:vMerge w:val="restart"/>
          </w:tcPr>
          <w:p>
            <w:pPr>
              <w:jc w:val="right"/>
              <w:ind w:right="257"/>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reached</w:t>
            </w:r>
          </w:p>
        </w:tc>
        <w:tc>
          <w:tcPr>
            <w:tcW w:w="8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434"/>
              <w:spacing w:after="0" w:line="203" w:lineRule="exact"/>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jc w:val="right"/>
              <w:ind w:right="274"/>
              <w:spacing w:after="0" w:line="203" w:lineRule="exact"/>
              <w:rPr>
                <w:sz w:val="20"/>
                <w:szCs w:val="20"/>
                <w:color w:val="auto"/>
              </w:rPr>
            </w:pPr>
            <w:r>
              <w:rPr>
                <w:rFonts w:ascii="Arial" w:cs="Arial" w:eastAsia="Arial" w:hAnsi="Arial"/>
                <w:sz w:val="18"/>
                <w:szCs w:val="18"/>
                <w:color w:val="auto"/>
                <w:w w:val="94"/>
              </w:rPr>
              <w:t>2018</w:t>
            </w:r>
          </w:p>
        </w:tc>
        <w:tc>
          <w:tcPr>
            <w:tcW w:w="7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477"/>
              <w:spacing w:after="0" w:line="203" w:lineRule="exact"/>
              <w:rPr>
                <w:sz w:val="20"/>
                <w:szCs w:val="20"/>
                <w:color w:val="auto"/>
              </w:rPr>
            </w:pPr>
            <w:r>
              <w:rPr>
                <w:rFonts w:ascii="Arial" w:cs="Arial" w:eastAsia="Arial" w:hAnsi="Arial"/>
                <w:sz w:val="18"/>
                <w:szCs w:val="18"/>
                <w:color w:val="auto"/>
              </w:rPr>
              <w:t>2014</w:t>
            </w:r>
          </w:p>
        </w:tc>
        <w:tc>
          <w:tcPr>
            <w:tcW w:w="72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one percentage-point change in the assumed health care cost trend rates would have the following effects on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1% Increase</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1% (Decrease)</w:t>
            </w:r>
          </w:p>
        </w:tc>
      </w:tr>
      <w:tr>
        <w:trPr>
          <w:trHeight w:val="195"/>
        </w:trPr>
        <w:tc>
          <w:tcPr>
            <w:tcW w:w="5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 in millions)</w:t>
            </w:r>
          </w:p>
        </w:tc>
        <w:tc>
          <w:tcPr>
            <w:tcW w:w="640" w:type="dxa"/>
            <w:vAlign w:val="bottom"/>
          </w:tcPr>
          <w:p>
            <w:pPr>
              <w:spacing w:after="0"/>
              <w:rPr>
                <w:sz w:val="16"/>
                <w:szCs w:val="16"/>
                <w:color w:val="auto"/>
              </w:rPr>
            </w:pPr>
          </w:p>
        </w:tc>
      </w:tr>
      <w:tr>
        <w:trPr>
          <w:trHeight w:val="203"/>
        </w:trPr>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Effect on total service and interest cost components</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9"/>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59"/>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Effect on accumulated postretirement benefit obligation</w:t>
            </w:r>
          </w:p>
        </w:tc>
        <w:tc>
          <w:tcPr>
            <w:tcW w:w="1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w:t>
            </w: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In 2014 and 2015, the Company used the RP 2000 mortality table with generational projection using scale AA for both males and females. The RP 2000 table was selected because it resulted in the closest match to the Company’s actual experience. For the SERP Medical Plan, the mortality assumption was updated in 2015 to the RPH 2015 table with generational projection using MP 2015, while in the prior year period we used the RP 2014 table with generational projection using MP 2014.</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Plan Assets</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target composition of the Company’s Canadian qualified pension plan assets is 95 percent fixed-income securities and 5 percent equity. The Company believes that plan assets are invested in a prudent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 This allocation has resulted in higher pension expense due to the lower long-term rate of return associated with fixed-income securities.</w:t>
      </w:r>
    </w:p>
    <w:p>
      <w:pPr>
        <w:spacing w:after="0" w:line="101" w:lineRule="exact"/>
        <w:rPr>
          <w:sz w:val="20"/>
          <w:szCs w:val="20"/>
          <w:color w:val="auto"/>
        </w:rPr>
      </w:pPr>
    </w:p>
    <w:p>
      <w:pPr>
        <w:jc w:val="both"/>
        <w:ind w:left="60" w:right="539"/>
        <w:spacing w:after="0" w:line="252" w:lineRule="auto"/>
        <w:rPr>
          <w:sz w:val="20"/>
          <w:szCs w:val="20"/>
          <w:color w:val="auto"/>
        </w:rPr>
      </w:pPr>
      <w:r>
        <w:rPr>
          <w:rFonts w:ascii="Arial" w:cs="Arial" w:eastAsia="Arial" w:hAnsi="Arial"/>
          <w:sz w:val="18"/>
          <w:szCs w:val="18"/>
          <w:color w:val="auto"/>
        </w:rPr>
        <w:t>The target composition of the Company’s U.S. qualified pension plan assets was 60 percent fixed-income securities, 36.5 percent equity, and 3.5 percent real estate investment trust. The Company may alter the targets from time to time depending on market conditions and the funding requirements of the pension plan. This current asset allocation is expected to limit volatility with regard to the funded status of the plan, but will result in higher pension expense due to the lower long-term rate of return associated with fixed-income securities. Due to market conditions and other factors, actual asset allocations may vary from the target allocation outlined above.</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believes that plan assets are invested in a prudent manner with an objective of providing a total return that, over the long term, provides sufficient assets to fund benefit obligations, taking into account the Company’s expected contributions and the level of risk deemed appropriate. The Company’s investment strategy seeks to utilize asset classes with differing rates of return, volatility, and correlation in order to reduce risk by providing diversification relative to equities. Diversification within asset classes is also utilized to ensure that there are no significant concentrations of risk in plan assets and to reduce the effect that the return on any single investment may have on the entire portfolio.</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5319" w:firstLine="8"/>
        <w:spacing w:after="0" w:line="388" w:lineRule="auto"/>
        <w:tabs>
          <w:tab w:leader="none" w:pos="41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and Other Benefits – (continued) </w:t>
      </w:r>
      <w:r>
        <w:rPr>
          <w:rFonts w:ascii="Arial" w:cs="Arial" w:eastAsia="Arial" w:hAnsi="Arial"/>
          <w:sz w:val="18"/>
          <w:szCs w:val="18"/>
          <w:i w:val="1"/>
          <w:iCs w:val="1"/>
          <w:color w:val="auto"/>
        </w:rPr>
        <w:t>Valuation of Investments</w:t>
      </w:r>
    </w:p>
    <w:p>
      <w:pPr>
        <w:spacing w:after="0" w:line="1"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w:t>
      </w:r>
    </w:p>
    <w:p>
      <w:pPr>
        <w:spacing w:after="0" w:line="94"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fair values of the Company’s Canadian pension plan assets at January 30, 2016 and January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5"/>
        </w:trPr>
        <w:tc>
          <w:tcPr>
            <w:tcW w:w="3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76"/>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line="203" w:lineRule="exact"/>
              <w:rPr>
                <w:sz w:val="20"/>
                <w:szCs w:val="20"/>
                <w:color w:val="auto"/>
              </w:rPr>
            </w:pPr>
            <w:r>
              <w:rPr>
                <w:rFonts w:ascii="Arial" w:cs="Arial" w:eastAsia="Arial" w:hAnsi="Arial"/>
                <w:sz w:val="18"/>
                <w:szCs w:val="18"/>
                <w:color w:val="auto"/>
              </w:rPr>
              <w:t>2</w:t>
            </w:r>
          </w:p>
        </w:tc>
        <w:tc>
          <w:tcPr>
            <w:tcW w:w="32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ind w:left="360"/>
              <w:spacing w:after="0" w:line="203"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6"/>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line="243" w:lineRule="exact"/>
              <w:rPr>
                <w:sz w:val="20"/>
                <w:szCs w:val="20"/>
                <w:color w:val="auto"/>
              </w:rPr>
            </w:pPr>
            <w:r>
              <w:rPr>
                <w:rFonts w:ascii="Arial" w:cs="Arial" w:eastAsia="Arial" w:hAnsi="Arial"/>
                <w:sz w:val="17"/>
                <w:szCs w:val="17"/>
                <w:color w:val="auto"/>
              </w:rPr>
              <w:t>Canadian and international</w:t>
            </w:r>
            <w:r>
              <w:rPr>
                <w:rFonts w:ascii="Arial" w:cs="Arial" w:eastAsia="Arial" w:hAnsi="Arial"/>
                <w:sz w:val="28"/>
                <w:szCs w:val="28"/>
                <w:color w:val="auto"/>
                <w:vertAlign w:val="superscript"/>
              </w:rPr>
              <w:t>(1)</w:t>
            </w:r>
          </w:p>
        </w:tc>
        <w:tc>
          <w:tcPr>
            <w:tcW w:w="7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21"/>
                <w:szCs w:val="21"/>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Fixed-income securities:</w:t>
            </w: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tcPr>
          <w:p>
            <w:pPr>
              <w:ind w:left="200"/>
              <w:spacing w:after="0" w:line="243" w:lineRule="exact"/>
              <w:rPr>
                <w:sz w:val="20"/>
                <w:szCs w:val="20"/>
                <w:color w:val="auto"/>
              </w:rPr>
            </w:pPr>
            <w:r>
              <w:rPr>
                <w:rFonts w:ascii="Arial" w:cs="Arial" w:eastAsia="Arial" w:hAnsi="Arial"/>
                <w:sz w:val="17"/>
                <w:szCs w:val="17"/>
                <w:color w:val="auto"/>
              </w:rPr>
              <w:t>Cash matched bonds</w:t>
            </w:r>
            <w:r>
              <w:rPr>
                <w:rFonts w:ascii="Arial" w:cs="Arial" w:eastAsia="Arial" w:hAnsi="Arial"/>
                <w:sz w:val="28"/>
                <w:szCs w:val="28"/>
                <w:color w:val="auto"/>
                <w:vertAlign w:val="superscript"/>
              </w:rPr>
              <w:t>(2)</w:t>
            </w:r>
          </w:p>
        </w:tc>
        <w:tc>
          <w:tcPr>
            <w:tcW w:w="7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52</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b w:val="1"/>
                <w:bCs w:val="1"/>
                <w:color w:val="auto"/>
              </w:rPr>
              <w:t>58</w:t>
            </w:r>
          </w:p>
        </w:tc>
        <w:tc>
          <w:tcPr>
            <w:tcW w:w="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2015 and 2014.</w:t>
      </w:r>
    </w:p>
    <w:p>
      <w:pPr>
        <w:spacing w:after="0" w:line="122"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(1) This category comprises one mutual fund that invests primarily in a diverse portfolio of Canadian securities.</w:t>
      </w:r>
    </w:p>
    <w:p>
      <w:pPr>
        <w:spacing w:after="0" w:line="123" w:lineRule="exact"/>
        <w:rPr>
          <w:sz w:val="20"/>
          <w:szCs w:val="20"/>
          <w:color w:val="auto"/>
        </w:rPr>
      </w:pPr>
    </w:p>
    <w:p>
      <w:pPr>
        <w:ind w:left="300" w:right="519" w:hanging="272"/>
        <w:spacing w:after="0" w:line="278"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Level 3 assets were held by the Canadian pension plan during 2015 and 2014.</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values of the Company’s U.S. pension plan assets at January 30, 2016 and January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1"/>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ind w:left="360"/>
              <w:spacing w:after="0" w:line="203"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U.S. large-cap</w:t>
            </w:r>
            <w:r>
              <w:rPr>
                <w:rFonts w:ascii="Arial" w:cs="Arial" w:eastAsia="Arial" w:hAnsi="Arial"/>
                <w:sz w:val="28"/>
                <w:szCs w:val="28"/>
                <w:color w:val="auto"/>
                <w:vertAlign w:val="superscript"/>
              </w:rPr>
              <w:t>(1)</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93</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U.S. mid-cap</w:t>
            </w:r>
            <w:r>
              <w:rPr>
                <w:rFonts w:ascii="Arial" w:cs="Arial" w:eastAsia="Arial" w:hAnsi="Arial"/>
                <w:sz w:val="28"/>
                <w:szCs w:val="28"/>
                <w:color w:val="auto"/>
                <w:vertAlign w:val="superscript"/>
              </w:rPr>
              <w:t>(1)</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International</w:t>
            </w:r>
            <w:r>
              <w:rPr>
                <w:rFonts w:ascii="Arial" w:cs="Arial" w:eastAsia="Arial" w:hAnsi="Arial"/>
                <w:sz w:val="28"/>
                <w:szCs w:val="28"/>
                <w:color w:val="auto"/>
                <w:vertAlign w:val="superscript"/>
              </w:rPr>
              <w:t>(2)</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Corporate stock</w:t>
            </w:r>
            <w:r>
              <w:rPr>
                <w:rFonts w:ascii="Arial" w:cs="Arial" w:eastAsia="Arial" w:hAnsi="Arial"/>
                <w:sz w:val="28"/>
                <w:szCs w:val="28"/>
                <w:color w:val="auto"/>
                <w:vertAlign w:val="superscript"/>
              </w:rPr>
              <w:t>(3)</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Fixed-income securities: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Long duration corporate and government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CEEFF"/>
          </w:tcPr>
          <w:p>
            <w:pPr>
              <w:ind w:left="380"/>
              <w:spacing w:after="0" w:line="243" w:lineRule="exact"/>
              <w:rPr>
                <w:sz w:val="20"/>
                <w:szCs w:val="20"/>
                <w:color w:val="auto"/>
              </w:rPr>
            </w:pPr>
            <w:r>
              <w:rPr>
                <w:rFonts w:ascii="Arial" w:cs="Arial" w:eastAsia="Arial" w:hAnsi="Arial"/>
                <w:sz w:val="17"/>
                <w:szCs w:val="17"/>
                <w:color w:val="auto"/>
              </w:rPr>
              <w:t>bonds</w:t>
            </w:r>
            <w:r>
              <w:rPr>
                <w:rFonts w:ascii="Arial" w:cs="Arial" w:eastAsia="Arial" w:hAnsi="Arial"/>
                <w:sz w:val="28"/>
                <w:szCs w:val="28"/>
                <w:color w:val="auto"/>
                <w:vertAlign w:val="superscript"/>
              </w:rPr>
              <w:t>(4)</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217</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3580" w:type="dxa"/>
            <w:vAlign w:val="bottom"/>
          </w:tcPr>
          <w:p>
            <w:pPr>
              <w:ind w:left="200"/>
              <w:spacing w:after="0" w:line="202" w:lineRule="exact"/>
              <w:rPr>
                <w:sz w:val="20"/>
                <w:szCs w:val="20"/>
                <w:color w:val="auto"/>
              </w:rPr>
            </w:pPr>
            <w:r>
              <w:rPr>
                <w:rFonts w:ascii="Arial" w:cs="Arial" w:eastAsia="Arial" w:hAnsi="Arial"/>
                <w:sz w:val="18"/>
                <w:szCs w:val="18"/>
                <w:color w:val="auto"/>
              </w:rPr>
              <w:t>Intermediate duration corporate and</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380"/>
              <w:spacing w:after="0" w:line="243" w:lineRule="exact"/>
              <w:rPr>
                <w:sz w:val="20"/>
                <w:szCs w:val="20"/>
                <w:color w:val="auto"/>
              </w:rPr>
            </w:pPr>
            <w:r>
              <w:rPr>
                <w:rFonts w:ascii="Arial" w:cs="Arial" w:eastAsia="Arial" w:hAnsi="Arial"/>
                <w:sz w:val="17"/>
                <w:szCs w:val="17"/>
                <w:color w:val="auto"/>
              </w:rPr>
              <w:t>government bonds</w:t>
            </w:r>
            <w:r>
              <w:rPr>
                <w:rFonts w:ascii="Arial" w:cs="Arial" w:eastAsia="Arial" w:hAnsi="Arial"/>
                <w:sz w:val="28"/>
                <w:szCs w:val="28"/>
                <w:color w:val="auto"/>
                <w:vertAlign w:val="superscript"/>
              </w:rPr>
              <w:t>(5)</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99</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types of investments: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0"/>
              <w:spacing w:after="0" w:line="243" w:lineRule="exact"/>
              <w:rPr>
                <w:sz w:val="20"/>
                <w:szCs w:val="20"/>
                <w:color w:val="auto"/>
              </w:rPr>
            </w:pPr>
            <w:r>
              <w:rPr>
                <w:rFonts w:ascii="Arial" w:cs="Arial" w:eastAsia="Arial" w:hAnsi="Arial"/>
                <w:sz w:val="17"/>
                <w:szCs w:val="17"/>
                <w:color w:val="auto"/>
              </w:rPr>
              <w:t>Real estate securities</w:t>
            </w:r>
            <w:r>
              <w:rPr>
                <w:rFonts w:ascii="Arial" w:cs="Arial" w:eastAsia="Arial" w:hAnsi="Arial"/>
                <w:sz w:val="28"/>
                <w:szCs w:val="28"/>
                <w:color w:val="auto"/>
                <w:vertAlign w:val="superscript"/>
              </w:rPr>
              <w:t>(6)</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Insurance contracts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(7)</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517</w:t>
            </w:r>
          </w:p>
        </w:tc>
        <w:tc>
          <w:tcPr>
            <w:tcW w:w="30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b w:val="1"/>
                <w:bCs w:val="1"/>
                <w:color w:val="auto"/>
              </w:rPr>
              <w:t>544</w:t>
            </w:r>
          </w:p>
        </w:tc>
        <w:tc>
          <w:tcPr>
            <w:tcW w:w="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2015 and 2014.</w:t>
      </w:r>
    </w:p>
    <w:p>
      <w:pPr>
        <w:spacing w:after="0" w:line="123" w:lineRule="exact"/>
        <w:rPr>
          <w:sz w:val="20"/>
          <w:szCs w:val="20"/>
          <w:color w:val="auto"/>
        </w:rPr>
      </w:pPr>
    </w:p>
    <w:p>
      <w:pPr>
        <w:ind w:left="300" w:right="519" w:hanging="272"/>
        <w:spacing w:after="0" w:line="278" w:lineRule="auto"/>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categories consist of various managed funds that invest primarily in common stocks, as well as other equity securities and a combination of other funds.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20" w:hanging="352"/>
        <w:spacing w:after="0"/>
        <w:tabs>
          <w:tab w:leader="none" w:pos="42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and Other Benefits – (continued)</w:t>
      </w:r>
    </w:p>
    <w:p>
      <w:pPr>
        <w:spacing w:after="0" w:line="144" w:lineRule="exact"/>
        <w:rPr>
          <w:rFonts w:ascii="Arial" w:cs="Arial" w:eastAsia="Arial" w:hAnsi="Arial"/>
          <w:sz w:val="18"/>
          <w:szCs w:val="18"/>
          <w:b w:val="1"/>
          <w:bCs w:val="1"/>
          <w:color w:val="auto"/>
        </w:rPr>
      </w:pPr>
    </w:p>
    <w:p>
      <w:pPr>
        <w:ind w:left="300" w:right="539" w:hanging="272"/>
        <w:spacing w:after="0" w:line="278"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comprises three managed funds that invest primarily in international common stocks, as well as other equity securities and a combination of other funds.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consists of the Company’s common stock. The increase from the prior year is due to price appreciation. No additional stock was contributed during the year.</w:t>
      </w:r>
    </w:p>
    <w:p>
      <w:pPr>
        <w:spacing w:after="0" w:line="86"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consists of various fixed-income funds that invest primarily in long-term bonds, as well as a combination of other funds, that together are designed to exceed the performance of related long-term market indices.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consists of two fixed-income funds that invest primarily in intermediate duration bonds, as well as a combination of other funds, that together are designed to exceed the performance of related indices.</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consists of one fund that invests in global real estate securities.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category consists primarily of cash related to net pending trade purchases and sales.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Level 3 assets were held by the U.S. pension plan during 2015 and 2014.</w:t>
      </w:r>
    </w:p>
    <w:p>
      <w:pPr>
        <w:spacing w:after="0" w:line="11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 xml:space="preserve">During 2015, the Company made a contribution of $4 million to its U.S. qualified pension plan. Subsequent to year end, in February 2016, the Company contributed $25 million to its U.S. qualified pension plan. The Company continuously evaluates the amount and timing of any future contributions. Future contributions are dependent on several factors, including the outcome of the ongoing U.S. pension litigation. See Note 23, </w:t>
      </w:r>
      <w:r>
        <w:rPr>
          <w:rFonts w:ascii="Arial" w:cs="Arial" w:eastAsia="Arial" w:hAnsi="Arial"/>
          <w:sz w:val="18"/>
          <w:szCs w:val="18"/>
          <w:i w:val="1"/>
          <w:iCs w:val="1"/>
          <w:color w:val="auto"/>
        </w:rPr>
        <w:t>Legal Proceedings</w:t>
      </w:r>
      <w:r>
        <w:rPr>
          <w:rFonts w:ascii="Arial" w:cs="Arial" w:eastAsia="Arial" w:hAnsi="Arial"/>
          <w:sz w:val="18"/>
          <w:szCs w:val="18"/>
          <w:color w:val="auto"/>
        </w:rPr>
        <w:t>, for further information. During 2015, the Company also paid $4 million in pension benefits related to its non-qualified pension plans.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benefit payments for each of the next five years and the five years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Pension</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36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Benefits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3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4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 in millions)</w:t>
            </w:r>
          </w:p>
        </w:tc>
      </w:tr>
      <w:tr>
        <w:trPr>
          <w:trHeight w:val="203"/>
        </w:trPr>
        <w:tc>
          <w:tcPr>
            <w:tcW w:w="3680" w:type="dxa"/>
            <w:vAlign w:val="bottom"/>
          </w:tcPr>
          <w:p>
            <w:pPr>
              <w:ind w:left="20"/>
              <w:spacing w:after="0" w:line="203" w:lineRule="exact"/>
              <w:rPr>
                <w:sz w:val="20"/>
                <w:szCs w:val="20"/>
                <w:color w:val="auto"/>
              </w:rPr>
            </w:pPr>
            <w:r>
              <w:rPr>
                <w:rFonts w:ascii="Arial" w:cs="Arial" w:eastAsia="Arial" w:hAnsi="Arial"/>
                <w:sz w:val="18"/>
                <w:szCs w:val="18"/>
                <w:color w:val="auto"/>
              </w:rPr>
              <w:t>2016</w:t>
            </w:r>
          </w:p>
        </w:tc>
        <w:tc>
          <w:tcPr>
            <w:tcW w:w="2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6"/>
              <w:spacing w:after="0" w:line="203" w:lineRule="exact"/>
              <w:rPr>
                <w:sz w:val="20"/>
                <w:szCs w:val="20"/>
                <w:color w:val="auto"/>
              </w:rPr>
            </w:pPr>
            <w:r>
              <w:rPr>
                <w:rFonts w:ascii="Arial" w:cs="Arial" w:eastAsia="Arial" w:hAnsi="Arial"/>
                <w:sz w:val="18"/>
                <w:szCs w:val="18"/>
                <w:color w:val="auto"/>
              </w:rPr>
              <w:t>71</w:t>
            </w:r>
          </w:p>
        </w:tc>
        <w:tc>
          <w:tcPr>
            <w:tcW w:w="36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3"/>
              <w:spacing w:after="0" w:line="203" w:lineRule="exact"/>
              <w:rPr>
                <w:sz w:val="20"/>
                <w:szCs w:val="20"/>
                <w:color w:val="auto"/>
              </w:rPr>
            </w:pPr>
            <w:r>
              <w:rPr>
                <w:rFonts w:ascii="Arial" w:cs="Arial" w:eastAsia="Arial" w:hAnsi="Arial"/>
                <w:sz w:val="18"/>
                <w:szCs w:val="18"/>
                <w:color w:val="auto"/>
              </w:rPr>
              <w:t>1</w:t>
            </w: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2017</w:t>
            </w:r>
          </w:p>
        </w:tc>
        <w:tc>
          <w:tcPr>
            <w:tcW w:w="2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286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52</w:t>
            </w: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w:t>
            </w: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2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286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50</w:t>
            </w:r>
          </w:p>
        </w:tc>
        <w:tc>
          <w:tcPr>
            <w:tcW w:w="36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w:t>
            </w:r>
          </w:p>
        </w:tc>
      </w:tr>
      <w:tr>
        <w:trPr>
          <w:trHeight w:val="203"/>
        </w:trPr>
        <w:tc>
          <w:tcPr>
            <w:tcW w:w="368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2021 – 2025</w:t>
            </w:r>
          </w:p>
        </w:tc>
        <w:tc>
          <w:tcPr>
            <w:tcW w:w="28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231</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3</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Savings Plans</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The Company has two qualified savings plans, a 401(k) plan that is available to employees whose primary place of employment is the U.S., and an another plan that is available to employees whose primary place of employment is in Puerto Rico. Both plans limit participation to employees who have attained at least the age of twenty-one and have completed one year of service consisting of at least 1,000 hours. As of January 1, 2016, the savings plans allow eligible employees to contribute up to 40 percent of their compensation on a pre-tax basis, subject to a maximum of $18,000 for the U.S. plan and $15,000 for the Puerto Rico plan. The Company matches 25 percent of employees’ pre-tax contributions on up to the first 4 percent of the employees’ compensation (subject to certain limitations). Matching contributions made before January 1, 2016 were made with Company stock. Matching contributions made after January 1, 2016 will be made in cash. Such matching contributions are vested incrementally over the first 5 years of participation for both plans. The charge to operations for the Company’s matching contribution was $3 million for all years presented.</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7279" w:firstLine="8"/>
        <w:spacing w:after="0" w:line="388" w:lineRule="auto"/>
        <w:tabs>
          <w:tab w:leader="none" w:pos="41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i w:val="1"/>
          <w:iCs w:val="1"/>
          <w:color w:val="auto"/>
        </w:rPr>
        <w:t>Stock Awards</w:t>
      </w:r>
    </w:p>
    <w:p>
      <w:pPr>
        <w:spacing w:after="0" w:line="1"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Under the Company’s 2007 Stock Incentive Plan (the “2007 Stock Plan”), stock options, restricted stock, restricted stock units, stock appreciation rights, or other stock-based awards may be granted to officers and other employees of the Company, including its subsidiaries and operating divisions worldwide. Nonemployee directors are also eligible to receive awards under this plan. Options for employees become exercisable in substantially equal annual installments over a three-year period, beginning with the first anniversary of the date of grant of the option, unless a shorter or longer duration is established at the time of the option grant. Options for nonemployee directors become exercisable one year from the date of grant. The options terminate up to ten years from the date of grant. On May 21, 2014, the 2007 Stock Plan was amended to increase the number of shares of the Company’s common stock reserved for all awards to 14 million shares. As of January 30, 2016, there were 13,038,597 shares available for issuance under this plan.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Employees Stock Purchase Plan</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Under the Company’s 2013 Foot Locker Employees Stock Purchase Plan (“ESPP”), participating employees are able to contribute up to 10 percent of their annual compensation, not to exceed $ 25,000 in any plan year, through payroll deductions to acquire shares of the Company’s common stock at 85 percent of the lower market price on one of two specified dates in each plan year. Of the 3,000,000 shares of common stock authorized under this plan, 996 participating employees purchased 124,494 shares in 2015, and 958 participating employees purchased 160,859 shares in 2014. As of January 30, 2016, there were 2,714,647 shares available for purchase under this plan.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Share-Based Compensation Expense</w:t>
      </w:r>
    </w:p>
    <w:p>
      <w:pPr>
        <w:spacing w:after="0" w:line="135"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65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60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3" w:lineRule="exact"/>
              <w:rPr>
                <w:sz w:val="20"/>
                <w:szCs w:val="20"/>
                <w:color w:val="auto"/>
              </w:rPr>
            </w:pPr>
            <w:r>
              <w:rPr>
                <w:rFonts w:ascii="Arial" w:cs="Arial" w:eastAsia="Arial" w:hAnsi="Arial"/>
                <w:sz w:val="18"/>
                <w:szCs w:val="18"/>
                <w:color w:val="auto"/>
              </w:rPr>
              <w:t>Options and shares purchased under the employee stock purchase plan</w:t>
            </w:r>
          </w:p>
        </w:tc>
        <w:tc>
          <w:tcPr>
            <w:tcW w:w="4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13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and restricted stock units</w:t>
            </w:r>
          </w:p>
        </w:tc>
        <w:tc>
          <w:tcPr>
            <w:tcW w:w="4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share-based compensation expense</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22</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5"/>
              <w:spacing w:after="0" w:line="196" w:lineRule="exact"/>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benefit recognized</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6000" w:type="dxa"/>
            <w:vAlign w:val="bottom"/>
          </w:tcPr>
          <w:p>
            <w:pPr>
              <w:ind w:left="20"/>
              <w:spacing w:after="0" w:line="201" w:lineRule="exact"/>
              <w:rPr>
                <w:sz w:val="20"/>
                <w:szCs w:val="20"/>
                <w:color w:val="auto"/>
              </w:rPr>
            </w:pPr>
            <w:r>
              <w:rPr>
                <w:rFonts w:ascii="Arial" w:cs="Arial" w:eastAsia="Arial" w:hAnsi="Arial"/>
                <w:sz w:val="18"/>
                <w:szCs w:val="18"/>
                <w:color w:val="auto"/>
              </w:rPr>
              <w:t>Excess income tax benefit from settled equity-classified share-based</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awards reported as a cash flow from financing activities</w:t>
            </w:r>
          </w:p>
        </w:tc>
        <w:tc>
          <w:tcPr>
            <w:tcW w:w="4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5"/>
              <w:spacing w:after="0" w:line="203"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135"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94"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 estimates the expected term of share-based awards granted using the Company’s historical exercise and post-vesting employment termination patterns, which it believes are representative of future behavior. The expected term for the employee stock purchase plan valuation is based on the length of each purchase period as measured at the beginning of the offering period, which is one year.</w:t>
      </w: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The Company estimates the expected volatility of its common stock at the grant date using a weighted-average of the Company’s historical volatility and implied volatility from traded options on the Company’s common stock. The Company believes that the combination of historical volatility and implied volatility provides a better estimate of future stock price volatility.</w:t>
      </w:r>
    </w:p>
    <w:p>
      <w:pPr>
        <w:spacing w:after="0" w:line="9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94"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 records share-based compensation expense only for those awards expected to vest using an estimated forfeiture rate based on its historical pre-vesting forfeiture data. The Company estimates pre-vesting option forfeitures at the time of grant and periodically revises those estimates in subsequent periods if actual forfeitures differ from those estimates.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Stock Option Plans</w:t>
            </w: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Purchase Plan</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line="195" w:lineRule="exact"/>
              <w:rPr>
                <w:sz w:val="20"/>
                <w:szCs w:val="20"/>
                <w:color w:val="auto"/>
              </w:rPr>
            </w:pPr>
            <w:r>
              <w:rPr>
                <w:rFonts w:ascii="Arial" w:cs="Arial" w:eastAsia="Arial" w:hAnsi="Arial"/>
                <w:sz w:val="18"/>
                <w:szCs w:val="18"/>
                <w:color w:val="auto"/>
              </w:rPr>
              <w:t>Weighted-average risk free rate of</w:t>
            </w:r>
          </w:p>
        </w:tc>
        <w:tc>
          <w:tcPr>
            <w:tcW w:w="10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1.5%</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0.2%</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0"/>
              <w:spacing w:after="0" w:line="203" w:lineRule="exact"/>
              <w:rPr>
                <w:sz w:val="20"/>
                <w:szCs w:val="20"/>
                <w:color w:val="auto"/>
              </w:rPr>
            </w:pPr>
            <w:r>
              <w:rPr>
                <w:rFonts w:ascii="Arial" w:cs="Arial" w:eastAsia="Arial" w:hAnsi="Arial"/>
                <w:sz w:val="18"/>
                <w:szCs w:val="18"/>
                <w:color w:val="auto"/>
              </w:rPr>
              <w:t>interest</w:t>
            </w:r>
          </w:p>
        </w:tc>
        <w:tc>
          <w:tcPr>
            <w:tcW w:w="1040" w:type="dxa"/>
            <w:vAlign w:val="bottom"/>
            <w:vMerge w:val="continue"/>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2.1%</w:t>
            </w:r>
          </w:p>
        </w:tc>
        <w:tc>
          <w:tcPr>
            <w:tcW w:w="9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1.0%</w:t>
            </w:r>
          </w:p>
        </w:tc>
        <w:tc>
          <w:tcPr>
            <w:tcW w:w="960" w:type="dxa"/>
            <w:vAlign w:val="bottom"/>
            <w:vMerge w:val="continue"/>
          </w:tcPr>
          <w:p>
            <w:pPr>
              <w:spacing w:after="0"/>
              <w:rPr>
                <w:sz w:val="17"/>
                <w:szCs w:val="17"/>
                <w:color w:val="auto"/>
              </w:rPr>
            </w:pPr>
          </w:p>
        </w:tc>
        <w:tc>
          <w:tcPr>
            <w:tcW w:w="9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6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30%</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39%</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25%</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expected award</w:t>
            </w:r>
          </w:p>
        </w:tc>
        <w:tc>
          <w:tcPr>
            <w:tcW w:w="104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6.0</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1.0</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0"/>
              <w:spacing w:after="0" w:line="203" w:lineRule="exact"/>
              <w:rPr>
                <w:sz w:val="20"/>
                <w:szCs w:val="20"/>
                <w:color w:val="auto"/>
              </w:rPr>
            </w:pPr>
            <w:r>
              <w:rPr>
                <w:rFonts w:ascii="Arial" w:cs="Arial" w:eastAsia="Arial" w:hAnsi="Arial"/>
                <w:sz w:val="18"/>
                <w:szCs w:val="18"/>
                <w:color w:val="auto"/>
              </w:rPr>
              <w:t>life (in years)</w:t>
            </w:r>
          </w:p>
        </w:tc>
        <w:tc>
          <w:tcPr>
            <w:tcW w:w="1040" w:type="dxa"/>
            <w:vAlign w:val="bottom"/>
            <w:vMerge w:val="continue"/>
          </w:tcPr>
          <w:p>
            <w:pPr>
              <w:spacing w:after="0"/>
              <w:rPr>
                <w:sz w:val="17"/>
                <w:szCs w:val="17"/>
                <w:color w:val="auto"/>
              </w:rPr>
            </w:pPr>
          </w:p>
        </w:tc>
        <w:tc>
          <w:tcPr>
            <w:tcW w:w="94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6.1</w:t>
            </w:r>
          </w:p>
        </w:tc>
        <w:tc>
          <w:tcPr>
            <w:tcW w:w="94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6.0</w:t>
            </w:r>
          </w:p>
        </w:tc>
        <w:tc>
          <w:tcPr>
            <w:tcW w:w="960" w:type="dxa"/>
            <w:vAlign w:val="bottom"/>
            <w:vMerge w:val="continue"/>
          </w:tcPr>
          <w:p>
            <w:pPr>
              <w:spacing w:after="0"/>
              <w:rPr>
                <w:sz w:val="17"/>
                <w:szCs w:val="17"/>
                <w:color w:val="auto"/>
              </w:rPr>
            </w:pPr>
          </w:p>
        </w:tc>
        <w:tc>
          <w:tcPr>
            <w:tcW w:w="90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660" w:type="dxa"/>
            <w:vAlign w:val="bottom"/>
          </w:tcPr>
          <w:p>
            <w:pPr>
              <w:jc w:val="right"/>
              <w:ind w:right="213"/>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1.6%</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b w:val="1"/>
                <w:bCs w:val="1"/>
                <w:color w:val="auto"/>
              </w:rPr>
              <w:t>1.6%</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Weighted-average fair value</w:t>
            </w:r>
          </w:p>
        </w:tc>
        <w:tc>
          <w:tcPr>
            <w:tcW w:w="10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$16.07</w:t>
            </w:r>
          </w:p>
        </w:tc>
        <w:tc>
          <w:tcPr>
            <w:tcW w:w="94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$15.30</w:t>
            </w:r>
          </w:p>
        </w:tc>
        <w:tc>
          <w:tcPr>
            <w:tcW w:w="94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$10.98</w:t>
            </w:r>
          </w:p>
        </w:tc>
        <w:tc>
          <w:tcPr>
            <w:tcW w:w="96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$10.47</w:t>
            </w:r>
          </w:p>
        </w:tc>
        <w:tc>
          <w:tcPr>
            <w:tcW w:w="90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$ 7.35</w:t>
            </w:r>
          </w:p>
        </w:tc>
        <w:tc>
          <w:tcPr>
            <w:tcW w:w="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w w:val="96"/>
              </w:rPr>
              <w:t>5.79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set forth in the following table covers options granted under the Company’s 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94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4260" w:type="dxa"/>
            <w:vAlign w:val="bottom"/>
          </w:tcPr>
          <w:p>
            <w:pPr>
              <w:spacing w:after="0"/>
              <w:rPr>
                <w:sz w:val="14"/>
                <w:szCs w:val="14"/>
                <w:color w:val="auto"/>
              </w:rPr>
            </w:pPr>
          </w:p>
        </w:tc>
        <w:tc>
          <w:tcPr>
            <w:tcW w:w="1940" w:type="dxa"/>
            <w:vAlign w:val="bottom"/>
          </w:tcPr>
          <w:p>
            <w:pPr>
              <w:jc w:val="center"/>
              <w:ind w:left="737"/>
              <w:spacing w:after="0"/>
              <w:rPr>
                <w:sz w:val="20"/>
                <w:szCs w:val="20"/>
                <w:color w:val="auto"/>
              </w:rPr>
            </w:pPr>
            <w:r>
              <w:rPr>
                <w:rFonts w:ascii="Arial" w:cs="Arial" w:eastAsia="Arial" w:hAnsi="Arial"/>
                <w:sz w:val="14"/>
                <w:szCs w:val="14"/>
                <w:b w:val="1"/>
                <w:bCs w:val="1"/>
                <w:color w:val="auto"/>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4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left="737"/>
              <w:spacing w:after="0"/>
              <w:rPr>
                <w:sz w:val="20"/>
                <w:szCs w:val="20"/>
                <w:color w:val="auto"/>
              </w:rPr>
            </w:pPr>
            <w:r>
              <w:rPr>
                <w:rFonts w:ascii="Arial" w:cs="Arial" w:eastAsia="Arial" w:hAnsi="Arial"/>
                <w:sz w:val="14"/>
                <w:szCs w:val="14"/>
                <w:b w:val="1"/>
                <w:bCs w:val="1"/>
                <w:color w:val="auto"/>
              </w:rPr>
              <w:t>Shares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Price</w:t>
            </w:r>
          </w:p>
        </w:tc>
      </w:tr>
      <w:tr>
        <w:trPr>
          <w:trHeight w:val="142"/>
        </w:trPr>
        <w:tc>
          <w:tcPr>
            <w:tcW w:w="4260" w:type="dxa"/>
            <w:vAlign w:val="bottom"/>
          </w:tcPr>
          <w:p>
            <w:pPr>
              <w:spacing w:after="0"/>
              <w:rPr>
                <w:sz w:val="12"/>
                <w:szCs w:val="12"/>
                <w:color w:val="auto"/>
              </w:rPr>
            </w:pPr>
          </w:p>
        </w:tc>
        <w:tc>
          <w:tcPr>
            <w:tcW w:w="1940" w:type="dxa"/>
            <w:vAlign w:val="bottom"/>
          </w:tcPr>
          <w:p>
            <w:pPr>
              <w:jc w:val="center"/>
              <w:ind w:left="717"/>
              <w:spacing w:after="0" w:line="143" w:lineRule="exact"/>
              <w:rPr>
                <w:sz w:val="20"/>
                <w:szCs w:val="20"/>
                <w:color w:val="auto"/>
              </w:rPr>
            </w:pPr>
            <w:r>
              <w:rPr>
                <w:rFonts w:ascii="Arial" w:cs="Arial" w:eastAsia="Arial" w:hAnsi="Arial"/>
                <w:sz w:val="14"/>
                <w:szCs w:val="14"/>
                <w:b w:val="1"/>
                <w:bCs w:val="1"/>
                <w:color w:val="auto"/>
              </w:rPr>
              <w:t>(in</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4260" w:type="dxa"/>
            <w:vAlign w:val="bottom"/>
          </w:tcPr>
          <w:p>
            <w:pPr>
              <w:spacing w:after="0"/>
              <w:rPr>
                <w:sz w:val="15"/>
                <w:szCs w:val="15"/>
                <w:color w:val="auto"/>
              </w:rPr>
            </w:pPr>
          </w:p>
        </w:tc>
        <w:tc>
          <w:tcPr>
            <w:tcW w:w="1940" w:type="dxa"/>
            <w:vAlign w:val="bottom"/>
          </w:tcPr>
          <w:p>
            <w:pPr>
              <w:jc w:val="center"/>
              <w:ind w:left="717"/>
              <w:spacing w:after="0"/>
              <w:rPr>
                <w:sz w:val="20"/>
                <w:szCs w:val="20"/>
                <w:color w:val="auto"/>
              </w:rPr>
            </w:pPr>
            <w:r>
              <w:rPr>
                <w:rFonts w:ascii="Arial" w:cs="Arial" w:eastAsia="Arial" w:hAnsi="Arial"/>
                <w:sz w:val="14"/>
                <w:szCs w:val="14"/>
                <w:b w:val="1"/>
                <w:bCs w:val="1"/>
                <w:color w:val="auto"/>
              </w:rPr>
              <w:t>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5"/>
                <w:szCs w:val="15"/>
                <w:color w:val="auto"/>
              </w:rPr>
            </w:pPr>
          </w:p>
        </w:tc>
        <w:tc>
          <w:tcPr>
            <w:tcW w:w="940" w:type="dxa"/>
            <w:vAlign w:val="bottom"/>
          </w:tcPr>
          <w:p>
            <w:pPr>
              <w:jc w:val="center"/>
              <w:ind w:right="37"/>
              <w:spacing w:after="0"/>
              <w:rPr>
                <w:sz w:val="20"/>
                <w:szCs w:val="20"/>
                <w:color w:val="auto"/>
              </w:rPr>
            </w:pPr>
            <w:r>
              <w:rPr>
                <w:rFonts w:ascii="Arial" w:cs="Arial" w:eastAsia="Arial" w:hAnsi="Arial"/>
                <w:sz w:val="14"/>
                <w:szCs w:val="14"/>
                <w:b w:val="1"/>
                <w:bCs w:val="1"/>
                <w:color w:val="auto"/>
              </w:rPr>
              <w:t>(per share)</w:t>
            </w:r>
          </w:p>
        </w:tc>
      </w:tr>
      <w:tr>
        <w:trPr>
          <w:trHeight w:val="203"/>
        </w:trPr>
        <w:tc>
          <w:tcPr>
            <w:tcW w:w="4260" w:type="dxa"/>
            <w:vAlign w:val="bottom"/>
          </w:tcPr>
          <w:p>
            <w:pPr>
              <w:ind w:left="20"/>
              <w:spacing w:after="0" w:line="203" w:lineRule="exact"/>
              <w:rPr>
                <w:sz w:val="20"/>
                <w:szCs w:val="20"/>
                <w:color w:val="auto"/>
              </w:rPr>
            </w:pPr>
            <w:r>
              <w:rPr>
                <w:rFonts w:ascii="Arial" w:cs="Arial" w:eastAsia="Arial" w:hAnsi="Arial"/>
                <w:sz w:val="18"/>
                <w:szCs w:val="18"/>
                <w:color w:val="auto"/>
              </w:rPr>
              <w:t>Options outstanding at January 31, 2015</w:t>
            </w:r>
          </w:p>
        </w:tc>
        <w:tc>
          <w:tcPr>
            <w:tcW w:w="1940" w:type="dxa"/>
            <w:vAlign w:val="bottom"/>
          </w:tcPr>
          <w:p>
            <w:pPr>
              <w:jc w:val="right"/>
              <w:ind w:right="197"/>
              <w:spacing w:after="0" w:line="203" w:lineRule="exact"/>
              <w:rPr>
                <w:sz w:val="20"/>
                <w:szCs w:val="20"/>
                <w:color w:val="auto"/>
              </w:rPr>
            </w:pPr>
            <w:r>
              <w:rPr>
                <w:rFonts w:ascii="Arial" w:cs="Arial" w:eastAsia="Arial" w:hAnsi="Arial"/>
                <w:sz w:val="18"/>
                <w:szCs w:val="18"/>
                <w:color w:val="auto"/>
              </w:rPr>
              <w:t>5,569</w:t>
            </w:r>
          </w:p>
        </w:tc>
        <w:tc>
          <w:tcPr>
            <w:tcW w:w="13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line="203" w:lineRule="exact"/>
              <w:rPr>
                <w:sz w:val="20"/>
                <w:szCs w:val="20"/>
                <w:color w:val="auto"/>
              </w:rPr>
            </w:pPr>
            <w:r>
              <w:rPr>
                <w:rFonts w:ascii="Arial" w:cs="Arial" w:eastAsia="Arial" w:hAnsi="Arial"/>
                <w:sz w:val="18"/>
                <w:szCs w:val="18"/>
                <w:color w:val="auto"/>
              </w:rPr>
              <w:t>25.89</w:t>
            </w:r>
          </w:p>
        </w:tc>
      </w:tr>
      <w:tr>
        <w:trPr>
          <w:trHeight w:val="203"/>
        </w:trPr>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rPr>
              <w:t>694</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62.29</w:t>
            </w: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9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(2,511)</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25.50</w:t>
            </w:r>
          </w:p>
        </w:tc>
      </w:tr>
      <w:tr>
        <w:trPr>
          <w:trHeight w:val="203"/>
        </w:trPr>
        <w:tc>
          <w:tcPr>
            <w:tcW w:w="426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1940" w:type="dxa"/>
            <w:vAlign w:val="bottom"/>
            <w:tcBorders>
              <w:bottom w:val="single" w:sz="8" w:color="auto"/>
            </w:tcBorders>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(58)</w:t>
            </w:r>
          </w:p>
        </w:tc>
        <w:tc>
          <w:tcPr>
            <w:tcW w:w="13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49.17</w:t>
            </w:r>
          </w:p>
        </w:tc>
      </w:tr>
      <w:tr>
        <w:trPr>
          <w:trHeight w:val="196"/>
        </w:trPr>
        <w:tc>
          <w:tcPr>
            <w:tcW w:w="42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Options outstanding at January 30, 2016</w:t>
            </w:r>
          </w:p>
        </w:tc>
        <w:tc>
          <w:tcPr>
            <w:tcW w:w="1940" w:type="dxa"/>
            <w:vAlign w:val="bottom"/>
            <w:tcBorders>
              <w:bottom w:val="single" w:sz="8" w:color="auto"/>
            </w:tcBorders>
          </w:tcPr>
          <w:p>
            <w:pPr>
              <w:jc w:val="right"/>
              <w:ind w:right="197"/>
              <w:spacing w:after="0" w:line="196" w:lineRule="exact"/>
              <w:rPr>
                <w:sz w:val="20"/>
                <w:szCs w:val="20"/>
                <w:color w:val="auto"/>
              </w:rPr>
            </w:pPr>
            <w:r>
              <w:rPr>
                <w:rFonts w:ascii="Arial" w:cs="Arial" w:eastAsia="Arial" w:hAnsi="Arial"/>
                <w:sz w:val="18"/>
                <w:szCs w:val="18"/>
                <w:color w:val="auto"/>
              </w:rPr>
              <w:t>3,694</w:t>
            </w:r>
          </w:p>
        </w:tc>
        <w:tc>
          <w:tcPr>
            <w:tcW w:w="13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32.62</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42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exercisable at end of year</w:t>
            </w:r>
          </w:p>
        </w:tc>
        <w:tc>
          <w:tcPr>
            <w:tcW w:w="1940" w:type="dxa"/>
            <w:vAlign w:val="bottom"/>
            <w:tcBorders>
              <w:bottom w:val="single" w:sz="8" w:color="auto"/>
            </w:tcBorders>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rPr>
              <w:t>2,495</w:t>
            </w:r>
          </w:p>
        </w:tc>
        <w:tc>
          <w:tcPr>
            <w:tcW w:w="138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22.56</w:t>
            </w:r>
          </w:p>
        </w:tc>
      </w:tr>
      <w:tr>
        <w:trPr>
          <w:trHeight w:val="196"/>
        </w:trPr>
        <w:tc>
          <w:tcPr>
            <w:tcW w:w="42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Options vested and expected to vest</w:t>
            </w:r>
          </w:p>
        </w:tc>
        <w:tc>
          <w:tcPr>
            <w:tcW w:w="1940" w:type="dxa"/>
            <w:vAlign w:val="bottom"/>
            <w:tcBorders>
              <w:bottom w:val="single" w:sz="8" w:color="auto"/>
            </w:tcBorders>
          </w:tcPr>
          <w:p>
            <w:pPr>
              <w:jc w:val="right"/>
              <w:ind w:right="197"/>
              <w:spacing w:after="0" w:line="196" w:lineRule="exact"/>
              <w:rPr>
                <w:sz w:val="20"/>
                <w:szCs w:val="20"/>
                <w:color w:val="auto"/>
              </w:rPr>
            </w:pPr>
            <w:r>
              <w:rPr>
                <w:rFonts w:ascii="Arial" w:cs="Arial" w:eastAsia="Arial" w:hAnsi="Arial"/>
                <w:sz w:val="18"/>
                <w:szCs w:val="18"/>
                <w:color w:val="auto"/>
              </w:rPr>
              <w:t>3,662</w:t>
            </w:r>
          </w:p>
        </w:tc>
        <w:tc>
          <w:tcPr>
            <w:tcW w:w="138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32.40</w:t>
            </w:r>
          </w:p>
        </w:tc>
      </w:tr>
    </w:tbl>
    <w:p>
      <w:pPr>
        <w:spacing w:after="0" w:line="107"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The total fair value of options vested during 2015, 2014, and 2013 was $15 million, $9 million, and $8 million, respectively.</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1" w:name="page72"/>
    <w:bookmarkEnd w:id="7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Company received $64 million in cash from option exercises for the year ended January 30, 2016. The total intrinsic value of options exercised (the difference between the market price of the Company’s common stock on the exercise date and the price paid by the optionee to exercise the option)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p>
      <w:pPr>
        <w:ind w:left="6040"/>
        <w:spacing w:after="0"/>
        <w:tabs>
          <w:tab w:leader="none" w:pos="7040" w:val="left"/>
          <w:tab w:leader="none" w:pos="81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565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 in millions)</w:t>
      </w:r>
    </w:p>
    <w:p>
      <w:pPr>
        <w:spacing w:after="0" w:line="13" w:lineRule="exact"/>
        <w:rPr>
          <w:sz w:val="20"/>
          <w:szCs w:val="20"/>
          <w:color w:val="auto"/>
        </w:rPr>
      </w:pPr>
    </w:p>
    <w:p>
      <w:pPr>
        <w:ind w:left="20"/>
        <w:spacing w:after="0"/>
        <w:tabs>
          <w:tab w:leader="none" w:pos="5740" w:val="left"/>
          <w:tab w:leader="none" w:pos="6240" w:val="left"/>
          <w:tab w:leader="none" w:pos="6780" w:val="left"/>
          <w:tab w:leader="none" w:pos="7280" w:val="left"/>
          <w:tab w:leader="none" w:pos="7800" w:val="left"/>
          <w:tab w:leader="none" w:pos="8360" w:val="left"/>
        </w:tabs>
        <w:rPr>
          <w:sz w:val="20"/>
          <w:szCs w:val="20"/>
          <w:color w:val="auto"/>
        </w:rPr>
      </w:pPr>
      <w:r>
        <w:rPr>
          <w:rFonts w:ascii="Arial" w:cs="Arial" w:eastAsia="Arial" w:hAnsi="Arial"/>
          <w:sz w:val="18"/>
          <w:szCs w:val="18"/>
          <w:color w:val="auto"/>
        </w:rPr>
        <w:t>Exercised</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5565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7"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tax benefit realized from option exercises was $38 million, $8 million, and $7 million for 2015, 2014, and 2013, respectively.</w:t>
      </w:r>
    </w:p>
    <w:p>
      <w:pPr>
        <w:spacing w:after="0" w:line="88"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565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r>
      <w:tr>
        <w:trPr>
          <w:trHeight w:val="195"/>
        </w:trPr>
        <w:tc>
          <w:tcPr>
            <w:tcW w:w="5060" w:type="dxa"/>
            <w:vAlign w:val="bottom"/>
          </w:tcPr>
          <w:p>
            <w:pPr>
              <w:spacing w:after="0"/>
              <w:rPr>
                <w:sz w:val="16"/>
                <w:szCs w:val="16"/>
                <w:color w:val="auto"/>
              </w:rPr>
            </w:pPr>
          </w:p>
        </w:tc>
        <w:tc>
          <w:tcPr>
            <w:tcW w:w="3720" w:type="dxa"/>
            <w:vAlign w:val="bottom"/>
            <w:gridSpan w:val="2"/>
          </w:tcPr>
          <w:p>
            <w:pPr>
              <w:ind w:left="2780"/>
              <w:spacing w:after="0"/>
              <w:rPr>
                <w:sz w:val="20"/>
                <w:szCs w:val="20"/>
                <w:color w:val="auto"/>
              </w:rPr>
            </w:pPr>
            <w:r>
              <w:rPr>
                <w:rFonts w:ascii="Arial" w:cs="Arial" w:eastAsia="Arial" w:hAnsi="Arial"/>
                <w:sz w:val="14"/>
                <w:szCs w:val="14"/>
                <w:b w:val="1"/>
                <w:bCs w:val="1"/>
                <w:color w:val="auto"/>
              </w:rPr>
              <w:t>($ in millions)</w:t>
            </w:r>
          </w:p>
        </w:tc>
      </w:tr>
      <w:tr>
        <w:trPr>
          <w:trHeight w:val="203"/>
        </w:trPr>
        <w:tc>
          <w:tcPr>
            <w:tcW w:w="5060" w:type="dxa"/>
            <w:vAlign w:val="bottom"/>
          </w:tcPr>
          <w:p>
            <w:pPr>
              <w:ind w:left="20"/>
              <w:spacing w:after="0" w:line="203" w:lineRule="exact"/>
              <w:rPr>
                <w:sz w:val="20"/>
                <w:szCs w:val="20"/>
                <w:color w:val="auto"/>
              </w:rPr>
            </w:pPr>
            <w:r>
              <w:rPr>
                <w:rFonts w:ascii="Arial" w:cs="Arial" w:eastAsia="Arial" w:hAnsi="Arial"/>
                <w:sz w:val="18"/>
                <w:szCs w:val="18"/>
                <w:color w:val="auto"/>
              </w:rPr>
              <w:t>Outstanding</w:t>
            </w:r>
          </w:p>
        </w:tc>
        <w:tc>
          <w:tcPr>
            <w:tcW w:w="2960" w:type="dxa"/>
            <w:vAlign w:val="bottom"/>
          </w:tcPr>
          <w:p>
            <w:pPr>
              <w:ind w:left="276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line="203" w:lineRule="exact"/>
              <w:rPr>
                <w:sz w:val="20"/>
                <w:szCs w:val="20"/>
                <w:color w:val="auto"/>
              </w:rPr>
            </w:pPr>
            <w:r>
              <w:rPr>
                <w:rFonts w:ascii="Arial" w:cs="Arial" w:eastAsia="Arial" w:hAnsi="Arial"/>
                <w:sz w:val="18"/>
                <w:szCs w:val="18"/>
                <w:color w:val="auto"/>
              </w:rPr>
              <w:t>129</w:t>
            </w:r>
          </w:p>
        </w:tc>
      </w:tr>
      <w:tr>
        <w:trPr>
          <w:trHeight w:val="203"/>
        </w:trPr>
        <w:tc>
          <w:tcPr>
            <w:tcW w:w="5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and exercisable</w:t>
            </w:r>
          </w:p>
        </w:tc>
        <w:tc>
          <w:tcPr>
            <w:tcW w:w="296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112</w:t>
            </w:r>
          </w:p>
        </w:tc>
      </w:tr>
      <w:tr>
        <w:trPr>
          <w:trHeight w:val="203"/>
        </w:trPr>
        <w:tc>
          <w:tcPr>
            <w:tcW w:w="50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Vested and expected to vest</w:t>
            </w:r>
          </w:p>
        </w:tc>
        <w:tc>
          <w:tcPr>
            <w:tcW w:w="2960" w:type="dxa"/>
            <w:vAlign w:val="bottom"/>
            <w:tcBorders>
              <w:bottom w:val="single" w:sz="8" w:color="auto"/>
            </w:tcBorders>
          </w:tcPr>
          <w:p>
            <w:pPr>
              <w:ind w:left="276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129</w:t>
            </w:r>
          </w:p>
        </w:tc>
      </w:tr>
    </w:tbl>
    <w:p>
      <w:pPr>
        <w:spacing w:after="0" w:line="107"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As of January 30, 2016, there was $7 million of total unrecognized compensation cost, net of estimated forfeitures, related to nonvested stock options, which is expected to be recognized over a remaining weighted-average period of 1.4 years.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January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6172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Options Exercisable</w:t>
            </w:r>
          </w:p>
        </w:tc>
      </w:tr>
      <w:tr>
        <w:trPr>
          <w:trHeight w:val="142"/>
        </w:trPr>
        <w:tc>
          <w:tcPr>
            <w:tcW w:w="2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2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center"/>
              <w:ind w:left="1"/>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261"/>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580" w:type="dxa"/>
            <w:vAlign w:val="bottom"/>
          </w:tcPr>
          <w:p>
            <w:pPr>
              <w:spacing w:after="0"/>
              <w:rPr>
                <w:sz w:val="14"/>
                <w:szCs w:val="14"/>
                <w:color w:val="auto"/>
              </w:rPr>
            </w:pP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w:t>
            </w:r>
          </w:p>
        </w:tc>
        <w:tc>
          <w:tcPr>
            <w:tcW w:w="1480" w:type="dxa"/>
            <w:vAlign w:val="bottom"/>
          </w:tcPr>
          <w:p>
            <w:pPr>
              <w:jc w:val="center"/>
              <w:ind w:left="1"/>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(in thousands, except prices per share and contractual life)</w:t>
            </w:r>
          </w:p>
        </w:tc>
        <w:tc>
          <w:tcPr>
            <w:tcW w:w="1020" w:type="dxa"/>
            <w:vAlign w:val="bottom"/>
          </w:tcPr>
          <w:p>
            <w:pPr>
              <w:spacing w:after="0"/>
              <w:rPr>
                <w:sz w:val="17"/>
                <w:szCs w:val="17"/>
                <w:color w:val="auto"/>
              </w:rPr>
            </w:pPr>
          </w:p>
        </w:tc>
      </w:tr>
      <w:tr>
        <w:trPr>
          <w:trHeight w:val="203"/>
        </w:trPr>
        <w:tc>
          <w:tcPr>
            <w:tcW w:w="2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$9.85 to $ 18.80</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w:t>
            </w:r>
          </w:p>
        </w:tc>
        <w:tc>
          <w:tcPr>
            <w:tcW w:w="1480" w:type="dxa"/>
            <w:vAlign w:val="bottom"/>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13.32</w:t>
            </w:r>
          </w:p>
        </w:tc>
        <w:tc>
          <w:tcPr>
            <w:tcW w:w="13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13.32</w:t>
            </w:r>
          </w:p>
        </w:tc>
      </w:tr>
      <w:tr>
        <w:trPr>
          <w:trHeight w:val="203"/>
        </w:trPr>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$18.84 to $24.75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480" w:type="dxa"/>
            <w:vAlign w:val="bottom"/>
          </w:tcPr>
          <w:p>
            <w:pPr>
              <w:jc w:val="right"/>
              <w:ind w:right="281"/>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19.80</w:t>
            </w:r>
          </w:p>
        </w:tc>
        <w:tc>
          <w:tcPr>
            <w:tcW w:w="13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102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19.80</w:t>
            </w:r>
          </w:p>
        </w:tc>
      </w:tr>
      <w:tr>
        <w:trPr>
          <w:trHeight w:val="203"/>
        </w:trPr>
        <w:tc>
          <w:tcPr>
            <w:tcW w:w="2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$30.92 to $36.59</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w:t>
            </w:r>
          </w:p>
        </w:tc>
        <w:tc>
          <w:tcPr>
            <w:tcW w:w="1480" w:type="dxa"/>
            <w:vAlign w:val="bottom"/>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32.84</w:t>
            </w:r>
          </w:p>
        </w:tc>
        <w:tc>
          <w:tcPr>
            <w:tcW w:w="13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611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32.44</w:t>
            </w:r>
          </w:p>
        </w:tc>
      </w:tr>
      <w:tr>
        <w:trPr>
          <w:trHeight w:val="203"/>
        </w:trPr>
        <w:tc>
          <w:tcPr>
            <w:tcW w:w="2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$45.08 to $73.21</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1,197</w:t>
            </w:r>
          </w:p>
        </w:tc>
        <w:tc>
          <w:tcPr>
            <w:tcW w:w="1480" w:type="dxa"/>
            <w:vAlign w:val="bottom"/>
            <w:tcBorders>
              <w:bottom w:val="single" w:sz="8" w:color="auto"/>
            </w:tcBorders>
          </w:tcPr>
          <w:p>
            <w:pPr>
              <w:jc w:val="right"/>
              <w:ind w:right="281"/>
              <w:spacing w:after="0" w:line="202" w:lineRule="exact"/>
              <w:rPr>
                <w:sz w:val="20"/>
                <w:szCs w:val="20"/>
                <w:color w:val="auto"/>
              </w:rPr>
            </w:pPr>
            <w:r>
              <w:rPr>
                <w:rFonts w:ascii="Arial" w:cs="Arial" w:eastAsia="Arial" w:hAnsi="Arial"/>
                <w:sz w:val="18"/>
                <w:szCs w:val="18"/>
                <w:color w:val="auto"/>
              </w:rPr>
              <w:t>8.7</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55.48</w:t>
            </w:r>
          </w:p>
        </w:tc>
        <w:tc>
          <w:tcPr>
            <w:tcW w:w="1320" w:type="dxa"/>
            <w:vAlign w:val="bottom"/>
            <w:tcBorders>
              <w:bottom w:val="single" w:sz="8" w:color="auto"/>
            </w:tcBorders>
            <w:gridSpan w:val="2"/>
          </w:tcPr>
          <w:p>
            <w:pPr>
              <w:jc w:val="right"/>
              <w:ind w:right="88"/>
              <w:spacing w:after="0" w:line="202" w:lineRule="exact"/>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47.42</w:t>
            </w:r>
          </w:p>
        </w:tc>
      </w:tr>
      <w:tr>
        <w:trPr>
          <w:trHeight w:val="237"/>
        </w:trPr>
        <w:tc>
          <w:tcPr>
            <w:tcW w:w="2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3,694</w:t>
            </w:r>
          </w:p>
        </w:tc>
        <w:tc>
          <w:tcPr>
            <w:tcW w:w="1480" w:type="dxa"/>
            <w:vAlign w:val="bottom"/>
            <w:tcBorders>
              <w:bottom w:val="single" w:sz="8" w:color="auto"/>
            </w:tcBorders>
            <w:shd w:val="clear" w:color="auto" w:fill="CCEEFF"/>
          </w:tcPr>
          <w:p>
            <w:pPr>
              <w:jc w:val="right"/>
              <w:ind w:right="281"/>
              <w:spacing w:after="0" w:line="196" w:lineRule="exact"/>
              <w:rPr>
                <w:sz w:val="20"/>
                <w:szCs w:val="20"/>
                <w:color w:val="auto"/>
              </w:rPr>
            </w:pPr>
            <w:r>
              <w:rPr>
                <w:rFonts w:ascii="Arial" w:cs="Arial" w:eastAsia="Arial" w:hAnsi="Arial"/>
                <w:sz w:val="18"/>
                <w:szCs w:val="18"/>
                <w:color w:val="auto"/>
              </w:rPr>
              <w:t>5.6</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32.62</w:t>
            </w:r>
          </w:p>
        </w:tc>
        <w:tc>
          <w:tcPr>
            <w:tcW w:w="1320" w:type="dxa"/>
            <w:vAlign w:val="bottom"/>
            <w:tcBorders>
              <w:bottom w:val="single" w:sz="8" w:color="auto"/>
            </w:tcBorders>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2,495</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rPr>
              <w:t>22.56</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Restricted shares of the Company’s common stock and restricted stock units (“RSU”) may be awarded to certain officers and key employees of the Company. RSU awards are made to executives outside of the United States and to nonemployee directors. Each RSU represents the right to receive one share of the Company’s common stock provided that the vesting conditions are satisfied. In 2015, 2014, and 2013, there were 588,308, 755,936, and 1,027,542 RSU awards outstanding, respectively.</w:t>
      </w:r>
    </w:p>
    <w:p>
      <w:pPr>
        <w:spacing w:after="0" w:line="97"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With</w:t>
      </w: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regards to performance-based restricted stock, dividends will be accumulated and paid after the performance criteria are met. No dividends are paid or accumulated on RSU awards.</w:t>
      </w:r>
    </w:p>
    <w:p>
      <w:pPr>
        <w:spacing w:after="0" w:line="88"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share and RSU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565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39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3900" w:type="dxa"/>
            <w:vAlign w:val="bottom"/>
          </w:tcPr>
          <w:p>
            <w:pPr>
              <w:spacing w:after="0"/>
              <w:rPr>
                <w:sz w:val="16"/>
                <w:szCs w:val="16"/>
                <w:color w:val="auto"/>
              </w:rPr>
            </w:pPr>
          </w:p>
        </w:tc>
        <w:tc>
          <w:tcPr>
            <w:tcW w:w="2560" w:type="dxa"/>
            <w:vAlign w:val="bottom"/>
            <w:gridSpan w:val="2"/>
          </w:tcPr>
          <w:p>
            <w:pPr>
              <w:jc w:val="center"/>
              <w:ind w:left="117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8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rPr>
              <w:t>(per share)</w:t>
            </w: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18"/>
                <w:szCs w:val="18"/>
                <w:color w:val="auto"/>
              </w:rPr>
              <w:t>Nonvested at beginning of year</w:t>
            </w:r>
          </w:p>
        </w:tc>
        <w:tc>
          <w:tcPr>
            <w:tcW w:w="1520" w:type="dxa"/>
            <w:vAlign w:val="bottom"/>
          </w:tcPr>
          <w:p>
            <w:pPr>
              <w:spacing w:after="0"/>
              <w:rPr>
                <w:sz w:val="17"/>
                <w:szCs w:val="17"/>
                <w:color w:val="auto"/>
              </w:rPr>
            </w:pPr>
          </w:p>
        </w:tc>
        <w:tc>
          <w:tcPr>
            <w:tcW w:w="104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1,038</w:t>
            </w:r>
          </w:p>
        </w:tc>
        <w:tc>
          <w:tcPr>
            <w:tcW w:w="110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line="203" w:lineRule="exact"/>
              <w:rPr>
                <w:sz w:val="20"/>
                <w:szCs w:val="20"/>
                <w:color w:val="auto"/>
              </w:rPr>
            </w:pPr>
            <w:r>
              <w:rPr>
                <w:rFonts w:ascii="Arial" w:cs="Arial" w:eastAsia="Arial" w:hAnsi="Arial"/>
                <w:sz w:val="18"/>
                <w:szCs w:val="18"/>
                <w:color w:val="auto"/>
              </w:rPr>
              <w:t>37.96</w:t>
            </w: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155</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63.73</w:t>
            </w: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520" w:type="dxa"/>
            <w:vAlign w:val="bottom"/>
          </w:tcPr>
          <w:p>
            <w:pPr>
              <w:spacing w:after="0"/>
              <w:rPr>
                <w:sz w:val="17"/>
                <w:szCs w:val="17"/>
                <w:color w:val="auto"/>
              </w:rPr>
            </w:pP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(322)</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32.34</w:t>
            </w:r>
          </w:p>
        </w:tc>
      </w:tr>
      <w:tr>
        <w:trPr>
          <w:trHeight w:val="203"/>
        </w:trPr>
        <w:tc>
          <w:tcPr>
            <w:tcW w:w="39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1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(68)</w:t>
            </w:r>
          </w:p>
        </w:tc>
        <w:tc>
          <w:tcPr>
            <w:tcW w:w="1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37.97</w:t>
            </w:r>
          </w:p>
        </w:tc>
      </w:tr>
      <w:tr>
        <w:trPr>
          <w:trHeight w:val="196"/>
        </w:trPr>
        <w:tc>
          <w:tcPr>
            <w:tcW w:w="39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Nonvested at end of year</w:t>
            </w:r>
          </w:p>
        </w:tc>
        <w:tc>
          <w:tcPr>
            <w:tcW w:w="1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803</w:t>
            </w:r>
          </w:p>
        </w:tc>
        <w:tc>
          <w:tcPr>
            <w:tcW w:w="1100" w:type="dxa"/>
            <w:vAlign w:val="bottom"/>
            <w:tcBorders>
              <w:bottom w:val="single" w:sz="8" w:color="auto"/>
            </w:tcBorders>
          </w:tcPr>
          <w:p>
            <w:pPr>
              <w:jc w:val="right"/>
              <w:ind w:right="145"/>
              <w:spacing w:after="0" w:line="196" w:lineRule="exact"/>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45.19</w:t>
            </w: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39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Aggregate value ($ in millions)</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74"/>
              <w:spacing w:after="0" w:line="196" w:lineRule="exact"/>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bl>
    <w:p>
      <w:pPr>
        <w:spacing w:after="0" w:line="10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total fair value of awards for which restrictions lapsed was $10 million, $14 million, and $9 million for 2015, 2014, and 2013, respectively. At January 30, 2016, there was $10 million of total unrecognized compensation cost net of estimated forfeitures, related to nonvested restricted stock awards.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Legal Proceedings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78"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and the Company’s U.S. retirement plan are defendants in a class action (</w:t>
      </w:r>
      <w:r>
        <w:rPr>
          <w:rFonts w:ascii="Arial" w:cs="Arial" w:eastAsia="Arial" w:hAnsi="Arial"/>
          <w:sz w:val="18"/>
          <w:szCs w:val="18"/>
          <w:i w:val="1"/>
          <w:iCs w:val="1"/>
          <w:color w:val="auto"/>
        </w:rPr>
        <w:t>Osberg v. Foot Locker Inc.</w:t>
      </w:r>
      <w:r>
        <w:rPr>
          <w:rFonts w:ascii="Arial" w:cs="Arial" w:eastAsia="Arial" w:hAnsi="Arial"/>
          <w:sz w:val="18"/>
          <w:szCs w:val="18"/>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The Company is appealing the court’s decision, and the judgment has been stayed pending the outcome of the appeal. As a result of this development, the Company has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will continue to vigorously defend itself in this case. In light of the uncertainties involved in this matter, there is no assurance that the ultimate resolution will not differ from the amount currently accrued by the Company.</w:t>
      </w:r>
    </w:p>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 xml:space="preserve">Certain of the Company’s subsidiaries were defendants in a number of lawsuits filed in state and federal courts containing various class action allegations under federal or state wage and hour laws, including allegations concerning unpaid overtime, meal and rest breaks, and uniforms. In </w:t>
      </w:r>
      <w:r>
        <w:rPr>
          <w:rFonts w:ascii="Arial" w:cs="Arial" w:eastAsia="Arial" w:hAnsi="Arial"/>
          <w:sz w:val="18"/>
          <w:szCs w:val="18"/>
          <w:i w:val="1"/>
          <w:iCs w:val="1"/>
          <w:color w:val="auto"/>
        </w:rPr>
        <w:t>Pereira v. Foot Locker</w:t>
      </w:r>
      <w:r>
        <w:rPr>
          <w:rFonts w:ascii="Arial" w:cs="Arial" w:eastAsia="Arial" w:hAnsi="Arial"/>
          <w:sz w:val="18"/>
          <w:szCs w:val="18"/>
          <w:color w:val="auto"/>
        </w:rPr>
        <w:t>, filed in the U.S. District Court for the Eastern District of Pennsylvania, the plaintiff alleged that the Company permitted</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3" w:name="page74"/>
    <w:bookmarkEnd w:id="7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Legal Proceedings – (continued)</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unpaid off-the-clock hours in violation of the Fair Labor Standards Act and state labor laws and sought compensatory and punitive damages, injunctive relief, and attorneys’ fees and costs. Additional purported wage and hour class actions were filed against the Company that asserted claims similar to those asserted in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and sought similar remedies. With the exception of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filed in state court in Illinois, </w:t>
      </w:r>
      <w:r>
        <w:rPr>
          <w:rFonts w:ascii="Arial" w:cs="Arial" w:eastAsia="Arial" w:hAnsi="Arial"/>
          <w:sz w:val="18"/>
          <w:szCs w:val="18"/>
          <w:i w:val="1"/>
          <w:iCs w:val="1"/>
          <w:color w:val="auto"/>
        </w:rPr>
        <w:t>Kissinger v. Foot Locker</w:t>
      </w:r>
      <w:r>
        <w:rPr>
          <w:rFonts w:ascii="Arial" w:cs="Arial" w:eastAsia="Arial" w:hAnsi="Arial"/>
          <w:sz w:val="18"/>
          <w:szCs w:val="18"/>
          <w:color w:val="auto"/>
        </w:rPr>
        <w:t xml:space="preserve"> filed in state court in California, and </w:t>
      </w:r>
      <w:r>
        <w:rPr>
          <w:rFonts w:ascii="Arial" w:cs="Arial" w:eastAsia="Arial" w:hAnsi="Arial"/>
          <w:sz w:val="18"/>
          <w:szCs w:val="18"/>
          <w:i w:val="1"/>
          <w:iCs w:val="1"/>
          <w:color w:val="auto"/>
        </w:rPr>
        <w:t>Cortes v. Foot Locker</w:t>
      </w:r>
      <w:r>
        <w:rPr>
          <w:rFonts w:ascii="Arial" w:cs="Arial" w:eastAsia="Arial" w:hAnsi="Arial"/>
          <w:sz w:val="18"/>
          <w:szCs w:val="18"/>
          <w:color w:val="auto"/>
        </w:rPr>
        <w:t xml:space="preserve"> filed in federal court in New York, all of these actions were consolidated by the United States Judicial Panel on Multidistrict Litigation with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In re Foot Locker, Inc</w:t>
      </w:r>
      <w:r>
        <w:rPr>
          <w:rFonts w:ascii="Arial" w:cs="Arial" w:eastAsia="Arial" w:hAnsi="Arial"/>
          <w:sz w:val="18"/>
          <w:szCs w:val="18"/>
          <w:color w:val="auto"/>
        </w:rPr>
        <w:t xml:space="preserve">.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Labor Standards Act and Wage and Hour Litigation, </w:t>
      </w:r>
      <w:r>
        <w:rPr>
          <w:rFonts w:ascii="Arial" w:cs="Arial" w:eastAsia="Arial" w:hAnsi="Arial"/>
          <w:sz w:val="18"/>
          <w:szCs w:val="18"/>
          <w:color w:val="auto"/>
        </w:rPr>
        <w:t>(“Consolidated Cases”).</w:t>
      </w:r>
    </w:p>
    <w:p>
      <w:pPr>
        <w:spacing w:after="0" w:line="81" w:lineRule="exact"/>
        <w:rPr>
          <w:sz w:val="20"/>
          <w:szCs w:val="20"/>
          <w:color w:val="auto"/>
        </w:rPr>
      </w:pPr>
    </w:p>
    <w:p>
      <w:pPr>
        <w:jc w:val="both"/>
        <w:ind w:left="60" w:right="519"/>
        <w:spacing w:after="0" w:line="261" w:lineRule="auto"/>
        <w:rPr>
          <w:sz w:val="20"/>
          <w:szCs w:val="20"/>
          <w:color w:val="auto"/>
        </w:rPr>
      </w:pPr>
      <w:r>
        <w:rPr>
          <w:rFonts w:ascii="Arial" w:cs="Arial" w:eastAsia="Arial" w:hAnsi="Arial"/>
          <w:sz w:val="18"/>
          <w:szCs w:val="18"/>
          <w:color w:val="auto"/>
        </w:rPr>
        <w:t xml:space="preserve">The Company and plaintiffs entered into a settlement agreement resolving the Consolidated Cases and </w:t>
      </w:r>
      <w:r>
        <w:rPr>
          <w:rFonts w:ascii="Arial" w:cs="Arial" w:eastAsia="Arial" w:hAnsi="Arial"/>
          <w:sz w:val="18"/>
          <w:szCs w:val="18"/>
          <w:i w:val="1"/>
          <w:iCs w:val="1"/>
          <w:color w:val="auto"/>
        </w:rPr>
        <w:t>Hill</w:t>
      </w:r>
      <w:r>
        <w:rPr>
          <w:rFonts w:ascii="Arial" w:cs="Arial" w:eastAsia="Arial" w:hAnsi="Arial"/>
          <w:sz w:val="18"/>
          <w:szCs w:val="18"/>
          <w:color w:val="auto"/>
        </w:rPr>
        <w:t xml:space="preserve"> that was approved by the court during the second quarter of 2015. Additionally, during the third quarter of 2015, the Company and plaintiffs in </w:t>
      </w:r>
      <w:r>
        <w:rPr>
          <w:rFonts w:ascii="Arial" w:cs="Arial" w:eastAsia="Arial" w:hAnsi="Arial"/>
          <w:sz w:val="18"/>
          <w:szCs w:val="18"/>
          <w:i w:val="1"/>
          <w:iCs w:val="1"/>
          <w:color w:val="auto"/>
        </w:rPr>
        <w:t>Cortes</w:t>
      </w:r>
      <w:r>
        <w:rPr>
          <w:rFonts w:ascii="Arial" w:cs="Arial" w:eastAsia="Arial" w:hAnsi="Arial"/>
          <w:sz w:val="18"/>
          <w:szCs w:val="18"/>
          <w:color w:val="auto"/>
        </w:rPr>
        <w:t xml:space="preserve"> and </w:t>
      </w:r>
      <w:r>
        <w:rPr>
          <w:rFonts w:ascii="Arial" w:cs="Arial" w:eastAsia="Arial" w:hAnsi="Arial"/>
          <w:sz w:val="18"/>
          <w:szCs w:val="18"/>
          <w:i w:val="1"/>
          <w:iCs w:val="1"/>
          <w:color w:val="auto"/>
        </w:rPr>
        <w:t>Kissinger</w:t>
      </w:r>
      <w:r>
        <w:rPr>
          <w:rFonts w:ascii="Arial" w:cs="Arial" w:eastAsia="Arial" w:hAnsi="Arial"/>
          <w:sz w:val="18"/>
          <w:szCs w:val="18"/>
          <w:color w:val="auto"/>
        </w:rPr>
        <w:t xml:space="preserve"> entered into settlement agreements that have also been approved by the respective courts.</w:t>
      </w:r>
    </w:p>
    <w:p>
      <w:pPr>
        <w:spacing w:after="0" w:line="90"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Osberg</w:t>
      </w:r>
      <w:r>
        <w:rPr>
          <w:rFonts w:ascii="Arial" w:cs="Arial" w:eastAsia="Arial" w:hAnsi="Arial"/>
          <w:sz w:val="18"/>
          <w:szCs w:val="18"/>
          <w:color w:val="auto"/>
        </w:rPr>
        <w:t>,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24. Quarterly Results (Unaudited)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3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Q</w:t>
            </w: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4"/>
                <w:szCs w:val="14"/>
                <w:b w:val="1"/>
                <w:bCs w:val="1"/>
                <w:color w:val="auto"/>
              </w:rPr>
              <w:t xml:space="preserve"> Q</w:t>
            </w: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28"/>
                <w:szCs w:val="28"/>
                <w:b w:val="1"/>
                <w:bCs w:val="1"/>
                <w:color w:val="auto"/>
                <w:vertAlign w:val="subscript"/>
              </w:rPr>
              <w:t>3</w:t>
            </w:r>
            <w:r>
              <w:rPr>
                <w:rFonts w:ascii="Arial" w:cs="Arial" w:eastAsia="Arial" w:hAnsi="Arial"/>
                <w:sz w:val="12"/>
                <w:szCs w:val="12"/>
                <w:b w:val="1"/>
                <w:bCs w:val="1"/>
                <w:color w:val="auto"/>
              </w:rPr>
              <w:t xml:space="preserve">rd </w:t>
            </w:r>
            <w:r>
              <w:rPr>
                <w:rFonts w:ascii="Arial" w:cs="Arial" w:eastAsia="Arial" w:hAnsi="Arial"/>
                <w:sz w:val="28"/>
                <w:szCs w:val="28"/>
                <w:b w:val="1"/>
                <w:bCs w:val="1"/>
                <w:color w:val="auto"/>
                <w:vertAlign w:val="subscript"/>
              </w:rPr>
              <w:t>Q</w:t>
            </w:r>
            <w:r>
              <w:rPr>
                <w:rFonts w:ascii="Arial" w:cs="Arial" w:eastAsia="Arial" w:hAnsi="Arial"/>
                <w:sz w:val="12"/>
                <w:szCs w:val="12"/>
                <w:b w:val="1"/>
                <w:bCs w:val="1"/>
                <w:color w:val="auto"/>
              </w:rPr>
              <w:t>(3)</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28"/>
                <w:szCs w:val="28"/>
                <w:b w:val="1"/>
                <w:bCs w:val="1"/>
                <w:color w:val="auto"/>
                <w:vertAlign w:val="subscript"/>
              </w:rPr>
              <w:t>4</w:t>
            </w:r>
            <w:r>
              <w:rPr>
                <w:rFonts w:ascii="Arial" w:cs="Arial" w:eastAsia="Arial" w:hAnsi="Arial"/>
                <w:sz w:val="12"/>
                <w:szCs w:val="12"/>
                <w:b w:val="1"/>
                <w:bCs w:val="1"/>
                <w:color w:val="auto"/>
              </w:rPr>
              <w:t xml:space="preserve">th </w:t>
            </w:r>
            <w:r>
              <w:rPr>
                <w:rFonts w:ascii="Arial" w:cs="Arial" w:eastAsia="Arial" w:hAnsi="Arial"/>
                <w:sz w:val="28"/>
                <w:szCs w:val="28"/>
                <w:b w:val="1"/>
                <w:bCs w:val="1"/>
                <w:color w:val="auto"/>
                <w:vertAlign w:val="subscript"/>
              </w:rPr>
              <w:t>Q</w:t>
            </w:r>
            <w:r>
              <w:rPr>
                <w:rFonts w:ascii="Arial" w:cs="Arial" w:eastAsia="Arial" w:hAnsi="Arial"/>
                <w:sz w:val="12"/>
                <w:szCs w:val="12"/>
                <w:b w:val="1"/>
                <w:bCs w:val="1"/>
                <w:color w:val="auto"/>
              </w:rPr>
              <w:t>(4)</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1"/>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spacing w:after="0"/>
              <w:rPr>
                <w:sz w:val="18"/>
                <w:szCs w:val="18"/>
                <w:color w:val="auto"/>
              </w:rPr>
            </w:pPr>
          </w:p>
        </w:tc>
        <w:tc>
          <w:tcPr>
            <w:tcW w:w="30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2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b w:val="1"/>
                <w:bCs w:val="1"/>
                <w:color w:val="auto"/>
              </w:rPr>
              <w:t>1,916</w:t>
            </w:r>
          </w:p>
        </w:tc>
        <w:tc>
          <w:tcPr>
            <w:tcW w:w="10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1,695</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1,794</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2,007</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7,412</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1,868</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1,641</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1,731</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1,911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Gross margin</w:t>
            </w:r>
            <w:r>
              <w:rPr>
                <w:rFonts w:ascii="Arial" w:cs="Arial" w:eastAsia="Arial" w:hAnsi="Arial"/>
                <w:sz w:val="28"/>
                <w:szCs w:val="28"/>
                <w:color w:val="auto"/>
                <w:vertAlign w:val="superscript"/>
              </w:rPr>
              <w:t>(1)</w:t>
            </w:r>
          </w:p>
        </w:tc>
        <w:tc>
          <w:tcPr>
            <w:tcW w:w="1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670</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553</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607</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675</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2,505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646</w:t>
            </w:r>
          </w:p>
        </w:tc>
        <w:tc>
          <w:tcPr>
            <w:tcW w:w="10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525</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574</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629</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line="243" w:lineRule="exact"/>
              <w:rPr>
                <w:sz w:val="20"/>
                <w:szCs w:val="20"/>
                <w:color w:val="auto"/>
              </w:rPr>
            </w:pPr>
            <w:r>
              <w:rPr>
                <w:rFonts w:ascii="Arial" w:cs="Arial" w:eastAsia="Arial" w:hAnsi="Arial"/>
                <w:sz w:val="17"/>
                <w:szCs w:val="17"/>
                <w:color w:val="auto"/>
              </w:rPr>
              <w:t>Operating profit</w:t>
            </w:r>
            <w:r>
              <w:rPr>
                <w:rFonts w:ascii="Arial" w:cs="Arial" w:eastAsia="Arial" w:hAnsi="Arial"/>
                <w:sz w:val="28"/>
                <w:szCs w:val="28"/>
                <w:color w:val="auto"/>
                <w:vertAlign w:val="superscript"/>
              </w:rPr>
              <w:t>(2)</w:t>
            </w: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b w:val="1"/>
                <w:bCs w:val="1"/>
                <w:color w:val="auto"/>
              </w:rPr>
              <w:t>290</w:t>
            </w:r>
          </w:p>
        </w:tc>
        <w:tc>
          <w:tcPr>
            <w:tcW w:w="10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186</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117</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244</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837</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254</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144</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187</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220</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184</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119</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80</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158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162</w:t>
            </w:r>
          </w:p>
        </w:tc>
        <w:tc>
          <w:tcPr>
            <w:tcW w:w="10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120</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Basic earnings per share:</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b w:val="1"/>
                <w:bCs w:val="1"/>
                <w:color w:val="auto"/>
              </w:rPr>
              <w:t>1.31</w:t>
            </w:r>
          </w:p>
        </w:tc>
        <w:tc>
          <w:tcPr>
            <w:tcW w:w="10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b w:val="1"/>
                <w:bCs w:val="1"/>
                <w:color w:val="auto"/>
              </w:rPr>
              <w:t>0.85</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0.57</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1.15</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1.12</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0.63</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0.84</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jc w:val="right"/>
              <w:ind w:right="2331"/>
              <w:spacing w:after="0" w:line="202" w:lineRule="exact"/>
              <w:rPr>
                <w:sz w:val="20"/>
                <w:szCs w:val="20"/>
                <w:color w:val="auto"/>
              </w:rPr>
            </w:pPr>
            <w:r>
              <w:rPr>
                <w:rFonts w:ascii="Arial" w:cs="Arial" w:eastAsia="Arial" w:hAnsi="Arial"/>
                <w:sz w:val="18"/>
                <w:szCs w:val="18"/>
                <w:b w:val="1"/>
                <w:bCs w:val="1"/>
                <w:color w:val="auto"/>
              </w:rPr>
              <w:t>2015</w:t>
            </w:r>
          </w:p>
        </w:tc>
        <w:tc>
          <w:tcPr>
            <w:tcW w:w="162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1.29</w:t>
            </w:r>
          </w:p>
        </w:tc>
        <w:tc>
          <w:tcPr>
            <w:tcW w:w="104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0.84</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0.57</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1.14</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shd w:val="clear" w:color="auto" w:fill="CCEEFF"/>
          </w:tcPr>
          <w:p>
            <w:pPr>
              <w:jc w:val="right"/>
              <w:ind w:right="2331"/>
              <w:spacing w:after="0" w:line="202" w:lineRule="exact"/>
              <w:rPr>
                <w:sz w:val="20"/>
                <w:szCs w:val="20"/>
                <w:color w:val="auto"/>
              </w:rPr>
            </w:pPr>
            <w:r>
              <w:rPr>
                <w:rFonts w:ascii="Arial" w:cs="Arial" w:eastAsia="Arial" w:hAnsi="Arial"/>
                <w:sz w:val="18"/>
                <w:szCs w:val="18"/>
                <w:color w:val="auto"/>
              </w:rPr>
              <w:t>2014</w:t>
            </w:r>
          </w:p>
        </w:tc>
        <w:tc>
          <w:tcPr>
            <w:tcW w:w="162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1.10</w:t>
            </w:r>
          </w:p>
        </w:tc>
        <w:tc>
          <w:tcPr>
            <w:tcW w:w="104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0.63</w:t>
            </w:r>
          </w:p>
        </w:tc>
        <w:tc>
          <w:tcPr>
            <w:tcW w:w="10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0.82</w:t>
            </w: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1.01</w:t>
            </w:r>
          </w:p>
        </w:tc>
        <w:tc>
          <w:tcPr>
            <w:tcW w:w="3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-2709545</wp:posOffset>
            </wp:positionV>
            <wp:extent cx="5565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Gross margin represents sales less cost of sales.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profit represents income before income taxes, interest expense, net, and non-operating income.</w:t>
      </w:r>
    </w:p>
    <w:p>
      <w:pPr>
        <w:spacing w:after="0" w:line="108" w:lineRule="exact"/>
        <w:rPr>
          <w:rFonts w:ascii="Arial" w:cs="Arial" w:eastAsia="Arial" w:hAnsi="Arial"/>
          <w:sz w:val="14"/>
          <w:szCs w:val="14"/>
          <w:color w:val="auto"/>
        </w:rPr>
      </w:pPr>
    </w:p>
    <w:p>
      <w:pPr>
        <w:ind w:left="300" w:hanging="272"/>
        <w:spacing w:after="0"/>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During the third quarter of 2015, the Company recorded a pre-tax charge of $100 million, see Note 23,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for further information.</w:t>
      </w:r>
    </w:p>
    <w:p>
      <w:pPr>
        <w:spacing w:after="0" w:line="122" w:lineRule="exact"/>
        <w:rPr>
          <w:rFonts w:ascii="Arial" w:cs="Arial" w:eastAsia="Arial" w:hAnsi="Arial"/>
          <w:sz w:val="14"/>
          <w:szCs w:val="14"/>
          <w:color w:val="auto"/>
        </w:rPr>
      </w:pPr>
    </w:p>
    <w:p>
      <w:pPr>
        <w:ind w:left="300" w:right="519" w:hanging="272"/>
        <w:spacing w:after="0" w:line="299" w:lineRule="auto"/>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During the fourth quarter of 2015 impairment charges totaling $5 million were recorded, see Note 4, </w:t>
      </w:r>
      <w:r>
        <w:rPr>
          <w:rFonts w:ascii="Arial" w:cs="Arial" w:eastAsia="Arial" w:hAnsi="Arial"/>
          <w:sz w:val="14"/>
          <w:szCs w:val="14"/>
          <w:i w:val="1"/>
          <w:iCs w:val="1"/>
          <w:color w:val="auto"/>
        </w:rPr>
        <w:t>Litigation, Impairment and Other Charges</w:t>
      </w:r>
      <w:r>
        <w:rPr>
          <w:rFonts w:ascii="Arial" w:cs="Arial" w:eastAsia="Arial" w:hAnsi="Arial"/>
          <w:sz w:val="14"/>
          <w:szCs w:val="14"/>
          <w:color w:val="auto"/>
        </w:rPr>
        <w:t xml:space="preserve"> for further information.</w:t>
      </w:r>
    </w:p>
    <w:p>
      <w:pPr>
        <w:spacing w:after="0" w:line="200" w:lineRule="exact"/>
        <w:rPr>
          <w:sz w:val="20"/>
          <w:szCs w:val="20"/>
          <w:color w:val="auto"/>
        </w:rPr>
      </w:pPr>
    </w:p>
    <w:p>
      <w:pPr>
        <w:spacing w:after="0" w:line="31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 Changes in and Disagreements with Accountants on Accounting and Financial Disclosure</w:t>
      </w:r>
    </w:p>
    <w:p>
      <w:pPr>
        <w:spacing w:after="0" w:line="139"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There were no disagreements between the Company and its independent registered public accounting firm on matters of accounting principles or practices.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9A.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performed an evaluation under the supervision and with the participation of the Company’s Chief Executive Officer (“CEO”) and Chief Financial Officer (“CFO”), and completed an evaluation of the effectiveness of the design and operation of the Company’s disclosure controls and procedures (as that term is defined in Rules 13a-15(e) and 15d-15(e) under the Securities Exchange Act of 1934, as amended (the “Exchange Act”)) as of January 30, 2016.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January 30, 2016.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17" w:lineRule="exact"/>
        <w:rPr>
          <w:sz w:val="20"/>
          <w:szCs w:val="20"/>
          <w:color w:val="auto"/>
        </w:rPr>
      </w:pPr>
    </w:p>
    <w:p>
      <w:pPr>
        <w:jc w:val="both"/>
        <w:ind w:left="320" w:right="539"/>
        <w:spacing w:after="0" w:line="256" w:lineRule="auto"/>
        <w:rPr>
          <w:sz w:val="20"/>
          <w:szCs w:val="20"/>
          <w:color w:val="auto"/>
        </w:rPr>
      </w:pPr>
      <w:r>
        <w:rPr>
          <w:rFonts w:ascii="Arial" w:cs="Arial" w:eastAsia="Arial" w:hAnsi="Arial"/>
          <w:sz w:val="18"/>
          <w:szCs w:val="18"/>
          <w:color w:val="auto"/>
        </w:rPr>
        <w:t>During the Company’s last fiscal quarter there were no changes in internal control over financial reporting that materially affected, or are reasonably likely to materially affect, the Company’s internal control over financial reporting.</w:t>
      </w:r>
    </w:p>
    <w:p>
      <w:pPr>
        <w:spacing w:after="0" w:line="94" w:lineRule="exact"/>
        <w:rPr>
          <w:sz w:val="20"/>
          <w:szCs w:val="20"/>
          <w:color w:val="auto"/>
        </w:rPr>
      </w:pPr>
    </w:p>
    <w:p>
      <w:pPr>
        <w:ind w:left="280" w:right="539" w:hanging="272"/>
        <w:spacing w:after="0" w:line="262"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 the report appears on the following page.</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We have audited Foot Locker, Inc.’s internal control over financial reporting as of January 30,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Foot Locker,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(Item 9A(b)). Our responsibility is to express an opinion on the Company’s internal control over financial reporting based on our audit.</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 xml:space="preserve">In our opinion, Foot Locker, Inc. maintained, in all material respects, effective internal control over financial reporting as of January 30, 2016,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4"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Foot Locker, Inc. and subsidiaries as of January 30, 2016 and January 31, 2015, and the related consolidated statements of operations, comprehensive income, shareholders’ equity, and cash flows for each of the years in the three-year period ended January 30, 2016, and our report dated March 24, 2016, expressed an unqualified opinion on these consolidated financial statements.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24, 2016</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9B. Other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III</w:t>
      </w:r>
    </w:p>
    <w:p>
      <w:pPr>
        <w:spacing w:after="0" w:line="148" w:lineRule="exact"/>
        <w:rPr>
          <w:sz w:val="20"/>
          <w:szCs w:val="20"/>
          <w:color w:val="auto"/>
        </w:rPr>
      </w:pPr>
    </w:p>
    <w:p>
      <w:pPr>
        <w:ind w:right="4439" w:firstLine="40"/>
        <w:spacing w:after="0" w:line="388" w:lineRule="auto"/>
        <w:rPr>
          <w:sz w:val="20"/>
          <w:szCs w:val="20"/>
          <w:color w:val="auto"/>
        </w:rPr>
      </w:pPr>
      <w:r>
        <w:rPr>
          <w:rFonts w:ascii="Arial" w:cs="Arial" w:eastAsia="Arial" w:hAnsi="Arial"/>
          <w:sz w:val="18"/>
          <w:szCs w:val="18"/>
          <w:b w:val="1"/>
          <w:bCs w:val="1"/>
          <w:i w:val="1"/>
          <w:iCs w:val="1"/>
          <w:color w:val="auto"/>
        </w:rPr>
        <w:t xml:space="preserve">Item 10. Directors, Executive Officers and Corporate Governance </w:t>
      </w:r>
      <w:r>
        <w:rPr>
          <w:rFonts w:ascii="Arial" w:cs="Arial" w:eastAsia="Arial" w:hAnsi="Arial"/>
          <w:sz w:val="18"/>
          <w:szCs w:val="18"/>
          <w:color w:val="auto"/>
        </w:rPr>
        <w:t>(a) Directors of the Company</w:t>
      </w:r>
    </w:p>
    <w:p>
      <w:pPr>
        <w:spacing w:after="0" w:line="1" w:lineRule="exact"/>
        <w:rPr>
          <w:sz w:val="20"/>
          <w:szCs w:val="20"/>
          <w:color w:val="auto"/>
        </w:rPr>
      </w:pPr>
    </w:p>
    <w:p>
      <w:pPr>
        <w:ind w:left="320" w:right="539"/>
        <w:spacing w:after="0" w:line="262" w:lineRule="auto"/>
        <w:rPr>
          <w:sz w:val="20"/>
          <w:szCs w:val="20"/>
          <w:color w:val="auto"/>
        </w:rPr>
      </w:pPr>
      <w:r>
        <w:rPr>
          <w:rFonts w:ascii="Arial" w:cs="Arial" w:eastAsia="Arial" w:hAnsi="Arial"/>
          <w:sz w:val="18"/>
          <w:szCs w:val="18"/>
          <w:color w:val="auto"/>
        </w:rPr>
        <w:t>Information relative to directors of the Company will be set forth under the section captioned “Proposal 1-Election of Directors” in the Proxy Statement and is incorporated herein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(b) Executive Officers of the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with respect to executive officers of the Company will be set forth immediately following Item 4 in Part I.</w:t>
      </w:r>
    </w:p>
    <w:p>
      <w:pPr>
        <w:spacing w:after="0" w:line="117" w:lineRule="exact"/>
        <w:rPr>
          <w:sz w:val="20"/>
          <w:szCs w:val="20"/>
          <w:color w:val="auto"/>
        </w:rPr>
      </w:pPr>
    </w:p>
    <w:p>
      <w:pPr>
        <w:jc w:val="both"/>
        <w:ind w:left="280" w:right="519" w:hanging="272"/>
        <w:spacing w:after="0" w:line="256"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compliance with Section 16(a) of the Securities Exchange Act of 1934 will be set forth under the section captioned “Section 16(a) Beneficial Ownership Reporting Compliance” in the Proxy Statement and is incorporated herein by reference.</w:t>
      </w:r>
    </w:p>
    <w:p>
      <w:pPr>
        <w:spacing w:after="0" w:line="93" w:lineRule="exact"/>
        <w:rPr>
          <w:rFonts w:ascii="Arial" w:cs="Arial" w:eastAsia="Arial" w:hAnsi="Arial"/>
          <w:sz w:val="18"/>
          <w:szCs w:val="18"/>
          <w:color w:val="auto"/>
        </w:rPr>
      </w:pPr>
    </w:p>
    <w:p>
      <w:pPr>
        <w:ind w:left="280" w:right="539" w:hanging="272"/>
        <w:spacing w:after="0" w:line="291" w:lineRule="auto"/>
        <w:tabs>
          <w:tab w:leader="none" w:pos="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Information on our audit committee and the audit committee financial expert will be contained in the Proxy Statement under the section captioned “Committees of the Board of Directors” and is incorporated herein by reference.</w:t>
      </w:r>
    </w:p>
    <w:p>
      <w:pPr>
        <w:spacing w:after="0" w:line="66" w:lineRule="exact"/>
        <w:rPr>
          <w:rFonts w:ascii="Arial" w:cs="Arial" w:eastAsia="Arial" w:hAnsi="Arial"/>
          <w:sz w:val="17"/>
          <w:szCs w:val="17"/>
          <w:color w:val="auto"/>
        </w:rPr>
      </w:pPr>
    </w:p>
    <w:p>
      <w:pPr>
        <w:jc w:val="both"/>
        <w:ind w:left="280" w:right="519" w:hanging="272"/>
        <w:spacing w:after="0" w:line="25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about the Code of Business Conduct governing our employees, including our Chief Executive Officer, Chief Financial Officer, Chief Accounting Officer, and the Board of Directors, will be set forth under the heading “Code of Business Conduct” under the Corporate Governance section of the Proxy Statement and is incorporated herein by reference.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11. Executive Compensation</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Information set forth in the Proxy Statement beginning with the section captioned “Directors’ Compensation and Benefits” through and including the section captioned “Pension Benefits” is incorporated herein by reference, and information set forth in the Proxy Statement under the heading “Compensation and Management Resources Committee Interlocks and Insider Participation” is incorporated herein by reference.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12. Security Ownership of Certain Beneficial Owners and Management and Related Stockholder Matters</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sections captioned “Equity Compensation Plan Information” and “Beneficial Ownership of the Company’s Stock” is incorporated herein by reference.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13. Certain Relationships and Related Transactions, and Director Independence</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 captioned “Related Person Transactions” and under the section captioned “Directors’ Independence” is incorporated herein by reference.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14. Principal Accounting Fees and Services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Information about the principal accounting fees and services is set forth under the section captioned “Proposal 2: Ratification of the Appointment of Independent Registered Public Accounting Firm — Audit and Non-Audit Fees” in the Proxy Statement and is incorporated herein by reference. Information about the Audit Committee’s pre-approval policies and procedures is set forth in the section captioned “Proposal 2: Ratification of the Appointment of Independent Registered Public Accounting Firm — Audit Committee Pre-Approval Policies and Procedures” in the Proxy Statement and is incorporated herein by reference.</w:t>
      </w: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IV</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15. Exhibits and Financial Statement Schedules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(a)(1) and (2) Financial Statements</w:t>
      </w:r>
    </w:p>
    <w:p>
      <w:pPr>
        <w:spacing w:after="0" w:line="117" w:lineRule="exact"/>
        <w:rPr>
          <w:sz w:val="20"/>
          <w:szCs w:val="20"/>
          <w:color w:val="auto"/>
        </w:rPr>
      </w:pPr>
    </w:p>
    <w:p>
      <w:pPr>
        <w:jc w:val="both"/>
        <w:ind w:left="320" w:right="519"/>
        <w:spacing w:after="0" w:line="254" w:lineRule="auto"/>
        <w:rPr>
          <w:sz w:val="20"/>
          <w:szCs w:val="20"/>
          <w:color w:val="auto"/>
        </w:rPr>
      </w:pPr>
      <w:r>
        <w:rPr>
          <w:rFonts w:ascii="Arial" w:cs="Arial" w:eastAsia="Arial" w:hAnsi="Arial"/>
          <w:sz w:val="18"/>
          <w:szCs w:val="18"/>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(a)(3) and (c) Exhibits</w:t>
      </w:r>
    </w:p>
    <w:p>
      <w:pPr>
        <w:spacing w:after="0" w:line="117" w:lineRule="exact"/>
        <w:rPr>
          <w:sz w:val="20"/>
          <w:szCs w:val="20"/>
          <w:color w:val="auto"/>
        </w:rPr>
      </w:pPr>
    </w:p>
    <w:p>
      <w:pPr>
        <w:jc w:val="both"/>
        <w:ind w:left="320" w:right="539"/>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An index of the exhibits which are required by this item and which are included or incorporated herein by reference in this report appears on pages </w:t>
      </w:r>
      <w:hyperlink w:anchor="page80">
        <w:r>
          <w:rPr>
            <w:rFonts w:ascii="Arial" w:cs="Arial" w:eastAsia="Arial" w:hAnsi="Arial"/>
            <w:sz w:val="18"/>
            <w:szCs w:val="18"/>
            <w:u w:val="single" w:color="auto"/>
            <w:color w:val="0000EE"/>
          </w:rPr>
          <w:t>78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82">
        <w:r>
          <w:rPr>
            <w:rFonts w:ascii="Arial" w:cs="Arial" w:eastAsia="Arial" w:hAnsi="Arial"/>
            <w:sz w:val="18"/>
            <w:szCs w:val="18"/>
            <w:u w:val="single" w:color="auto"/>
            <w:color w:val="0000EE"/>
          </w:rPr>
          <w:t>80</w:t>
        </w:r>
      </w:hyperlink>
      <w:r>
        <w:rPr>
          <w:rFonts w:ascii="Arial" w:cs="Arial" w:eastAsia="Arial" w:hAnsi="Arial"/>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5565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0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FOOT LOCKER, INC.</w:t>
      </w:r>
    </w:p>
    <w:p>
      <w:pPr>
        <w:ind w:left="3920"/>
        <w:spacing w:after="0"/>
        <w:rPr>
          <w:sz w:val="20"/>
          <w:szCs w:val="20"/>
          <w:color w:val="auto"/>
        </w:rPr>
      </w:pPr>
      <w:r>
        <w:rPr>
          <w:rFonts w:ascii="Arial" w:cs="Arial" w:eastAsia="Arial" w:hAnsi="Arial"/>
          <w:sz w:val="18"/>
          <w:szCs w:val="18"/>
          <w:color w:val="auto"/>
        </w:rPr>
        <w:t>By:  /s/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-1905</wp:posOffset>
            </wp:positionV>
            <wp:extent cx="28213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Richard A. Johnson</w:t>
      </w:r>
    </w:p>
    <w:p>
      <w:pPr>
        <w:ind w:left="4320"/>
        <w:spacing w:after="0" w:line="234"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 March 24, 2016</w:t>
      </w:r>
    </w:p>
    <w:p>
      <w:pPr>
        <w:spacing w:after="0" w:line="104"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24, 2016, by the following persons on behalf of the Company and in the capacities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55397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Richard A. Johnson</w:t>
      </w:r>
    </w:p>
    <w:p>
      <w:pPr>
        <w:jc w:val="center"/>
        <w:ind w:right="120"/>
        <w:spacing w:after="0" w:line="234" w:lineRule="auto"/>
        <w:rPr>
          <w:sz w:val="20"/>
          <w:szCs w:val="20"/>
          <w:color w:val="auto"/>
        </w:rPr>
      </w:pPr>
      <w:r>
        <w:rPr>
          <w:rFonts w:ascii="Arial" w:cs="Arial" w:eastAsia="Arial" w:hAnsi="Arial"/>
          <w:sz w:val="18"/>
          <w:szCs w:val="18"/>
          <w:color w:val="auto"/>
        </w:rPr>
        <w:t>President,</w:t>
      </w:r>
    </w:p>
    <w:p>
      <w:pPr>
        <w:jc w:val="center"/>
        <w:ind w:right="120"/>
        <w:spacing w:after="0" w:line="235"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Giovanna Cipriano</w:t>
      </w:r>
    </w:p>
    <w:p>
      <w:pPr>
        <w:jc w:val="center"/>
        <w:ind w:right="120"/>
        <w:spacing w:after="0"/>
        <w:rPr>
          <w:sz w:val="20"/>
          <w:szCs w:val="20"/>
          <w:color w:val="auto"/>
        </w:rPr>
      </w:pPr>
      <w:r>
        <w:rPr>
          <w:rFonts w:ascii="Arial" w:cs="Arial" w:eastAsia="Arial" w:hAnsi="Arial"/>
          <w:sz w:val="17"/>
          <w:szCs w:val="17"/>
          <w:color w:val="auto"/>
        </w:rPr>
        <w:t>Senior Vice President and Chief Accounting Officer</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Maxine Clark</w:t>
      </w:r>
    </w:p>
    <w:p>
      <w:pPr>
        <w:jc w:val="center"/>
        <w:ind w:right="12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Alan D. Feldman</w:t>
      </w:r>
    </w:p>
    <w:p>
      <w:pPr>
        <w:jc w:val="center"/>
        <w:ind w:right="12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JAROBIN GILBERT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Jarobin Gilbert Jr.</w:t>
      </w:r>
    </w:p>
    <w:p>
      <w:pPr>
        <w:jc w:val="center"/>
        <w:ind w:right="12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Guillermo G. Marmol</w:t>
      </w:r>
    </w:p>
    <w:p>
      <w:pPr>
        <w:jc w:val="center"/>
        <w:ind w:right="1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27787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Lauren B. Peters</w:t>
      </w:r>
    </w:p>
    <w:p>
      <w:pPr>
        <w:jc w:val="center"/>
        <w:ind w:right="1999"/>
        <w:spacing w:after="0" w:line="234" w:lineRule="auto"/>
        <w:rPr>
          <w:sz w:val="20"/>
          <w:szCs w:val="20"/>
          <w:color w:val="auto"/>
        </w:rPr>
      </w:pPr>
      <w:r>
        <w:rPr>
          <w:rFonts w:ascii="Arial" w:cs="Arial" w:eastAsia="Arial" w:hAnsi="Arial"/>
          <w:sz w:val="18"/>
          <w:szCs w:val="18"/>
          <w:color w:val="auto"/>
        </w:rPr>
        <w:t>Executive Vice President and</w:t>
      </w:r>
    </w:p>
    <w:p>
      <w:pPr>
        <w:jc w:val="center"/>
        <w:ind w:right="1999"/>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auto"/>
        </w:rPr>
        <w:t>/s/ NICHOLAS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2778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1999"/>
        <w:spacing w:after="0"/>
        <w:rPr>
          <w:sz w:val="20"/>
          <w:szCs w:val="20"/>
          <w:color w:val="auto"/>
        </w:rPr>
      </w:pPr>
      <w:r>
        <w:rPr>
          <w:rFonts w:ascii="Arial" w:cs="Arial" w:eastAsia="Arial" w:hAnsi="Arial"/>
          <w:sz w:val="18"/>
          <w:szCs w:val="18"/>
          <w:color w:val="auto"/>
        </w:rPr>
        <w:t>Nicholas DiPaolo</w:t>
      </w:r>
    </w:p>
    <w:p>
      <w:pPr>
        <w:jc w:val="center"/>
        <w:ind w:right="1999"/>
        <w:spacing w:after="0"/>
        <w:rPr>
          <w:sz w:val="20"/>
          <w:szCs w:val="20"/>
          <w:color w:val="auto"/>
        </w:rPr>
      </w:pPr>
      <w:r>
        <w:rPr>
          <w:rFonts w:ascii="Arial" w:cs="Arial" w:eastAsia="Arial" w:hAnsi="Arial"/>
          <w:sz w:val="17"/>
          <w:szCs w:val="17"/>
          <w:color w:val="auto"/>
        </w:rPr>
        <w:t>Non-Executive Chairman of the Board</w:t>
      </w:r>
    </w:p>
    <w:p>
      <w:pPr>
        <w:spacing w:after="0" w:line="7"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2778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1999"/>
        <w:spacing w:after="0"/>
        <w:rPr>
          <w:sz w:val="20"/>
          <w:szCs w:val="20"/>
          <w:color w:val="auto"/>
        </w:rPr>
      </w:pPr>
      <w:r>
        <w:rPr>
          <w:rFonts w:ascii="Arial" w:cs="Arial" w:eastAsia="Arial" w:hAnsi="Arial"/>
          <w:sz w:val="18"/>
          <w:szCs w:val="18"/>
          <w:color w:val="auto"/>
        </w:rPr>
        <w:t>Matthew M. McKenna</w:t>
      </w:r>
    </w:p>
    <w:p>
      <w:pPr>
        <w:jc w:val="center"/>
        <w:ind w:right="199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-1270</wp:posOffset>
            </wp:positionV>
            <wp:extent cx="27787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1999"/>
        <w:spacing w:after="0"/>
        <w:rPr>
          <w:sz w:val="20"/>
          <w:szCs w:val="20"/>
          <w:color w:val="auto"/>
        </w:rPr>
      </w:pPr>
      <w:r>
        <w:rPr>
          <w:rFonts w:ascii="Arial" w:cs="Arial" w:eastAsia="Arial" w:hAnsi="Arial"/>
          <w:sz w:val="18"/>
          <w:szCs w:val="18"/>
          <w:color w:val="auto"/>
        </w:rPr>
        <w:t>Cheryl Nido Turpin</w:t>
      </w:r>
    </w:p>
    <w:p>
      <w:pPr>
        <w:jc w:val="center"/>
        <w:ind w:right="199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27787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1999"/>
        <w:spacing w:after="0"/>
        <w:rPr>
          <w:sz w:val="20"/>
          <w:szCs w:val="20"/>
          <w:color w:val="auto"/>
        </w:rPr>
      </w:pPr>
      <w:r>
        <w:rPr>
          <w:rFonts w:ascii="Arial" w:cs="Arial" w:eastAsia="Arial" w:hAnsi="Arial"/>
          <w:sz w:val="18"/>
          <w:szCs w:val="18"/>
          <w:color w:val="auto"/>
        </w:rPr>
        <w:t>Steven Oakland</w:t>
      </w:r>
    </w:p>
    <w:p>
      <w:pPr>
        <w:jc w:val="center"/>
        <w:ind w:right="199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1999"/>
        <w:spacing w:after="0"/>
        <w:rPr>
          <w:sz w:val="20"/>
          <w:szCs w:val="20"/>
          <w:color w:val="auto"/>
        </w:rPr>
      </w:pPr>
      <w:r>
        <w:rPr>
          <w:rFonts w:ascii="Arial" w:cs="Arial" w:eastAsia="Arial" w:hAnsi="Arial"/>
          <w:sz w:val="18"/>
          <w:szCs w:val="18"/>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-1270</wp:posOffset>
            </wp:positionV>
            <wp:extent cx="27787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1999"/>
        <w:spacing w:after="0"/>
        <w:rPr>
          <w:sz w:val="20"/>
          <w:szCs w:val="20"/>
          <w:color w:val="auto"/>
        </w:rPr>
      </w:pPr>
      <w:r>
        <w:rPr>
          <w:rFonts w:ascii="Arial" w:cs="Arial" w:eastAsia="Arial" w:hAnsi="Arial"/>
          <w:sz w:val="18"/>
          <w:szCs w:val="18"/>
          <w:color w:val="auto"/>
        </w:rPr>
        <w:t>Dona D. Young</w:t>
      </w:r>
    </w:p>
    <w:p>
      <w:pPr>
        <w:jc w:val="center"/>
        <w:ind w:right="199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340" w:space="720"/>
            <w:col w:w="5019"/>
          </w:cols>
          <w:pgMar w:left="380" w:top="801" w:right="1440" w:bottom="1440" w:gutter="0" w:footer="0" w:header="0"/>
          <w:type w:val="continuous"/>
        </w:sectPr>
      </w:pPr>
    </w:p>
    <w:p>
      <w:pPr>
        <w:spacing w:after="0" w:line="34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104140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type w:val="continuous"/>
        </w:sectPr>
      </w:pPr>
    </w:p>
    <w:bookmarkStart w:id="79" w:name="page80"/>
    <w:bookmarkEnd w:id="7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760" w:type="dxa"/>
            <w:vAlign w:val="bottom"/>
          </w:tcPr>
          <w:p>
            <w:pPr>
              <w:ind w:left="2880"/>
              <w:spacing w:after="0"/>
              <w:rPr>
                <w:sz w:val="20"/>
                <w:szCs w:val="20"/>
                <w:color w:val="auto"/>
              </w:rPr>
            </w:pPr>
            <w:r>
              <w:rPr>
                <w:rFonts w:ascii="Arial" w:cs="Arial" w:eastAsia="Arial" w:hAnsi="Arial"/>
                <w:sz w:val="18"/>
                <w:szCs w:val="18"/>
                <w:b w:val="1"/>
                <w:bCs w:val="1"/>
                <w:color w:val="auto"/>
              </w:rPr>
              <w:t>FOOT LOCKER, INC.</w:t>
            </w:r>
          </w:p>
        </w:tc>
        <w:tc>
          <w:tcPr>
            <w:tcW w:w="70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760" w:type="dxa"/>
            <w:vAlign w:val="bottom"/>
          </w:tcPr>
          <w:p>
            <w:pPr>
              <w:ind w:left="2900"/>
              <w:spacing w:after="0"/>
              <w:rPr>
                <w:sz w:val="20"/>
                <w:szCs w:val="20"/>
                <w:color w:val="auto"/>
              </w:rPr>
            </w:pPr>
            <w:r>
              <w:rPr>
                <w:rFonts w:ascii="Arial" w:cs="Arial" w:eastAsia="Arial" w:hAnsi="Arial"/>
                <w:sz w:val="18"/>
                <w:szCs w:val="18"/>
                <w:b w:val="1"/>
                <w:bCs w:val="1"/>
                <w:color w:val="auto"/>
              </w:rPr>
              <w:t>INDEX OF EXHIBITS</w:t>
            </w:r>
          </w:p>
        </w:tc>
        <w:tc>
          <w:tcPr>
            <w:tcW w:w="700" w:type="dxa"/>
            <w:vAlign w:val="bottom"/>
          </w:tcPr>
          <w:p>
            <w:pPr>
              <w:spacing w:after="0"/>
              <w:rPr>
                <w:sz w:val="24"/>
                <w:szCs w:val="24"/>
                <w:color w:val="auto"/>
              </w:rPr>
            </w:pPr>
          </w:p>
        </w:tc>
      </w:tr>
      <w:tr>
        <w:trPr>
          <w:trHeight w:val="351"/>
        </w:trPr>
        <w:tc>
          <w:tcPr>
            <w:tcW w:w="120" w:type="dxa"/>
            <w:vAlign w:val="bottom"/>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7760" w:type="dxa"/>
            <w:vAlign w:val="bottom"/>
            <w:tcBorders>
              <w:bottom w:val="single" w:sz="8" w:color="auto"/>
            </w:tcBorders>
          </w:tcPr>
          <w:p>
            <w:pPr>
              <w:ind w:left="3600"/>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spacing w:after="0"/>
              <w:rPr>
                <w:sz w:val="24"/>
                <w:szCs w:val="24"/>
                <w:color w:val="auto"/>
              </w:rPr>
            </w:pPr>
          </w:p>
        </w:tc>
      </w:tr>
      <w:tr>
        <w:trPr>
          <w:trHeight w:val="195"/>
        </w:trPr>
        <w:tc>
          <w:tcPr>
            <w:tcW w:w="120" w:type="dxa"/>
            <w:vAlign w:val="bottom"/>
          </w:tcPr>
          <w:p>
            <w:pPr>
              <w:spacing w:after="0"/>
              <w:rPr>
                <w:sz w:val="16"/>
                <w:szCs w:val="16"/>
                <w:color w:val="auto"/>
              </w:rPr>
            </w:pPr>
          </w:p>
        </w:tc>
        <w:tc>
          <w:tcPr>
            <w:tcW w:w="1020" w:type="dxa"/>
            <w:vAlign w:val="bottom"/>
          </w:tcPr>
          <w:p>
            <w:pPr>
              <w:ind w:left="320"/>
              <w:spacing w:after="0" w:line="195" w:lineRule="exact"/>
              <w:rPr>
                <w:sz w:val="20"/>
                <w:szCs w:val="20"/>
                <w:color w:val="auto"/>
              </w:rPr>
            </w:pPr>
            <w:r>
              <w:rPr>
                <w:rFonts w:ascii="Arial" w:cs="Arial" w:eastAsia="Arial" w:hAnsi="Arial"/>
                <w:sz w:val="18"/>
                <w:szCs w:val="18"/>
                <w:color w:val="auto"/>
              </w:rPr>
              <w:t>3(i)(a)</w:t>
            </w:r>
          </w:p>
        </w:tc>
        <w:tc>
          <w:tcPr>
            <w:tcW w:w="7760" w:type="dxa"/>
            <w:vAlign w:val="bottom"/>
          </w:tcPr>
          <w:p>
            <w:pPr>
              <w:ind w:left="240"/>
              <w:spacing w:after="0" w:line="195" w:lineRule="exact"/>
              <w:rPr>
                <w:sz w:val="20"/>
                <w:szCs w:val="20"/>
                <w:color w:val="auto"/>
              </w:rPr>
            </w:pPr>
            <w:r>
              <w:rPr>
                <w:rFonts w:ascii="Arial" w:cs="Arial" w:eastAsia="Arial" w:hAnsi="Arial"/>
                <w:sz w:val="18"/>
                <w:szCs w:val="18"/>
                <w:color w:val="auto"/>
              </w:rPr>
              <w:t>Certificate of Incorporation of the Registrant, as filed by the Department of State of the State</w:t>
            </w:r>
          </w:p>
        </w:tc>
        <w:tc>
          <w:tcPr>
            <w:tcW w:w="70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of New York on April 7, 1989 (incorporated herein by reference to Exhibit 3(i)(a)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Quarterly Report on Form 10-Q for the quarterly period ended July 26, 1997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September 4, 1997 (the “July 26, 1997 Form 10-Q”)).</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ind w:left="320"/>
              <w:spacing w:after="0" w:line="202" w:lineRule="exact"/>
              <w:rPr>
                <w:sz w:val="20"/>
                <w:szCs w:val="20"/>
                <w:color w:val="auto"/>
              </w:rPr>
            </w:pPr>
            <w:r>
              <w:rPr>
                <w:rFonts w:ascii="Arial" w:cs="Arial" w:eastAsia="Arial" w:hAnsi="Arial"/>
                <w:sz w:val="18"/>
                <w:szCs w:val="18"/>
                <w:color w:val="auto"/>
              </w:rPr>
              <w:t>3(i)(b)</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Certificates of Amendment of the Certificate of Incorporation of the Registrant, as filed by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Department of State of the State of New York on (a) July 20, 1989, (b) July 24, 1990, (c) July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9, 1997 (incorporated herein by reference to Exhibit 3(i)(b) to the July 26, 1997 Form 10-Q),</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(d) June 11, 1998 (incorporated herein by reference to Exhibit 4.2(a) to the Registration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Statement on Form S-8 (Registration No. 333-62425) (the “1998 Form S-8”)), (e) November 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2001 (incorporated herein by reference to Exhibit 4.2 to the Registration Statement on Form</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S-8 (Registration No. 333-74688) (the “2001 Form S-8”)), and (f) May 28, 2014 (incorporated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herein by reference to Exhibit 3.1 to the Current Report on Form 8-K dated May 21, 2014 filed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on May 28, 2014).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3(ii)</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By-laws of the Registrant, as amended (incorporated herein by reference to Exhibit 3.1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Current Report on Form 8-K dated May 20, 2009 filed on May 27, 2009).</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4.1</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The rights of holders of the Registrant’s equity securities are defined in the Registrant’s</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Certificate of Incorporation, as amended (incorporated herein by reference to (a) Exhibits 3(i)</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 and 3(i)(b) to the July 26, 1997 Form 10-Q, Exhibit 4.2(a) to the 1998 Form S-8, and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Exhibit 4.2 to the 2001 Form S-8.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4.2</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Indenture, dated as of October 10, 1991 (incorporated herein by reference to Exhibit 4.1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Registration Statement on Form S-3 (Registration No. 33-43334)).</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4.3</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Form of 8-1/2% Debentures due 2022 (incorporated herein by reference to Exhibit 4 to the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Current Report on Form 8-K dated January 16, 1992).</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Foot Locker 1998 Stock Option and Award Plan (incorporated herein by reference to Exhibit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10.4 to the Annual Report on Form 10-K for the fiscal year ended January 31, 1998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April 21, 1998).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Amendment to the Foot Locker 1998 Stock Option and Award Plan (incorporated herein by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reference to Exhibit 10.2 to the Quarterly Report on Form 10-Q for the quarterly period ended</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July 29, 2000 filed on September 7, 2000).</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10.3†</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Executive Supplemental Retirement Plan (incorporated herein by reference to Exhibit 10(d) to</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the Registration Statement on Form 8-B filed on August 7, 1989 (Registration No. 1-10299)</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(the “8-B Registration Statement”)).</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10.4†</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to Exhibit 10(c)(i) to the Annual Report on Form 10-K for the fiscal year ended January 28,</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1995 filed on April 24, 1995).</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10.5†</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to Exhibit 10(d)(ii) to the Annual Report on Form 10-K for the fiscal year ended January 27,</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1996 filed on April 26, 1996).</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10.6†</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Supplemental Executive Retirement Plan, as Amended and Restated (incorporated herein by</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reference to Exhibit 10.1 to the Current Report on Form 8-K dated August 13, 2007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August 17, 2007).</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10.7†</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Amendment to the Foot Locker Supplemental Executive Retirement Plan (incorporated herein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by reference to Exhibit 10.1 to the Current Report on Form 8-K dated May 25, 2011 filed on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May 27, 2011).</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10.8†</w:t>
            </w: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Amendment Number Two to the Foot Locker Supplemental Executive Retirement Plan</w:t>
            </w:r>
          </w:p>
        </w:tc>
        <w:tc>
          <w:tcPr>
            <w:tcW w:w="7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(incorporated herein by reference to Exhibit 10.3 to the Current Report on Form 8-K dated</w:t>
            </w:r>
          </w:p>
        </w:tc>
        <w:tc>
          <w:tcPr>
            <w:tcW w:w="700" w:type="dxa"/>
            <w:vAlign w:val="bottom"/>
          </w:tcPr>
          <w:p>
            <w:pPr>
              <w:spacing w:after="0"/>
              <w:rPr>
                <w:sz w:val="17"/>
                <w:szCs w:val="17"/>
                <w:color w:val="auto"/>
              </w:rPr>
            </w:pPr>
          </w:p>
        </w:tc>
      </w:tr>
      <w:tr>
        <w:trPr>
          <w:trHeight w:val="217"/>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March 26, 2014 filed on April 1, 2014 (the “March 26, 2014 Form 8-K”)).</w:t>
            </w:r>
          </w:p>
        </w:tc>
        <w:tc>
          <w:tcPr>
            <w:tcW w:w="700" w:type="dxa"/>
            <w:vAlign w:val="bottom"/>
          </w:tcPr>
          <w:p>
            <w:pPr>
              <w:spacing w:after="0"/>
              <w:rPr>
                <w:sz w:val="18"/>
                <w:szCs w:val="18"/>
                <w:color w:val="auto"/>
              </w:rPr>
            </w:pPr>
          </w:p>
        </w:tc>
      </w:tr>
      <w:tr>
        <w:trPr>
          <w:trHeight w:val="756"/>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760" w:type="dxa"/>
            <w:vAlign w:val="bottom"/>
          </w:tcPr>
          <w:p>
            <w:pPr>
              <w:ind w:left="3540"/>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7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7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-6877050</wp:posOffset>
            </wp:positionV>
            <wp:extent cx="55314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5314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57" w:lineRule="exact"/>
        <w:rPr>
          <w:sz w:val="20"/>
          <w:szCs w:val="20"/>
          <w:color w:val="auto"/>
        </w:rPr>
      </w:pPr>
    </w:p>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565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7" w:lineRule="exact"/>
        <w:rPr>
          <w:sz w:val="20"/>
          <w:szCs w:val="20"/>
          <w:color w:val="auto"/>
        </w:rPr>
      </w:pPr>
    </w:p>
    <w:p>
      <w:pPr>
        <w:ind w:left="1240" w:right="1539" w:hanging="952"/>
        <w:spacing w:after="0" w:line="234" w:lineRule="auto"/>
        <w:tabs>
          <w:tab w:leader="none" w:pos="12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Long-Term Incentive Compensation Plan, as amended and restated (incorporated herein by reference to Exhibit 10.2 to the Current Report on Form 8-K dated March 28, 2013 filed on April 1, 2013 (the “March 28, 2013 Form 8-K”)).</w:t>
      </w:r>
    </w:p>
    <w:p>
      <w:pPr>
        <w:spacing w:after="0" w:line="2" w:lineRule="exact"/>
        <w:rPr>
          <w:sz w:val="20"/>
          <w:szCs w:val="20"/>
          <w:color w:val="auto"/>
        </w:rPr>
      </w:pPr>
    </w:p>
    <w:p>
      <w:pPr>
        <w:ind w:left="1240" w:right="1839" w:hanging="977"/>
        <w:spacing w:after="0" w:line="234" w:lineRule="auto"/>
        <w:tabs>
          <w:tab w:leader="none" w:pos="12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Annual Incentive Compensation Plan, as amended and restated (incorporated herein by reference to Exhibit 10.1 to the March 28, 2013 Form 8-K).</w:t>
      </w:r>
    </w:p>
    <w:p>
      <w:pPr>
        <w:spacing w:after="0" w:line="2" w:lineRule="exact"/>
        <w:rPr>
          <w:sz w:val="20"/>
          <w:szCs w:val="20"/>
          <w:color w:val="auto"/>
        </w:rPr>
      </w:pPr>
    </w:p>
    <w:p>
      <w:pPr>
        <w:ind w:left="1240" w:right="1459" w:hanging="952"/>
        <w:spacing w:after="0" w:line="234" w:lineRule="auto"/>
        <w:tabs>
          <w:tab w:leader="none" w:pos="12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indemnification agreement, as amended (incorporated herein by reference to Exhibit 10(g) to the 8-B Registration Statement).</w:t>
      </w:r>
    </w:p>
    <w:p>
      <w:pPr>
        <w:spacing w:after="0" w:line="2" w:lineRule="exact"/>
        <w:rPr>
          <w:sz w:val="20"/>
          <w:szCs w:val="20"/>
          <w:color w:val="auto"/>
        </w:rPr>
      </w:pPr>
    </w:p>
    <w:p>
      <w:pPr>
        <w:jc w:val="both"/>
        <w:ind w:left="1240" w:right="1359" w:hanging="952"/>
        <w:spacing w:after="0" w:line="234" w:lineRule="auto"/>
        <w:tabs>
          <w:tab w:leader="none" w:pos="12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form of indemnification agreement (incorporated herein by reference to Exhibit 10.5 to the Quarterly Report on Form 10-Q for the quarterly period ended May 5, 2001 filed on June 13, 2001 (the “May 5, 2001 Form 10-Q”)).</w:t>
      </w:r>
    </w:p>
    <w:p>
      <w:pPr>
        <w:spacing w:after="0" w:line="2" w:lineRule="exact"/>
        <w:rPr>
          <w:sz w:val="20"/>
          <w:szCs w:val="20"/>
          <w:color w:val="auto"/>
        </w:rPr>
      </w:pPr>
    </w:p>
    <w:p>
      <w:pPr>
        <w:ind w:left="1240" w:right="1839" w:hanging="952"/>
        <w:spacing w:after="0" w:line="248" w:lineRule="auto"/>
        <w:tabs>
          <w:tab w:leader="none" w:pos="12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Trust Agreement dated as of November 12, 1987 (“Trust Agreement”), between F.W. Woolworth Co. and The Bank of New York, as amended and assumed by the Registrant (incorporated herein by reference to Exhibit 10(j) to the 8-B Registration Statement).</w:t>
      </w:r>
    </w:p>
    <w:p>
      <w:pPr>
        <w:spacing w:after="0" w:line="2" w:lineRule="exact"/>
        <w:rPr>
          <w:sz w:val="20"/>
          <w:szCs w:val="20"/>
          <w:color w:val="auto"/>
        </w:rPr>
      </w:pPr>
    </w:p>
    <w:p>
      <w:pPr>
        <w:ind w:left="1240" w:right="1479" w:hanging="952"/>
        <w:spacing w:after="0" w:line="234" w:lineRule="auto"/>
        <w:tabs>
          <w:tab w:leader="none" w:pos="12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Amendment to Trust Agreement made as of April 11, 2001 (incorporated herein by reference to Exhibit 10.4 to the May 5, 2001 Form 10-Q).</w:t>
      </w:r>
    </w:p>
    <w:p>
      <w:pPr>
        <w:spacing w:after="0" w:line="2" w:lineRule="exact"/>
        <w:rPr>
          <w:sz w:val="20"/>
          <w:szCs w:val="20"/>
          <w:color w:val="auto"/>
        </w:rPr>
      </w:pPr>
    </w:p>
    <w:p>
      <w:pPr>
        <w:ind w:left="1240" w:right="1739" w:hanging="977"/>
        <w:spacing w:after="0" w:line="234" w:lineRule="auto"/>
        <w:tabs>
          <w:tab w:leader="none" w:pos="12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Foot Locker Directors’ Retirement Plan, as amended (incorporated herein by reference to Exhibit 10(k) to the 8-B Registration Statement).</w:t>
      </w:r>
    </w:p>
    <w:p>
      <w:pPr>
        <w:spacing w:after="0" w:line="2" w:lineRule="exact"/>
        <w:rPr>
          <w:sz w:val="20"/>
          <w:szCs w:val="20"/>
          <w:color w:val="auto"/>
        </w:rPr>
      </w:pPr>
    </w:p>
    <w:p>
      <w:pPr>
        <w:jc w:val="both"/>
        <w:ind w:left="1240" w:right="1419" w:hanging="977"/>
        <w:spacing w:after="0" w:line="234" w:lineRule="auto"/>
        <w:tabs>
          <w:tab w:leader="none" w:pos="12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Amendments to the Foot Locker Directors’ Retirement Plan (incorporated herein by reference to Exhibit 10(c) to the Quarterly Report on Form 10-Q for the quarterly period ended October 28, 1995 filed on December 11, 1995).</w:t>
      </w:r>
    </w:p>
    <w:p>
      <w:pPr>
        <w:spacing w:after="0" w:line="2" w:lineRule="exact"/>
        <w:rPr>
          <w:sz w:val="20"/>
          <w:szCs w:val="20"/>
          <w:color w:val="auto"/>
        </w:rPr>
      </w:pPr>
    </w:p>
    <w:p>
      <w:pPr>
        <w:jc w:val="both"/>
        <w:ind w:left="1240" w:right="1399" w:hanging="977"/>
        <w:spacing w:after="0" w:line="234" w:lineRule="auto"/>
        <w:tabs>
          <w:tab w:leader="none" w:pos="12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November 6, 2014, by and between Richard A. Johnson and the Company (incorporated herein by reference to Exhibit 10.2 to the Current Report on Form 8-K dated November 3, 2014 filed on November 7, 2014).</w:t>
      </w:r>
    </w:p>
    <w:p>
      <w:pPr>
        <w:ind w:left="260"/>
        <w:spacing w:after="0"/>
        <w:tabs>
          <w:tab w:leader="none" w:pos="12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Form of Senior Executive Employment Agreement (incorporated herein by reference to Exhibit</w:t>
      </w:r>
    </w:p>
    <w:p>
      <w:pPr>
        <w:ind w:left="1240"/>
        <w:spacing w:after="0" w:line="235" w:lineRule="auto"/>
        <w:rPr>
          <w:sz w:val="20"/>
          <w:szCs w:val="20"/>
          <w:color w:val="auto"/>
        </w:rPr>
      </w:pPr>
      <w:r>
        <w:rPr>
          <w:rFonts w:ascii="Arial" w:cs="Arial" w:eastAsia="Arial" w:hAnsi="Arial"/>
          <w:sz w:val="18"/>
          <w:szCs w:val="18"/>
          <w:color w:val="auto"/>
        </w:rPr>
        <w:t>10.1 to the Current Report on Form 8-K dated April 20, 2015 filed on April 20, 2015).</w:t>
      </w:r>
    </w:p>
    <w:p>
      <w:pPr>
        <w:ind w:left="280"/>
        <w:spacing w:after="0"/>
        <w:tabs>
          <w:tab w:leader="none" w:pos="12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Form of Executive Employment Agreement.</w:t>
      </w:r>
    </w:p>
    <w:p>
      <w:pPr>
        <w:ind w:left="1240" w:right="1499" w:hanging="977"/>
        <w:spacing w:after="0" w:line="234" w:lineRule="auto"/>
        <w:tabs>
          <w:tab w:leader="none" w:pos="12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Foot Locker, Inc. Excess Cash Balance Plan (incorporated herein by reference to Exhibit 10.22 to the Annual Report on Form 10-K for the fiscal year ended January 31, 2009 filed on March 30, 2009 (the “2008 Form 10-K”)).</w:t>
      </w:r>
    </w:p>
    <w:p>
      <w:pPr>
        <w:spacing w:after="0" w:line="2" w:lineRule="exact"/>
        <w:rPr>
          <w:sz w:val="20"/>
          <w:szCs w:val="20"/>
          <w:color w:val="auto"/>
        </w:rPr>
      </w:pPr>
    </w:p>
    <w:p>
      <w:pPr>
        <w:ind w:left="1240" w:right="1419" w:hanging="977"/>
        <w:spacing w:after="0" w:line="234" w:lineRule="auto"/>
        <w:tabs>
          <w:tab w:leader="none" w:pos="12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Restricted Stock Agreement (incorporated herein by reference to Exhibit 10.30 to the Annual Report on Form 10-K for the fiscal year ended January 30, 1999 filed on April 30, 1999).</w:t>
      </w:r>
    </w:p>
    <w:p>
      <w:pPr>
        <w:spacing w:after="0" w:line="2" w:lineRule="exact"/>
        <w:rPr>
          <w:sz w:val="20"/>
          <w:szCs w:val="20"/>
          <w:color w:val="auto"/>
        </w:rPr>
      </w:pPr>
    </w:p>
    <w:p>
      <w:pPr>
        <w:ind w:left="1240" w:right="1519" w:hanging="977"/>
        <w:spacing w:after="0" w:line="234" w:lineRule="auto"/>
        <w:tabs>
          <w:tab w:leader="none" w:pos="12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From of Restricted Stock Agreement (incorporated herein by reference to Exhibit 10.2 to the March 26, 2014 Form 8-K).</w:t>
      </w:r>
    </w:p>
    <w:p>
      <w:pPr>
        <w:spacing w:after="0" w:line="2" w:lineRule="exact"/>
        <w:rPr>
          <w:sz w:val="20"/>
          <w:szCs w:val="20"/>
          <w:color w:val="auto"/>
        </w:rPr>
      </w:pPr>
    </w:p>
    <w:p>
      <w:pPr>
        <w:ind w:left="1240" w:right="1519" w:hanging="977"/>
        <w:spacing w:after="0" w:line="234" w:lineRule="auto"/>
        <w:tabs>
          <w:tab w:leader="none" w:pos="12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Restricted Stock Agreement (incorporated herein by reference to Exhibit 10.1 to the Current Report on Form 8-K dated December 23, 2014 filed on December 30, 2014 (the “December 23, 2014 Form 8-K”)).</w:t>
      </w:r>
    </w:p>
    <w:p>
      <w:pPr>
        <w:spacing w:after="0" w:line="2" w:lineRule="exact"/>
        <w:rPr>
          <w:sz w:val="20"/>
          <w:szCs w:val="20"/>
          <w:color w:val="auto"/>
        </w:rPr>
      </w:pPr>
    </w:p>
    <w:p>
      <w:pPr>
        <w:ind w:left="1240" w:right="1559" w:hanging="977"/>
        <w:spacing w:after="0" w:line="234" w:lineRule="auto"/>
        <w:tabs>
          <w:tab w:leader="none" w:pos="12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Foot Locker 2002 Directors Stock Plan (incorporated herein by reference to Exhibit 10.24 to the 2008 Form 10-K).</w:t>
      </w:r>
    </w:p>
    <w:p>
      <w:pPr>
        <w:spacing w:after="0" w:line="2" w:lineRule="exact"/>
        <w:rPr>
          <w:sz w:val="20"/>
          <w:szCs w:val="20"/>
          <w:color w:val="auto"/>
        </w:rPr>
      </w:pPr>
    </w:p>
    <w:p>
      <w:pPr>
        <w:ind w:left="1240" w:right="1479" w:hanging="977"/>
        <w:spacing w:after="0" w:line="234" w:lineRule="auto"/>
        <w:tabs>
          <w:tab w:leader="none" w:pos="12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Automobile Expense Reimbursement Program for Senior Executives (incorporated herein by reference to Exhibit 10.26 to the 2008 Form 10-K).</w:t>
      </w:r>
    </w:p>
    <w:p>
      <w:pPr>
        <w:spacing w:after="0" w:line="2" w:lineRule="exact"/>
        <w:rPr>
          <w:sz w:val="20"/>
          <w:szCs w:val="20"/>
          <w:color w:val="auto"/>
        </w:rPr>
      </w:pPr>
    </w:p>
    <w:p>
      <w:pPr>
        <w:ind w:left="1240" w:right="1379" w:hanging="977"/>
        <w:spacing w:after="0" w:line="234" w:lineRule="auto"/>
        <w:tabs>
          <w:tab w:leader="none" w:pos="12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Executive Medical Expense Allowance Program for Senior Executives (incorporated herein by reference to Exhibit 10.27 to the 2008 Form 10-K).</w:t>
      </w:r>
    </w:p>
    <w:p>
      <w:pPr>
        <w:spacing w:after="0" w:line="2" w:lineRule="exact"/>
        <w:rPr>
          <w:sz w:val="20"/>
          <w:szCs w:val="20"/>
          <w:color w:val="auto"/>
        </w:rPr>
      </w:pPr>
    </w:p>
    <w:p>
      <w:pPr>
        <w:ind w:left="1240" w:right="2099" w:hanging="977"/>
        <w:spacing w:after="0" w:line="234" w:lineRule="auto"/>
        <w:tabs>
          <w:tab w:leader="none" w:pos="12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Financial Planning Allowance Program for Senior Executives (incorporated herein by reference to Exhibit 10.28 to the 2008 Form 10-K).</w:t>
      </w:r>
    </w:p>
    <w:p>
      <w:pPr>
        <w:spacing w:after="0" w:line="2" w:lineRule="exact"/>
        <w:rPr>
          <w:sz w:val="20"/>
          <w:szCs w:val="20"/>
          <w:color w:val="auto"/>
        </w:rPr>
      </w:pPr>
    </w:p>
    <w:p>
      <w:pPr>
        <w:jc w:val="both"/>
        <w:ind w:left="1240" w:right="1719" w:hanging="977"/>
        <w:spacing w:after="0" w:line="234" w:lineRule="auto"/>
        <w:tabs>
          <w:tab w:leader="none" w:pos="12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Nonstatutory Stock Option Award Agreement for Executive Officers (incorporated herein by reference to Exhibit 10.40 to the Annual Report on Form 10-K for the fiscal year ended January 28, 2006 filed on March 27, 2006 (the “2005 Form 10-K”)).</w:t>
      </w:r>
    </w:p>
    <w:p>
      <w:pPr>
        <w:spacing w:after="0" w:line="2" w:lineRule="exact"/>
        <w:rPr>
          <w:sz w:val="20"/>
          <w:szCs w:val="20"/>
          <w:color w:val="auto"/>
        </w:rPr>
      </w:pPr>
    </w:p>
    <w:p>
      <w:pPr>
        <w:jc w:val="both"/>
        <w:ind w:left="1240" w:right="1719" w:hanging="977"/>
        <w:spacing w:after="0" w:line="246" w:lineRule="auto"/>
        <w:tabs>
          <w:tab w:leader="none" w:pos="12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Nonstatutory Stock Option Award Agreement for Executive Officers (incorporated herein by reference to Exhibit 10.1 to the March 26, 2014 Form 8-K).</w:t>
      </w:r>
    </w:p>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5314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Exhibit No.</w:t>
            </w:r>
          </w:p>
        </w:tc>
        <w:tc>
          <w:tcPr>
            <w:tcW w:w="766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8"/>
              </w:rPr>
              <w:t>10.30†</w:t>
            </w:r>
          </w:p>
        </w:tc>
        <w:tc>
          <w:tcPr>
            <w:tcW w:w="7660" w:type="dxa"/>
            <w:vAlign w:val="bottom"/>
          </w:tcPr>
          <w:p>
            <w:pPr>
              <w:ind w:left="140"/>
              <w:spacing w:after="0" w:line="195" w:lineRule="exact"/>
              <w:rPr>
                <w:sz w:val="20"/>
                <w:szCs w:val="20"/>
                <w:color w:val="auto"/>
              </w:rPr>
            </w:pPr>
            <w:r>
              <w:rPr>
                <w:rFonts w:ascii="Arial" w:cs="Arial" w:eastAsia="Arial" w:hAnsi="Arial"/>
                <w:sz w:val="18"/>
                <w:szCs w:val="18"/>
                <w:color w:val="auto"/>
              </w:rPr>
              <w:t>Form of Incentive Stock Option Award Agreement for Executive Officers (incorporated herein</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by reference to Exhibit 10.41 to the 2005 Form 10-K).</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10.31†</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Form of Nonstatutory Stock Option Award Agreement for Non-Employee Directors</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(incorporated herein by reference to Exhibit 10.2 to the Quarterly Report on Form 10-Q for the</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quarterly period ended July 31, 2004 filed on September 8, 2004).</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10.32†</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Long-Term Disability Program for Senior Executives (incorporated herein by reference to</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Exhibit 10.32 to the 2008 Form 10-K).</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10.33†</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Foot Locker 2007 Stock Incentive Plan, amended and restated as of May 21, 2014</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(incorporated herein by reference to Exhibit 10.1 to the December 23, 2014 Form 8-K).</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rPr>
              <w:t>10.34</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Amended and Restated Credit Agreement dated as of January 27, 2012 (incorporated herein</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by reference to Exhibit 10.1 to the Current Report on Form 8-K dated January 27, 2012 filed</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on February 2, 2012).</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rPr>
              <w:t>10.35</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Guaranty dated as of March 20, 2009 (incorporated herein by reference to Exhibit 10.2 to the</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Current Report on Form 8-K dated March 20, 2009 filed on March 24, 2009).</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rPr>
              <w:t>10.36</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Amended and Restated Security Agreement dated as of January 27, 2012 (incorporated</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herein by reference to Exhibit 10.2 to the Current Report on Form 8-K dated January 27, 2012</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filed on February 2, 2012).</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10.37†</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Form of Restricted Stock Unit Agreement (incorporated herein by reference to Exhibit 10.1 to</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the Current Report on Form 8-K dated November 5, 2010 filed on November 12, 2010).</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10.38†</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Form of Restricted Stock Unit Award Agreement (incorporated herein by reference to Exhibit</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10.3 to the March 28, 2013 Form 8-K).</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10.39†</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Form of Restricted Stock Unit Agreement (incorporated herein by reference to Exhibit 10.2 to</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the December 23, 2014 Form 8-K).</w:t>
            </w:r>
          </w:p>
        </w:tc>
      </w:tr>
      <w:tr>
        <w:trPr>
          <w:trHeight w:val="203"/>
        </w:trPr>
        <w:tc>
          <w:tcPr>
            <w:tcW w:w="11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12*</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Computation of Ratio of Earnings to Fixed Charges.</w:t>
            </w:r>
          </w:p>
        </w:tc>
      </w:tr>
      <w:tr>
        <w:trPr>
          <w:trHeight w:val="203"/>
        </w:trPr>
        <w:tc>
          <w:tcPr>
            <w:tcW w:w="1120" w:type="dxa"/>
            <w:vAlign w:val="bottom"/>
          </w:tcPr>
          <w:p>
            <w:pPr>
              <w:jc w:val="center"/>
              <w:ind w:right="31"/>
              <w:spacing w:after="0" w:line="202" w:lineRule="exact"/>
              <w:rPr>
                <w:sz w:val="20"/>
                <w:szCs w:val="20"/>
                <w:color w:val="auto"/>
              </w:rPr>
            </w:pPr>
            <w:r>
              <w:rPr>
                <w:rFonts w:ascii="Arial" w:cs="Arial" w:eastAsia="Arial" w:hAnsi="Arial"/>
                <w:sz w:val="18"/>
                <w:szCs w:val="18"/>
                <w:color w:val="auto"/>
              </w:rPr>
              <w:t>21*</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1120" w:type="dxa"/>
            <w:vAlign w:val="bottom"/>
          </w:tcPr>
          <w:p>
            <w:pPr>
              <w:jc w:val="center"/>
              <w:ind w:right="31"/>
              <w:spacing w:after="0" w:line="202" w:lineRule="exact"/>
              <w:rPr>
                <w:sz w:val="20"/>
                <w:szCs w:val="20"/>
                <w:color w:val="auto"/>
              </w:rPr>
            </w:pPr>
            <w:r>
              <w:rPr>
                <w:rFonts w:ascii="Arial" w:cs="Arial" w:eastAsia="Arial" w:hAnsi="Arial"/>
                <w:sz w:val="18"/>
                <w:szCs w:val="18"/>
                <w:color w:val="auto"/>
              </w:rPr>
              <w:t>23*</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Consent of Independent Registered Public Accounting Firm.</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31.1*</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Certification of Chief Executive Officer Pursuant to Section 302 of the Sarbanes-Oxley Act of</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2002.</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31.2*</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Certification of Chief Financial Officer Pursuant to Section 302 of the Sarbanes-Oxley Act of</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2002.</w:t>
            </w:r>
          </w:p>
        </w:tc>
      </w:tr>
      <w:tr>
        <w:trPr>
          <w:trHeight w:val="203"/>
        </w:trPr>
        <w:tc>
          <w:tcPr>
            <w:tcW w:w="1120" w:type="dxa"/>
            <w:vAlign w:val="bottom"/>
          </w:tcPr>
          <w:p>
            <w:pPr>
              <w:jc w:val="center"/>
              <w:ind w:right="11"/>
              <w:spacing w:after="0" w:line="202" w:lineRule="exact"/>
              <w:rPr>
                <w:sz w:val="20"/>
                <w:szCs w:val="20"/>
                <w:color w:val="auto"/>
              </w:rPr>
            </w:pPr>
            <w:r>
              <w:rPr>
                <w:rFonts w:ascii="Arial" w:cs="Arial" w:eastAsia="Arial" w:hAnsi="Arial"/>
                <w:sz w:val="18"/>
                <w:szCs w:val="18"/>
                <w:color w:val="auto"/>
                <w:w w:val="99"/>
              </w:rPr>
              <w:t>32**</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Certification of Chief Executive Officer and Chief Financial Officer Pursuant to 18 U.S.C.</w:t>
            </w:r>
          </w:p>
        </w:tc>
      </w:tr>
      <w:tr>
        <w:trPr>
          <w:trHeight w:val="203"/>
        </w:trPr>
        <w:tc>
          <w:tcPr>
            <w:tcW w:w="1120" w:type="dxa"/>
            <w:vAlign w:val="bottom"/>
          </w:tcPr>
          <w:p>
            <w:pPr>
              <w:spacing w:after="0"/>
              <w:rPr>
                <w:sz w:val="17"/>
                <w:szCs w:val="17"/>
                <w:color w:val="auto"/>
              </w:rPr>
            </w:pP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101.INS*</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XBRL Instance Document.</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101.SCH*</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Schema.</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101.CAL*</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Calculation Linkbase.</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Definition Linkbase.</w:t>
            </w:r>
          </w:p>
        </w:tc>
      </w:tr>
      <w:tr>
        <w:trPr>
          <w:trHeight w:val="203"/>
        </w:trPr>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101.LAB*</w:t>
            </w:r>
          </w:p>
        </w:tc>
        <w:tc>
          <w:tcPr>
            <w:tcW w:w="76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Label Linkbase.</w:t>
            </w:r>
          </w:p>
        </w:tc>
      </w:tr>
      <w:tr>
        <w:trPr>
          <w:trHeight w:val="217"/>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101.PRE*</w:t>
            </w:r>
          </w:p>
        </w:tc>
        <w:tc>
          <w:tcPr>
            <w:tcW w:w="76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163195</wp:posOffset>
            </wp:positionV>
            <wp:extent cx="6172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right="4939" w:firstLine="8"/>
        <w:spacing w:after="0" w:line="375" w:lineRule="auto"/>
        <w:tabs>
          <w:tab w:leader="none" w:pos="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made as of the _____ day of ______________ between Foot Locker, Inc. (the "Company"), a New York corporation with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office located at 112 West 34th Street, New York, New York, and __________________ ("Executive").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Company believes that the establishment and maintenance of a sound and vital management of the Company is essential to the protection and enhancement of the interests of the Company and its shareholders;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Company wishes to provide for the continued employment of the Executive with the Control Group, and the Executive is willing to commit himself to continue to serve the Company; and</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supersedes any employment agreement, severance plan, policy and/or practice of the Company in effect on the date hereof for the Executive.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herein contained, the parties hereto hereby agree as follows:</w:t>
      </w:r>
    </w:p>
    <w:p>
      <w:pPr>
        <w:spacing w:after="0" w:line="237" w:lineRule="exact"/>
        <w:rPr>
          <w:sz w:val="20"/>
          <w:szCs w:val="20"/>
          <w:color w:val="auto"/>
        </w:rPr>
      </w:pPr>
    </w:p>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set forth in this section as follows:</w:t>
      </w:r>
    </w:p>
    <w:p>
      <w:pPr>
        <w:spacing w:after="0" w:line="225" w:lineRule="exact"/>
        <w:rPr>
          <w:rFonts w:ascii="Arial" w:cs="Arial" w:eastAsia="Arial" w:hAnsi="Arial"/>
          <w:sz w:val="18"/>
          <w:szCs w:val="18"/>
          <w:color w:val="auto"/>
        </w:rPr>
      </w:pPr>
    </w:p>
    <w:p>
      <w:pPr>
        <w:ind w:right="160" w:firstLine="1305"/>
        <w:spacing w:after="0" w:line="257" w:lineRule="auto"/>
        <w:tabs>
          <w:tab w:leader="none" w:pos="19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"Affiliate" shall mean the Company and any entity affiliated with the Company within the meaning of Code Section 414(b) with respect to a controlled group of corporations, Code Section 414(c) with respect to trades or businesses under common control with the Company, Code Section 414(m) with respect to affiliated service groups and any other entity required to be aggregated with the Company under Section 414(o) of the Code. No entity shall be treated as an Affiliate for any period during which it is not part of the controlled group, under common control or otherwise required to be aggregated under Code Section 414.</w:t>
      </w:r>
    </w:p>
    <w:p>
      <w:pPr>
        <w:spacing w:after="0" w:line="188" w:lineRule="exact"/>
        <w:rPr>
          <w:rFonts w:ascii="Arial" w:cs="Arial" w:eastAsia="Arial" w:hAnsi="Arial"/>
          <w:sz w:val="18"/>
          <w:szCs w:val="18"/>
          <w:color w:val="auto"/>
        </w:rPr>
      </w:pPr>
    </w:p>
    <w:p>
      <w:pPr>
        <w:jc w:val="both"/>
        <w:ind w:right="200" w:firstLine="1305"/>
        <w:spacing w:after="0" w:line="264" w:lineRule="auto"/>
        <w:tabs>
          <w:tab w:leader="none" w:pos="19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"Beneficiary" shall mean the individual designated by the Executive, on a form acceptable by the Committee, to receive benefits payable under this Agreement in the event of the Executive's death. If no Beneficiary is designated, the Executive's Beneficiary shall be his spouse, or if the Executive is not survived by a spouse, the Executive's estate.</w:t>
      </w:r>
    </w:p>
    <w:p>
      <w:pPr>
        <w:spacing w:after="0" w:line="181" w:lineRule="exact"/>
        <w:rPr>
          <w:rFonts w:ascii="Arial" w:cs="Arial" w:eastAsia="Arial" w:hAnsi="Arial"/>
          <w:sz w:val="18"/>
          <w:szCs w:val="18"/>
          <w:color w:val="auto"/>
        </w:rPr>
      </w:pPr>
    </w:p>
    <w:p>
      <w:pPr>
        <w:ind w:left="1900" w:hanging="595"/>
        <w:spacing w:after="0"/>
        <w:tabs>
          <w:tab w:leader="none" w:pos="1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right="80" w:firstLine="1305"/>
        <w:spacing w:after="0" w:line="255" w:lineRule="auto"/>
        <w:tabs>
          <w:tab w:leader="none" w:pos="19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"Cause" shall mean (with regard to the Executive's Termination of Employment with the Control Group): (i) the refusal or willful failure by the Executive to substantially perform his duties, (ii) with regard to the Control Group or any of their assets or businesses, the Executive's dishonesty, willful misconduct, misappropriation, breach of fiduciary duty or fraud, (iii) the willful breach by the Executive of any material provision of this Agreement, which breach is not cured within ten (10) business days from the date of the Company's notice of the occurrence of such breach to the Executive, or (iv) the Executive's conviction of a felony (other than a traffic violation) or any other crime involving, in the sole discretion of the Committee, moral turpitude.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3" w:name="page84"/>
    <w:bookmarkEnd w:id="83"/>
    <w:p>
      <w:pPr>
        <w:ind w:left="1860" w:hanging="595"/>
        <w:spacing w:after="0"/>
        <w:tabs>
          <w:tab w:leader="none" w:pos="1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shall have the meaning set forth in Appendix A attached hereto.</w:t>
      </w:r>
    </w:p>
    <w:p>
      <w:pPr>
        <w:spacing w:after="0" w:line="225" w:lineRule="exact"/>
        <w:rPr>
          <w:rFonts w:ascii="Arial" w:cs="Arial" w:eastAsia="Arial" w:hAnsi="Arial"/>
          <w:sz w:val="18"/>
          <w:szCs w:val="18"/>
          <w:color w:val="auto"/>
        </w:rPr>
      </w:pPr>
    </w:p>
    <w:p>
      <w:pPr>
        <w:ind w:left="1840" w:hanging="575"/>
        <w:spacing w:after="0"/>
        <w:tabs>
          <w:tab w:leader="none" w:pos="1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and as hereafter amended from time to time.</w:t>
      </w:r>
    </w:p>
    <w:p>
      <w:pPr>
        <w:spacing w:after="0" w:line="225" w:lineRule="exact"/>
        <w:rPr>
          <w:rFonts w:ascii="Arial" w:cs="Arial" w:eastAsia="Arial" w:hAnsi="Arial"/>
          <w:sz w:val="18"/>
          <w:szCs w:val="18"/>
          <w:color w:val="auto"/>
        </w:rPr>
      </w:pPr>
    </w:p>
    <w:p>
      <w:pPr>
        <w:ind w:left="-40" w:right="220" w:firstLine="1305"/>
        <w:spacing w:after="0" w:line="277" w:lineRule="auto"/>
        <w:tabs>
          <w:tab w:leader="none" w:pos="18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"Committee" shall mean the Compensation and Management Resources Committee of the Board or an administrative committee appointed by the Compensation and Management Resources Committee.</w:t>
      </w:r>
    </w:p>
    <w:p>
      <w:pPr>
        <w:spacing w:after="0" w:line="170" w:lineRule="exact"/>
        <w:rPr>
          <w:rFonts w:ascii="Arial" w:cs="Arial" w:eastAsia="Arial" w:hAnsi="Arial"/>
          <w:sz w:val="18"/>
          <w:szCs w:val="18"/>
          <w:color w:val="auto"/>
        </w:rPr>
      </w:pPr>
    </w:p>
    <w:p>
      <w:pPr>
        <w:ind w:left="-40" w:right="40" w:firstLine="1305"/>
        <w:spacing w:after="0" w:line="270" w:lineRule="auto"/>
        <w:tabs>
          <w:tab w:leader="none" w:pos="18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"Competition" shall mean participating, directly or indirectly, as an individual proprietor, stockholder, officer, employee, director, joint venturer, investor, lender, or in any capacity whatsoever (within the United States of America or in any other country where any of the Executive's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Company or any of its subsidiaries or affiliates;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w:t>
      </w:r>
    </w:p>
    <w:p>
      <w:pPr>
        <w:spacing w:after="0" w:line="181" w:lineRule="exact"/>
        <w:rPr>
          <w:rFonts w:ascii="Arial" w:cs="Arial" w:eastAsia="Arial" w:hAnsi="Arial"/>
          <w:sz w:val="17"/>
          <w:szCs w:val="17"/>
          <w:color w:val="auto"/>
        </w:rPr>
      </w:pPr>
    </w:p>
    <w:p>
      <w:pPr>
        <w:ind w:left="1880" w:hanging="615"/>
        <w:spacing w:after="0"/>
        <w:tabs>
          <w:tab w:leader="none" w:pos="1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 Group" shall mean the Company and its Affiliates.</w:t>
      </w:r>
    </w:p>
    <w:p>
      <w:pPr>
        <w:spacing w:after="0" w:line="225" w:lineRule="exact"/>
        <w:rPr>
          <w:rFonts w:ascii="Arial" w:cs="Arial" w:eastAsia="Arial" w:hAnsi="Arial"/>
          <w:sz w:val="18"/>
          <w:szCs w:val="18"/>
          <w:color w:val="auto"/>
        </w:rPr>
      </w:pPr>
    </w:p>
    <w:p>
      <w:pPr>
        <w:ind w:left="1880" w:hanging="615"/>
        <w:spacing w:after="0"/>
        <w:tabs>
          <w:tab w:leader="none" w:pos="1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"Good Reason" shall mean (with respect to an Executive's Termination of Employment with the Control Group):</w:t>
      </w:r>
    </w:p>
    <w:p>
      <w:pPr>
        <w:spacing w:after="0" w:line="225" w:lineRule="exact"/>
        <w:rPr>
          <w:rFonts w:ascii="Arial" w:cs="Arial" w:eastAsia="Arial" w:hAnsi="Arial"/>
          <w:sz w:val="18"/>
          <w:szCs w:val="18"/>
          <w:color w:val="auto"/>
        </w:rPr>
      </w:pPr>
    </w:p>
    <w:p>
      <w:pPr>
        <w:ind w:left="-40" w:firstLine="1953"/>
        <w:spacing w:after="0" w:line="257" w:lineRule="auto"/>
        <w:tabs>
          <w:tab w:leader="none" w:pos="25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Prior to a Change in Control, (A) a reduction in the Executive's rate of base salary as payable from time to time, other than a reduction that occurs in connection with, and in the same percentage as, an across-the-board reduction over any three-year period in the base salaries of all executives of the Company of a similar level and where the reduction is less than 20 percent of the Executive's base salary measured from the beginning of such three-year period; or (B) a material and adverse change in the nature and status of the Executive's authority or responsibilities, except temporarily as a result of the Executive's disability, illness or other absence.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84" w:name="page85"/>
    <w:bookmarkEnd w:id="84"/>
    <w:p>
      <w:pPr>
        <w:ind w:right="40" w:firstLine="1953"/>
        <w:spacing w:after="0" w:line="254" w:lineRule="auto"/>
        <w:tabs>
          <w:tab w:leader="none" w:pos="25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On or after a Change in Control, (A) any reduction in the Executive’s rate of base salary as payable from time to time; (B) a failure of the Company to continue in effect the benefits applicable to, or the Company's reduction of the benefits applicable to, the Executive under any benefit plan or arrangement (including without limitation, any pension, life insurance, health or disability plan) in which the Executive participates as of the date of the Change in Control without implementation of a substitute plan(s) providing materially similar benefits in the aggregate to those discontinued or reduced, except for a discontinuance of, or reduction under, any such plan or arrangement that is legally required, and provided that in either such event the Company provides similar benefits (or the economic effect thereof) to the Executive in any manner determined by the Company; or (C) any material demotion of the Executive or any material reduction in the Executive's authority or responsibility, except temporarily as a result of the Executive's disability, illness or other absence.</w:t>
      </w:r>
    </w:p>
    <w:p>
      <w:pPr>
        <w:spacing w:after="0" w:line="192" w:lineRule="exact"/>
        <w:rPr>
          <w:rFonts w:ascii="Arial" w:cs="Arial" w:eastAsia="Arial" w:hAnsi="Arial"/>
          <w:sz w:val="18"/>
          <w:szCs w:val="18"/>
          <w:color w:val="auto"/>
        </w:rPr>
      </w:pPr>
    </w:p>
    <w:p>
      <w:pPr>
        <w:ind w:firstLine="1953"/>
        <w:spacing w:after="0" w:line="264" w:lineRule="auto"/>
        <w:tabs>
          <w:tab w:leader="none" w:pos="25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At any time, (A) a reduction in the Executive's annual bonus classification level other than in connection with a redesign of the applicable bonus plan that affects all employees at the Executive's bonus level; (B) the failure of any successor to the Company to assume in writing the obligations hereunder; or (C) the Company’s failure to renew this Agreement.</w:t>
      </w:r>
    </w:p>
    <w:p>
      <w:pPr>
        <w:spacing w:after="0" w:line="181" w:lineRule="exact"/>
        <w:rPr>
          <w:rFonts w:ascii="Arial" w:cs="Arial" w:eastAsia="Arial" w:hAnsi="Arial"/>
          <w:sz w:val="18"/>
          <w:szCs w:val="18"/>
          <w:color w:val="auto"/>
        </w:rPr>
      </w:pPr>
    </w:p>
    <w:p>
      <w:pPr>
        <w:ind w:right="80" w:firstLine="1305"/>
        <w:spacing w:after="0" w:line="277" w:lineRule="auto"/>
        <w:tabs>
          <w:tab w:leader="none" w:pos="19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"Non-Competition Period" shall mean (i) the period the Executive is employed by the Control Group and (ii) at any time prior to a Change in Control, the one (1) year period commencing on the Termination Date.</w:t>
      </w:r>
    </w:p>
    <w:p>
      <w:pPr>
        <w:spacing w:after="0" w:line="170" w:lineRule="exact"/>
        <w:rPr>
          <w:rFonts w:ascii="Arial" w:cs="Arial" w:eastAsia="Arial" w:hAnsi="Arial"/>
          <w:sz w:val="18"/>
          <w:szCs w:val="18"/>
          <w:color w:val="auto"/>
        </w:rPr>
      </w:pPr>
    </w:p>
    <w:p>
      <w:pPr>
        <w:ind w:right="20" w:firstLine="1305"/>
        <w:spacing w:after="0" w:line="297" w:lineRule="auto"/>
        <w:tabs>
          <w:tab w:leader="none" w:pos="19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"Salary" shall mean an Executive's base cash compensation rate for services paid to the Executive by the Company or an Affiliate at the time of his Termination of Employment from the Control Group. Salary shall not include commissions, bonuses, overtime pay, incentive compensation, benefits paid under any qualified plan, any group medical, dental or other welfare benefit plan, noncash compensation or any other additional compensation but shall include amounts reduced pursuant to an Executive's salary reduction agreement under Sections 125, 132(f) or 401(k) of the Code (if any) or a nonqualified elective deferred compensation arrangement to the extent that in each such case the reduction is to base salary.</w:t>
      </w:r>
    </w:p>
    <w:p>
      <w:pPr>
        <w:spacing w:after="0" w:line="158" w:lineRule="exact"/>
        <w:rPr>
          <w:rFonts w:ascii="Arial" w:cs="Arial" w:eastAsia="Arial" w:hAnsi="Arial"/>
          <w:sz w:val="16"/>
          <w:szCs w:val="16"/>
          <w:color w:val="auto"/>
        </w:rPr>
      </w:pPr>
    </w:p>
    <w:p>
      <w:pPr>
        <w:ind w:left="1920" w:hanging="615"/>
        <w:spacing w:after="0"/>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“Section 409A” shall mean Section 409A of the Code including the regulations issued thereunder by the Department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Treasury.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5" w:name="page86"/>
    <w:bookmarkEnd w:id="85"/>
    <w:p>
      <w:pPr>
        <w:ind w:left="-20" w:right="40" w:firstLine="1305"/>
        <w:spacing w:after="0" w:line="255" w:lineRule="auto"/>
        <w:tabs>
          <w:tab w:leader="none" w:pos="18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"Severance Benefit" shall mean (i) in the case of the Executive's Termination of Employment with the Control Group that does not occur within the 24- month period following a Change in Control and such termination is a Termination of Employment by the Company without Cause or by the Executive for Good Reason, 1.0 times the Executive’s annual Salary; or (ii) in the case of the Executive's Termination of Employment with the Control Group that occurs within the 24-month period following a Change in Control and such termination is a Termination of Employment by the Company without Cause or by the Executive for Good Reason, 1.0 times the Executive’s annual Salary plus annual bonus at target under the Annual Incentive Compensation Plan or other annual incentive plan applicable to the Executive.</w:t>
      </w:r>
    </w:p>
    <w:p>
      <w:pPr>
        <w:spacing w:after="0" w:line="193" w:lineRule="exact"/>
        <w:rPr>
          <w:rFonts w:ascii="Arial" w:cs="Arial" w:eastAsia="Arial" w:hAnsi="Arial"/>
          <w:sz w:val="18"/>
          <w:szCs w:val="18"/>
          <w:color w:val="auto"/>
        </w:rPr>
      </w:pPr>
    </w:p>
    <w:p>
      <w:pPr>
        <w:ind w:left="-20" w:right="140" w:firstLine="1305"/>
        <w:spacing w:after="0" w:line="342" w:lineRule="auto"/>
        <w:tabs>
          <w:tab w:leader="none" w:pos="18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“Substantially All of the Assets of the Company” shall mean at least 66 percent of the total gross fair market value of the assets of the Company immediately prior to the acquisition by a non-related third party, determined without regard to any liabilities associated with such assets.</w:t>
      </w:r>
    </w:p>
    <w:p>
      <w:pPr>
        <w:spacing w:after="0" w:line="123" w:lineRule="exact"/>
        <w:rPr>
          <w:rFonts w:ascii="Arial" w:cs="Arial" w:eastAsia="Arial" w:hAnsi="Arial"/>
          <w:sz w:val="16"/>
          <w:szCs w:val="16"/>
          <w:color w:val="auto"/>
        </w:rPr>
      </w:pPr>
    </w:p>
    <w:p>
      <w:pPr>
        <w:jc w:val="both"/>
        <w:ind w:left="-20" w:firstLine="1305"/>
        <w:spacing w:after="0" w:line="312" w:lineRule="auto"/>
        <w:tabs>
          <w:tab w:leader="none" w:pos="18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"Termination Date" shall mean in the case of the Executive's death, the date of death, or in all other cases, the date specified in the Notice of Termination of Employment; provided, however, that if the Executive’s employment is terminated by the Company due to disability as provided in Section 7(b), the date specified in the Notice of Termination shall be at least thirty (30) days from the date the Notice of Termination is given to the Executive.</w:t>
      </w:r>
    </w:p>
    <w:p>
      <w:pPr>
        <w:spacing w:after="0" w:line="146" w:lineRule="exact"/>
        <w:rPr>
          <w:rFonts w:ascii="Arial" w:cs="Arial" w:eastAsia="Arial" w:hAnsi="Arial"/>
          <w:sz w:val="16"/>
          <w:szCs w:val="16"/>
          <w:color w:val="auto"/>
        </w:rPr>
      </w:pPr>
    </w:p>
    <w:p>
      <w:pPr>
        <w:ind w:left="-20" w:right="20" w:firstLine="1305"/>
        <w:spacing w:after="0" w:line="257" w:lineRule="auto"/>
        <w:tabs>
          <w:tab w:leader="none" w:pos="18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"Termination of Employment" shall mean separation from service with the Control Group in accordance with Section 409A for any reason, including, but not limited to retirement, death, disability, resignation or dismissal with or without Cause; provided, however, that if an Employer is no longer a member of the Control Group and the Participant is transferred in connection with the sale of the assets of an Employer and the successor assumes the obligations hereunder in accordance with Section 13 hereof, a Termination of Employment shall not occur until termination of employment with the new control group.</w:t>
      </w:r>
    </w:p>
    <w:p>
      <w:pPr>
        <w:spacing w:after="0" w:line="188" w:lineRule="exact"/>
        <w:rPr>
          <w:rFonts w:ascii="Arial" w:cs="Arial" w:eastAsia="Arial" w:hAnsi="Arial"/>
          <w:sz w:val="18"/>
          <w:szCs w:val="18"/>
          <w:color w:val="auto"/>
        </w:rPr>
      </w:pPr>
    </w:p>
    <w:p>
      <w:pPr>
        <w:ind w:left="-20" w:firstLine="656"/>
        <w:spacing w:after="0" w:line="259" w:lineRule="auto"/>
        <w:tabs>
          <w:tab w:leader="none" w:pos="125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this Agreement shall commence on ____________ and shall end on ____________, unless further extended or sooner terminated as hereinafter provided. The term shall be automatically renewed for additional one-year periods unless the Company notifies the Executive three months prior to the end of the term that the term shall not be renewed. In no event, however, shall the term of the Executive's employment extend beyond the date of the Executive's actual retirement under a retirement plan of the Company.</w:t>
      </w:r>
    </w:p>
    <w:p>
      <w:pPr>
        <w:spacing w:after="0" w:line="186" w:lineRule="exact"/>
        <w:rPr>
          <w:rFonts w:ascii="Arial" w:cs="Arial" w:eastAsia="Arial" w:hAnsi="Arial"/>
          <w:sz w:val="18"/>
          <w:szCs w:val="18"/>
          <w:color w:val="auto"/>
        </w:rPr>
      </w:pPr>
    </w:p>
    <w:p>
      <w:pPr>
        <w:ind w:left="-20" w:right="200" w:firstLine="656"/>
        <w:spacing w:after="0" w:line="257" w:lineRule="auto"/>
        <w:tabs>
          <w:tab w:leader="none" w:pos="125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______________ of the Company and shall have such responsibilities, duties and authority as he may have as of the effective date of this Agreement (or any comparable position to which he may be assigned after the effective date of this Agreement) and as may from time to time be assigned to the Executive by the _______________ of the Company that are consistent with such responsibilities, duties and authority. The Executive shall devote substantially all of his working time and efforts to the business and affairs of the Company and its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6" w:name="page87"/>
    <w:bookmarkEnd w:id="86"/>
    <w:p>
      <w:pPr>
        <w:ind w:left="-40" w:right="480" w:firstLine="656"/>
        <w:spacing w:after="0" w:line="277" w:lineRule="auto"/>
        <w:tabs>
          <w:tab w:leader="none" w:pos="123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 In connection with the Executive's employment by the Company, the Executive shall be based in the New York metropolitan area, except for required travel on Company business.</w:t>
      </w:r>
    </w:p>
    <w:p>
      <w:pPr>
        <w:spacing w:after="0" w:line="170" w:lineRule="exact"/>
        <w:rPr>
          <w:rFonts w:ascii="Arial" w:cs="Arial" w:eastAsia="Arial" w:hAnsi="Arial"/>
          <w:sz w:val="18"/>
          <w:szCs w:val="18"/>
          <w:color w:val="auto"/>
        </w:rPr>
      </w:pPr>
    </w:p>
    <w:p>
      <w:pPr>
        <w:ind w:left="1240" w:hanging="624"/>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p>
    <w:p>
      <w:pPr>
        <w:spacing w:after="0" w:line="225" w:lineRule="exact"/>
        <w:rPr>
          <w:rFonts w:ascii="Arial" w:cs="Arial" w:eastAsia="Arial" w:hAnsi="Arial"/>
          <w:sz w:val="18"/>
          <w:szCs w:val="18"/>
          <w:color w:val="auto"/>
        </w:rPr>
      </w:pPr>
    </w:p>
    <w:p>
      <w:pPr>
        <w:jc w:val="both"/>
        <w:ind w:left="-40" w:right="40" w:firstLine="1305"/>
        <w:spacing w:after="0" w:line="264" w:lineRule="auto"/>
        <w:tabs>
          <w:tab w:leader="none" w:pos="186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period of the Executive's employment hereunder, the Company or an Affiliate shall pay to the Executive a salary at a rate not less than the rate in effect as of the effective date of this Agreement or such higher rate as may from time to time be determined by the Company, such salary to be paid in accordance with the Company's normal payroll practices.</w:t>
      </w:r>
    </w:p>
    <w:p>
      <w:pPr>
        <w:spacing w:after="0" w:line="181" w:lineRule="exact"/>
        <w:rPr>
          <w:rFonts w:ascii="Arial" w:cs="Arial" w:eastAsia="Arial" w:hAnsi="Arial"/>
          <w:sz w:val="18"/>
          <w:szCs w:val="18"/>
          <w:color w:val="auto"/>
        </w:rPr>
      </w:pPr>
    </w:p>
    <w:p>
      <w:pPr>
        <w:ind w:left="-40" w:firstLine="1305"/>
        <w:spacing w:after="0" w:line="279" w:lineRule="auto"/>
        <w:tabs>
          <w:tab w:leader="none" w:pos="1871"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During the term of the Executive's employment hereunder, subject to Section 20 hereof, the Executive shall be entitled to receive prompt reimbursement for all reasonable and customary expenses incurred by the Executive in performing services hereunder, including all expenses of travel and living expenses while away from home on business or at the request of and in the service of the Company or an Affiliate, provided that such expenses are incurred and accounted for in accordance with the policies and procedures established by the Company.</w:t>
      </w:r>
    </w:p>
    <w:p>
      <w:pPr>
        <w:spacing w:after="0" w:line="171" w:lineRule="exact"/>
        <w:rPr>
          <w:rFonts w:ascii="Arial" w:cs="Arial" w:eastAsia="Arial" w:hAnsi="Arial"/>
          <w:sz w:val="17"/>
          <w:szCs w:val="17"/>
          <w:color w:val="auto"/>
        </w:rPr>
      </w:pPr>
    </w:p>
    <w:p>
      <w:pPr>
        <w:ind w:left="-40" w:right="40" w:firstLine="1305"/>
        <w:spacing w:after="0" w:line="286" w:lineRule="auto"/>
        <w:tabs>
          <w:tab w:leader="none" w:pos="186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The Company shall maintain in full force and effect, and the Executive shall be entitled to continue to participate in, all of the employee benefit plans and arrangements in effect on the date hereof in which the Executive participates or plans or arrangements providing the Executive with at least equivalent benefits thereunder (including without limitation each retirement plan, supplemental and excess retirement plans, annual and long-term incentive compensation plans, stock option and purchase plans, group life insurance and accident plan, medical and dental insurance plans, and disability plan), and the Company shall not make any changes in such plans or arrangements that would adversely affect the Executive's rights or benefits thereunder; provided, however, that such a change may be made, including termination of such plans or arrangements, to the extent permitted by the respective plan or arrangement, if it occurs pursuant to a program applicable to all comparably situated executives of the Company and does not result in a proportionately greater reduction in the rights of or benefits to the Executive as compared with any other comparably situated executive of the Company. The Executive shall be entitled to participate in or receive benefits under any employee benefit plan or arrangement made available by the Company in the future to its comparably situated executives and key management employees, subject to and on a basis consistent with the terms, conditions and overall administration of such plans and arrangements. Nothing paid to the Executive under any plan or arrangement presently in effect or made available in the future shall be deemed to be in lieu of the salary payable to the Executive pursuant to Section 5(a). Any payments or benefits payable to the Executive hereunder in respect of any calendar year during which the Executive is employed by the Company for less than the entire year shall, unless otherwise provided in the applicable plan or arrangement, be prorated in accordance with the number of days in such calendar year during which he is so employed.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909" w:right="239" w:bottom="1440" w:gutter="0" w:footer="0" w:header="0"/>
        </w:sectPr>
      </w:pPr>
    </w:p>
    <w:bookmarkStart w:id="87" w:name="page88"/>
    <w:bookmarkEnd w:id="87"/>
    <w:p>
      <w:pPr>
        <w:ind w:right="220" w:firstLine="1305"/>
        <w:spacing w:after="0" w:line="264" w:lineRule="auto"/>
        <w:tabs>
          <w:tab w:leader="none" w:pos="191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The Executive shall be entitled to no less than the number of vacation days in each calendar year that is determined in accordance with the Company's vacation policy as in effect on the date hereof. The Executive shall also be entitled to all paid holidays and personal days given by the Company to its executives.</w:t>
      </w:r>
    </w:p>
    <w:p>
      <w:pPr>
        <w:spacing w:after="0" w:line="181"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Offices</w:t>
      </w:r>
      <w:r>
        <w:rPr>
          <w:rFonts w:ascii="Arial" w:cs="Arial" w:eastAsia="Arial" w:hAnsi="Arial"/>
          <w:sz w:val="17"/>
          <w:szCs w:val="17"/>
          <w:color w:val="auto"/>
        </w:rPr>
        <w:t>. Subject to Sections 3 and 4, the Executive agrees to serve without additional compensation, if elected or appointed thereto, as a director of the Company and any of its Affiliates and in one or more executive offices of any of the Company's Affiliates.</w:t>
      </w:r>
    </w:p>
    <w:p>
      <w:pPr>
        <w:spacing w:after="0" w:line="146" w:lineRule="exact"/>
        <w:rPr>
          <w:rFonts w:ascii="Arial" w:cs="Arial" w:eastAsia="Arial" w:hAnsi="Arial"/>
          <w:sz w:val="17"/>
          <w:szCs w:val="17"/>
          <w:color w:val="auto"/>
        </w:rPr>
      </w:pPr>
    </w:p>
    <w:p>
      <w:pPr>
        <w:ind w:right="200" w:firstLine="656"/>
        <w:spacing w:after="0" w:line="277" w:lineRule="auto"/>
        <w:tabs>
          <w:tab w:leader="none" w:pos="127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Executive's employment hereunder may be terminated without any breach of this Agreement only upon the following circumstances:</w:t>
      </w:r>
    </w:p>
    <w:p>
      <w:pPr>
        <w:spacing w:after="0" w:line="170" w:lineRule="exact"/>
        <w:rPr>
          <w:rFonts w:ascii="Arial" w:cs="Arial" w:eastAsia="Arial" w:hAnsi="Arial"/>
          <w:sz w:val="18"/>
          <w:szCs w:val="18"/>
          <w:color w:val="auto"/>
        </w:rPr>
      </w:pPr>
    </w:p>
    <w:p>
      <w:pPr>
        <w:ind w:left="1900" w:hanging="595"/>
        <w:spacing w:after="0"/>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automatically terminate upon his death.</w:t>
      </w:r>
    </w:p>
    <w:p>
      <w:pPr>
        <w:spacing w:after="0" w:line="225" w:lineRule="exact"/>
        <w:rPr>
          <w:rFonts w:ascii="Arial" w:cs="Arial" w:eastAsia="Arial" w:hAnsi="Arial"/>
          <w:sz w:val="18"/>
          <w:szCs w:val="18"/>
          <w:color w:val="auto"/>
        </w:rPr>
      </w:pPr>
    </w:p>
    <w:p>
      <w:pPr>
        <w:ind w:firstLine="1305"/>
        <w:spacing w:after="0" w:line="302" w:lineRule="auto"/>
        <w:tabs>
          <w:tab w:leader="none" w:pos="191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as a result of the Executive's incapacity due to physical or mental illness as determined by the Company in its sole discretion, the Executive shall have been absent from his duties hereunder on a full-time basis for a period of six consecutive months, and within 30 days after written Notice of Termination of Employment is given (which may occur before or after the end of such six-month period) shall not have returned to the performance of his duties hereunder on a full-time basis, the Company may immediately terminate the Executive's employment hereunder.</w:t>
      </w:r>
    </w:p>
    <w:p>
      <w:pPr>
        <w:spacing w:after="0" w:line="154" w:lineRule="exact"/>
        <w:rPr>
          <w:rFonts w:ascii="Arial" w:cs="Arial" w:eastAsia="Arial" w:hAnsi="Arial"/>
          <w:sz w:val="16"/>
          <w:szCs w:val="16"/>
          <w:color w:val="auto"/>
        </w:rPr>
      </w:pPr>
    </w:p>
    <w:p>
      <w:pPr>
        <w:ind w:right="200" w:firstLine="1305"/>
        <w:spacing w:after="0" w:line="264" w:lineRule="auto"/>
        <w:tabs>
          <w:tab w:leader="none" w:pos="190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Company may terminate the Executive's employment hereunder for Cause by, at any time at its election within six months after the Company shall obtain knowledge of the grounds for termination, giving the Executive notice of its intention to terminate the Executive for Cause and stating the date of Termination of Employment and the grounds for termination.</w:t>
      </w:r>
    </w:p>
    <w:p>
      <w:pPr>
        <w:spacing w:after="0" w:line="181" w:lineRule="exact"/>
        <w:rPr>
          <w:rFonts w:ascii="Arial" w:cs="Arial" w:eastAsia="Arial" w:hAnsi="Arial"/>
          <w:sz w:val="18"/>
          <w:szCs w:val="18"/>
          <w:color w:val="auto"/>
        </w:rPr>
      </w:pPr>
    </w:p>
    <w:p>
      <w:pPr>
        <w:jc w:val="both"/>
        <w:ind w:right="120" w:firstLine="1305"/>
        <w:spacing w:after="0" w:line="312" w:lineRule="auto"/>
        <w:tabs>
          <w:tab w:leader="none" w:pos="191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The Executive may terminate his employment hereunder for Good Reason upon 30 days' prior written notice to the Company; provided, however, that prior to a Change in Control, if the Company corrects the matter that has given rise to the Good Reason event, and makes the Executive whole for any loss to the Executive resulting from such Good Reason event, the Executive may not so terminate his employment.</w:t>
      </w:r>
    </w:p>
    <w:p>
      <w:pPr>
        <w:spacing w:after="0" w:line="146" w:lineRule="exact"/>
        <w:rPr>
          <w:rFonts w:ascii="Arial" w:cs="Arial" w:eastAsia="Arial" w:hAnsi="Arial"/>
          <w:sz w:val="16"/>
          <w:szCs w:val="16"/>
          <w:color w:val="auto"/>
        </w:rPr>
      </w:pPr>
    </w:p>
    <w:p>
      <w:pPr>
        <w:ind w:left="1900" w:hanging="595"/>
        <w:spacing w:after="0"/>
        <w:tabs>
          <w:tab w:leader="none" w:pos="19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Without Cause</w:t>
      </w:r>
      <w:r>
        <w:rPr>
          <w:rFonts w:ascii="Arial" w:cs="Arial" w:eastAsia="Arial" w:hAnsi="Arial"/>
          <w:sz w:val="16"/>
          <w:szCs w:val="16"/>
          <w:color w:val="auto"/>
        </w:rPr>
        <w:t>. The Company may terminate the Executive's employment hereunder without Cause upon 30 days'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to the Executive.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8" w:name="page89"/>
    <w:bookmarkEnd w:id="88"/>
    <w:p>
      <w:pPr>
        <w:ind w:left="1880" w:hanging="575"/>
        <w:spacing w:after="0"/>
        <w:tabs>
          <w:tab w:leader="none" w:pos="18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Without Good Reason</w:t>
      </w:r>
      <w:r>
        <w:rPr>
          <w:rFonts w:ascii="Arial" w:cs="Arial" w:eastAsia="Arial" w:hAnsi="Arial"/>
          <w:sz w:val="16"/>
          <w:szCs w:val="16"/>
          <w:color w:val="auto"/>
        </w:rPr>
        <w:t>. The Executive may terminate his employment hereunder without Good Reason upon 30 days'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to the Company.</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Any termination of the Executive’s employment by the Company or by the Executive (other than termination pursuant to Section 7(a)) shall be communicated by written Notice of Termination to the other party hereto in accordance with Section 19. For purposes of this Agreement, a "Notice of Termination"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 Notwithstanding anything in this Agreement to the contrary, if the Company becomes obligated to make any payment to the Executive pursuant to the terms hereof at or prior to the expiration of this Agreement, then this Agreement shall remain in effect until all of the Company's obligations hereunder are fulfilled.</w:t>
      </w:r>
    </w:p>
    <w:p>
      <w:pPr>
        <w:spacing w:after="0" w:line="165" w:lineRule="exact"/>
        <w:rPr>
          <w:sz w:val="20"/>
          <w:szCs w:val="20"/>
          <w:color w:val="auto"/>
        </w:rPr>
      </w:pPr>
    </w:p>
    <w:p>
      <w:pPr>
        <w:ind w:left="1280" w:hanging="62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42" w:lineRule="auto"/>
        <w:tabs>
          <w:tab w:leader="none" w:pos="190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Executive's Termination of Employment with the Control Group due to his death, the Company shall pay any amounts due to the Executive under Section 5 through the date of his death in accordance with the payment provisions of Section 5 and Section 13.</w:t>
      </w:r>
    </w:p>
    <w:p>
      <w:pPr>
        <w:spacing w:after="0" w:line="123" w:lineRule="exact"/>
        <w:rPr>
          <w:rFonts w:ascii="Arial" w:cs="Arial" w:eastAsia="Arial" w:hAnsi="Arial"/>
          <w:sz w:val="16"/>
          <w:szCs w:val="16"/>
          <w:color w:val="auto"/>
        </w:rPr>
      </w:pPr>
    </w:p>
    <w:p>
      <w:pPr>
        <w:jc w:val="both"/>
        <w:ind w:right="140" w:firstLine="1305"/>
        <w:spacing w:after="0" w:line="279" w:lineRule="auto"/>
        <w:tabs>
          <w:tab w:leader="none" w:pos="1911"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In the event of the Executive's Termination of Employment with the Control Group under Section 7(b), the Company shall pay any amounts due to the Executive under Section 5 through the Termination Date in accordance with the payment provisions of Section 5 and shall have no other obligation to the Executive or his dependents other than amounts due, if any, under the Company's long-term disability plan, and any benefits offered by the Company under its then policy to employees who become disabled while employed by the Company.</w:t>
      </w:r>
    </w:p>
    <w:p>
      <w:pPr>
        <w:spacing w:after="0" w:line="171" w:lineRule="exact"/>
        <w:rPr>
          <w:rFonts w:ascii="Arial" w:cs="Arial" w:eastAsia="Arial" w:hAnsi="Arial"/>
          <w:sz w:val="17"/>
          <w:szCs w:val="17"/>
          <w:color w:val="auto"/>
        </w:rPr>
      </w:pPr>
    </w:p>
    <w:p>
      <w:pPr>
        <w:ind w:right="120" w:firstLine="1305"/>
        <w:spacing w:after="0" w:line="255" w:lineRule="auto"/>
        <w:tabs>
          <w:tab w:leader="none" w:pos="190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In the event the Executive's employment with the Control Group is terminated for Cause, the Company shall pay any amounts due to the Executive under Section 5 through the Termination Date in accordance with the payment provisions of Section 5 and shall have no other obligation to the Executive or his dependents other than any amounts, if any, due to Executive under its then existing policies to employees whose employment is terminated for Cause or under the specific terms of any welfare, pension, fringe benefit or incentive plan. Other than as provided in the preceding sentence, in the event the Executive's employment is terminated for Cause, he shall not be entitled to the benefits and payments provided under Section 8(g) below.</w:t>
      </w:r>
    </w:p>
    <w:p>
      <w:pPr>
        <w:spacing w:after="0" w:line="193" w:lineRule="exact"/>
        <w:rPr>
          <w:rFonts w:ascii="Arial" w:cs="Arial" w:eastAsia="Arial" w:hAnsi="Arial"/>
          <w:sz w:val="18"/>
          <w:szCs w:val="18"/>
          <w:color w:val="auto"/>
        </w:rPr>
      </w:pPr>
    </w:p>
    <w:p>
      <w:pPr>
        <w:ind w:right="120" w:firstLine="1305"/>
        <w:spacing w:after="0" w:line="279" w:lineRule="auto"/>
        <w:tabs>
          <w:tab w:leader="none" w:pos="1911"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Without Cause or For Good Reason</w:t>
      </w:r>
      <w:r>
        <w:rPr>
          <w:rFonts w:ascii="Arial" w:cs="Arial" w:eastAsia="Arial" w:hAnsi="Arial"/>
          <w:sz w:val="17"/>
          <w:szCs w:val="17"/>
          <w:color w:val="auto"/>
        </w:rPr>
        <w:t>. In the event the Executive's employment with the Control Group is terminated by the Company without Cause, or the Executive terminates employment with the Control Group within 60 days after the occurrence of a Good Reason event with regard to the Executive, the Company shall pay any amounts due to the Executive under Section 5 through the Termination Date in accordance with the payment provisions of Section 5 and shall pay the Executive a Severance Benefit as provided in Section 8(f) below.</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9" w:name="page90"/>
    <w:bookmarkEnd w:id="89"/>
    <w:p>
      <w:pPr>
        <w:ind w:left="-80" w:right="60" w:firstLine="1305"/>
        <w:spacing w:after="0" w:line="257" w:lineRule="auto"/>
        <w:tabs>
          <w:tab w:leader="none" w:pos="18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Following a Change in Control</w:t>
      </w:r>
      <w:r>
        <w:rPr>
          <w:rFonts w:ascii="Arial" w:cs="Arial" w:eastAsia="Arial" w:hAnsi="Arial"/>
          <w:sz w:val="18"/>
          <w:szCs w:val="18"/>
          <w:color w:val="auto"/>
        </w:rPr>
        <w:t>. Notwithstanding anything to the contrary contained herein, if, within 24 months following a Change in Control, the Executive’s employment with the Control Group is terminated without Cause or if the Executive terminates employment with the Control Group within sixty (60) days after the occurrence of a Good Reason event with regard to the Executive, (i) the Executive shall receive his Severance Benefit as provided in Section 8(f) below and (ii) the restrictions on Competition and no-hire contained in Sections 9(a)(i) and 9(b), respectively, shall not apply.</w:t>
      </w:r>
    </w:p>
    <w:p>
      <w:pPr>
        <w:spacing w:after="0" w:line="188" w:lineRule="exact"/>
        <w:rPr>
          <w:rFonts w:ascii="Arial" w:cs="Arial" w:eastAsia="Arial" w:hAnsi="Arial"/>
          <w:sz w:val="18"/>
          <w:szCs w:val="18"/>
          <w:color w:val="auto"/>
        </w:rPr>
      </w:pPr>
    </w:p>
    <w:p>
      <w:pPr>
        <w:ind w:left="-80" w:right="40" w:firstLine="1305"/>
        <w:spacing w:after="0" w:line="272" w:lineRule="auto"/>
        <w:tabs>
          <w:tab w:leader="none" w:pos="180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Timing and Form of Payment</w:t>
      </w:r>
      <w:r>
        <w:rPr>
          <w:rFonts w:ascii="Arial" w:cs="Arial" w:eastAsia="Arial" w:hAnsi="Arial"/>
          <w:sz w:val="17"/>
          <w:szCs w:val="17"/>
          <w:color w:val="auto"/>
        </w:rPr>
        <w:t>. The Executive shall receive payment of his Severance Benefit in a lump sum payment within 10 days following the six-month anniversary of the Termination Date, provided that the Executive has signed and returned to the Company the release provided for in Section 12 in a form acceptable to the Company (the “Release”). The Release shall be provided to the Executive within seven (7) days following the Termination Date. In order to receive his Severance Benefit, the Executive will be required to sign the Release within twenty-one (21) or forty-five (45) days after the date it is provided to him, whichever is applicable under applicable law, and not revoke the Release within the seven (7) day period following the date the Executive signs the Release. If the Company has not received from the Executive an effective Release as of the six-month anniversary of the Termination Date, no Severance Benefit shall be paid to the Executive.</w:t>
      </w:r>
    </w:p>
    <w:p>
      <w:pPr>
        <w:spacing w:after="0" w:line="177" w:lineRule="exact"/>
        <w:rPr>
          <w:rFonts w:ascii="Arial" w:cs="Arial" w:eastAsia="Arial" w:hAnsi="Arial"/>
          <w:sz w:val="17"/>
          <w:szCs w:val="17"/>
          <w:color w:val="auto"/>
        </w:rPr>
      </w:pPr>
    </w:p>
    <w:p>
      <w:pPr>
        <w:ind w:left="-80" w:firstLine="1305"/>
        <w:spacing w:after="0" w:line="270" w:lineRule="auto"/>
        <w:tabs>
          <w:tab w:leader="none" w:pos="18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set forth below and other than in cases where the Executive's employment with the Control Group is terminated pursuant to Sections 7(a), 7(b), 7(c) or 7(f), the Company shall provide the Executive with post-termination medical and dental benefits in a manner intended to satisfy the requirements of Code Sections 105(h) and 409A as follows: (i) immediately following the Termination Date, the Executive will be entitled to elect such continuation coverage pursuant to the Consolidated Omnibus Budget Reconciliation Act of 1985, as amended (“COBRA”), subject to the terms and conditions of the Company’s medical and dental benefit plans and the provisions of COBRA; (ii) if the Executive elects COBRA continuation coverage, he will pay the applicable COBRA premiums during the period that his medical and dental benefits are continued pursuant to COBRA; and (iii) for each month that his medical and dental benefits are continued pursuant to COBRA, but not exceeding 12 months, the Company will pay to the Executive, on a monthly basis, the difference in the amount of COBRA premiums he pays and the amount the Executive would have paid for such medical and dental coverage as an active employee for such month.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90" w:name="page91"/>
    <w:bookmarkEnd w:id="90"/>
    <w:p>
      <w:pPr>
        <w:ind w:right="20" w:firstLine="648"/>
        <w:spacing w:after="0" w:line="272" w:lineRule="auto"/>
        <w:rPr>
          <w:sz w:val="20"/>
          <w:szCs w:val="20"/>
          <w:color w:val="auto"/>
        </w:rPr>
      </w:pPr>
      <w:r>
        <w:rPr>
          <w:rFonts w:ascii="Arial" w:cs="Arial" w:eastAsia="Arial" w:hAnsi="Arial"/>
          <w:sz w:val="17"/>
          <w:szCs w:val="17"/>
          <w:color w:val="auto"/>
        </w:rPr>
        <w:t>Notwithstanding anything else herein, the Executive shall not be entitled to any benefits following his Termination Date other than the benefits provided in Section 8 and, without limiting the generality of the foregoing, the Executive specifically shall not be entitled to continue to participate in any group disability or voluntary accidental death or dismemberment insurance plan he participated in prior to his Termination Date. Without limiting the generality of the foregoing, the Executive shall not accrue additional benefits under any pension plan of the Company or an Affiliate (whether or not qualified under Section 401(a) of the Code) following his Termination Date, provided, however, that to the extent provided for under any applicable plan, the amount of any Severance Benefit may be included in the Executive's earnings for purposes of calculating the Executive's benefit under the Foot Locker Retirement Plan, the Foot Locker Excess Cash Balance Plan, and the Foot Locker 401(k) Plan.</w:t>
      </w:r>
    </w:p>
    <w:p>
      <w:pPr>
        <w:spacing w:after="0" w:line="178" w:lineRule="exact"/>
        <w:rPr>
          <w:sz w:val="20"/>
          <w:szCs w:val="20"/>
          <w:color w:val="auto"/>
        </w:rPr>
      </w:pPr>
    </w:p>
    <w:p>
      <w:pPr>
        <w:ind w:right="580" w:firstLine="1305"/>
        <w:spacing w:after="0" w:line="277" w:lineRule="auto"/>
        <w:tabs>
          <w:tab w:leader="none" w:pos="19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the Executive's death after becoming eligible for the Severance Benefit described in Section 8(f) and prior to payment of such amount, such Severance Benefit shall be paid to the Executive's Beneficiary.</w:t>
      </w:r>
    </w:p>
    <w:p>
      <w:pPr>
        <w:spacing w:after="0" w:line="170" w:lineRule="exact"/>
        <w:rPr>
          <w:rFonts w:ascii="Arial" w:cs="Arial" w:eastAsia="Arial" w:hAnsi="Arial"/>
          <w:sz w:val="18"/>
          <w:szCs w:val="18"/>
          <w:color w:val="auto"/>
        </w:rPr>
      </w:pPr>
    </w:p>
    <w:p>
      <w:pPr>
        <w:ind w:firstLine="1305"/>
        <w:spacing w:after="0" w:line="289" w:lineRule="auto"/>
        <w:tabs>
          <w:tab w:leader="none" w:pos="1916"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anything else herein, to the extent the Executive would be subject to the excise tax under Section 4999 of the Code on the amounts in Section 8(f) and such other amounts or benefits he received from the Company and its Affiliates required to be included in the calculation of parachute payments for purposes of Sections 280G and 4999 of the Code, the amounts provided under this Agreement shall be automatically reduced to an amount one dollar less than that which, when combined with such other amounts and benefits required to be so included, would subject the Executive to the excise tax under Section 4999 of the Code if, and only if, the reduced amount received by the Executive on a net after-tax basis after taking into account federal, state and local income and social security taxes at the maximum marginal rates would be greater than the unreduced amount to be received by the Executive on a net after-tax basis after taking into account federal, state and local income and social security taxes at the maximum marginal rates minus the excise tax payable under Section 4999 of the Code on such amount and the other amounts and benefits received by the Executive and required to be included in the calculation of a parachute payment for purposes of Sections 280G and 4999 of the Code.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1" w:name="page92"/>
    <w:bookmarkEnd w:id="91"/>
    <w:p>
      <w:pPr>
        <w:ind w:left="1272" w:hanging="624"/>
        <w:spacing w:after="0"/>
        <w:tabs>
          <w:tab w:leader="none" w:pos="127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740" w:firstLine="1305"/>
        <w:spacing w:after="0" w:line="308" w:lineRule="auto"/>
        <w:tabs>
          <w:tab w:leader="none" w:pos="1938" w:val="left"/>
        </w:tabs>
        <w:numPr>
          <w:ilvl w:val="2"/>
          <w:numId w:val="47"/>
        </w:numPr>
        <w:rPr>
          <w:rFonts w:ascii="Arial" w:cs="Arial" w:eastAsia="Arial" w:hAnsi="Arial"/>
          <w:sz w:val="17"/>
          <w:szCs w:val="17"/>
          <w:color w:val="auto"/>
        </w:rPr>
      </w:pPr>
      <w:r>
        <w:rPr>
          <w:rFonts w:ascii="Arial" w:cs="Arial" w:eastAsia="Arial" w:hAnsi="Arial"/>
          <w:sz w:val="17"/>
          <w:szCs w:val="17"/>
          <w:color w:val="auto"/>
        </w:rPr>
        <w:t>(i) The Executive agrees that he shall not engage in Competition during the Non-Competition Period, subject to the Company's option to waive all or any portion of the Non-Competition Period, as more specifically provided for in the following paragraph.</w:t>
      </w:r>
    </w:p>
    <w:p>
      <w:pPr>
        <w:spacing w:after="0" w:line="146" w:lineRule="exact"/>
        <w:rPr>
          <w:rFonts w:ascii="Arial" w:cs="Arial" w:eastAsia="Arial" w:hAnsi="Arial"/>
          <w:sz w:val="17"/>
          <w:szCs w:val="17"/>
          <w:color w:val="auto"/>
        </w:rPr>
      </w:pPr>
    </w:p>
    <w:p>
      <w:pPr>
        <w:ind w:left="-8" w:right="140" w:firstLine="1953"/>
        <w:spacing w:after="0" w:line="286" w:lineRule="auto"/>
        <w:tabs>
          <w:tab w:leader="none" w:pos="2552" w:val="left"/>
        </w:tabs>
        <w:numPr>
          <w:ilvl w:val="3"/>
          <w:numId w:val="47"/>
        </w:numPr>
        <w:rPr>
          <w:rFonts w:ascii="Arial" w:cs="Arial" w:eastAsia="Arial" w:hAnsi="Arial"/>
          <w:sz w:val="16"/>
          <w:szCs w:val="16"/>
          <w:color w:val="auto"/>
        </w:rPr>
      </w:pPr>
      <w:r>
        <w:rPr>
          <w:rFonts w:ascii="Arial" w:cs="Arial" w:eastAsia="Arial" w:hAnsi="Arial"/>
          <w:sz w:val="16"/>
          <w:szCs w:val="16"/>
          <w:color w:val="auto"/>
        </w:rPr>
        <w:t>As additional consideration for the covenant not to compete during the Non-Competition Period described above, the Company shall pay the Executive, on a monthly basis, the sum of 25 percent of the Executive's monthly Salary, less the amount of the Executive's "Monthly Severance Benefit," if any. This additional consideration shall be payable for the one (1) year period commencing on the Termination Date and shall be payable on the first day of each month. For purposes of this provision, the "Monthly Severance Benefit" shall be equal to the Severance Benefit divided by</w:t>
      </w:r>
    </w:p>
    <w:p>
      <w:pPr>
        <w:spacing w:after="0" w:line="1" w:lineRule="exact"/>
        <w:rPr>
          <w:rFonts w:ascii="Arial" w:cs="Arial" w:eastAsia="Arial" w:hAnsi="Arial"/>
          <w:sz w:val="16"/>
          <w:szCs w:val="16"/>
          <w:color w:val="auto"/>
        </w:rPr>
      </w:pPr>
    </w:p>
    <w:p>
      <w:pPr>
        <w:ind w:left="-8" w:right="180" w:firstLine="8"/>
        <w:spacing w:after="0" w:line="252"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the option, for any reason, to elect to waive all or any portion of the one (1) year period of Non-Competition commencing on the Termination Date, by giving the Executive written notice of such election not later than thirty (30) days following the Termination Date. In that event, the Company shall not be obligated to pay the Executive under this paragraph for any months as to which the covenant not to compete has been waived. The Company may discontinue payments being made pursuant to this paragraph at any time during the Non-Competition Period that (i) Executive is engaged in full-time employment that, in the Company's opinion, does not violate the provisions of Section 9(a)(i) hereof, or (ii) Executive violates the provisions of Section 9(a)(i) hereof.</w:t>
      </w:r>
    </w:p>
    <w:p>
      <w:pPr>
        <w:spacing w:after="0" w:line="194" w:lineRule="exact"/>
        <w:rPr>
          <w:rFonts w:ascii="Arial" w:cs="Arial" w:eastAsia="Arial" w:hAnsi="Arial"/>
          <w:sz w:val="18"/>
          <w:szCs w:val="18"/>
          <w:color w:val="auto"/>
        </w:rPr>
      </w:pPr>
    </w:p>
    <w:p>
      <w:pPr>
        <w:ind w:left="-8" w:right="20" w:firstLine="1305"/>
        <w:spacing w:after="0" w:line="293" w:lineRule="auto"/>
        <w:tabs>
          <w:tab w:leader="none" w:pos="1945"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Executive acknowledges that, during the course of his employment with the Company, due to the nature of the position he occupies he will have access to confidential information of the Company concerning its executives and employees, including, but not limited to, their background, experience, education, training, capabilities, and potential. He agrees, therefore, that if his employment is terminated at any time prior to a Change in Control (a) by the Company for any reason or (b) by the Executive for any reason, he shall not, for a one-year period beginning on the Termination Date, intentionally recruit, solicit or induce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164" w:lineRule="exact"/>
        <w:rPr>
          <w:rFonts w:ascii="Arial" w:cs="Arial" w:eastAsia="Arial" w:hAnsi="Arial"/>
          <w:sz w:val="16"/>
          <w:szCs w:val="16"/>
          <w:color w:val="auto"/>
        </w:rPr>
      </w:pPr>
    </w:p>
    <w:p>
      <w:pPr>
        <w:ind w:left="-8" w:firstLine="1305"/>
        <w:spacing w:after="0" w:line="290" w:lineRule="auto"/>
        <w:tabs>
          <w:tab w:leader="none" w:pos="1935"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Executive shall not at any time during the term of this Agreement, or thereafter, communicate or disclose to any unauthorized person, or use for the Executive's own account, without the prior written consent of the Chief Executive Officer of the Company, nonpublic information of any kind concerning the Company or any of its subsidiaries or affiliates, including, but not limited to, nonpublic information concerning finances, financial plans, accounting methods, strategic plans, operations, personnel, organizational structure, methods of distribution, suppliers, customers, client relationships, marketing strategies, real estate strategies or the like. In the event of the termination of Executive's employment, Executive shall, on or before the Termination Date, return all Confidential Information in his possession, in whatever form, to the Company. It is understood, however, that the obligations set forth in this paragraph shall not apply to the extent that the aforesaid matters (a) are disclosed in circumstances in which the Executive is legally required to do so or (b) become generally known to and available for use by the public other than by the Executive's wrongful act or omission.</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92" w:name="page93"/>
    <w:bookmarkEnd w:id="92"/>
    <w:p>
      <w:pPr>
        <w:ind w:left="-60" w:firstLine="1305"/>
        <w:spacing w:after="0" w:line="288" w:lineRule="auto"/>
        <w:tabs>
          <w:tab w:leader="none" w:pos="1893"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Executive agrees that any breach by him of the terms of Section 9 would result in irreparable injury and damage to the Company for which the Company would have no adequate remedy at law; the Executive therefore agrees that in the event of a breach or threatened breach by the Executive of the provisions of Section 9, the Company shall be entitled to an immediate injunction and restraining order to prevent such breach or threatened breach or continued breach by the Executive, including any and all persons and entities acting for or with the Executive, without having to prove damages, in addition to any other remedies to which the Company may be entitled at law or in equity. The terms of this paragraph shall not prevent the Company from pursuing any other available remedies for any breach or threatened breach hereof, including but not limited to the recovery of damages from the Executive. The Executive and the Company further agree that the provisions of the covenant not to compete are reasonable and that the Company would not have entered into this Agreement but for the inclusion of such covenant herein. If any provision of the covenants set forth in Section 9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w:t>
      </w:r>
    </w:p>
    <w:p>
      <w:pPr>
        <w:spacing w:after="0" w:line="169" w:lineRule="exact"/>
        <w:rPr>
          <w:rFonts w:ascii="Arial" w:cs="Arial" w:eastAsia="Arial" w:hAnsi="Arial"/>
          <w:sz w:val="16"/>
          <w:szCs w:val="16"/>
          <w:color w:val="auto"/>
        </w:rPr>
      </w:pPr>
    </w:p>
    <w:p>
      <w:pPr>
        <w:ind w:left="-60" w:right="180" w:firstLine="1305"/>
        <w:spacing w:after="0" w:line="264" w:lineRule="auto"/>
        <w:tabs>
          <w:tab w:leader="none" w:pos="18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provisions of Section 9 shall survive any termination of this Agreement and the existence of any claim or cause of action by the Executive against the Control Group, whether predicated on this Agreement or otherwise, shall not constitute a defense to the enforcement by the Company of the covenants and agreements of Section 9.</w:t>
      </w:r>
    </w:p>
    <w:p>
      <w:pPr>
        <w:spacing w:after="0" w:line="181" w:lineRule="exact"/>
        <w:rPr>
          <w:rFonts w:ascii="Arial" w:cs="Arial" w:eastAsia="Arial" w:hAnsi="Arial"/>
          <w:sz w:val="18"/>
          <w:szCs w:val="18"/>
          <w:color w:val="auto"/>
        </w:rPr>
      </w:pPr>
    </w:p>
    <w:p>
      <w:pPr>
        <w:ind w:left="-60" w:right="60" w:firstLine="656"/>
        <w:spacing w:after="0" w:line="271" w:lineRule="auto"/>
        <w:tabs>
          <w:tab w:leader="none" w:pos="121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Duty to Mitigate/Set-off</w:t>
      </w:r>
      <w:r>
        <w:rPr>
          <w:rFonts w:ascii="Arial" w:cs="Arial" w:eastAsia="Arial" w:hAnsi="Arial"/>
          <w:sz w:val="17"/>
          <w:szCs w:val="17"/>
          <w:color w:val="auto"/>
        </w:rPr>
        <w:t>. The Company agrees that if the Executive's employment with the Control Group is terminated during the term of this Agreement, the Executive shall not be required to seek other employment or to attempt in any way to reduce any amounts payable to the Executive by the Company pursuant to this Agreement. Further, the amount of the Severance Benefit provided for in this Agreement shall not be reduced by any compensation earned by the Executive or benefit provided to the Executive as the result of employment by another employer or otherwise. Except as otherwise provided herein, the Company's obligations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The Executive shall retain any and all rights under all pension plans, welfare plans, equity plans and other plans, including other severance plans, under which the Executive would otherwise be entitled to benefits.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93" w:name="page94"/>
    <w:bookmarkEnd w:id="93"/>
    <w:p>
      <w:pPr>
        <w:ind w:right="120" w:firstLine="656"/>
        <w:spacing w:after="0" w:line="259" w:lineRule="auto"/>
        <w:tabs>
          <w:tab w:leader="none" w:pos="127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make such provisions as it deems necessary or appropriate to satisfy any obligations it may have to withhold federal, state, or local income or other taxes incurred by reason of payments pursuant to this Agreement. In lieu thereof, the Company shall have the right to withhold the amount of such taxes from any other sums due or to become due from the Company or an Affiliate to the Executive upon such terms and conditions as the Committee may prescribe.</w:t>
      </w:r>
    </w:p>
    <w:p>
      <w:pPr>
        <w:spacing w:after="0" w:line="186" w:lineRule="exact"/>
        <w:rPr>
          <w:rFonts w:ascii="Arial" w:cs="Arial" w:eastAsia="Arial" w:hAnsi="Arial"/>
          <w:sz w:val="18"/>
          <w:szCs w:val="18"/>
          <w:color w:val="auto"/>
        </w:rPr>
      </w:pPr>
    </w:p>
    <w:p>
      <w:pPr>
        <w:ind w:right="100" w:firstLine="656"/>
        <w:spacing w:after="0" w:line="293" w:lineRule="auto"/>
        <w:tabs>
          <w:tab w:leader="none" w:pos="127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Executive's entitlement hereunder to a Severance Benefit which exceeds the severance benefit provided for under the Company's standard severance program and as a condition of receiving any Severance Benefit hereunder with regard to a Termination of Employment occurring prior to a Change in Control, the Executive shall be required to provide the Company with a release of all claims of the Executive (except with regard to claims for payment of benefits specifically payable or providable hereunder which have not been paid as of the effective date of the release, claims for vested accrued benefits or claims under COBRA) of any kind whatsoever against the Control Group, its past or present officers, directors and employees, known or unknown, as of the date of the release. The release shall be in such form as may reasonably be specified by the Company.</w:t>
      </w:r>
    </w:p>
    <w:p>
      <w:pPr>
        <w:spacing w:after="0" w:line="164" w:lineRule="exact"/>
        <w:rPr>
          <w:rFonts w:ascii="Arial" w:cs="Arial" w:eastAsia="Arial" w:hAnsi="Arial"/>
          <w:sz w:val="16"/>
          <w:szCs w:val="16"/>
          <w:color w:val="auto"/>
        </w:rPr>
      </w:pPr>
    </w:p>
    <w:p>
      <w:pPr>
        <w:ind w:firstLine="656"/>
        <w:spacing w:after="0" w:line="291" w:lineRule="auto"/>
        <w:tabs>
          <w:tab w:leader="none" w:pos="127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in writing to perform this Agreement in the same manner and to the same extent that the Company would be required to perform it if no such succession had taken place.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if the Executive had continued to live, all such amounts, unless otherwise provided herein, shall be paid in accordance with the terms of this Agreement to the Executive's Beneficiary, or the executors, personal representatives or administrators of the Executive's estate.</w:t>
      </w:r>
    </w:p>
    <w:p>
      <w:pPr>
        <w:spacing w:after="0" w:line="167" w:lineRule="exact"/>
        <w:rPr>
          <w:rFonts w:ascii="Arial" w:cs="Arial" w:eastAsia="Arial" w:hAnsi="Arial"/>
          <w:sz w:val="16"/>
          <w:szCs w:val="16"/>
          <w:color w:val="auto"/>
        </w:rPr>
      </w:pPr>
    </w:p>
    <w:p>
      <w:pPr>
        <w:ind w:left="1280" w:hanging="624"/>
        <w:spacing w:after="0"/>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Termination of Prior Agreement</w:t>
      </w:r>
      <w:r>
        <w:rPr>
          <w:rFonts w:ascii="Arial" w:cs="Arial" w:eastAsia="Arial" w:hAnsi="Arial"/>
          <w:sz w:val="17"/>
          <w:szCs w:val="17"/>
          <w:color w:val="auto"/>
        </w:rPr>
        <w:t>. The Executive Employment Agreement entered into between the Company and the Executive dated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_______________, 20__ is terminated as of _______________ without any further obligation of the parties thereto.</w:t>
      </w:r>
    </w:p>
    <w:p>
      <w:pPr>
        <w:spacing w:after="0" w:line="210" w:lineRule="exact"/>
        <w:rPr>
          <w:rFonts w:ascii="Arial" w:cs="Arial" w:eastAsia="Arial" w:hAnsi="Arial"/>
          <w:sz w:val="17"/>
          <w:szCs w:val="17"/>
          <w:color w:val="auto"/>
        </w:rPr>
      </w:pPr>
    </w:p>
    <w:p>
      <w:pPr>
        <w:ind w:right="20" w:firstLine="656"/>
        <w:spacing w:after="0" w:line="273" w:lineRule="auto"/>
        <w:tabs>
          <w:tab w:leader="none" w:pos="127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No provisions of this Agreement may be modified, waived or discharged unless such waiver, modification or discharge is agreed to in writing and signed by the Executive and such officer as may be specifically designated by the Company. No waiver by either party hereto at any time of any breach by the other party hereto of, or compliance with, any condition or provision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All references to sections of the Code or any other law shall be deemed also to refer to any successor provisions to such sections and laws.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right="320" w:firstLine="656"/>
        <w:spacing w:after="0" w:line="277" w:lineRule="auto"/>
        <w:tabs>
          <w:tab w:leader="none" w:pos="127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right="380" w:firstLine="656"/>
        <w:spacing w:after="0" w:line="277" w:lineRule="auto"/>
        <w:tabs>
          <w:tab w:leader="none" w:pos="127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shall be declared to be invalid or unenforceable, in whole or in part, such invalidity or unenforceability shall not affect the remaining provisions hereof which shall remain in full force and effect.</w:t>
      </w:r>
    </w:p>
    <w:p>
      <w:pPr>
        <w:spacing w:after="0" w:line="170" w:lineRule="exact"/>
        <w:rPr>
          <w:rFonts w:ascii="Arial" w:cs="Arial" w:eastAsia="Arial" w:hAnsi="Arial"/>
          <w:sz w:val="18"/>
          <w:szCs w:val="18"/>
          <w:color w:val="auto"/>
        </w:rPr>
      </w:pPr>
    </w:p>
    <w:p>
      <w:pPr>
        <w:ind w:right="20" w:firstLine="656"/>
        <w:spacing w:after="0" w:line="297" w:lineRule="auto"/>
        <w:tabs>
          <w:tab w:leader="none" w:pos="127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Agreement or the breach thereof, other than injunctive relief pursuant to Section 9, shall be settled by arbitration, conducted before a panel of three arbitrators in New York, New York, or in such other city in which the Executive is then located, in accordance with the rules of the American Arbitration Association then in effect. The determination of the arbitrators, which shall be based upon a de novo interpretation of this Agreement, shall be final and binding and judgment may be entered on the arbitrators' award in any court having jurisdiction. The costs assessed by the American Arbitration Association for arbitration shall be borne by the Company.</w:t>
      </w:r>
    </w:p>
    <w:p>
      <w:pPr>
        <w:spacing w:after="0" w:line="158" w:lineRule="exact"/>
        <w:rPr>
          <w:rFonts w:ascii="Arial" w:cs="Arial" w:eastAsia="Arial" w:hAnsi="Arial"/>
          <w:sz w:val="16"/>
          <w:szCs w:val="16"/>
          <w:color w:val="auto"/>
        </w:rPr>
      </w:pPr>
    </w:p>
    <w:p>
      <w:pPr>
        <w:ind w:firstLine="656"/>
        <w:spacing w:after="0" w:line="264" w:lineRule="auto"/>
        <w:tabs>
          <w:tab w:leader="none" w:pos="127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either party hereunder shall be in writing, and shall be deemed to be sufficiently given to or served on such party, for all purposes, if the same shall be given personally delivered to such party, or sent to such party by registered mail, postage prepaid, in the case of the Executive, at his principal residence address as shown in the records of the Company, and in the case of the Company, to the General Counsel, Foot Locker, Inc.,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-553720</wp:posOffset>
            </wp:positionV>
            <wp:extent cx="2571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Either party may change the address to which notices are to be sent to such party hereunder by written notice of such new address given to the other party hereto. Notices shall be deemed given when received if delivered personally or three days after mailing if mailed as aforesaid.</w:t>
      </w:r>
    </w:p>
    <w:p>
      <w:pPr>
        <w:spacing w:after="0" w:line="147" w:lineRule="exact"/>
        <w:rPr>
          <w:sz w:val="20"/>
          <w:szCs w:val="20"/>
          <w:color w:val="auto"/>
        </w:rPr>
      </w:pPr>
    </w:p>
    <w:p>
      <w:pPr>
        <w:ind w:right="40" w:firstLine="674"/>
        <w:spacing w:after="0" w:line="293" w:lineRule="auto"/>
        <w:tabs>
          <w:tab w:leader="none" w:pos="129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is intended to comply with, or be exempt from, Section 409A and all provisions hereof shall be construed in a manner to so comply.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was incurred. The parties further agree that there is no guarantee as to the tax consequences of payments provided for hereunder.</w:t>
      </w:r>
    </w:p>
    <w:p>
      <w:pPr>
        <w:spacing w:after="0" w:line="164" w:lineRule="exact"/>
        <w:rPr>
          <w:rFonts w:ascii="Arial" w:cs="Arial" w:eastAsia="Arial" w:hAnsi="Arial"/>
          <w:sz w:val="16"/>
          <w:szCs w:val="16"/>
          <w:color w:val="auto"/>
        </w:rPr>
      </w:pPr>
    </w:p>
    <w:p>
      <w:pPr>
        <w:ind w:right="20" w:firstLine="656"/>
        <w:spacing w:after="0" w:line="257" w:lineRule="auto"/>
        <w:tabs>
          <w:tab w:leader="none" w:pos="127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Compensation Recoupment</w:t>
      </w:r>
      <w:r>
        <w:rPr>
          <w:rFonts w:ascii="Arial" w:cs="Arial" w:eastAsia="Arial" w:hAnsi="Arial"/>
          <w:sz w:val="18"/>
          <w:szCs w:val="18"/>
          <w:color w:val="auto"/>
        </w:rPr>
        <w:t>. Notwithstanding anything herein to the contrary, the Executive agrees that incentive compensation, as defined under the Dodd-Frank Wall Street Reform and Consumer Protection Act of 2010 and such regulations as are promulgated thereunder from time to time (“Dodd-Frank”), payable to him under the Company’s bonus plans, this Agreement or any other plan, arrangement or program established or maintained by the Company shall be subject to any clawback policy adopted or implemented by the Company in respect of Dodd-Frank, or in respect of any other applicable law or regulation.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firstLine="656"/>
        <w:spacing w:after="0" w:line="264" w:lineRule="auto"/>
        <w:tabs>
          <w:tab w:leader="none" w:pos="127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enforcement and performance of this Agreement shall be governed by the laws of the State of New York without regard to its conflicts of laws principles. For purposes of Section 9, the Executive consents to the jurisdiction of state and federal courts in New York County.</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and the Executive's hand has hereunto been set as of the date first set forth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shall mean any of the following:</w:t>
      </w:r>
    </w:p>
    <w:p>
      <w:pPr>
        <w:spacing w:after="0" w:line="225" w:lineRule="exact"/>
        <w:rPr>
          <w:sz w:val="20"/>
          <w:szCs w:val="20"/>
          <w:color w:val="auto"/>
        </w:rPr>
      </w:pPr>
    </w:p>
    <w:p>
      <w:pPr>
        <w:ind w:firstLine="656"/>
        <w:spacing w:after="0" w:line="271" w:lineRule="auto"/>
        <w:tabs>
          <w:tab w:leader="none" w:pos="13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or entity or group of associated persons or entities (within the meaning of Section 13(d)(3) or 14(d)(2) of the Securities Exchange Act of 1934 (the “Exchange Act”)) (a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178" w:lineRule="exact"/>
        <w:rPr>
          <w:rFonts w:ascii="Arial" w:cs="Arial" w:eastAsia="Arial" w:hAnsi="Arial"/>
          <w:sz w:val="17"/>
          <w:szCs w:val="17"/>
          <w:color w:val="auto"/>
        </w:rPr>
      </w:pPr>
    </w:p>
    <w:p>
      <w:pPr>
        <w:ind w:right="80" w:firstLine="656"/>
        <w:spacing w:after="0" w:line="276" w:lineRule="auto"/>
        <w:tabs>
          <w:tab w:leader="none" w:pos="12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Common Stock of the Company) acting in concert; or</w:t>
      </w:r>
    </w:p>
    <w:p>
      <w:pPr>
        <w:spacing w:after="0" w:line="172" w:lineRule="exact"/>
        <w:rPr>
          <w:rFonts w:ascii="Arial" w:cs="Arial" w:eastAsia="Arial" w:hAnsi="Arial"/>
          <w:sz w:val="17"/>
          <w:szCs w:val="17"/>
          <w:color w:val="auto"/>
        </w:rPr>
      </w:pPr>
    </w:p>
    <w:p>
      <w:pPr>
        <w:ind w:right="60" w:firstLine="656"/>
        <w:spacing w:after="0" w:line="259" w:lineRule="auto"/>
        <w:tabs>
          <w:tab w:leader="none" w:pos="12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18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This definition is intended to constitute a change in ownership or effective control of a corporation or change in the ownership of a substantial portion of the assets of a corporation, in each case, as defined under Section 409A, and shall be construed in a manner consistent with such intent.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jc w:val="right"/>
        <w:ind w:right="519"/>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32385</wp:posOffset>
            </wp:positionV>
            <wp:extent cx="5565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113"/>
              <w:spacing w:after="0" w:line="143" w:lineRule="exact"/>
              <w:rPr>
                <w:sz w:val="20"/>
                <w:szCs w:val="20"/>
                <w:color w:val="auto"/>
              </w:rPr>
            </w:pPr>
            <w:r>
              <w:rPr>
                <w:rFonts w:ascii="Arial" w:cs="Arial" w:eastAsia="Arial" w:hAnsi="Arial"/>
                <w:sz w:val="14"/>
                <w:szCs w:val="14"/>
                <w:b w:val="1"/>
                <w:bCs w:val="1"/>
                <w:color w:val="auto"/>
              </w:rPr>
              <w:t>Jan. 30,</w:t>
            </w:r>
          </w:p>
        </w:tc>
        <w:tc>
          <w:tcPr>
            <w:tcW w:w="260" w:type="dxa"/>
            <w:vAlign w:val="bottom"/>
          </w:tcPr>
          <w:p>
            <w:pPr>
              <w:spacing w:after="0"/>
              <w:rPr>
                <w:sz w:val="12"/>
                <w:szCs w:val="12"/>
                <w:color w:val="auto"/>
              </w:rPr>
            </w:pPr>
          </w:p>
        </w:tc>
        <w:tc>
          <w:tcPr>
            <w:tcW w:w="700" w:type="dxa"/>
            <w:vAlign w:val="bottom"/>
          </w:tcPr>
          <w:p>
            <w:pPr>
              <w:jc w:val="right"/>
              <w:ind w:right="53"/>
              <w:spacing w:after="0" w:line="143" w:lineRule="exact"/>
              <w:rPr>
                <w:sz w:val="20"/>
                <w:szCs w:val="20"/>
                <w:color w:val="auto"/>
              </w:rPr>
            </w:pPr>
            <w:r>
              <w:rPr>
                <w:rFonts w:ascii="Arial" w:cs="Arial" w:eastAsia="Arial" w:hAnsi="Arial"/>
                <w:sz w:val="14"/>
                <w:szCs w:val="14"/>
                <w:b w:val="1"/>
                <w:bCs w:val="1"/>
                <w:color w:val="auto"/>
              </w:rPr>
              <w:t>Jan. 31,</w:t>
            </w:r>
          </w:p>
        </w:tc>
        <w:tc>
          <w:tcPr>
            <w:tcW w:w="340" w:type="dxa"/>
            <w:vAlign w:val="bottom"/>
          </w:tcPr>
          <w:p>
            <w:pPr>
              <w:spacing w:after="0"/>
              <w:rPr>
                <w:sz w:val="12"/>
                <w:szCs w:val="12"/>
                <w:color w:val="auto"/>
              </w:rPr>
            </w:pPr>
          </w:p>
        </w:tc>
        <w:tc>
          <w:tcPr>
            <w:tcW w:w="740" w:type="dxa"/>
            <w:vAlign w:val="bottom"/>
          </w:tcPr>
          <w:p>
            <w:pPr>
              <w:jc w:val="right"/>
              <w:ind w:right="153"/>
              <w:spacing w:after="0" w:line="143" w:lineRule="exact"/>
              <w:rPr>
                <w:sz w:val="20"/>
                <w:szCs w:val="20"/>
                <w:color w:val="auto"/>
              </w:rPr>
            </w:pPr>
            <w:r>
              <w:rPr>
                <w:rFonts w:ascii="Arial" w:cs="Arial" w:eastAsia="Arial" w:hAnsi="Arial"/>
                <w:sz w:val="14"/>
                <w:szCs w:val="14"/>
                <w:b w:val="1"/>
                <w:bCs w:val="1"/>
                <w:color w:val="auto"/>
              </w:rPr>
              <w:t>Feb. 1,</w:t>
            </w:r>
          </w:p>
        </w:tc>
        <w:tc>
          <w:tcPr>
            <w:tcW w:w="280" w:type="dxa"/>
            <w:vAlign w:val="bottom"/>
          </w:tcPr>
          <w:p>
            <w:pPr>
              <w:spacing w:after="0"/>
              <w:rPr>
                <w:sz w:val="12"/>
                <w:szCs w:val="12"/>
                <w:color w:val="auto"/>
              </w:rPr>
            </w:pPr>
          </w:p>
        </w:tc>
        <w:tc>
          <w:tcPr>
            <w:tcW w:w="740" w:type="dxa"/>
            <w:vAlign w:val="bottom"/>
          </w:tcPr>
          <w:p>
            <w:pPr>
              <w:jc w:val="right"/>
              <w:ind w:right="133"/>
              <w:spacing w:after="0" w:line="143" w:lineRule="exact"/>
              <w:rPr>
                <w:sz w:val="20"/>
                <w:szCs w:val="20"/>
                <w:color w:val="auto"/>
              </w:rPr>
            </w:pPr>
            <w:r>
              <w:rPr>
                <w:rFonts w:ascii="Arial" w:cs="Arial" w:eastAsia="Arial" w:hAnsi="Arial"/>
                <w:sz w:val="14"/>
                <w:szCs w:val="14"/>
                <w:b w:val="1"/>
                <w:bCs w:val="1"/>
                <w:color w:val="auto"/>
              </w:rPr>
              <w:t>Feb. 2,</w:t>
            </w:r>
          </w:p>
        </w:tc>
        <w:tc>
          <w:tcPr>
            <w:tcW w:w="300" w:type="dxa"/>
            <w:vAlign w:val="bottom"/>
          </w:tcPr>
          <w:p>
            <w:pPr>
              <w:spacing w:after="0"/>
              <w:rPr>
                <w:sz w:val="12"/>
                <w:szCs w:val="12"/>
                <w:color w:val="auto"/>
              </w:rPr>
            </w:pPr>
          </w:p>
        </w:tc>
        <w:tc>
          <w:tcPr>
            <w:tcW w:w="800" w:type="dxa"/>
            <w:vAlign w:val="bottom"/>
          </w:tcPr>
          <w:p>
            <w:pPr>
              <w:jc w:val="right"/>
              <w:ind w:right="133"/>
              <w:spacing w:after="0" w:line="143" w:lineRule="exact"/>
              <w:rPr>
                <w:sz w:val="20"/>
                <w:szCs w:val="20"/>
                <w:color w:val="auto"/>
              </w:rPr>
            </w:pPr>
            <w:r>
              <w:rPr>
                <w:rFonts w:ascii="Arial" w:cs="Arial" w:eastAsia="Arial" w:hAnsi="Arial"/>
                <w:sz w:val="14"/>
                <w:szCs w:val="14"/>
                <w:b w:val="1"/>
                <w:bCs w:val="1"/>
                <w:color w:val="auto"/>
              </w:rPr>
              <w:t>Jan. 28,</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NET EARNINGS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541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278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296</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34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234</w:t>
            </w:r>
          </w:p>
        </w:tc>
        <w:tc>
          <w:tcPr>
            <w:tcW w:w="2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 expense, excluding capitalized</w:t>
            </w: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Portion of rents deemed representative of</w:t>
            </w:r>
          </w:p>
        </w:tc>
        <w:tc>
          <w:tcPr>
            <w:tcW w:w="320" w:type="dxa"/>
            <w:vAlign w:val="bottom"/>
          </w:tcPr>
          <w:p>
            <w:pPr>
              <w:spacing w:after="0"/>
              <w:rPr>
                <w:sz w:val="17"/>
                <w:szCs w:val="17"/>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252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the interest factor (1/3)</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236</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218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1,100</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1,069</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910</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840</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666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interest expense</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Portion of rents deemed representative of</w:t>
            </w:r>
          </w:p>
        </w:tc>
        <w:tc>
          <w:tcPr>
            <w:tcW w:w="320" w:type="dxa"/>
            <w:vAlign w:val="bottom"/>
          </w:tcPr>
          <w:p>
            <w:pPr>
              <w:spacing w:after="0"/>
              <w:rPr>
                <w:sz w:val="17"/>
                <w:szCs w:val="17"/>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252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the interest factor (1/3)</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236</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218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263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247</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233</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231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RATIO OF EARNINGS TO FIXED</w:t>
            </w:r>
          </w:p>
        </w:tc>
        <w:tc>
          <w:tcPr>
            <w:tcW w:w="3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CHARGES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rPr>
              <w:t>2.9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1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98" w:name="page99"/>
    <w:bookmarkEnd w:id="98"/>
    <w:p>
      <w:pPr>
        <w:jc w:val="right"/>
        <w:ind w:right="519"/>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FOOT LOCKER, INC. SUBSIDIARIES</w:t>
      </w:r>
      <w:r>
        <w:rPr>
          <w:rFonts w:ascii="Arial" w:cs="Arial" w:eastAsia="Arial" w:hAnsi="Arial"/>
          <w:sz w:val="30"/>
          <w:szCs w:val="30"/>
          <w:b w:val="1"/>
          <w:bCs w:val="1"/>
          <w:color w:val="auto"/>
          <w:vertAlign w:val="superscript"/>
        </w:rPr>
        <w:t>(1)</w:t>
      </w:r>
    </w:p>
    <w:p>
      <w:pPr>
        <w:spacing w:after="0" w:line="38"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following is a list of subsidiaries of Foot Locker, Inc. as of January 30, 2016, omitting some subsidiaries, which, considered in the aggregate,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5568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ind w:left="340"/>
              <w:spacing w:after="0"/>
              <w:rPr>
                <w:sz w:val="20"/>
                <w:szCs w:val="20"/>
                <w:color w:val="auto"/>
              </w:rPr>
            </w:pPr>
            <w:r>
              <w:rPr>
                <w:rFonts w:ascii="Arial" w:cs="Arial" w:eastAsia="Arial" w:hAnsi="Arial"/>
                <w:sz w:val="14"/>
                <w:szCs w:val="14"/>
                <w:b w:val="1"/>
                <w:bCs w:val="1"/>
                <w:color w:val="auto"/>
              </w:rPr>
              <w:t>State or Other</w:t>
            </w:r>
          </w:p>
        </w:tc>
      </w:tr>
      <w:tr>
        <w:trPr>
          <w:trHeight w:val="162"/>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Arial" w:cs="Arial" w:eastAsia="Arial" w:hAnsi="Arial"/>
                <w:sz w:val="14"/>
                <w:szCs w:val="14"/>
                <w:b w:val="1"/>
                <w:bCs w:val="1"/>
                <w:color w:val="auto"/>
              </w:rPr>
              <w:t>Jurisdiction of</w:t>
            </w:r>
          </w:p>
        </w:tc>
      </w:tr>
      <w:tr>
        <w:trPr>
          <w:trHeight w:val="175"/>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6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Incorporation</w:t>
            </w:r>
          </w:p>
        </w:tc>
      </w:tr>
      <w:tr>
        <w:trPr>
          <w:trHeight w:val="195"/>
        </w:trPr>
        <w:tc>
          <w:tcPr>
            <w:tcW w:w="6980" w:type="dxa"/>
            <w:vAlign w:val="bottom"/>
          </w:tcPr>
          <w:p>
            <w:pPr>
              <w:ind w:left="20"/>
              <w:spacing w:after="0" w:line="195" w:lineRule="exact"/>
              <w:rPr>
                <w:sz w:val="20"/>
                <w:szCs w:val="20"/>
                <w:color w:val="auto"/>
              </w:rPr>
            </w:pPr>
            <w:r>
              <w:rPr>
                <w:rFonts w:ascii="Arial" w:cs="Arial" w:eastAsia="Arial" w:hAnsi="Arial"/>
                <w:sz w:val="18"/>
                <w:szCs w:val="18"/>
                <w:color w:val="auto"/>
              </w:rPr>
              <w:t>Footlocker.com, Inc.</w:t>
            </w:r>
          </w:p>
        </w:tc>
        <w:tc>
          <w:tcPr>
            <w:tcW w:w="16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Eastbay,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Wisconsin</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CV Management,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C.V.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Holdings Cooperatief U.A</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 Europe Holdings,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Austria GmbH</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Austria</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Belgium B.V.B.A.</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Logistics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France S.A.S.</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Italy S.r.l.</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Netherlands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Germany GmbH &amp; Co. KG</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ETVE,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 Holdings, S.L.</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Spain S.L.</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Australia,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New Zealand,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Freedom Sportsline Limited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Team Edition Apparel,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Specialty,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Retail,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Europe.com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Poland Sp. z o.o.</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Czech Republic s.r.o.</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Czech Republic</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Partners C.V.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Partners LLC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Stores,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Corporate Services,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Sourcing, Inc.</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Artigos desportivos e de tempos livres, Lda.</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Portugal</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Greece Athletic Goods Ltd.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Greece</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Suisse S.A.</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Scandinavia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Hungary Kft</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Hungary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Retail Ireland Limited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 Finance (Europe) Limited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 Finance Europe (US) Limited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FLE Franchising Limited</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Canada Co.</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Istanbul Sport Giyim Sanayi ve Ticaret LS</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Spain C.V.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Denmark B.V.</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Runners Point B.V. &amp; Co. K.G.</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Sidestep GmbH</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Europe.com GmbH</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RPG Logistics GmbH</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Runners Point Administration GmbH</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17"/>
        </w:trPr>
        <w:tc>
          <w:tcPr>
            <w:tcW w:w="6980" w:type="dxa"/>
            <w:vAlign w:val="bottom"/>
          </w:tcPr>
          <w:p>
            <w:pPr>
              <w:ind w:left="20"/>
              <w:spacing w:after="0"/>
              <w:rPr>
                <w:sz w:val="20"/>
                <w:szCs w:val="20"/>
                <w:color w:val="auto"/>
              </w:rPr>
            </w:pPr>
            <w:r>
              <w:rPr>
                <w:rFonts w:ascii="Arial" w:cs="Arial" w:eastAsia="Arial" w:hAnsi="Arial"/>
                <w:sz w:val="18"/>
                <w:szCs w:val="18"/>
                <w:color w:val="auto"/>
              </w:rPr>
              <w:t>Runners Point Switzerland LLC</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Switzerland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163195</wp:posOffset>
            </wp:positionV>
            <wp:extent cx="6172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39" w:hanging="272"/>
        <w:spacing w:after="0" w:line="262"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841375</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346" w:right="1440" w:bottom="1440" w:gutter="0" w:footer="0" w:header="0"/>
        </w:sectPr>
      </w:pPr>
    </w:p>
    <w:bookmarkStart w:id="99" w:name="page100"/>
    <w:bookmarkEnd w:id="99"/>
    <w:p>
      <w:pPr>
        <w:jc w:val="right"/>
        <w:ind w:right="51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right="519"/>
        <w:spacing w:after="0" w:line="252" w:lineRule="auto"/>
        <w:rPr>
          <w:sz w:val="20"/>
          <w:szCs w:val="20"/>
          <w:color w:val="auto"/>
        </w:rPr>
      </w:pPr>
      <w:r>
        <w:rPr>
          <w:rFonts w:ascii="Arial" w:cs="Arial" w:eastAsia="Arial" w:hAnsi="Arial"/>
          <w:sz w:val="18"/>
          <w:szCs w:val="18"/>
          <w:color w:val="auto"/>
        </w:rPr>
        <w:t>We consent to the incorporation by reference in the following registration statements of Foot Locker, Inc. and subsidiaries of our reports dated March 24, 2016, with respect to the consolidated balance sheets of Foot Locker, Inc. and subsidiaries as of January 30, 2016 and January 31, 2015, and the related consolidated statements of operations, comprehensive income, shareholders’ equity, and cash flows for each of the years in the three-year period ended January 30, 2016, and the effectiveness of internal control over financial reporting as of January 30, 2016, which reports appear in the January 30, 2016 annual report on Form 10-K of Foot Locker, Inc.</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33-10783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33-97832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333-07215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333-21131</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333-62425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333-33120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333-74688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333-99829</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333-111222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333-121515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333-144044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333-149803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33-43334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33-86300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333-64930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333-167066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333-171523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333-190680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333-196899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456565</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46" w:right="1440" w:bottom="1440" w:gutter="0" w:footer="0" w:header="0"/>
        </w:sectPr>
      </w:pPr>
    </w:p>
    <w:bookmarkStart w:id="100" w:name="page101"/>
    <w:bookmarkEnd w:id="100"/>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CERTIFICATION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Richard A. Johnson, certify that:</w:t>
      </w:r>
    </w:p>
    <w:p>
      <w:pPr>
        <w:spacing w:after="0" w:line="117"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39" w:hanging="272"/>
        <w:spacing w:after="0" w:line="256"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540" w:right="539" w:hanging="262"/>
        <w:spacing w:after="0" w:line="262" w:lineRule="auto"/>
        <w:tabs>
          <w:tab w:leader="none" w:pos="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24, 2016</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6350</wp:posOffset>
            </wp:positionV>
            <wp:extent cx="397891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459740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6" w:right="1440" w:bottom="1440" w:gutter="0" w:footer="0" w:header="0"/>
        </w:sectPr>
      </w:pPr>
    </w:p>
    <w:bookmarkStart w:id="101" w:name="page102"/>
    <w:bookmarkEnd w:id="101"/>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CERTIFICATION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Lauren B. Peters, certify that:</w:t>
      </w:r>
    </w:p>
    <w:p>
      <w:pPr>
        <w:spacing w:after="0" w:line="117"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39" w:hanging="272"/>
        <w:spacing w:after="0" w:line="256"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540" w:right="539" w:hanging="262"/>
        <w:spacing w:after="0" w:line="262" w:lineRule="auto"/>
        <w:tabs>
          <w:tab w:leader="none" w:pos="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24, 2016</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6350</wp:posOffset>
            </wp:positionV>
            <wp:extent cx="397891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459740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6" w:right="1440" w:bottom="1440" w:gutter="0" w:footer="0" w:header="0"/>
        </w:sectPr>
      </w:pPr>
    </w:p>
    <w:bookmarkStart w:id="102" w:name="page103"/>
    <w:bookmarkEnd w:id="102"/>
    <w:p>
      <w:pPr>
        <w:jc w:val="right"/>
        <w:ind w:right="5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right="519"/>
        <w:spacing w:after="0" w:line="254" w:lineRule="auto"/>
        <w:rPr>
          <w:sz w:val="20"/>
          <w:szCs w:val="20"/>
          <w:color w:val="auto"/>
        </w:rPr>
      </w:pPr>
      <w:r>
        <w:rPr>
          <w:rFonts w:ascii="Arial" w:cs="Arial" w:eastAsia="Arial" w:hAnsi="Arial"/>
          <w:sz w:val="18"/>
          <w:szCs w:val="18"/>
          <w:color w:val="auto"/>
        </w:rPr>
        <w:t>In connection with the Annual Report on Form 10-K of Foot Locker, Inc. (the “Registrant”) for the period ended January 30, 2016,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96" w:lineRule="exact"/>
        <w:rPr>
          <w:sz w:val="20"/>
          <w:szCs w:val="20"/>
          <w:color w:val="auto"/>
        </w:rPr>
      </w:pPr>
    </w:p>
    <w:p>
      <w:pPr>
        <w:ind w:left="500" w:right="519" w:hanging="262"/>
        <w:spacing w:after="0" w:line="262"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8" w:lineRule="exact"/>
        <w:rPr>
          <w:rFonts w:ascii="Arial" w:cs="Arial" w:eastAsia="Arial" w:hAnsi="Arial"/>
          <w:sz w:val="18"/>
          <w:szCs w:val="18"/>
          <w:color w:val="auto"/>
        </w:rPr>
      </w:pPr>
    </w:p>
    <w:p>
      <w:pPr>
        <w:ind w:left="500" w:right="539" w:hanging="262"/>
        <w:spacing w:after="0" w:line="262"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2016</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6350</wp:posOffset>
            </wp:positionV>
            <wp:extent cx="397891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A. Johnson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6350</wp:posOffset>
            </wp:positionV>
            <wp:extent cx="39789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Lauren B. Peters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Financial Officer</w:t>
      </w:r>
    </w:p>
    <w:p>
      <w:pPr>
        <w:spacing w:after="0" w:line="117" w:lineRule="exact"/>
        <w:rPr>
          <w:sz w:val="20"/>
          <w:szCs w:val="20"/>
          <w:color w:val="auto"/>
        </w:rPr>
      </w:pPr>
    </w:p>
    <w:p>
      <w:pPr>
        <w:jc w:val="both"/>
        <w:ind w:right="519"/>
        <w:spacing w:after="0" w:line="254"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434975</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lvl w:ilvl="1">
      <w:lvlJc w:val="left"/>
      <w:lvlText w:val="%2."/>
      <w:numFmt w:val="decimal"/>
      <w:start w:val="12"/>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9"/>
    </w:lvl>
  </w:abstractNum>
  <w:abstractNum w:abstractNumId="19">
    <w:nsid w:val="2D517796"/>
    <w:multiLevelType w:val="hybridMultilevel"/>
    <w:lvl w:ilvl="0">
      <w:lvlJc w:val="left"/>
      <w:lvlText w:val="%1."/>
      <w:numFmt w:val="decimal"/>
      <w:start w:val="2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2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2"/>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lvl w:ilvl="1">
      <w:lvlJc w:val="left"/>
      <w:lvlText w:val="%2."/>
      <w:numFmt w:val="decimal"/>
      <w:start w:val="21"/>
    </w:lvl>
  </w:abstractNum>
  <w:abstractNum w:abstractNumId="27">
    <w:nsid w:val="725A06FB"/>
    <w:multiLevelType w:val="hybridMultilevel"/>
    <w:lvl w:ilvl="0">
      <w:lvlJc w:val="left"/>
      <w:lvlText w:val="(%1)"/>
      <w:numFmt w:val="decimal"/>
      <w:start w:val="2"/>
    </w:lvl>
    <w:lvl w:ilvl="1">
      <w:lvlJc w:val="left"/>
      <w:lvlText w:val="%2"/>
      <w:numFmt w:val="decimal"/>
      <w:start w:val="1"/>
    </w:lvl>
  </w:abstractNum>
  <w:abstractNum w:abstractNumId="28">
    <w:nsid w:val="2CD89A32"/>
    <w:multiLevelType w:val="hybridMultilevel"/>
    <w:lvl w:ilvl="0">
      <w:lvlJc w:val="left"/>
      <w:lvlText w:val="%1."/>
      <w:numFmt w:val="decimal"/>
      <w:start w:val="22"/>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lowerLetter"/>
      <w:start w:val="4"/>
    </w:lvl>
  </w:abstractNum>
  <w:abstractNum w:abstractNumId="31">
    <w:nsid w:val="4B588F54"/>
    <w:multiLevelType w:val="hybridMultilevel"/>
    <w:lvl w:ilvl="0">
      <w:lvlJc w:val="left"/>
      <w:lvlText w:val="(%1)"/>
      <w:numFmt w:val="lowerLetter"/>
      <w:start w:val="3"/>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lvl w:ilvl="1">
      <w:lvlJc w:val="left"/>
      <w:lvlText w:val="(%2)"/>
      <w:numFmt w:val="lowerLetter"/>
      <w:start w:val="1"/>
    </w:lvl>
  </w:abstractNum>
  <w:abstractNum w:abstractNumId="34">
    <w:nsid w:val="38437FDB"/>
    <w:multiLevelType w:val="hybridMultilevel"/>
    <w:lvl w:ilvl="0">
      <w:lvlJc w:val="left"/>
      <w:lvlText w:val="(%1)"/>
      <w:numFmt w:val="lowerLetter"/>
      <w:start w:val="5"/>
    </w:lvl>
    <w:lvl w:ilvl="1">
      <w:lvlJc w:val="left"/>
      <w:lvlText w:val="(%2)"/>
      <w:numFmt w:val="lowerLetter"/>
      <w:start w:val="9"/>
    </w:lvl>
  </w:abstractNum>
  <w:abstractNum w:abstractNumId="35">
    <w:nsid w:val="7644A45C"/>
    <w:multiLevelType w:val="hybridMultilevel"/>
    <w:lvl w:ilvl="0">
      <w:lvlJc w:val="left"/>
      <w:lvlText w:val="%1"/>
      <w:numFmt w:val="lowerLetter"/>
      <w:start w:val="1"/>
    </w:lvl>
    <w:lvl w:ilvl="1">
      <w:lvlJc w:val="left"/>
      <w:lvlText w:val="(%2)"/>
      <w:numFmt w:val="lowerRoman"/>
      <w:start w:val="2"/>
    </w:lvl>
  </w:abstractNum>
  <w:abstractNum w:abstractNumId="36">
    <w:nsid w:val="32FFF902"/>
    <w:multiLevelType w:val="hybridMultilevel"/>
    <w:lvl w:ilvl="0">
      <w:lvlJc w:val="left"/>
      <w:lvlText w:val="(%1)"/>
      <w:numFmt w:val="lowerLetter"/>
      <w:start w:val="11"/>
    </w:lvl>
    <w:lvl w:ilvl="1">
      <w:lvlJc w:val="left"/>
      <w:lvlText w:val="%2"/>
      <w:numFmt w:val="lowerRoman"/>
      <w:start w:val="1"/>
    </w:lvl>
  </w:abstractNum>
  <w:abstractNum w:abstractNumId="37">
    <w:nsid w:val="684A481A"/>
    <w:multiLevelType w:val="hybridMultilevel"/>
    <w:lvl w:ilvl="0">
      <w:lvlJc w:val="left"/>
      <w:lvlText w:val="%1"/>
      <w:numFmt w:val="decimal"/>
      <w:start w:val="1"/>
    </w:lvl>
    <w:lvl w:ilvl="1">
      <w:lvlJc w:val="left"/>
      <w:lvlText w:val="(%2)"/>
      <w:numFmt w:val="lowerLetter"/>
      <w:start w:val="14"/>
    </w:lvl>
  </w:abstractNum>
  <w:abstractNum w:abstractNumId="38">
    <w:nsid w:val="579478FE"/>
    <w:multiLevelType w:val="hybridMultilevel"/>
    <w:lvl w:ilvl="0">
      <w:lvlJc w:val="left"/>
      <w:lvlText w:val="%1."/>
      <w:numFmt w:val="decimal"/>
      <w:start w:val="2"/>
    </w:lvl>
    <w:lvl w:ilvl="1">
      <w:lvlJc w:val="left"/>
      <w:lvlText w:val="%2"/>
      <w:numFmt w:val="lowerLetter"/>
      <w:start w:val="1"/>
    </w:lvl>
  </w:abstractNum>
  <w:abstractNum w:abstractNumId="39">
    <w:nsid w:val="749ABB43"/>
    <w:multiLevelType w:val="hybridMultilevel"/>
    <w:lvl w:ilvl="0">
      <w:lvlJc w:val="left"/>
      <w:lvlText w:val="%1."/>
      <w:numFmt w:val="decimal"/>
      <w:start w:val="4"/>
    </w:lvl>
    <w:lvl w:ilvl="1">
      <w:lvlJc w:val="left"/>
      <w:lvlText w:val="(%2)"/>
      <w:numFmt w:val="lowerLetter"/>
      <w:start w:val="1"/>
    </w:lvl>
  </w:abstractNum>
  <w:abstractNum w:abstractNumId="40">
    <w:nsid w:val="3DC240FB"/>
    <w:multiLevelType w:val="hybridMultilevel"/>
    <w:lvl w:ilvl="0">
      <w:lvlJc w:val="left"/>
      <w:lvlText w:val="%1"/>
      <w:numFmt w:val="decimal"/>
      <w:start w:val="1"/>
    </w:lvl>
    <w:lvl w:ilvl="1">
      <w:lvlJc w:val="left"/>
      <w:lvlText w:val="(%2)"/>
      <w:numFmt w:val="lowerLetter"/>
      <w:start w:val="4"/>
    </w:lvl>
  </w:abstractNum>
  <w:abstractNum w:abstractNumId="41">
    <w:nsid w:val="1BA026FA"/>
    <w:multiLevelType w:val="hybridMultilevel"/>
    <w:lvl w:ilvl="0">
      <w:lvlJc w:val="left"/>
      <w:lvlText w:val="%1."/>
      <w:numFmt w:val="decimal"/>
      <w:start w:val="6"/>
    </w:lvl>
    <w:lvl w:ilvl="1">
      <w:lvlJc w:val="left"/>
      <w:lvlText w:val="(%2)"/>
      <w:numFmt w:val="lowerLetter"/>
      <w:start w:val="1"/>
    </w:lvl>
  </w:abstractNum>
  <w:abstractNum w:abstractNumId="42">
    <w:nsid w:val="79A1DEAA"/>
    <w:multiLevelType w:val="hybridMultilevel"/>
    <w:lvl w:ilvl="0">
      <w:lvlJc w:val="left"/>
      <w:lvlText w:val="(%1)"/>
      <w:numFmt w:val="lowerLetter"/>
      <w:start w:val="6"/>
    </w:lvl>
  </w:abstractNum>
  <w:abstractNum w:abstractNumId="43">
    <w:nsid w:val="75C6C33A"/>
    <w:multiLevelType w:val="hybridMultilevel"/>
    <w:lvl w:ilvl="0">
      <w:lvlJc w:val="left"/>
      <w:lvlText w:val="%1."/>
      <w:numFmt w:val="decimal"/>
      <w:start w:val="8"/>
    </w:lvl>
    <w:lvl w:ilvl="1">
      <w:lvlJc w:val="left"/>
      <w:lvlText w:val="(%2)"/>
      <w:numFmt w:val="lowerLetter"/>
      <w:start w:val="1"/>
    </w:lvl>
  </w:abstractNum>
  <w:abstractNum w:abstractNumId="44">
    <w:nsid w:val="12E685FB"/>
    <w:multiLevelType w:val="hybridMultilevel"/>
    <w:lvl w:ilvl="0">
      <w:lvlJc w:val="left"/>
      <w:lvlText w:val="(%1)"/>
      <w:numFmt w:val="lowerLetter"/>
      <w:start w:val="5"/>
    </w:lvl>
  </w:abstractNum>
  <w:abstractNum w:abstractNumId="45">
    <w:nsid w:val="70C6A529"/>
    <w:multiLevelType w:val="hybridMultilevel"/>
    <w:lvl w:ilvl="0">
      <w:lvlJc w:val="left"/>
      <w:lvlText w:val="(%1)"/>
      <w:numFmt w:val="lowerLetter"/>
      <w:start w:val="8"/>
    </w:lvl>
  </w:abstractNum>
  <w:abstractNum w:abstractNumId="46">
    <w:nsid w:val="520EEDD1"/>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35"/>
    </w:lvl>
  </w:abstractNum>
  <w:abstractNum w:abstractNumId="47">
    <w:nsid w:val="374A3FE6"/>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4"/>
    </w:lvl>
  </w:abstractNum>
  <w:abstractNum w:abstractNumId="49">
    <w:nsid w:val="23F9C13C"/>
    <w:multiLevelType w:val="hybridMultilevel"/>
    <w:lvl w:ilvl="0">
      <w:lvlJc w:val="left"/>
      <w:lvlText w:val="%1."/>
      <w:numFmt w:val="decimal"/>
      <w:start w:val="10"/>
    </w:lvl>
    <w:lvl w:ilvl="1">
      <w:lvlJc w:val="left"/>
      <w:lvlText w:val="%2"/>
      <w:numFmt w:val="lowerLetter"/>
      <w:start w:val="1"/>
    </w:lvl>
  </w:abstractNum>
  <w:abstractNum w:abstractNumId="50">
    <w:nsid w:val="649BB77C"/>
    <w:multiLevelType w:val="hybridMultilevel"/>
    <w:lvl w:ilvl="0">
      <w:lvlJc w:val="left"/>
      <w:lvlText w:val="%1."/>
      <w:numFmt w:val="decimal"/>
      <w:start w:val="11"/>
    </w:lvl>
  </w:abstractNum>
  <w:abstractNum w:abstractNumId="51">
    <w:nsid w:val="275AC794"/>
    <w:multiLevelType w:val="hybridMultilevel"/>
    <w:lvl w:ilvl="0">
      <w:lvlJc w:val="left"/>
      <w:lvlText w:val="%1."/>
      <w:numFmt w:val="decimal"/>
      <w:start w:val="16"/>
    </w:lvl>
  </w:abstractNum>
  <w:abstractNum w:abstractNumId="52">
    <w:nsid w:val="39386575"/>
    <w:multiLevelType w:val="hybridMultilevel"/>
    <w:lvl w:ilvl="0">
      <w:lvlJc w:val="left"/>
      <w:lvlText w:val="%1"/>
      <w:numFmt w:val="decimal"/>
      <w:start w:val="1"/>
    </w:lvl>
    <w:lvl w:ilvl="1">
      <w:lvlJc w:val="left"/>
      <w:lvlText w:val="%2."/>
      <w:numFmt w:val="decimal"/>
      <w:start w:val="20"/>
    </w:lvl>
  </w:abstractNum>
  <w:abstractNum w:abstractNumId="53">
    <w:nsid w:val="1CF10FD8"/>
    <w:multiLevelType w:val="hybridMultilevel"/>
    <w:lvl w:ilvl="0">
      <w:lvlJc w:val="left"/>
      <w:lvlText w:val="%1."/>
      <w:numFmt w:val="decimal"/>
      <w:start w:val="21"/>
    </w:lvl>
    <w:lvl w:ilvl="1">
      <w:lvlJc w:val="left"/>
      <w:lvlText w:val="%2"/>
      <w:numFmt w:val="decimal"/>
      <w:start w:val="1"/>
    </w:lvl>
  </w:abstractNum>
  <w:abstractNum w:abstractNumId="54">
    <w:nsid w:val="180115BE"/>
    <w:multiLevelType w:val="hybridMultilevel"/>
    <w:lvl w:ilvl="0">
      <w:lvlJc w:val="left"/>
      <w:lvlText w:val="%1."/>
      <w:numFmt w:val="decimal"/>
      <w:start w:val="22"/>
    </w:lvl>
  </w:abstractNum>
  <w:abstractNum w:abstractNumId="55">
    <w:nsid w:val="235BA861"/>
    <w:multiLevelType w:val="hybridMultilevel"/>
    <w:lvl w:ilvl="0">
      <w:lvlJc w:val="left"/>
      <w:lvlText w:val="(%1)"/>
      <w:numFmt w:val="upperLetter"/>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2019-12-29T12:10:33Z</dcterms:created>
  <dcterms:modified xsi:type="dcterms:W3CDTF">2019-12-29T12:10:33Z</dcterms:modified>
</cp:coreProperties>
</file>