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1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w:t>
      </w:r>
    </w:p>
    <w:p>
      <w:pPr>
        <w:spacing w:after="0" w:line="23"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One)</w:t>
      </w:r>
    </w:p>
    <w:p>
      <w:pPr>
        <w:spacing w:after="0" w:line="211" w:lineRule="exact"/>
        <w:rPr>
          <w:sz w:val="24"/>
          <w:szCs w:val="24"/>
          <w:color w:val="auto"/>
        </w:rPr>
      </w:pPr>
    </w:p>
    <w:p>
      <w:pPr>
        <w:ind w:left="860" w:hanging="492"/>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2" w:lineRule="exact"/>
        <w:rPr>
          <w:rFonts w:ascii="Arial" w:cs="Arial" w:eastAsia="Arial" w:hAnsi="Arial"/>
          <w:sz w:val="17"/>
          <w:szCs w:val="17"/>
          <w:color w:val="auto"/>
        </w:rPr>
      </w:pPr>
    </w:p>
    <w:p>
      <w:pPr>
        <w:ind w:left="400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May 4, 2013</w:t>
      </w:r>
    </w:p>
    <w:p>
      <w:pPr>
        <w:spacing w:after="0" w:line="229" w:lineRule="exact"/>
        <w:rPr>
          <w:sz w:val="24"/>
          <w:szCs w:val="24"/>
          <w:color w:val="auto"/>
        </w:rPr>
      </w:pPr>
    </w:p>
    <w:p>
      <w:pPr>
        <w:ind w:left="860" w:hanging="492"/>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1-10299</w:t>
      </w:r>
    </w:p>
    <w:p>
      <w:pPr>
        <w:spacing w:after="0" w:line="2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11420"/>
          </w:cols>
          <w:pgMar w:left="240" w:top="472" w:right="239" w:bottom="1440" w:gutter="0" w:footer="0" w:header="0"/>
        </w:sectPr>
      </w:pPr>
    </w:p>
    <w:p>
      <w:pPr>
        <w:spacing w:after="0" w:line="20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72"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40" w:type="dxa"/>
            <w:vAlign w:val="bottom"/>
          </w:tcPr>
          <w:p>
            <w:pPr>
              <w:ind w:left="560"/>
              <w:spacing w:after="0"/>
              <w:rPr>
                <w:sz w:val="20"/>
                <w:szCs w:val="20"/>
                <w:color w:val="auto"/>
              </w:rPr>
            </w:pPr>
            <w:r>
              <w:rPr>
                <w:rFonts w:ascii="Arial" w:cs="Arial" w:eastAsia="Arial" w:hAnsi="Arial"/>
                <w:sz w:val="18"/>
                <w:szCs w:val="18"/>
                <w:color w:val="auto"/>
              </w:rPr>
              <w:t>Accelerated filer o</w:t>
            </w:r>
          </w:p>
        </w:tc>
        <w:tc>
          <w:tcPr>
            <w:tcW w:w="3280" w:type="dxa"/>
            <w:vAlign w:val="bottom"/>
          </w:tcPr>
          <w:p>
            <w:pPr>
              <w:ind w:left="760"/>
              <w:spacing w:after="0"/>
              <w:rPr>
                <w:sz w:val="20"/>
                <w:szCs w:val="20"/>
                <w:color w:val="auto"/>
              </w:rPr>
            </w:pPr>
            <w:r>
              <w:rPr>
                <w:rFonts w:ascii="Arial" w:cs="Arial" w:eastAsia="Arial" w:hAnsi="Arial"/>
                <w:sz w:val="18"/>
                <w:szCs w:val="18"/>
                <w:color w:val="auto"/>
              </w:rPr>
              <w:t>Non-accelerated filer o</w:t>
            </w:r>
          </w:p>
        </w:tc>
        <w:tc>
          <w:tcPr>
            <w:tcW w:w="3180" w:type="dxa"/>
            <w:vAlign w:val="bottom"/>
          </w:tcPr>
          <w:p>
            <w:pPr>
              <w:ind w:left="34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at May 31, 2013: 150,764,252</w:t>
            </w:r>
          </w:p>
        </w:tc>
        <w:tc>
          <w:tcPr>
            <w:tcW w:w="3180" w:type="dxa"/>
            <w:vAlign w:val="bottom"/>
          </w:tcPr>
          <w:p>
            <w:pPr>
              <w:spacing w:after="0"/>
              <w:rPr>
                <w:sz w:val="24"/>
                <w:szCs w:val="24"/>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80" w:type="dxa"/>
            <w:vAlign w:val="bottom"/>
          </w:tcPr>
          <w:p>
            <w:pPr>
              <w:jc w:val="center"/>
              <w:ind w:right="90"/>
              <w:spacing w:after="0"/>
              <w:rPr>
                <w:sz w:val="20"/>
                <w:szCs w:val="20"/>
                <w:color w:val="auto"/>
              </w:rPr>
            </w:pPr>
            <w:r>
              <w:rPr>
                <w:rFonts w:ascii="Arial" w:cs="Arial" w:eastAsia="Arial" w:hAnsi="Arial"/>
                <w:sz w:val="18"/>
                <w:szCs w:val="18"/>
                <w:b w:val="1"/>
                <w:bCs w:val="1"/>
                <w:color w:val="auto"/>
              </w:rPr>
              <w:t>FOOT LOCKER, INC.</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TABLE OF CONTENTS</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0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Financial Information</w:t>
            </w:r>
          </w:p>
        </w:tc>
        <w:tc>
          <w:tcPr>
            <w:tcW w:w="16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798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Condensed Consolidated Balance Sheets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Condensed Consolidated Statements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Condensed Consolidated Statements of Comprehensive Income</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Condensed Consolidated Statements of Cash Flows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2.</w:t>
            </w:r>
          </w:p>
        </w:tc>
        <w:tc>
          <w:tcPr>
            <w:tcW w:w="798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4.</w:t>
            </w: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9080" w:type="dxa"/>
            <w:vAlign w:val="bottom"/>
            <w:gridSpan w:val="2"/>
          </w:tcPr>
          <w:p>
            <w:pPr>
              <w:ind w:left="220"/>
              <w:spacing w:after="0"/>
              <w:rPr>
                <w:sz w:val="20"/>
                <w:szCs w:val="20"/>
                <w:color w:val="auto"/>
              </w:rPr>
            </w:pPr>
            <w:r>
              <w:rPr>
                <w:rFonts w:ascii="Arial" w:cs="Arial" w:eastAsia="Arial" w:hAnsi="Arial"/>
                <w:sz w:val="18"/>
                <w:szCs w:val="18"/>
                <w:color w:val="auto"/>
              </w:rPr>
              <w:t>Other Information</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1.</w:t>
            </w: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1A.</w:t>
            </w:r>
          </w:p>
        </w:tc>
        <w:tc>
          <w:tcPr>
            <w:tcW w:w="798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2.</w:t>
            </w: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6.</w:t>
            </w:r>
          </w:p>
        </w:tc>
        <w:tc>
          <w:tcPr>
            <w:tcW w:w="798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Signature</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Index of Exhibits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34"/>
        </w:trPr>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2</w:t>
            </w: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May 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April 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February 2,</w:t>
            </w:r>
          </w:p>
        </w:tc>
      </w:tr>
      <w:tr>
        <w:trPr>
          <w:trHeight w:val="234"/>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1,057</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859</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Merchandise inventories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1,146</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1,167</w:t>
            </w: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10"/>
        </w:trPr>
        <w:tc>
          <w:tcPr>
            <w:tcW w:w="68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2,251</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30"/>
        </w:trPr>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intangibles and other assets</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w:t>
            </w:r>
          </w:p>
        </w:tc>
      </w:tr>
      <w:tr>
        <w:trPr>
          <w:trHeight w:val="263"/>
        </w:trPr>
        <w:tc>
          <w:tcPr>
            <w:tcW w:w="6840" w:type="dxa"/>
            <w:vAlign w:val="bottom"/>
            <w:tcBorders>
              <w:bottom w:val="single" w:sz="8" w:color="CCFFCC"/>
            </w:tcBorders>
          </w:tcPr>
          <w:p>
            <w:pPr>
              <w:spacing w:after="0"/>
              <w:rPr>
                <w:sz w:val="22"/>
                <w:szCs w:val="22"/>
                <w:color w:val="auto"/>
              </w:rPr>
            </w:pPr>
          </w:p>
        </w:tc>
        <w:tc>
          <w:tcPr>
            <w:tcW w:w="26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FFCC"/>
            </w:tcBorders>
          </w:tcPr>
          <w:p>
            <w:pPr>
              <w:spacing w:after="0"/>
              <w:rPr>
                <w:sz w:val="22"/>
                <w:szCs w:val="22"/>
                <w:color w:val="auto"/>
              </w:rPr>
            </w:pPr>
          </w:p>
        </w:tc>
      </w:tr>
      <w:tr>
        <w:trPr>
          <w:trHeight w:val="197"/>
        </w:trPr>
        <w:tc>
          <w:tcPr>
            <w:tcW w:w="684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357</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298</w:t>
            </w: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0"/>
        </w:trPr>
        <w:tc>
          <w:tcPr>
            <w:tcW w:w="68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30"/>
        </w:trPr>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w:t>
            </w:r>
          </w:p>
        </w:tc>
      </w:tr>
      <w:tr>
        <w:trPr>
          <w:trHeight w:val="210"/>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r>
      <w:tr>
        <w:trPr>
          <w:trHeight w:val="216"/>
        </w:trPr>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and paid-in capital: 167,899,536, 165,475,168, and 166,909,151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6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1,888</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2,076</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30"/>
        </w:trPr>
        <w:tc>
          <w:tcPr>
            <w:tcW w:w="684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2"/>
              </w:rPr>
              <w:t>Less: Treasury stock at cost: 17,226,825, 13,936,123 and 16,839,222 shares, respectively</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r>
      <w:tr>
        <w:trPr>
          <w:trHeight w:val="210"/>
        </w:trPr>
        <w:tc>
          <w:tcPr>
            <w:tcW w:w="68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FFCC"/>
            </w:tcBorders>
          </w:tcPr>
          <w:p>
            <w:pPr>
              <w:spacing w:after="0"/>
              <w:rPr>
                <w:sz w:val="18"/>
                <w:szCs w:val="18"/>
                <w:color w:val="auto"/>
              </w:rPr>
            </w:pPr>
          </w:p>
        </w:tc>
      </w:tr>
      <w:tr>
        <w:trPr>
          <w:trHeight w:val="223"/>
        </w:trPr>
        <w:tc>
          <w:tcPr>
            <w:tcW w:w="684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3,238</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312" w:lineRule="auto"/>
        <w:tabs>
          <w:tab w:leader="none" w:pos="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February 2, 2013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Annual Report on Form 10-K for the year ended February 2,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FOOT LOCKER, INC.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(in millions, except per share amounts)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May 4,</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Sales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0.92</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150.4</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151.8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6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138</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128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 net of income tax</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3"/>
              </w:rPr>
              <w:t>Translation adjustment arising during the period, net of income tax benefit of $2 million and $2 million, respectively</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Available for sale securities:</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Unrealized gain</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Amortization of net actuarial gain/loss and prior service cost included in net periodic benefit costs, net of income tax</w:t>
            </w:r>
          </w:p>
        </w:tc>
        <w:tc>
          <w:tcPr>
            <w:tcW w:w="6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expense of $1 million and $1 million, respectively</w:t>
            </w: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Comprehensive income</w:t>
            </w:r>
          </w:p>
        </w:tc>
        <w:tc>
          <w:tcPr>
            <w:tcW w:w="102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9"/>
              </w:rPr>
              <w:t>119</w:t>
            </w:r>
          </w:p>
        </w:tc>
        <w:tc>
          <w:tcPr>
            <w:tcW w:w="1040" w:type="dxa"/>
            <w:vAlign w:val="bottom"/>
            <w:gridSpan w:val="2"/>
            <w:shd w:val="clear" w:color="auto" w:fill="CCFFCC"/>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6"/>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FFCC"/>
              <w:bottom w:val="single" w:sz="8" w:color="CCFFCC"/>
            </w:tcBorders>
            <w:vMerge w:val="restart"/>
          </w:tcPr>
          <w:p>
            <w:pPr>
              <w:jc w:val="center"/>
              <w:ind w:left="279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6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500" w:type="dxa"/>
            <w:vAlign w:val="bottom"/>
            <w:tcBorders>
              <w:bottom w:val="single" w:sz="8" w:color="auto"/>
            </w:tcBorders>
          </w:tcPr>
          <w:p>
            <w:pPr>
              <w:jc w:val="right"/>
              <w:ind w:right="267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FOOT LOCKER, INC.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May 4,</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Operating Activities: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Change in assets and liabilities: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Merchandise inventories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Other accruals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Lease termination gain</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Financing Activities:</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Purchase of treasury shares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period:</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February 1, 2014 and of the fiscal year ended February 2, 2013.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2, 2013, as filed with the Securities and Exchange Commission (the “SEC”) on April 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first quarter of 2013, the Company adopted Accounting Standards Update 2013-02, </w:t>
      </w:r>
      <w:r>
        <w:rPr>
          <w:rFonts w:ascii="Arial" w:cs="Arial" w:eastAsia="Arial" w:hAnsi="Arial"/>
          <w:sz w:val="18"/>
          <w:szCs w:val="18"/>
          <w:i w:val="1"/>
          <w:iCs w:val="1"/>
          <w:color w:val="auto"/>
        </w:rPr>
        <w:t>Comprehensive Income (Topic 220): Reporting of Amounts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Reclassified out of Accumulated Other Comprehensive Income </w:t>
      </w:r>
      <w:r>
        <w:rPr>
          <w:rFonts w:ascii="Arial" w:cs="Arial" w:eastAsia="Arial" w:hAnsi="Arial"/>
          <w:sz w:val="18"/>
          <w:szCs w:val="18"/>
          <w:color w:val="auto"/>
        </w:rPr>
        <w:t>(“ASU 2013-02”). ASU 2013-02 amended existing guidance by requiring additional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for the thirteen weeks ended May 4, 2013 is included in </w:t>
      </w:r>
      <w:r>
        <w:rPr>
          <w:rFonts w:ascii="Arial" w:cs="Arial" w:eastAsia="Arial" w:hAnsi="Arial"/>
          <w:sz w:val="18"/>
          <w:szCs w:val="18"/>
          <w:i w:val="1"/>
          <w:iCs w:val="1"/>
          <w:color w:val="auto"/>
        </w:rPr>
        <w:t>Note 4</w:t>
      </w:r>
      <w:r>
        <w:rPr>
          <w:rFonts w:ascii="Arial" w:cs="Arial" w:eastAsia="Arial" w:hAnsi="Arial"/>
          <w:sz w:val="18"/>
          <w:szCs w:val="18"/>
          <w:color w:val="auto"/>
        </w:rPr>
        <w:t>. The adoption of ASU 2013-02 had no effect on our results of operations or financial position.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As of May 4, 2013, the Company has two reportable segments, Athletic Stores and Direct-to-Customers. Sales and division results for the Company’s reportable segments for the thirteen weeks ended May 4, 2013 and April 28, 2012 are presented below. Division profit reflects income before income taxes, corporate expense, net interest expense, and net non-operating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260" w:type="dxa"/>
            <w:vAlign w:val="bottom"/>
            <w:gridSpan w:val="3"/>
          </w:tcPr>
          <w:p>
            <w:pPr>
              <w:ind w:left="2080"/>
              <w:spacing w:after="0"/>
              <w:rPr>
                <w:sz w:val="20"/>
                <w:szCs w:val="20"/>
                <w:color w:val="auto"/>
              </w:rPr>
            </w:pPr>
            <w:r>
              <w:rPr>
                <w:rFonts w:ascii="Arial" w:cs="Arial" w:eastAsia="Arial" w:hAnsi="Arial"/>
                <w:sz w:val="18"/>
                <w:szCs w:val="18"/>
                <w:b w:val="1"/>
                <w:bCs w:val="1"/>
                <w:color w:val="auto"/>
              </w:rPr>
              <w:t>Sales</w:t>
            </w:r>
          </w:p>
        </w:tc>
        <w:tc>
          <w:tcPr>
            <w:tcW w:w="2600" w:type="dxa"/>
            <w:vAlign w:val="bottom"/>
            <w:gridSpan w:val="5"/>
            <w:vMerge w:val="restart"/>
          </w:tcPr>
          <w:p>
            <w:pPr>
              <w:ind w:left="28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May 4,</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490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4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1,471</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Direct-to-Customers</w:t>
            </w: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sales</w:t>
            </w:r>
          </w:p>
        </w:tc>
        <w:tc>
          <w:tcPr>
            <w:tcW w:w="49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900" w:type="dxa"/>
            <w:vAlign w:val="bottom"/>
            <w:vMerge w:val="restart"/>
          </w:tcPr>
          <w:p>
            <w:pPr>
              <w:ind w:left="2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5980" w:type="dxa"/>
            <w:vAlign w:val="bottom"/>
            <w:gridSpan w:val="3"/>
          </w:tcPr>
          <w:p>
            <w:pPr>
              <w:jc w:val="right"/>
              <w:ind w:right="3030"/>
              <w:spacing w:after="0"/>
              <w:rPr>
                <w:sz w:val="20"/>
                <w:szCs w:val="20"/>
                <w:color w:val="auto"/>
              </w:rPr>
            </w:pPr>
            <w:r>
              <w:rPr>
                <w:rFonts w:ascii="Arial" w:cs="Arial" w:eastAsia="Arial" w:hAnsi="Arial"/>
                <w:sz w:val="18"/>
                <w:szCs w:val="18"/>
                <w:b w:val="1"/>
                <w:bCs w:val="1"/>
                <w:color w:val="auto"/>
              </w:rPr>
              <w:t>Operating Results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35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5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49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211</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207</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Direct-to-Customers</w:t>
            </w: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10"/>
        </w:trPr>
        <w:tc>
          <w:tcPr>
            <w:tcW w:w="3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49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234</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225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0"/>
        </w:trPr>
        <w:tc>
          <w:tcPr>
            <w:tcW w:w="3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49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215</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202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 expense, net</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70"/>
        </w:trPr>
        <w:tc>
          <w:tcPr>
            <w:tcW w:w="3560" w:type="dxa"/>
            <w:vAlign w:val="bottom"/>
            <w:shd w:val="clear" w:color="auto" w:fill="CCFFCC"/>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(1)</w:t>
            </w:r>
          </w:p>
        </w:tc>
        <w:tc>
          <w:tcPr>
            <w:tcW w:w="4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3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194" w:lineRule="auto"/>
        <w:tabs>
          <w:tab w:leader="none" w:pos="58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19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assets with indefinite lives performed during the first quarters of 2013 and 2012 did not result in impairment charges. The fair value of each of the reporting units substantially exceeds its carrying value for both periods. The following table provides a summary of goodwill by reportable segment. The change represents foreign exchange fluctuations.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Goodwill (in millions)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69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23"/>
        </w:trPr>
        <w:tc>
          <w:tcPr>
            <w:tcW w:w="69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940" w:type="dxa"/>
            <w:vAlign w:val="bottom"/>
            <w:tcBorders>
              <w:top w:val="single" w:sz="8" w:color="auto"/>
              <w:bottom w:val="single" w:sz="8" w:color="auto"/>
            </w:tcBorders>
            <w:shd w:val="clear" w:color="auto" w:fill="CCFFCC"/>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144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144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7"/>
              </w:rPr>
              <w:t>May 4, 2013</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April 28, 2012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February 2, 2013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8"/>
              <w:spacing w:after="0" w:line="133" w:lineRule="exact"/>
              <w:rPr>
                <w:sz w:val="20"/>
                <w:szCs w:val="20"/>
                <w:color w:val="auto"/>
              </w:rPr>
            </w:pPr>
            <w:r>
              <w:rPr>
                <w:rFonts w:ascii="Arial" w:cs="Arial" w:eastAsia="Arial" w:hAnsi="Arial"/>
                <w:sz w:val="14"/>
                <w:szCs w:val="14"/>
                <w:b w:val="1"/>
                <w:bCs w:val="1"/>
                <w:color w:val="auto"/>
                <w:w w:val="94"/>
              </w:rPr>
              <w:t>Accum.</w:t>
            </w:r>
          </w:p>
        </w:tc>
        <w:tc>
          <w:tcPr>
            <w:tcW w:w="140" w:type="dxa"/>
            <w:vAlign w:val="bottom"/>
          </w:tcPr>
          <w:p>
            <w:pPr>
              <w:spacing w:after="0"/>
              <w:rPr>
                <w:sz w:val="11"/>
                <w:szCs w:val="11"/>
                <w:color w:val="auto"/>
              </w:rPr>
            </w:pPr>
          </w:p>
        </w:tc>
        <w:tc>
          <w:tcPr>
            <w:tcW w:w="66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59"/>
              <w:spacing w:after="0" w:line="133" w:lineRule="exact"/>
              <w:rPr>
                <w:sz w:val="20"/>
                <w:szCs w:val="20"/>
                <w:color w:val="auto"/>
              </w:rPr>
            </w:pPr>
            <w:r>
              <w:rPr>
                <w:rFonts w:ascii="Arial" w:cs="Arial" w:eastAsia="Arial" w:hAnsi="Arial"/>
                <w:sz w:val="14"/>
                <w:szCs w:val="14"/>
                <w:b w:val="1"/>
                <w:bCs w:val="1"/>
                <w:color w:val="auto"/>
                <w:w w:val="94"/>
              </w:rPr>
              <w:t>Accum.</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79"/>
              <w:spacing w:after="0" w:line="133" w:lineRule="exact"/>
              <w:rPr>
                <w:sz w:val="20"/>
                <w:szCs w:val="20"/>
                <w:color w:val="auto"/>
              </w:rPr>
            </w:pPr>
            <w:r>
              <w:rPr>
                <w:rFonts w:ascii="Arial" w:cs="Arial" w:eastAsia="Arial" w:hAnsi="Arial"/>
                <w:sz w:val="14"/>
                <w:szCs w:val="14"/>
                <w:b w:val="1"/>
                <w:bCs w:val="1"/>
                <w:color w:val="auto"/>
                <w:w w:val="94"/>
              </w:rPr>
              <w:t>Accum.</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3"/>
              </w:rPr>
              <w:t>amort.</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amort.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amort.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Amortized intangible assets:</w:t>
            </w:r>
          </w:p>
        </w:tc>
        <w:tc>
          <w:tcPr>
            <w:tcW w:w="1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Lease acquisition costs</w:t>
            </w:r>
          </w:p>
        </w:tc>
        <w:tc>
          <w:tcPr>
            <w:tcW w:w="600" w:type="dxa"/>
            <w:vAlign w:val="bottom"/>
          </w:tcPr>
          <w:p>
            <w:pPr>
              <w:jc w:val="right"/>
              <w:ind w:right="44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152</w:t>
            </w:r>
          </w:p>
        </w:tc>
        <w:tc>
          <w:tcPr>
            <w:tcW w:w="24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(139)</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(137)</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Trademarks</w:t>
            </w: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19"/>
              <w:spacing w:after="0" w:line="149" w:lineRule="exact"/>
              <w:rPr>
                <w:sz w:val="20"/>
                <w:szCs w:val="20"/>
                <w:color w:val="auto"/>
              </w:rPr>
            </w:pPr>
            <w:r>
              <w:rPr>
                <w:rFonts w:ascii="Arial" w:cs="Arial" w:eastAsia="Arial" w:hAnsi="Arial"/>
                <w:sz w:val="14"/>
                <w:szCs w:val="14"/>
                <w:color w:val="auto"/>
              </w:rPr>
              <w:t>(9)</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Favorable leases</w:t>
            </w:r>
          </w:p>
        </w:tc>
        <w:tc>
          <w:tcPr>
            <w:tcW w:w="6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CCS customer relationships</w:t>
            </w:r>
          </w:p>
        </w:tc>
        <w:tc>
          <w:tcPr>
            <w:tcW w:w="600" w:type="dxa"/>
            <w:vAlign w:val="bottom"/>
            <w:shd w:val="clear" w:color="auto" w:fill="CCFFCC"/>
          </w:tcPr>
          <w:p>
            <w:pPr>
              <w:spacing w:after="0"/>
              <w:rPr>
                <w:sz w:val="14"/>
                <w:szCs w:val="14"/>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2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3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19"/>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198</w:t>
            </w:r>
          </w:p>
        </w:tc>
        <w:tc>
          <w:tcPr>
            <w:tcW w:w="24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w:t>
            </w:r>
          </w:p>
        </w:tc>
        <w:tc>
          <w:tcPr>
            <w:tcW w:w="260" w:type="dxa"/>
            <w:vAlign w:val="bottom"/>
            <w:tcBorders>
              <w:bottom w:val="single" w:sz="8" w:color="CCFFCC"/>
            </w:tcBorders>
          </w:tcPr>
          <w:p>
            <w:pPr>
              <w:jc w:val="right"/>
              <w:ind w:right="128"/>
              <w:spacing w:after="0" w:line="142"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4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24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w:t>
            </w:r>
          </w:p>
        </w:tc>
        <w:tc>
          <w:tcPr>
            <w:tcW w:w="120" w:type="dxa"/>
            <w:vAlign w:val="bottom"/>
            <w:tcBorders>
              <w:bottom w:val="single" w:sz="8" w:color="CCFFCC"/>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1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w:t>
            </w:r>
          </w:p>
        </w:tc>
        <w:tc>
          <w:tcPr>
            <w:tcW w:w="4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w:t>
            </w:r>
          </w:p>
        </w:tc>
        <w:tc>
          <w:tcPr>
            <w:tcW w:w="200" w:type="dxa"/>
            <w:vAlign w:val="bottom"/>
            <w:tcBorders>
              <w:bottom w:val="single" w:sz="8" w:color="CCFFCC"/>
            </w:tcBorders>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2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Indefinite life intangible assets: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Republic of Ireland trademark</w:t>
            </w: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CCS tradename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6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w:t>
            </w: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Other intangible assets, net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thirteen-week period ended May 4, 2013, activity included amortization of $3 million, partially offset by lease acquisition additions of $1 million. The lease acquisition additions recorded during the period are being amortized over a weighted-average of 10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4"/>
              </w:rPr>
              <w:t>May 4,</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5"/>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w w:val="95"/>
              </w:rPr>
              <w:t>Future expected amortization expense for finite life intangible assets is estimated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Remainder of 2013</w:t>
            </w:r>
          </w:p>
        </w:tc>
        <w:tc>
          <w:tcPr>
            <w:tcW w:w="1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2014</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2015</w:t>
            </w:r>
          </w:p>
        </w:tc>
        <w:tc>
          <w:tcPr>
            <w:tcW w:w="3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2016</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2017</w:t>
            </w:r>
          </w:p>
        </w:tc>
        <w:tc>
          <w:tcPr>
            <w:tcW w:w="3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2018</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77"/>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4. Accumulated Other Comprehensive Loss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3"/>
          </w:tcPr>
          <w:p>
            <w:pPr>
              <w:spacing w:after="0"/>
              <w:rPr>
                <w:sz w:val="20"/>
                <w:szCs w:val="20"/>
                <w:color w:val="auto"/>
              </w:rPr>
            </w:pPr>
            <w:r>
              <w:rPr>
                <w:rFonts w:ascii="Arial" w:cs="Arial" w:eastAsia="Arial" w:hAnsi="Arial"/>
                <w:sz w:val="18"/>
                <w:szCs w:val="18"/>
                <w:color w:val="auto"/>
              </w:rPr>
              <w:t>Accumulated other comprehensive loss comprised the following:</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May 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April 28,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2"/>
              </w:rPr>
              <w:t>February 2,</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ind w:right="76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gridSpan w:val="2"/>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0"/>
              </w:rPr>
              <w:t>(252)</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Unrealized loss on available-for-sale security</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3160" w:type="dxa"/>
            <w:vAlign w:val="bottom"/>
            <w:tcBorders>
              <w:top w:val="single" w:sz="8" w:color="CCFFCC"/>
              <w:bottom w:val="single" w:sz="8" w:color="CCFFCC"/>
            </w:tcBorders>
            <w:shd w:val="clear" w:color="auto" w:fill="CCFFCC"/>
          </w:tcPr>
          <w:p>
            <w:pPr>
              <w:spacing w:after="0"/>
              <w:rPr>
                <w:sz w:val="19"/>
                <w:szCs w:val="19"/>
                <w:color w:val="auto"/>
              </w:rPr>
            </w:pPr>
          </w:p>
        </w:tc>
        <w:tc>
          <w:tcPr>
            <w:tcW w:w="36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ind w:right="76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(189</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FFCC"/>
              <w:bottom w:val="single" w:sz="8" w:color="CCFFCC"/>
            </w:tcBorders>
            <w:gridSpan w:val="2"/>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thirteen weeks ended May 4,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Foreign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Items related to</w:t>
            </w: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currency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pension and</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loss 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translation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Cash flow</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postretirement</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available-for-</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adjustments</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hedges</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benefits</w:t>
            </w: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sale security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February 2, 2013</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reclassification</w:t>
            </w:r>
          </w:p>
        </w:tc>
        <w:tc>
          <w:tcPr>
            <w:tcW w:w="14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Balance as of May 4, 2013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(252)</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9</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660" w:type="dxa"/>
            <w:vAlign w:val="bottom"/>
          </w:tcPr>
          <w:p>
            <w:pPr>
              <w:ind w:left="580"/>
              <w:spacing w:after="0"/>
              <w:rPr>
                <w:sz w:val="20"/>
                <w:szCs w:val="20"/>
                <w:color w:val="auto"/>
              </w:rPr>
            </w:pPr>
            <w:r>
              <w:rPr>
                <w:rFonts w:ascii="Arial" w:cs="Arial" w:eastAsia="Arial" w:hAnsi="Arial"/>
                <w:sz w:val="18"/>
                <w:szCs w:val="18"/>
                <w:b w:val="1"/>
                <w:bCs w:val="1"/>
                <w:color w:val="auto"/>
              </w:rPr>
              <w:t>FOOT LOCKER, INC.</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9880" w:type="dxa"/>
            <w:vAlign w:val="bottom"/>
            <w:gridSpan w:val="2"/>
          </w:tcPr>
          <w:p>
            <w:pPr>
              <w:ind w:left="2920"/>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4. Accumulated Other Comprehensive Loss – (continued)</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0060" w:type="dxa"/>
            <w:vAlign w:val="bottom"/>
            <w:gridSpan w:val="3"/>
          </w:tcPr>
          <w:p>
            <w:pPr>
              <w:spacing w:after="0"/>
              <w:rPr>
                <w:sz w:val="20"/>
                <w:szCs w:val="20"/>
                <w:color w:val="auto"/>
              </w:rPr>
            </w:pPr>
            <w:r>
              <w:rPr>
                <w:rFonts w:ascii="Arial" w:cs="Arial" w:eastAsia="Arial" w:hAnsi="Arial"/>
                <w:sz w:val="18"/>
                <w:szCs w:val="18"/>
                <w:color w:val="auto"/>
              </w:rPr>
              <w:t>Reclassifications from accumulated other comprehensive loss for the thirteen weeks ended May 4, 2013 were as follows: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Amortization of actuarial (gain) loss:</w:t>
            </w:r>
          </w:p>
        </w:tc>
        <w:tc>
          <w:tcPr>
            <w:tcW w:w="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10060" w:type="dxa"/>
            <w:vAlign w:val="bottom"/>
            <w:gridSpan w:val="3"/>
          </w:tcPr>
          <w:p>
            <w:pPr>
              <w:spacing w:after="0"/>
              <w:rPr>
                <w:sz w:val="20"/>
                <w:szCs w:val="20"/>
                <w:color w:val="auto"/>
              </w:rPr>
            </w:pPr>
            <w:r>
              <w:rPr>
                <w:rFonts w:ascii="Arial" w:cs="Arial" w:eastAsia="Arial" w:hAnsi="Arial"/>
                <w:sz w:val="18"/>
                <w:szCs w:val="18"/>
                <w:color w:val="auto"/>
              </w:rPr>
              <w:t>Pension amortization of actuarial loss</w:t>
            </w:r>
          </w:p>
        </w:tc>
        <w:tc>
          <w:tcPr>
            <w:tcW w:w="600" w:type="dxa"/>
            <w:vAlign w:val="bottom"/>
            <w:gridSpan w:val="2"/>
          </w:tcPr>
          <w:p>
            <w:pPr>
              <w:jc w:val="right"/>
              <w:ind w:right="42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30"/>
        </w:trPr>
        <w:tc>
          <w:tcPr>
            <w:tcW w:w="100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Postretirement amortization of actuarial gain</w:t>
            </w:r>
          </w:p>
        </w:tc>
        <w:tc>
          <w:tcPr>
            <w:tcW w:w="2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7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10060" w:type="dxa"/>
            <w:vAlign w:val="bottom"/>
            <w:gridSpan w:val="3"/>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8</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00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7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1006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Financial Instruments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policy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6, </w:t>
      </w:r>
      <w:r>
        <w:rPr>
          <w:rFonts w:ascii="Arial" w:cs="Arial" w:eastAsia="Arial" w:hAnsi="Arial"/>
          <w:sz w:val="17"/>
          <w:szCs w:val="17"/>
          <w:i w:val="1"/>
          <w:iCs w:val="1"/>
          <w:color w:val="auto"/>
        </w:rPr>
        <w:t>Fair Value Measurements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hedge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option and forward foreign exchange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the Company had not hedged forecasted transactions for more than the next twelve months, and the Company expects all derivative-related amounts reported in AOCL to be reclassified to earnings within twelve months. The net change in the fair value of foreign exchange derivative financial instruments designated as cash flow hedges of the purchase of inventory was $1 million for the thirteen weeks ended May 4, 2013 and was not significant for the thirteen weeks ended April 28, 2012. The notional value of the contracts outstanding at May 4, 2013 was $59 million and these contracts extend through January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were not significant for any of the periods presented. The notional value of the contract outstanding at May 4, 2013 was $10 million and this contract extends through July 2013.</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enters into foreign exchange forward contracts to hedge foreign-currency denominated merchandise purchases and intercompany transactions that are not designated as hedges. The net change in fair value was not significant for any of the periods presented. The notional value of the contracts outstanding at May 4, 2013 was $29 million and these contracts extend through June 2013.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contracts outstanding at May 4, 2013 was $3 million and these contracts extend through November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Caption</w:t>
            </w:r>
          </w:p>
        </w:tc>
        <w:tc>
          <w:tcPr>
            <w:tcW w:w="980" w:type="dxa"/>
            <w:vAlign w:val="bottom"/>
          </w:tcPr>
          <w:p>
            <w:pPr>
              <w:jc w:val="right"/>
              <w:ind w:right="99"/>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FFCC"/>
            </w:tcBorders>
            <w:shd w:val="clear" w:color="auto" w:fill="CCFFCC"/>
          </w:tcPr>
          <w:p>
            <w:pPr>
              <w:spacing w:after="0"/>
              <w:rPr>
                <w:sz w:val="18"/>
                <w:szCs w:val="18"/>
                <w:color w:val="auto"/>
              </w:rPr>
            </w:pPr>
          </w:p>
        </w:tc>
        <w:tc>
          <w:tcPr>
            <w:tcW w:w="20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Current assets</w:t>
            </w:r>
          </w:p>
        </w:tc>
        <w:tc>
          <w:tcPr>
            <w:tcW w:w="980" w:type="dxa"/>
            <w:vAlign w:val="bottom"/>
          </w:tcPr>
          <w:p>
            <w:pPr>
              <w:jc w:val="right"/>
              <w:ind w:right="819"/>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4"/>
              </w:rPr>
              <w:t>Current liabilities</w:t>
            </w:r>
          </w:p>
        </w:tc>
        <w:tc>
          <w:tcPr>
            <w:tcW w:w="980" w:type="dxa"/>
            <w:vAlign w:val="bottom"/>
            <w:shd w:val="clear" w:color="auto" w:fill="CCFFCC"/>
          </w:tcPr>
          <w:p>
            <w:pPr>
              <w:jc w:val="right"/>
              <w:ind w:right="819"/>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Current assets</w:t>
            </w:r>
          </w:p>
        </w:tc>
        <w:tc>
          <w:tcPr>
            <w:tcW w:w="980" w:type="dxa"/>
            <w:vAlign w:val="bottom"/>
          </w:tcPr>
          <w:p>
            <w:pPr>
              <w:jc w:val="right"/>
              <w:ind w:right="819"/>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620" w:hanging="917"/>
        <w:spacing w:after="0" w:line="308" w:lineRule="auto"/>
        <w:tabs>
          <w:tab w:leader="none" w:pos="16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jc w:val="center"/>
        <w:ind w:right="1060"/>
        <w:spacing w:after="0"/>
        <w:tabs>
          <w:tab w:leader="none" w:pos="2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At May 4, 2013</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7"/>
              </w:rPr>
              <w:t>At April 28, 2012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left="468"/>
              <w:spacing w:after="0"/>
              <w:rPr>
                <w:sz w:val="20"/>
                <w:szCs w:val="20"/>
                <w:color w:val="auto"/>
              </w:rPr>
            </w:pPr>
            <w:r>
              <w:rPr>
                <w:rFonts w:ascii="Arial" w:cs="Arial" w:eastAsia="Arial" w:hAnsi="Arial"/>
                <w:sz w:val="14"/>
                <w:szCs w:val="14"/>
                <w:b w:val="1"/>
                <w:bCs w:val="1"/>
                <w:color w:val="auto"/>
                <w:w w:val="95"/>
              </w:rPr>
              <w:t>At February 2, 2013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Auction rate security</w:t>
            </w: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20" w:type="dxa"/>
            <w:vAlign w:val="bottom"/>
            <w:gridSpan w:val="2"/>
            <w:shd w:val="clear" w:color="auto" w:fill="CCFFCC"/>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FFCC"/>
              <w:bottom w:val="single" w:sz="8" w:color="CCFFCC"/>
            </w:tcBorders>
            <w:gridSpan w:val="2"/>
            <w:shd w:val="clear" w:color="auto" w:fill="CCFFCC"/>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57</w:t>
            </w:r>
          </w:p>
        </w:tc>
        <w:tc>
          <w:tcPr>
            <w:tcW w:w="2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FFCC"/>
              <w:bottom w:val="single" w:sz="8" w:color="CCFFCC"/>
            </w:tcBorders>
            <w:shd w:val="clear" w:color="auto" w:fill="CCFFCC"/>
          </w:tcPr>
          <w:p>
            <w:pPr>
              <w:spacing w:after="0"/>
              <w:rPr>
                <w:sz w:val="13"/>
                <w:szCs w:val="13"/>
                <w:color w:val="auto"/>
              </w:rPr>
            </w:pPr>
          </w:p>
        </w:tc>
        <w:tc>
          <w:tcPr>
            <w:tcW w:w="2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55</w:t>
            </w:r>
          </w:p>
        </w:tc>
        <w:tc>
          <w:tcPr>
            <w:tcW w:w="160" w:type="dxa"/>
            <w:vAlign w:val="bottom"/>
            <w:tcBorders>
              <w:top w:val="single" w:sz="8" w:color="CCFFCC"/>
              <w:bottom w:val="single" w:sz="8" w:color="CCFFCC"/>
            </w:tcBorders>
            <w:shd w:val="clear" w:color="auto" w:fill="CCFFCC"/>
          </w:tcPr>
          <w:p>
            <w:pPr>
              <w:spacing w:after="0"/>
              <w:rPr>
                <w:sz w:val="13"/>
                <w:szCs w:val="13"/>
                <w:color w:val="auto"/>
              </w:rPr>
            </w:pPr>
          </w:p>
        </w:tc>
        <w:tc>
          <w:tcPr>
            <w:tcW w:w="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60</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FFCC"/>
              <w:bottom w:val="single" w:sz="8" w:color="CCFFCC"/>
            </w:tcBorders>
            <w:gridSpan w:val="2"/>
            <w:shd w:val="clear" w:color="auto" w:fill="CCFFCC"/>
          </w:tcPr>
          <w:p>
            <w:pPr>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FFCC"/>
              <w:bottom w:val="single" w:sz="8" w:color="CCFFCC"/>
            </w:tcBorders>
            <w:shd w:val="clear" w:color="auto" w:fill="CCFFCC"/>
          </w:tcPr>
          <w:p>
            <w:pPr>
              <w:spacing w:after="0"/>
              <w:rPr>
                <w:sz w:val="13"/>
                <w:szCs w:val="13"/>
                <w:color w:val="auto"/>
              </w:rPr>
            </w:pPr>
          </w:p>
        </w:tc>
        <w:tc>
          <w:tcPr>
            <w:tcW w:w="2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w:t>
            </w:r>
          </w:p>
        </w:tc>
        <w:tc>
          <w:tcPr>
            <w:tcW w:w="160" w:type="dxa"/>
            <w:vAlign w:val="bottom"/>
            <w:tcBorders>
              <w:top w:val="single" w:sz="8" w:color="CCFFCC"/>
              <w:bottom w:val="single" w:sz="8" w:color="CCFFCC"/>
            </w:tcBorders>
            <w:shd w:val="clear" w:color="auto" w:fill="CCFFCC"/>
          </w:tcPr>
          <w:p>
            <w:pPr>
              <w:spacing w:after="0"/>
              <w:rPr>
                <w:sz w:val="13"/>
                <w:szCs w:val="13"/>
                <w:color w:val="auto"/>
              </w:rPr>
            </w:pPr>
          </w:p>
        </w:tc>
        <w:tc>
          <w:tcPr>
            <w:tcW w:w="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Available-for-sale securities are recorded at fair value with unrealized gains and losses reported, net of tax, in other comprehensive income, unless unrealized losses are determined to be other than temporary. As of May 4, 2013, the Company held $54 million of available-for-sale securities, which was comprised of $48 million of short-term investments and a $6 million auction rate security, which is included in other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represent corporate bonds with maturity dates within one year from the purchase date. These securities are valued using model-derived valuations in which all significant inputs or significant value-drivers are observable in active markets and therefore are classified as Level 2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6. Fair Value Measurements – (continued)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3"/>
          </w:tcPr>
          <w:p>
            <w:pPr>
              <w:spacing w:after="0"/>
              <w:rPr>
                <w:sz w:val="20"/>
                <w:szCs w:val="20"/>
                <w:color w:val="auto"/>
              </w:rPr>
            </w:pPr>
            <w:r>
              <w:rPr>
                <w:rFonts w:ascii="Arial" w:cs="Arial" w:eastAsia="Arial" w:hAnsi="Arial"/>
                <w:sz w:val="18"/>
                <w:szCs w:val="18"/>
                <w:i w:val="1"/>
                <w:iCs w:val="1"/>
                <w:color w:val="auto"/>
              </w:rPr>
              <w:t>Fair Value of Financial Instruments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The carrying value and estimated fair value of long-term debt were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8"/>
              </w:rPr>
              <w:t>May 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Carrying value</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780"/>
              <w:spacing w:after="0"/>
              <w:rPr>
                <w:sz w:val="20"/>
                <w:szCs w:val="20"/>
                <w:color w:val="auto"/>
              </w:rPr>
            </w:pPr>
            <w:r>
              <w:rPr>
                <w:rFonts w:ascii="Arial" w:cs="Arial" w:eastAsia="Arial" w:hAnsi="Arial"/>
                <w:sz w:val="18"/>
                <w:szCs w:val="18"/>
                <w:color w:val="auto"/>
                <w:w w:val="79"/>
              </w:rPr>
              <w:t>132</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151</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long-term debt is determined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2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and discloses net earnings per share using the treasury stock method. The Company’s basic earnings per share is computed by dividing the Company’s reported net income for the period by the weighted-average number of common shares outstanding at the end of the period. The Company’s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 The Company’s basic and diluted weighted-average number of common shares outstanding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gridSpan w:val="2"/>
          </w:tcPr>
          <w:p>
            <w:pPr>
              <w:ind w:left="380"/>
              <w:spacing w:after="0" w:line="205" w:lineRule="exact"/>
              <w:rPr>
                <w:sz w:val="20"/>
                <w:szCs w:val="20"/>
                <w:color w:val="auto"/>
              </w:rPr>
            </w:pPr>
            <w:r>
              <w:rPr>
                <w:rFonts w:ascii="Arial" w:cs="Arial" w:eastAsia="Arial" w:hAnsi="Arial"/>
                <w:sz w:val="18"/>
                <w:szCs w:val="18"/>
                <w:b w:val="1"/>
                <w:bCs w:val="1"/>
                <w:color w:val="auto"/>
              </w:rPr>
              <w:t>May 4,</w:t>
            </w:r>
          </w:p>
        </w:tc>
        <w:tc>
          <w:tcPr>
            <w:tcW w:w="12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100" w:type="dxa"/>
            <w:vAlign w:val="bottom"/>
            <w:gridSpan w:val="2"/>
          </w:tcPr>
          <w:p>
            <w:pPr>
              <w:spacing w:after="0"/>
              <w:rPr>
                <w:sz w:val="17"/>
                <w:szCs w:val="17"/>
                <w:color w:val="auto"/>
              </w:rPr>
            </w:pPr>
          </w:p>
        </w:tc>
      </w:tr>
      <w:tr>
        <w:trPr>
          <w:trHeight w:val="23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i w:val="1"/>
                <w:iCs w:val="1"/>
                <w:color w:val="auto"/>
              </w:rPr>
              <w:t>Effect of Dilution: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 options and awards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FFCC"/>
          </w:tcPr>
          <w:p>
            <w:pPr>
              <w:spacing w:after="0"/>
              <w:rPr>
                <w:sz w:val="19"/>
                <w:szCs w:val="19"/>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Weighted-average common shares assuming dilution</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to purchase 0.5 million shares of common stock were not included in the computation for the thirteen weeks ended May 4, 2013. These options were not included primarily because the exercise prices of the options were greater than the average market price of the common shares and, therefore, the effect would have been antidilutive. Substantially all options to purchase common stock outstanding as of April 28, 2012 were included in the computation of diluted earnings per share. As of May 4, 2013, contingently issuable shares of 0.5 million have not been included as the vesting conditions have not been satisfied.</w:t>
      </w:r>
    </w:p>
    <w:p>
      <w:pPr>
        <w:spacing w:after="0" w:line="18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Pension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May 4,</w:t>
            </w:r>
          </w:p>
        </w:tc>
        <w:tc>
          <w:tcPr>
            <w:tcW w:w="240" w:type="dxa"/>
            <w:vAlign w:val="bottom"/>
          </w:tcPr>
          <w:p>
            <w:pPr>
              <w:spacing w:after="0"/>
              <w:rPr>
                <w:sz w:val="17"/>
                <w:szCs w:val="17"/>
                <w:color w:val="auto"/>
              </w:rPr>
            </w:pPr>
          </w:p>
        </w:tc>
        <w:tc>
          <w:tcPr>
            <w:tcW w:w="1040" w:type="dxa"/>
            <w:vAlign w:val="bottom"/>
          </w:tcPr>
          <w:p>
            <w:pPr>
              <w:jc w:val="right"/>
              <w:ind w:right="210"/>
              <w:spacing w:after="0" w:line="205" w:lineRule="exact"/>
              <w:rPr>
                <w:sz w:val="20"/>
                <w:szCs w:val="20"/>
                <w:color w:val="auto"/>
              </w:rPr>
            </w:pPr>
            <w:r>
              <w:rPr>
                <w:rFonts w:ascii="Arial" w:cs="Arial" w:eastAsia="Arial" w:hAnsi="Arial"/>
                <w:sz w:val="18"/>
                <w:szCs w:val="18"/>
                <w:b w:val="1"/>
                <w:bCs w:val="1"/>
                <w:color w:val="auto"/>
              </w:rPr>
              <w:t>April 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rPr>
              <w:t>May 4,</w:t>
            </w:r>
          </w:p>
        </w:tc>
        <w:tc>
          <w:tcPr>
            <w:tcW w:w="260" w:type="dxa"/>
            <w:vAlign w:val="bottom"/>
          </w:tcPr>
          <w:p>
            <w:pPr>
              <w:spacing w:after="0"/>
              <w:rPr>
                <w:sz w:val="17"/>
                <w:szCs w:val="17"/>
                <w:color w:val="auto"/>
              </w:rPr>
            </w:pPr>
          </w:p>
        </w:tc>
        <w:tc>
          <w:tcPr>
            <w:tcW w:w="100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w w:val="98"/>
              </w:rPr>
              <w:t>April 28,</w:t>
            </w:r>
          </w:p>
        </w:tc>
        <w:tc>
          <w:tcPr>
            <w:tcW w:w="100" w:type="dxa"/>
            <w:vAlign w:val="bottom"/>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Amortization of net loss (gain)</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benefit expense (income)</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pension contributions to the U.S. or Canadian qualified plans were made during the thirteen weeks ended May 4, 2013 and April 28, 2012. The Company continually evaluates the amount and timing of any future contributions. The Company expects to contribute $2 million in 2013 to the Canadian qualified plan. Additional contributions will depend on the plan asset performance and other factors.</w:t>
      </w:r>
    </w:p>
    <w:p>
      <w:pPr>
        <w:spacing w:after="0" w:line="17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compensation expense related to the Company’s share-based compensation plans was $8 million and $6 million for the thirteen weeks ended May 4, 2013 and April 28, 2012, respectively. The associated tax benefits recognized for the thirteen weeks ended May 4, 2013 and April 28, 2012 were $1 million and $2 million, respectively. Tax deductions in excess of the cumulative compensation cost recognized for share-based compensation arrangements were $4 million and $5 million for the thirteen weeks ended May 4, 2013 and April 28, 2012, respectively, and are classified as a financing activity within the Condensed Consolidated Statements of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Stock Purchase Plan</w:t>
            </w:r>
          </w:p>
        </w:tc>
      </w:tr>
      <w:tr>
        <w:trPr>
          <w:trHeight w:val="205"/>
        </w:trPr>
        <w:tc>
          <w:tcPr>
            <w:tcW w:w="4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4"/>
              </w:rPr>
              <w:t>May 4,</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4"/>
              </w:rPr>
              <w:t>May 4,</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April 28,</w:t>
            </w:r>
          </w:p>
        </w:tc>
        <w:tc>
          <w:tcPr>
            <w:tcW w:w="160" w:type="dxa"/>
            <w:vAlign w:val="bottom"/>
          </w:tcPr>
          <w:p>
            <w:pPr>
              <w:spacing w:after="0"/>
              <w:rPr>
                <w:sz w:val="17"/>
                <w:szCs w:val="17"/>
                <w:color w:val="auto"/>
              </w:rPr>
            </w:pPr>
          </w:p>
        </w:tc>
      </w:tr>
      <w:tr>
        <w:trPr>
          <w:trHeight w:val="234"/>
        </w:trPr>
        <w:tc>
          <w:tcPr>
            <w:tcW w:w="4260" w:type="dxa"/>
            <w:vAlign w:val="bottom"/>
            <w:tcBorders>
              <w:bottom w:val="single" w:sz="8" w:color="CCFFCC"/>
            </w:tcBorders>
          </w:tcPr>
          <w:p>
            <w:pPr>
              <w:spacing w:after="0"/>
              <w:rPr>
                <w:sz w:val="20"/>
                <w:szCs w:val="20"/>
                <w:color w:val="auto"/>
              </w:rPr>
            </w:pPr>
          </w:p>
        </w:tc>
        <w:tc>
          <w:tcPr>
            <w:tcW w:w="12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20"/>
                <w:szCs w:val="20"/>
                <w:color w:val="auto"/>
              </w:rPr>
            </w:pPr>
          </w:p>
        </w:tc>
      </w:tr>
      <w:tr>
        <w:trPr>
          <w:trHeight w:val="210"/>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risk free rate of interest</w:t>
            </w: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0.21%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expected award life</w:t>
            </w: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 years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 years</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 year</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fair value</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10.98</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10.14</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6.66</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4.90</w:t>
            </w:r>
          </w:p>
        </w:tc>
      </w:tr>
      <w:tr>
        <w:trPr>
          <w:trHeight w:val="648"/>
        </w:trPr>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89"/>
              </w:rPr>
              <w:t>14</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thirteen weeks ended May 4,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 and weighted-average term)</w:t>
            </w:r>
          </w:p>
        </w:tc>
        <w:tc>
          <w:tcPr>
            <w:tcW w:w="1660" w:type="dxa"/>
            <w:vAlign w:val="bottom"/>
            <w:gridSpan w:val="5"/>
          </w:tcPr>
          <w:p>
            <w:pPr>
              <w:ind w:left="380"/>
              <w:spacing w:after="0"/>
              <w:rPr>
                <w:sz w:val="20"/>
                <w:szCs w:val="20"/>
                <w:color w:val="auto"/>
              </w:rPr>
            </w:pPr>
            <w:r>
              <w:rPr>
                <w:rFonts w:ascii="Arial" w:cs="Arial" w:eastAsia="Arial" w:hAnsi="Arial"/>
                <w:sz w:val="18"/>
                <w:szCs w:val="18"/>
                <w:b w:val="1"/>
                <w:bCs w:val="1"/>
                <w:color w:val="auto"/>
              </w:rPr>
              <w:t>Shares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rPr>
              <w:t>Options outstanding at the beginning of the year</w:t>
            </w: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ind w:left="860"/>
              <w:spacing w:after="0"/>
              <w:rPr>
                <w:sz w:val="20"/>
                <w:szCs w:val="20"/>
                <w:color w:val="auto"/>
              </w:rPr>
            </w:pPr>
            <w:r>
              <w:rPr>
                <w:rFonts w:ascii="Arial" w:cs="Arial" w:eastAsia="Arial" w:hAnsi="Arial"/>
                <w:sz w:val="18"/>
                <w:szCs w:val="18"/>
                <w:color w:val="auto"/>
                <w:w w:val="84"/>
              </w:rPr>
              <w:t>5,907</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0"/>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Expired or cancelled</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3"/>
        </w:trPr>
        <w:tc>
          <w:tcPr>
            <w:tcW w:w="7100" w:type="dxa"/>
            <w:vAlign w:val="bottom"/>
            <w:tcBorders>
              <w:top w:val="single" w:sz="8" w:color="CCFFCC"/>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Options outstanding at May 4, 2013</w:t>
            </w:r>
          </w:p>
        </w:tc>
        <w:tc>
          <w:tcPr>
            <w:tcW w:w="1260" w:type="dxa"/>
            <w:vAlign w:val="bottom"/>
            <w:tcBorders>
              <w:top w:val="single" w:sz="8" w:color="auto"/>
              <w:bottom w:val="single" w:sz="8" w:color="auto"/>
            </w:tcBorders>
            <w:shd w:val="clear" w:color="auto" w:fill="CCFFCC"/>
          </w:tcPr>
          <w:p>
            <w:pPr>
              <w:ind w:left="860"/>
              <w:spacing w:after="0"/>
              <w:rPr>
                <w:sz w:val="20"/>
                <w:szCs w:val="20"/>
                <w:color w:val="auto"/>
              </w:rPr>
            </w:pPr>
            <w:r>
              <w:rPr>
                <w:rFonts w:ascii="Arial" w:cs="Arial" w:eastAsia="Arial" w:hAnsi="Arial"/>
                <w:sz w:val="18"/>
                <w:szCs w:val="18"/>
                <w:color w:val="auto"/>
                <w:w w:val="84"/>
              </w:rPr>
              <w:t>6,668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4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6.90</w:t>
            </w:r>
          </w:p>
        </w:tc>
        <w:tc>
          <w:tcPr>
            <w:tcW w:w="260" w:type="dxa"/>
            <w:vAlign w:val="bottom"/>
            <w:tcBorders>
              <w:top w:val="single" w:sz="8" w:color="CCFFCC"/>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May 4, 2013</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60" w:type="dxa"/>
            <w:vAlign w:val="bottom"/>
          </w:tcPr>
          <w:p>
            <w:pPr>
              <w:ind w:left="860"/>
              <w:spacing w:after="0" w:line="196" w:lineRule="exact"/>
              <w:rPr>
                <w:sz w:val="20"/>
                <w:szCs w:val="20"/>
                <w:color w:val="auto"/>
              </w:rPr>
            </w:pPr>
            <w:r>
              <w:rPr>
                <w:rFonts w:ascii="Arial" w:cs="Arial" w:eastAsia="Arial" w:hAnsi="Arial"/>
                <w:sz w:val="18"/>
                <w:szCs w:val="18"/>
                <w:color w:val="auto"/>
                <w:w w:val="84"/>
              </w:rPr>
              <w:t>4,418</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Options available for future grant at May 4, 2013</w:t>
            </w:r>
          </w:p>
        </w:tc>
        <w:tc>
          <w:tcPr>
            <w:tcW w:w="1360" w:type="dxa"/>
            <w:vAlign w:val="bottom"/>
            <w:gridSpan w:val="2"/>
            <w:shd w:val="clear" w:color="auto" w:fill="CCFFCC"/>
          </w:tcPr>
          <w:p>
            <w:pPr>
              <w:ind w:left="860"/>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4"/>
              </w:rPr>
              <w:t>May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95"/>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Intrinsic value of stock options (in millions)</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660" w:type="dxa"/>
            <w:vAlign w:val="bottom"/>
            <w:gridSpan w:val="5"/>
          </w:tcPr>
          <w:p>
            <w:pPr>
              <w:ind w:left="14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and exercisable</w:t>
            </w:r>
          </w:p>
        </w:tc>
        <w:tc>
          <w:tcPr>
            <w:tcW w:w="1660" w:type="dxa"/>
            <w:vAlign w:val="bottom"/>
            <w:gridSpan w:val="5"/>
            <w:shd w:val="clear" w:color="auto" w:fill="CCFFCC"/>
          </w:tcPr>
          <w:p>
            <w:pPr>
              <w:ind w:left="14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cash received from option exercises for the thirteen weeks ended May 4, 2013 and April 28, 2012 was $6 million and $14 million, respectively. The total tax benefit realized from stock option exercises was $2 million and $4 million for the thirteen weeks ended May 4, 2013 and April 28,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4,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Arial" w:cs="Arial" w:eastAsia="Arial" w:hAnsi="Arial"/>
                <w:sz w:val="18"/>
                <w:szCs w:val="18"/>
                <w:b w:val="1"/>
                <w:bCs w:val="1"/>
                <w:color w:val="auto"/>
              </w:rPr>
              <w:t>Options Outstanding</w:t>
            </w:r>
          </w:p>
        </w:tc>
        <w:tc>
          <w:tcPr>
            <w:tcW w:w="280" w:type="dxa"/>
            <w:vAlign w:val="bottom"/>
          </w:tcPr>
          <w:p>
            <w:pPr>
              <w:spacing w:after="0"/>
              <w:rPr>
                <w:sz w:val="20"/>
                <w:szCs w:val="20"/>
                <w:color w:val="auto"/>
              </w:rPr>
            </w:pPr>
          </w:p>
        </w:tc>
        <w:tc>
          <w:tcPr>
            <w:tcW w:w="140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w w:val="91"/>
              </w:rPr>
              <w:t>Weighted-</w:t>
            </w:r>
          </w:p>
        </w:tc>
        <w:tc>
          <w:tcPr>
            <w:tcW w:w="3020" w:type="dxa"/>
            <w:vAlign w:val="bottom"/>
            <w:gridSpan w:val="5"/>
          </w:tcPr>
          <w:p>
            <w:pPr>
              <w:ind w:left="68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140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Range of Exercise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400" w:type="dxa"/>
            <w:vAlign w:val="bottom"/>
          </w:tcPr>
          <w:p>
            <w:pPr>
              <w:jc w:val="center"/>
              <w:ind w:right="35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Prices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Contractual Life</w:t>
            </w:r>
          </w:p>
        </w:tc>
        <w:tc>
          <w:tcPr>
            <w:tcW w:w="28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Exercisable</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gridSpan w:val="7"/>
          </w:tcPr>
          <w:p>
            <w:pPr>
              <w:jc w:val="right"/>
              <w:ind w:right="430"/>
              <w:spacing w:after="0"/>
              <w:rPr>
                <w:sz w:val="20"/>
                <w:szCs w:val="20"/>
                <w:color w:val="auto"/>
              </w:rPr>
            </w:pPr>
            <w:r>
              <w:rPr>
                <w:rFonts w:ascii="Arial" w:cs="Arial" w:eastAsia="Arial" w:hAnsi="Arial"/>
                <w:sz w:val="18"/>
                <w:szCs w:val="18"/>
                <w:b w:val="1"/>
                <w:bCs w:val="1"/>
                <w:color w:val="auto"/>
                <w:w w:val="91"/>
              </w:rPr>
              <w:t>(in thousands, except price per share and contractual life)</w:t>
            </w: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9.85</w:t>
            </w:r>
          </w:p>
        </w:tc>
        <w:tc>
          <w:tcPr>
            <w:tcW w:w="94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15.10</w:t>
            </w:r>
          </w:p>
        </w:tc>
        <w:tc>
          <w:tcPr>
            <w:tcW w:w="18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1,988</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12.76</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1,763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19.72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23.63</w:t>
            </w:r>
          </w:p>
        </w:tc>
        <w:tc>
          <w:tcPr>
            <w:tcW w:w="94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30.92</w:t>
            </w:r>
          </w:p>
        </w:tc>
        <w:tc>
          <w:tcPr>
            <w:tcW w:w="18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1,782</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28.42</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31.79</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35.50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1,135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34.24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 w:type="dxa"/>
            <w:vAlign w:val="bottom"/>
            <w:tcBorders>
              <w:top w:val="single" w:sz="8" w:color="CCFFCC"/>
              <w:bottom w:val="single" w:sz="8" w:color="CCFFCC"/>
            </w:tcBorders>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9.85</w:t>
            </w:r>
          </w:p>
        </w:tc>
        <w:tc>
          <w:tcPr>
            <w:tcW w:w="940" w:type="dxa"/>
            <w:vAlign w:val="bottom"/>
            <w:tcBorders>
              <w:top w:val="single" w:sz="8" w:color="CCFFCC"/>
              <w:bottom w:val="single" w:sz="8" w:color="CCFFCC"/>
            </w:tcBorders>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35.50</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6,668</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58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6.90</w:t>
            </w:r>
          </w:p>
        </w:tc>
        <w:tc>
          <w:tcPr>
            <w:tcW w:w="28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FFCC"/>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rPr>
              <w:t>22.44</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right"/>
              <w:ind w:right="7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4"/>
          </w:tcPr>
          <w:p>
            <w:pPr>
              <w:spacing w:after="0"/>
              <w:rPr>
                <w:sz w:val="20"/>
                <w:szCs w:val="20"/>
                <w:color w:val="auto"/>
              </w:rPr>
            </w:pPr>
            <w:r>
              <w:rPr>
                <w:rFonts w:ascii="Arial" w:cs="Arial" w:eastAsia="Arial" w:hAnsi="Arial"/>
                <w:sz w:val="18"/>
                <w:szCs w:val="18"/>
                <w:b w:val="1"/>
                <w:bCs w:val="1"/>
                <w:color w:val="auto"/>
              </w:rPr>
              <w:t>9. Share-Based Compensation – (continued)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580" w:type="dxa"/>
            <w:vAlign w:val="bottom"/>
            <w:gridSpan w:val="4"/>
          </w:tcPr>
          <w:p>
            <w:pPr>
              <w:spacing w:after="0"/>
              <w:rPr>
                <w:sz w:val="20"/>
                <w:szCs w:val="20"/>
                <w:color w:val="auto"/>
              </w:rPr>
            </w:pPr>
            <w:r>
              <w:rPr>
                <w:rFonts w:ascii="Arial" w:cs="Arial" w:eastAsia="Arial" w:hAnsi="Arial"/>
                <w:sz w:val="18"/>
                <w:szCs w:val="18"/>
                <w:color w:val="auto"/>
                <w:w w:val="92"/>
              </w:rPr>
              <w:t>Changes in the Company’s nonvested options for the thirteen weeks ended May 4, 2013 are summarized as follows: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5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price per share)</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 Share</w:t>
            </w:r>
          </w:p>
        </w:tc>
      </w:tr>
      <w:tr>
        <w:trPr>
          <w:trHeight w:val="210"/>
        </w:trPr>
        <w:tc>
          <w:tcPr>
            <w:tcW w:w="846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color w:val="auto"/>
              </w:rPr>
              <w:t>Nonvested at the beginning of the year</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2,314</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580" w:type="dxa"/>
            <w:vAlign w:val="bottom"/>
            <w:gridSpan w:val="4"/>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r>
      <w:tr>
        <w:trPr>
          <w:trHeight w:val="216"/>
        </w:trPr>
        <w:tc>
          <w:tcPr>
            <w:tcW w:w="85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20.77</w:t>
            </w:r>
          </w:p>
        </w:tc>
      </w:tr>
      <w:tr>
        <w:trPr>
          <w:trHeight w:val="230"/>
        </w:trPr>
        <w:tc>
          <w:tcPr>
            <w:tcW w:w="8580" w:type="dxa"/>
            <w:vAlign w:val="bottom"/>
            <w:gridSpan w:val="4"/>
          </w:tcPr>
          <w:p>
            <w:pPr>
              <w:spacing w:after="0"/>
              <w:rPr>
                <w:sz w:val="20"/>
                <w:szCs w:val="20"/>
                <w:color w:val="auto"/>
              </w:rPr>
            </w:pPr>
            <w:r>
              <w:rPr>
                <w:rFonts w:ascii="Arial" w:cs="Arial" w:eastAsia="Arial" w:hAnsi="Arial"/>
                <w:sz w:val="18"/>
                <w:szCs w:val="18"/>
                <w:color w:val="auto"/>
              </w:rPr>
              <w:t>Expired or cancelled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r>
      <w:tr>
        <w:trPr>
          <w:trHeight w:val="223"/>
        </w:trPr>
        <w:tc>
          <w:tcPr>
            <w:tcW w:w="8580" w:type="dxa"/>
            <w:vAlign w:val="bottom"/>
            <w:tcBorders>
              <w:top w:val="single" w:sz="8" w:color="CCFFCC"/>
              <w:bottom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Nonvested at May 4, 2013</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29.95</w:t>
            </w:r>
          </w:p>
        </w:tc>
      </w:tr>
      <w:tr>
        <w:trPr>
          <w:trHeight w:val="20"/>
        </w:trPr>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the Company’s stock option and stock purchase plans was $3 million for both the thirteen weeks ended May 4, 2013 and April 28, 2012. As of May 4, 2013, there was $16 million of total unrecognized compensation cost, related to nonvested stock options, which is expected to be recognized over a weighted-average period of 1.57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The Company also issues restricted stock units to its non-employee directors. Each restricted stock unit represents the right to receive one share of the Company’s common stock, provided that the vesting conditions are satisfied. As of May 4, 2013, 1,009,157 restricted stock units were outstanding. Compensation expense is recognized using the fair market value at the date of grant and is amortized over the vesting period, provided the recipient continues to be employed by the Company.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vests with the passage of time; for any performance-based restricted stock granted after May 19, 2010, dividends will be accumulated and paid after the performance criteria are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units activity for the thirteen weeks ended May 4, 2013 and April 28, 2012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Number of Shares and Units</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May 4, 2013</w:t>
            </w: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April 28,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Aggregate value (in millions)</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remaining contractual life</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 years</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weighted-average grant-date fair value per share was $34.24 and $30.89 for the thirteen weeks ended May 4, 2013 and April 28, 2012, respectively. The total value of awards for which restrictions lapsed during the thirteen weeks ended May 4, 2013 and April 28, 2012 was $6 million and $5 million, respectively. As of May 4, 2013, there was $15 million of total unrecognized compensation cost related to nonvested restricted awards.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compensation expense related to restricted stock awards, net of forfeitures, of $5 million and $3 million for the thirteen week periods ended May 4, 2013 and April 28, 2012, respectively.</w:t>
      </w:r>
    </w:p>
    <w:p>
      <w:pPr>
        <w:spacing w:after="0" w:line="16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8, 2013, the Company signed a definitive agreement to acquire Runners Point Warenhandelsges. mbH, (“Runners Point Group”) a specialty athletic store and online retailer based in Recklinghausen, Germany, for total cash consideration of approximately $94 million. The transaction is subject to review by merger control authorities in Germany. During the thirteen weeks ended May 4, 2013, the Company incurred $1 million of transaction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 The Athletic Stores segment is one of the largest athletic footwear and apparel retailers in the world, whose formats include Foot Locker, Lady Foot Locker, Kids Foot Locker, Champs Sports, Footaction, and CCS. The Direct-to-Customers segment is multi-branded and multi-channeled. This segment sells, through its affiliates, directly to customers through its Internet websites, mobile devices, and catalogs. Eastbay, one of the affiliates, is among the largest direct marketers in the United States. The Direct-to-Customers segment operates the website for eastbay.com, final-score.com, and eastbayteamservices.com. Additionally, this segment operates websites aligned with the brand names of its store banners (footlocker.com, ladyfootlocker.com, kidsfootlocker.com, footaction.com, champssports.com, and ccs.com).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May 4, 2013, the Company operated 3,321 stores as compared with 3,335 and 3,360 stores at February 2, 2013 and April 28, 2012, respectively. During the thirteen weeks ended May 4, 2013, the Company opened 25 stores, remodeled or relocated 64 stores and closed 39 stores.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22 CCS stores did not close during the first quarter of 2013 as was previously anticipated and announced. They are scheduled to close in early June, with the majority of the locations converting to other formats.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45 franchised stores were operating at May 4, 2013, as compared with 42 and 36 stores at February 2, 2013 and April 28, 2012, respectively. Revenue from the franchised stores was not significant for any of the periods presented. These stores are not included in the Company’s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The following table summarizes results by segment:</w:t>
            </w: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4420" w:type="dxa"/>
            <w:vAlign w:val="bottom"/>
            <w:gridSpan w:val="3"/>
          </w:tcPr>
          <w:p>
            <w:pPr>
              <w:jc w:val="right"/>
              <w:ind w:right="2830"/>
              <w:spacing w:after="0"/>
              <w:rPr>
                <w:sz w:val="20"/>
                <w:szCs w:val="20"/>
                <w:color w:val="auto"/>
              </w:rPr>
            </w:pPr>
            <w:r>
              <w:rPr>
                <w:rFonts w:ascii="Arial" w:cs="Arial" w:eastAsia="Arial" w:hAnsi="Arial"/>
                <w:sz w:val="18"/>
                <w:szCs w:val="18"/>
                <w:b w:val="1"/>
                <w:bCs w:val="1"/>
                <w:color w:val="auto"/>
              </w:rPr>
              <w:t>Sales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ind w:left="28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44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4"/>
              </w:rPr>
              <w:t>May 4,</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5"/>
              </w:rPr>
              <w:t>April 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406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r>
      <w:tr>
        <w:trPr>
          <w:trHeight w:val="21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4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1,471</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Direct-to-Customers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r>
      <w:tr>
        <w:trPr>
          <w:trHeight w:val="223"/>
        </w:trPr>
        <w:tc>
          <w:tcPr>
            <w:tcW w:w="4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sales</w:t>
            </w:r>
          </w:p>
        </w:tc>
        <w:tc>
          <w:tcPr>
            <w:tcW w:w="40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4420" w:type="dxa"/>
            <w:vAlign w:val="bottom"/>
            <w:gridSpan w:val="3"/>
          </w:tcPr>
          <w:p>
            <w:pPr>
              <w:jc w:val="right"/>
              <w:ind w:right="2310"/>
              <w:spacing w:after="0"/>
              <w:rPr>
                <w:sz w:val="20"/>
                <w:szCs w:val="20"/>
                <w:color w:val="auto"/>
              </w:rPr>
            </w:pPr>
            <w:r>
              <w:rPr>
                <w:rFonts w:ascii="Arial" w:cs="Arial" w:eastAsia="Arial" w:hAnsi="Arial"/>
                <w:sz w:val="18"/>
                <w:szCs w:val="18"/>
                <w:b w:val="1"/>
                <w:bCs w:val="1"/>
                <w:color w:val="auto"/>
              </w:rPr>
              <w:t>Operating Results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ind w:left="28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44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4"/>
              </w:rPr>
              <w:t>May 4,</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5"/>
              </w:rPr>
              <w:t>April 28,</w:t>
            </w:r>
          </w:p>
        </w:tc>
        <w:tc>
          <w:tcPr>
            <w:tcW w:w="100" w:type="dxa"/>
            <w:vAlign w:val="bottom"/>
            <w:gridSpan w:val="2"/>
          </w:tcPr>
          <w:p>
            <w:pPr>
              <w:spacing w:after="0"/>
              <w:rPr>
                <w:sz w:val="17"/>
                <w:szCs w:val="17"/>
                <w:color w:val="auto"/>
              </w:rPr>
            </w:pPr>
          </w:p>
        </w:tc>
      </w:tr>
      <w:tr>
        <w:trPr>
          <w:trHeight w:val="23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406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r>
      <w:tr>
        <w:trPr>
          <w:trHeight w:val="21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4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Direct-to-Customers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10"/>
        </w:trPr>
        <w:tc>
          <w:tcPr>
            <w:tcW w:w="4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40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0"/>
        </w:trPr>
        <w:tc>
          <w:tcPr>
            <w:tcW w:w="4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40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 net</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70"/>
        </w:trPr>
        <w:tc>
          <w:tcPr>
            <w:tcW w:w="4400" w:type="dxa"/>
            <w:vAlign w:val="bottom"/>
            <w:shd w:val="clear" w:color="auto" w:fill="CCFFCC"/>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(1)</w:t>
            </w:r>
          </w:p>
        </w:tc>
        <w:tc>
          <w:tcPr>
            <w:tcW w:w="40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1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18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right="300" w:hanging="252"/>
        <w:spacing w:after="0" w:line="194" w:lineRule="auto"/>
        <w:tabs>
          <w:tab w:leader="none" w:pos="26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increased by $60 million, or 3.8 percent, to $1,638 million for the thirteen weeks ended May 4, 2013, from $1,578 million for the thirteen weeks ended April 28, 2012. Excluding the effect of foreign currency fluctuations, total sales for the thirteen-week period increased 4.1 percent, as compared with the corresponding prior-year period. Comparable-store sales increased by 5.2 percent for the thirteen weeks ended May 4, 2013.</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as a percentage of sales, increased to 34.2 percent for the thirteen weeks ended May 4, 2013 as compared with 34.0 percent in the corresponding prior-year period. As a percent of sales, the cost of merchandise for the thirteen weeks ended May 4, 2013 decreased by 20 basis points as compared with the corresponding prior-year period, primarily reflecting a lower markdown rate offset, in part, by lower initial markups. In addition, the occupancy and buyers compensation expense rate decreased by 10 basis points, reflecting improved leverage of fixed costs. These improvements were partially offset by lower margin rate on shipping and handling. Vendor allowances were not significant for any of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Athletic Stores sales increased by 2.4 percent to $1,471 million for the thirteen weeks ended May 4, 2013, as compared with the corresponding prior-year period of $1,437 million. Excluding the effect of foreign currency fluctuations, sales from athletic store divisions increased 2.7 percent for the thirteen weeks ended May 4, 2013, as compared with the corresponding prior-year period. Comparable-store sales increased by 3.8 percent for the thirteen weeks ended May 4, 2013. All banners within this segment, with the exception of Lady Foot Locker, experienced comparable-store sales gains, led by Kids Foot Locker and domestic Foot Locker. Basketball continued to be the biggest driver of growth, with Jordan retro and lifestyle products, as well key marquee player shoes, performing well. The basketball category also benefitted our European operations, which experienced a low-single digit comparable-store sales increase.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The Kids Foot Locker business continues to benefit from its new store design and innovative product offerings. The remodeled stores help create a kid-friendly environment, with a “Pro Zone” and hero-sized footprints, aimed to entertain young customers. In addition, the Company is expanding and diversifying the children’s assortment in particular by emphasizing branded apparel and accessories, and offering more casual and running footwear styles.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Lady Foot Locker’s sales declined due to a comparable-stores sales decline and a lower store count. During the first quarter of 2013, 21 underperforming stores were closed. Overall, sales of women’s footwear, apparel, and accessories declined in the first quarter. The 14 remodeled Lady Foot Locker locations, as well as the 3 new SIX:02 stores, which opened during the fourth quarter of 2012, have been outperforming the rest of the Lady Foot Locker chain. Management continues to review the women’s business in light of results of the test locations and continues to implement various initiatives intended to improve future performance and attract the athletically-active woman.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Athletic Stores division profit increased 1.9 percent for the thirteen weeks ended May 4, 2013, as compared with the corresponding prior-year period. Division profit, as a percentage of sales, was 14.3 percent for the thirteen weeks ended May 4, 2013 as compared with 14.4 percent for the corresponding prior-year period. This primarily reflects improved sales and an improved gross margin rate driven by improved leverage of fixed occupancy expenses. The improvement in gross margin was partially offset by an increase in expense, which was primarily the result of a higher allocation of corporate expense, discussed more fully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Direct-to-Customers sales increased by 18.4 percent to $167 million for the thirteen weeks ended May 4, 2013, as compared with the corresponding prior-year period of $141 million. Sales on a comparable basis, due to the shift related to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in 2012, were not significantly different and represented an increase of 18.2 percent. The increase was primarily a result of continued strong sales performance of the Company’s store-banner websites coupled with continued growth in Eastbay’s sales. Sales at each of the store-banner websites increased significantly, with the total increase approximating 50 percent.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Direct-to-Customers division profit for the thirteen weeks ended May 4, 2013 increased by $5 million to $23 million as compared with the corresponding prior-year period. Division profit, as a percentage of sales, was 13.8 percent for the thirteen weeks ended May 4, 2013 as compared with 12.8 percent for the corresponding prior-year period. The increase primarily reflects higher sales partially offset by a slightly lower gross margin rate attributable to lower shipping and handling revenue. This decline was offset by expense rate improvements.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Corporate expense consists of unallocated selling, general and administrative expenses (“SG&amp;A”), as well as depreciation and amortization related to the Company’s corporate headquarters, centrally managed departments, unallocated insurance and benefit programs, certain foreign exchange transaction gains and losses, and other items. Corporate expense for the thirteen weeks ended May 4, 2013 decreased by $4 million to $19 million from the corresponding prior-year period. The decline is primarily as a result of a reallocation of expense between corporate and the operating divisions. Based upon an internal study of corporate expense, the allocation of such expenses to the operating divisions was increased thereby reducing corporate expense. This decrease was partially offset by $1 million of transaction costs related to the Company’s pending acquisition of Runners Point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of $315 million increased by $9 million or 2.9 percent, for the thirteen weeks ended May 4, 2013 as compared with the corresponding prior-year period. SG&amp;A, as a percentage of sales, decreased to 19.2 percent for the thirteen weeks ended May 4, 2013, as compared with 19.4 percent in the corresponding prior-year period. Excluding the effect of foreign currency fluctuations, SG&amp;A increased by $10 million for the thirteen weeks ended May 4, 2013, as compared with the corresponding prior-year period. This increase primarily represents increased variable costs to support sales, such as store wages. The Company also continued its marketing and advertising spending, which increased by $3 million as compared to the prior-year period. Included in SG&amp;A during the first quarter of 2013, is $1 million of transaction costs related to the Company’s pending acquisition of Runners Point Group as noted above in the discussion of corporate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increased by $2 million in the first quarter of 2013 to $31 million as compared with $29 million for the first quarter of 2012, reflecting increased capital spending on store improvements and technology. The effect of foreign currency fluctuations was not significant.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200" w:type="dxa"/>
            <w:vAlign w:val="bottom"/>
            <w:tcBorders>
              <w:top w:val="single" w:sz="8" w:color="auto"/>
            </w:tcBorders>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2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rPr>
              <w:t>May 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46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846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were unchanged as compared with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thirteen weeks ended May 4, 2013, the Company recorded an income tax provision of $78 million, which represents an effective tax rate of 36.1 percent, compared to the prior-year income tax provision of $73 million, which represented an effective tax rate of 36.4 percent. The Company’s interim provision for income taxes is measured using an annual effective tax rate, adjusted for discrete items that occur within the periods presented.</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regularly assesses the adequacy of the Company’s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effective tax rate for both periods included tax benefits of $2 million from reserve releases due to the settlements of tax examinations. Excluding these nonrecurring benefits, the effective tax rate for the thirteen weeks ended May 4, 2013 decreased modestly as compared with the corresponding prior-year period, due primarily to the effect of certain recently implemented tax planning initiatives.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currently expects its full year tax rate to approximate 37 percent, excluding the effect of any additional nonrecurring items that may occur. The actual tax rates will primarily depend on the level and mix of income earned in the United States as compared with its international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non-GAAP information to assist investors with the comparison of the Company’s results period over period. In the first quarter of 2013, the Company recorded approximately $1 million, or $0.01 per diluted share, for transaction costs associated with the pending acquisition of Runners Point Group. Accordingly, the Company has excluded these costs to arrive at its non-GAAP results. The non-GAAP financial measure is provided in addition to, and not as an alternative to, the Company’s reported results prepared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of $138 million, or $0.90 per diluted share, for the thirteen weeks ended May 4, 2013 increased by $0.07 per diluted share from $128 million, or $0.83 per share last year. The improved performance represents a 25 percent flow-through of increased sales to pre-tax income, reflecting leveraging of fixed costs, and controlling operating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Presented below are GAAP and non-GAAP results, as more fully described above.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7"/>
          </w:tcPr>
          <w:p>
            <w:pPr>
              <w:ind w:left="52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May 4,</w:t>
            </w: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Diluted EPS</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0.90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(non-GAAP)</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Diluted EPS (non-GAAP)</w:t>
            </w:r>
          </w:p>
        </w:tc>
        <w:tc>
          <w:tcPr>
            <w:tcW w:w="1060" w:type="dxa"/>
            <w:vAlign w:val="bottom"/>
            <w:gridSpan w:val="2"/>
            <w:shd w:val="clear" w:color="auto" w:fill="CCFFCC"/>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0.91</w:t>
            </w:r>
          </w:p>
        </w:tc>
        <w:tc>
          <w:tcPr>
            <w:tcW w:w="3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future cash flow from operations, and the Company’s current revolving credit facility will be adequate to fund these requirements.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if any, will depend on prevailing market conditions, liquidity requirements, contractual restrictions, and other factors. The amounts involved may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Net cash provided by operating activities was $251 million and $133 million for the thirteen weeks ended May 4, 2013 and April 28, 2012, respectively. These amounts reflect net income adjusted for non-cash items and seasonal working capital changes. Due to the shift caused by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in 2012, merchandise inventory purchases were accelerated into 2012 to support the sales for February, whereas in the prior year those purchases occurred in the subsequent first quarter. Additionally, the timing of certain income tax payments shifted out of the first quarter of 2013 into the early part of second quarter. Cash paid for income taxes declined $65 million to $15 million for the thirteen weeks ended May 4,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thirteen weeks ended May 4, 2013, net cash used in investing activities was $48 million, reflecting $50 million in capital expenditures, partially offset by the receipt of $2 million related to lease termination gains related to exiting certain European leases. The Company’s full year forecast for capital expenditures is $217 million, which includes $173 million related to the remodeling or relocation of existing stores and 86 new store openings, as well as $44 million for the development of information systems, websites, and infrastructure.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financing was $20 million and $36 million for the thirteen weeks ended May 4, 2013 and April 28, 2012, respectively. The Company declared and paid dividends during the first quarters of 2013 and 2012 of $30 million and $28 million, respectively. This represents a quarterly rate of $0.20 and $0.18 per share for 2013 and 2012, respectively. The Company did not repurchase any common stock in the first quarter of 2013 because of the ongoing negotiations related to the pending acquisition of Runners Point Group, however the Company plans to reinitiate its share repurchase program in the second quarter. During the first quarter of 2012, the Company repurchased 878,700 shares of its common stock for $27 million. Additionally, the Company received proceeds from the issuance of common stock in connection with employee stock programs of $6 million and $14 million for the thirteen weeks ended May 4, 2013 and April 28, 2012, respectively. In connection with stock option exercises and share-based compensation programs, the Company recorded excess tax benefits of $4 million and $5 million as a financing activity for the thirteen weeks ended May 4, 2013 and April 28,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first quarter of 2013, the Company adopted Accounting Standards Update 2013-02, </w:t>
      </w:r>
      <w:r>
        <w:rPr>
          <w:rFonts w:ascii="Arial" w:cs="Arial" w:eastAsia="Arial" w:hAnsi="Arial"/>
          <w:sz w:val="18"/>
          <w:szCs w:val="18"/>
          <w:i w:val="1"/>
          <w:iCs w:val="1"/>
          <w:color w:val="auto"/>
        </w:rPr>
        <w:t>Comprehensive Income (Topic 220): Reporting of Amounts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Reclassified out of Accumulated Other Comprehensive Income </w:t>
      </w:r>
      <w:r>
        <w:rPr>
          <w:rFonts w:ascii="Arial" w:cs="Arial" w:eastAsia="Arial" w:hAnsi="Arial"/>
          <w:sz w:val="18"/>
          <w:szCs w:val="18"/>
          <w:color w:val="auto"/>
        </w:rPr>
        <w:t>(“ASU 2013-02”). ASU 2013-02 amended existing guidance by requiring additional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for the thirteen weeks ended May 4, 2013 is included in </w:t>
      </w:r>
      <w:r>
        <w:rPr>
          <w:rFonts w:ascii="Arial" w:cs="Arial" w:eastAsia="Arial" w:hAnsi="Arial"/>
          <w:sz w:val="18"/>
          <w:szCs w:val="18"/>
          <w:i w:val="1"/>
          <w:iCs w:val="1"/>
          <w:color w:val="auto"/>
        </w:rPr>
        <w:t>Note 4</w:t>
      </w:r>
      <w:r>
        <w:rPr>
          <w:rFonts w:ascii="Arial" w:cs="Arial" w:eastAsia="Arial" w:hAnsi="Arial"/>
          <w:sz w:val="18"/>
          <w:szCs w:val="18"/>
          <w:color w:val="auto"/>
        </w:rPr>
        <w:t>. The adoption of ASU 2013-02 had no effect on our results of operations or financial position.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February 2,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2012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May 4, 2013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May 4, 2013,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labor-and-employment-related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is a defendant in additional purported wage and hour class actions that assert claims similar to those asserted in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and seek similar remedies. With the exception of </w:t>
      </w:r>
      <w:r>
        <w:rPr>
          <w:rFonts w:ascii="Arial" w:cs="Arial" w:eastAsia="Arial" w:hAnsi="Arial"/>
          <w:sz w:val="17"/>
          <w:szCs w:val="17"/>
          <w:i w:val="1"/>
          <w:iCs w:val="1"/>
          <w:color w:val="auto"/>
        </w:rPr>
        <w:t>Hill v. Foot Locker</w:t>
      </w:r>
      <w:r>
        <w:rPr>
          <w:rFonts w:ascii="Arial" w:cs="Arial" w:eastAsia="Arial" w:hAnsi="Arial"/>
          <w:sz w:val="17"/>
          <w:szCs w:val="17"/>
          <w:color w:val="auto"/>
        </w:rPr>
        <w:t xml:space="preserve"> filed in state court in Illinois in 2011, </w:t>
      </w:r>
      <w:r>
        <w:rPr>
          <w:rFonts w:ascii="Arial" w:cs="Arial" w:eastAsia="Arial" w:hAnsi="Arial"/>
          <w:sz w:val="17"/>
          <w:szCs w:val="17"/>
          <w:i w:val="1"/>
          <w:iCs w:val="1"/>
          <w:color w:val="auto"/>
        </w:rPr>
        <w:t>Kissinger</w:t>
      </w:r>
      <w:r>
        <w:rPr>
          <w:rFonts w:ascii="Arial" w:cs="Arial" w:eastAsia="Arial" w:hAnsi="Arial"/>
          <w:sz w:val="17"/>
          <w:szCs w:val="17"/>
          <w:color w:val="auto"/>
        </w:rPr>
        <w:t xml:space="preserve"> filed in state court of California, </w:t>
      </w:r>
      <w:r>
        <w:rPr>
          <w:rFonts w:ascii="Arial" w:cs="Arial" w:eastAsia="Arial" w:hAnsi="Arial"/>
          <w:sz w:val="17"/>
          <w:szCs w:val="17"/>
          <w:i w:val="1"/>
          <w:iCs w:val="1"/>
          <w:color w:val="auto"/>
        </w:rPr>
        <w:t>Ghattas</w:t>
      </w:r>
      <w:r>
        <w:rPr>
          <w:rFonts w:ascii="Arial" w:cs="Arial" w:eastAsia="Arial" w:hAnsi="Arial"/>
          <w:sz w:val="17"/>
          <w:szCs w:val="17"/>
          <w:color w:val="auto"/>
        </w:rPr>
        <w:t xml:space="preserve"> filed in state court of California, and </w:t>
      </w:r>
      <w:r>
        <w:rPr>
          <w:rFonts w:ascii="Arial" w:cs="Arial" w:eastAsia="Arial" w:hAnsi="Arial"/>
          <w:sz w:val="17"/>
          <w:szCs w:val="17"/>
          <w:i w:val="1"/>
          <w:iCs w:val="1"/>
          <w:color w:val="auto"/>
        </w:rPr>
        <w:t>Cortes v. Foot Locker</w:t>
      </w:r>
      <w:r>
        <w:rPr>
          <w:rFonts w:ascii="Arial" w:cs="Arial" w:eastAsia="Arial" w:hAnsi="Arial"/>
          <w:sz w:val="17"/>
          <w:szCs w:val="17"/>
          <w:color w:val="auto"/>
        </w:rPr>
        <w:t xml:space="preserve"> filed in federal court of New York, all of these actions were consolidated by the United States Judicial Panel on Multidistrict Litigation with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under the caption </w:t>
      </w:r>
      <w:r>
        <w:rPr>
          <w:rFonts w:ascii="Arial" w:cs="Arial" w:eastAsia="Arial" w:hAnsi="Arial"/>
          <w:sz w:val="17"/>
          <w:szCs w:val="17"/>
          <w:i w:val="1"/>
          <w:iCs w:val="1"/>
          <w:color w:val="auto"/>
        </w:rPr>
        <w:t>In re Foot Locker, Inc. Fair Labor Standards Act and Wage and Hour Litigation.</w:t>
      </w:r>
      <w:r>
        <w:rPr>
          <w:rFonts w:ascii="Arial" w:cs="Arial" w:eastAsia="Arial" w:hAnsi="Arial"/>
          <w:sz w:val="17"/>
          <w:szCs w:val="17"/>
          <w:color w:val="auto"/>
        </w:rPr>
        <w:t xml:space="preserve"> The consolidated cases are in the discovery stages of proceedings. In </w:t>
      </w:r>
      <w:r>
        <w:rPr>
          <w:rFonts w:ascii="Arial" w:cs="Arial" w:eastAsia="Arial" w:hAnsi="Arial"/>
          <w:sz w:val="17"/>
          <w:szCs w:val="17"/>
          <w:i w:val="1"/>
          <w:iCs w:val="1"/>
          <w:color w:val="auto"/>
        </w:rPr>
        <w:t>Hill v. Foot Locker,</w:t>
      </w:r>
      <w:r>
        <w:rPr>
          <w:rFonts w:ascii="Arial" w:cs="Arial" w:eastAsia="Arial" w:hAnsi="Arial"/>
          <w:sz w:val="17"/>
          <w:szCs w:val="17"/>
          <w:color w:val="auto"/>
        </w:rPr>
        <w:t xml:space="preserve"> in May 2011, the court granted plaintiffs’ motion for certification of an opt-out class covering certain Illinois employees only. The Company's motion for leave to appeal was denied. The Company has had and continues to have discussions with plaintiff’s counsel in an attempt to determine whether it will be possible to resolve the consolidated cases and </w:t>
      </w:r>
      <w:r>
        <w:rPr>
          <w:rFonts w:ascii="Arial" w:cs="Arial" w:eastAsia="Arial" w:hAnsi="Arial"/>
          <w:sz w:val="17"/>
          <w:szCs w:val="17"/>
          <w:i w:val="1"/>
          <w:iCs w:val="1"/>
          <w:color w:val="auto"/>
        </w:rPr>
        <w:t>Hill</w:t>
      </w:r>
      <w:r>
        <w:rPr>
          <w:rFonts w:ascii="Arial" w:cs="Arial" w:eastAsia="Arial" w:hAnsi="Arial"/>
          <w:sz w:val="17"/>
          <w:szCs w:val="17"/>
          <w:color w:val="auto"/>
        </w:rPr>
        <w:t>. Meanwhile, the Company is vigorously defending these class actions. Due to the inherent uncertainties of such matters, and because fact and expert discovery have not been completed, the Company is currently unable to make an estimate of the range of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The Company and the Company’s U.S. retirement plan are defendants in a purported class action (</w:t>
      </w:r>
      <w:r>
        <w:rPr>
          <w:rFonts w:ascii="Arial" w:cs="Arial" w:eastAsia="Arial" w:hAnsi="Arial"/>
          <w:sz w:val="17"/>
          <w:szCs w:val="17"/>
          <w:i w:val="1"/>
          <w:iCs w:val="1"/>
          <w:color w:val="auto"/>
        </w:rPr>
        <w:t>Osberg v. Foot Locker</w:t>
      </w:r>
      <w:r>
        <w:rPr>
          <w:rFonts w:ascii="Arial" w:cs="Arial" w:eastAsia="Arial" w:hAnsi="Arial"/>
          <w:sz w:val="17"/>
          <w:szCs w:val="17"/>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has appealed to the U.S. Court of Appeals for the 2nd Circuit. Because of the inherent uncertainties of such matters and the current status of this case, the Company is currently unable to make an estimate of loss or range of loss for this case.</w:t>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Management does not believe that the outcome of any such legal proceedings pending against the Company or its consolidated subsidiaries, including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Foot Locker, Inc. Fair Labor Standards Act and Wage and Hour Litigation</w:t>
      </w:r>
      <w:r>
        <w:rPr>
          <w:rFonts w:ascii="Arial" w:cs="Arial" w:eastAsia="Arial" w:hAnsi="Arial"/>
          <w:sz w:val="17"/>
          <w:szCs w:val="17"/>
          <w:color w:val="auto"/>
        </w:rPr>
        <w:t>,</w:t>
      </w:r>
      <w:r>
        <w:rPr>
          <w:rFonts w:ascii="Arial" w:cs="Arial" w:eastAsia="Arial" w:hAnsi="Arial"/>
          <w:sz w:val="17"/>
          <w:szCs w:val="17"/>
          <w:i w:val="1"/>
          <w:iCs w:val="1"/>
          <w:color w:val="auto"/>
        </w:rPr>
        <w:t xml:space="preserve"> Hill, Cortes, Kissinger, Ghattas, </w:t>
      </w:r>
      <w:r>
        <w:rPr>
          <w:rFonts w:ascii="Arial" w:cs="Arial" w:eastAsia="Arial" w:hAnsi="Arial"/>
          <w:sz w:val="17"/>
          <w:szCs w:val="17"/>
          <w:color w:val="auto"/>
        </w:rPr>
        <w:t>and</w:t>
      </w:r>
      <w:r>
        <w:rPr>
          <w:rFonts w:ascii="Arial" w:cs="Arial" w:eastAsia="Arial" w:hAnsi="Arial"/>
          <w:sz w:val="17"/>
          <w:szCs w:val="17"/>
          <w:i w:val="1"/>
          <w:iCs w:val="1"/>
          <w:color w:val="auto"/>
        </w:rPr>
        <w:t xml:space="preserve"> Osberg</w:t>
      </w:r>
      <w:r>
        <w:rPr>
          <w:rFonts w:ascii="Arial" w:cs="Arial" w:eastAsia="Arial" w:hAnsi="Arial"/>
          <w:sz w:val="17"/>
          <w:szCs w:val="17"/>
          <w:color w:val="auto"/>
        </w:rPr>
        <w:t>, as described above, would have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adverse effect on the Company’s consolidated financial position, liquidity, or results of operations,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2012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May 4,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Purchased as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may yet be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Average Price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r>
      <w:tr>
        <w:trPr>
          <w:trHeight w:val="220"/>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Paid</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Under the</w:t>
            </w:r>
          </w:p>
        </w:tc>
      </w:tr>
      <w:tr>
        <w:trPr>
          <w:trHeight w:val="271"/>
        </w:trPr>
        <w:tc>
          <w:tcPr>
            <w:tcW w:w="5260" w:type="dxa"/>
            <w:vAlign w:val="bottom"/>
            <w:gridSpan w:val="2"/>
          </w:tcPr>
          <w:p>
            <w:pPr>
              <w:ind w:left="1920"/>
              <w:spacing w:after="0"/>
              <w:rPr>
                <w:sz w:val="20"/>
                <w:szCs w:val="20"/>
                <w:color w:val="auto"/>
              </w:rPr>
            </w:pPr>
            <w:r>
              <w:rPr>
                <w:rFonts w:ascii="Arial" w:cs="Arial" w:eastAsia="Arial" w:hAnsi="Arial"/>
                <w:sz w:val="18"/>
                <w:szCs w:val="18"/>
                <w:b w:val="1"/>
                <w:bCs w:val="1"/>
                <w:color w:val="auto"/>
              </w:rPr>
              <w:t>Date Purchased</w:t>
            </w:r>
          </w:p>
        </w:tc>
        <w:tc>
          <w:tcPr>
            <w:tcW w:w="1440" w:type="dxa"/>
            <w:vAlign w:val="bottom"/>
            <w:gridSpan w:val="2"/>
          </w:tcPr>
          <w:p>
            <w:pPr>
              <w:jc w:val="center"/>
              <w:ind w:right="160"/>
              <w:spacing w:after="0" w:line="271" w:lineRule="exact"/>
              <w:rPr>
                <w:sz w:val="20"/>
                <w:szCs w:val="20"/>
                <w:color w:val="auto"/>
              </w:rPr>
            </w:pPr>
            <w:r>
              <w:rPr>
                <w:rFonts w:ascii="Arial" w:cs="Arial" w:eastAsia="Arial" w:hAnsi="Arial"/>
                <w:sz w:val="18"/>
                <w:szCs w:val="18"/>
                <w:b w:val="1"/>
                <w:bCs w:val="1"/>
                <w:color w:val="auto"/>
                <w:w w:val="88"/>
              </w:rPr>
              <w:t xml:space="preserve">Purchased </w:t>
            </w:r>
            <w:r>
              <w:rPr>
                <w:rFonts w:ascii="Arial" w:cs="Arial" w:eastAsia="Arial" w:hAnsi="Arial"/>
                <w:sz w:val="30"/>
                <w:szCs w:val="30"/>
                <w:b w:val="1"/>
                <w:bCs w:val="1"/>
                <w:color w:val="auto"/>
                <w:w w:val="88"/>
                <w:vertAlign w:val="superscript"/>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center"/>
              <w:ind w:right="440"/>
              <w:spacing w:after="0" w:line="271"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30"/>
                <w:szCs w:val="30"/>
                <w:b w:val="1"/>
                <w:bCs w:val="1"/>
                <w:color w:val="auto"/>
                <w:w w:val="85"/>
                <w:vertAlign w:val="superscript"/>
              </w:rPr>
              <w:t>(1)</w:t>
            </w:r>
          </w:p>
        </w:tc>
        <w:tc>
          <w:tcPr>
            <w:tcW w:w="1400" w:type="dxa"/>
            <w:vAlign w:val="bottom"/>
            <w:gridSpan w:val="2"/>
          </w:tcPr>
          <w:p>
            <w:pPr>
              <w:jc w:val="center"/>
              <w:ind w:right="14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r>
      <w:tr>
        <w:trPr>
          <w:trHeight w:val="210"/>
        </w:trPr>
        <w:tc>
          <w:tcPr>
            <w:tcW w:w="5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February 3, 2013 through March 2, 2013</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149,357</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34.35</w:t>
            </w:r>
          </w:p>
        </w:tc>
        <w:tc>
          <w:tcPr>
            <w:tcW w:w="3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600,000,000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3, 2013 through April 6, 2013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238,246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33.31</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600,000,000</w:t>
            </w:r>
          </w:p>
        </w:tc>
      </w:tr>
      <w:tr>
        <w:trPr>
          <w:trHeight w:val="230"/>
        </w:trPr>
        <w:tc>
          <w:tcPr>
            <w:tcW w:w="5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7, 2013 through May 4, 2013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600,000,000</w:t>
            </w:r>
          </w:p>
        </w:tc>
      </w:tr>
      <w:tr>
        <w:trPr>
          <w:trHeight w:val="224"/>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340" w:type="dxa"/>
            <w:vAlign w:val="bottom"/>
          </w:tcPr>
          <w:p>
            <w:pPr>
              <w:spacing w:after="0"/>
              <w:rPr>
                <w:sz w:val="19"/>
                <w:szCs w:val="19"/>
                <w:color w:val="auto"/>
              </w:rPr>
            </w:pPr>
          </w:p>
        </w:tc>
        <w:tc>
          <w:tcPr>
            <w:tcW w:w="12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left="680" w:right="100" w:hanging="575"/>
        <w:spacing w:after="0" w:line="209" w:lineRule="auto"/>
        <w:tabs>
          <w:tab w:leader="none" w:pos="68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These columns also reflect shares acquired in satisfaction of the tax withholding obligation of holders of restricted stock and restricted stock units which vested during the quarter. The calculation of the average price paid per share includes all fees, commissions, and other costs associated with the repurchase of such shares.</w:t>
      </w:r>
    </w:p>
    <w:p>
      <w:pPr>
        <w:spacing w:after="0" w:line="1" w:lineRule="exact"/>
        <w:rPr>
          <w:rFonts w:ascii="Arial" w:cs="Arial" w:eastAsia="Arial" w:hAnsi="Arial"/>
          <w:sz w:val="30"/>
          <w:szCs w:val="30"/>
          <w:color w:val="auto"/>
          <w:vertAlign w:val="superscript"/>
        </w:rPr>
      </w:pPr>
    </w:p>
    <w:p>
      <w:pPr>
        <w:ind w:left="680" w:right="100" w:hanging="575"/>
        <w:spacing w:after="0" w:line="187" w:lineRule="auto"/>
        <w:tabs>
          <w:tab w:leader="none" w:pos="68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new 3-year, $600 million share repurchase program extending through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3" w:lineRule="exact"/>
        <w:rPr>
          <w:sz w:val="20"/>
          <w:szCs w:val="20"/>
          <w:color w:val="auto"/>
        </w:rPr>
      </w:pPr>
    </w:p>
    <w:p>
      <w:pPr>
        <w:ind w:left="820" w:hanging="5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June 12, 2013</w:t>
            </w: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58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194"/>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20" w:type="dxa"/>
            <w:vAlign w:val="bottom"/>
            <w:gridSpan w:val="3"/>
          </w:tcPr>
          <w:p>
            <w:pPr>
              <w:jc w:val="center"/>
              <w:ind w:right="860"/>
              <w:spacing w:after="0" w:line="194" w:lineRule="exact"/>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1340" w:type="dxa"/>
            <w:vAlign w:val="bottom"/>
          </w:tcPr>
          <w:p>
            <w:pPr>
              <w:spacing w:after="0"/>
              <w:rPr>
                <w:sz w:val="24"/>
                <w:szCs w:val="24"/>
                <w:color w:val="auto"/>
              </w:rPr>
            </w:pPr>
          </w:p>
        </w:tc>
        <w:tc>
          <w:tcPr>
            <w:tcW w:w="6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Item 601</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19"/>
                <w:szCs w:val="19"/>
                <w:color w:val="auto"/>
              </w:rPr>
            </w:pPr>
          </w:p>
        </w:tc>
        <w:tc>
          <w:tcPr>
            <w:tcW w:w="9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Interactive data files.</w:t>
            </w:r>
          </w:p>
        </w:tc>
      </w:tr>
      <w:tr>
        <w:trPr>
          <w:trHeight w:val="648"/>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ind w:left="4120"/>
              <w:spacing w:after="0"/>
              <w:rPr>
                <w:sz w:val="20"/>
                <w:szCs w:val="20"/>
                <w:color w:val="auto"/>
              </w:rPr>
            </w:pPr>
            <w:r>
              <w:rPr>
                <w:rFonts w:ascii="Arial" w:cs="Arial" w:eastAsia="Arial" w:hAnsi="Arial"/>
                <w:sz w:val="18"/>
                <w:szCs w:val="18"/>
                <w:color w:val="auto"/>
              </w:rPr>
              <w:t>26</w:t>
            </w: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Thirteen weeks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8"/>
          </w:tcPr>
          <w:p>
            <w:pPr>
              <w:jc w:val="right"/>
              <w:spacing w:after="0"/>
              <w:rPr>
                <w:sz w:val="20"/>
                <w:szCs w:val="20"/>
                <w:color w:val="auto"/>
              </w:rPr>
            </w:pPr>
            <w:r>
              <w:rPr>
                <w:rFonts w:ascii="Arial" w:cs="Arial" w:eastAsia="Arial" w:hAnsi="Arial"/>
                <w:sz w:val="18"/>
                <w:szCs w:val="18"/>
                <w:b w:val="1"/>
                <w:bCs w:val="1"/>
                <w:color w:val="auto"/>
              </w:rPr>
              <w:t>Fiscal year ended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4"/>
              </w:rPr>
              <w:t>May 4,</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90"/>
              </w:rPr>
              <w:t>Apr. 28,</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Feb 3,</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Jan. 28,</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Jan. 29,</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Jan. 30,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Jan.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 excluding capitalized interest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factor</w:t>
            </w: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Gross interest expense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factor</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acknowledge our awareness of the use of our report dated June 12, 2013 related to our review of interim financial information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Statements:</w:t>
      </w:r>
    </w:p>
    <w:p>
      <w:pPr>
        <w:spacing w:after="0" w:line="211" w:lineRule="exact"/>
        <w:rPr>
          <w:sz w:val="20"/>
          <w:szCs w:val="20"/>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2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693"/>
        <w:spacing w:after="0" w:line="342" w:lineRule="auto"/>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693"/>
        <w:spacing w:after="0" w:line="264" w:lineRule="auto"/>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693"/>
        <w:spacing w:after="0" w:line="308" w:lineRule="auto"/>
        <w:tabs>
          <w:tab w:leader="none" w:pos="11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693"/>
        <w:spacing w:after="0" w:line="277" w:lineRule="auto"/>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12, 2013</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-130810</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693"/>
        <w:spacing w:after="0" w:line="342" w:lineRule="auto"/>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693"/>
        <w:spacing w:after="0" w:line="308" w:lineRule="auto"/>
        <w:tabs>
          <w:tab w:leader="none" w:pos="11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693"/>
        <w:spacing w:after="0" w:line="277"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12, 2013</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-130810</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4, 2013, as filed with the Securities and Exchange Commission on the date hereof (the “Report”), Ken C. Hicks,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1040" w:hanging="617"/>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00" w:hanging="617"/>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2013</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May 4, 2013 and April 28, 2012, and the related condensed consolidated statements of operations, comprehensive income, and cash flows for the thirteen week periods ended May 4, 2013 and April 28, 2012. These condensed consolidated financial statements are the responsibility of the Company’s management.</w:t>
      </w:r>
    </w:p>
    <w:p>
      <w:pPr>
        <w:spacing w:after="0" w:line="16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2, 2013, and the related consolidated statements of operations, comprehensive income, shareholders' equity, and cash flows for the year then ended (not presented herein); and in our report dated April 1, 2013, we expressed an unqualified opinion on those consolidated financial statements. In our opinion, the information set forth in the accompanying condensed consolidated balance sheet as of February 2, 2013,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þ"/>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8"/>
    </w:lvl>
  </w:abstractNum>
  <w:abstractNum w:abstractNumId="14">
    <w:nsid w:val="62BBD95A"/>
    <w:multiLevelType w:val="hybridMultilevel"/>
    <w:lvl w:ilvl="0">
      <w:lvlJc w:val="left"/>
      <w:lvlText w:val="%1."/>
      <w:numFmt w:val="decimal"/>
      <w:start w:val="9"/>
    </w:lvl>
  </w:abstractNum>
  <w:abstractNum w:abstractNumId="15">
    <w:nsid w:val="436C6125"/>
    <w:multiLevelType w:val="hybridMultilevel"/>
    <w:lvl w:ilvl="0">
      <w:lvlJc w:val="left"/>
      <w:lvlText w:val="%1."/>
      <w:numFmt w:val="decimal"/>
      <w:start w:val="9"/>
    </w:lvl>
  </w:abstractNum>
  <w:abstractNum w:abstractNumId="16">
    <w:nsid w:val="628C895D"/>
    <w:multiLevelType w:val="hybridMultilevel"/>
    <w:lvl w:ilvl="0">
      <w:lvlJc w:val="left"/>
      <w:lvlText w:val="%1."/>
      <w:numFmt w:val="decimal"/>
      <w:start w:val="9"/>
    </w:lvl>
  </w:abstractNum>
  <w:abstractNum w:abstractNumId="17">
    <w:nsid w:val="333AB105"/>
    <w:multiLevelType w:val="hybridMultilevel"/>
    <w:lvl w:ilvl="0">
      <w:lvlJc w:val="left"/>
      <w:lvlText w:val="%1."/>
      <w:numFmt w:val="decimal"/>
      <w:start w:val="10"/>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2019-12-06T03:41:43Z</dcterms:created>
  <dcterms:modified xsi:type="dcterms:W3CDTF">2019-12-06T03:41:43Z</dcterms:modified>
</cp:coreProperties>
</file>