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1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940" w:right="1400" w:hanging="3577"/>
        <w:spacing w:after="0" w:line="503" w:lineRule="auto"/>
        <w:tabs>
          <w:tab w:leader="none" w:pos="85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October 31,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600" w:right="1400" w:hanging="3232"/>
        <w:spacing w:after="0" w:line="503" w:lineRule="auto"/>
        <w:tabs>
          <w:tab w:leader="none" w:pos="853"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1-10299</w:t>
      </w:r>
    </w:p>
    <w:p>
      <w:pPr>
        <w:spacing w:after="0" w:line="23"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142875</wp:posOffset>
            </wp:positionV>
            <wp:extent cx="252984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984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ectPr>
          <w:pgSz w:w="11900" w:h="16838" w:orient="portrait"/>
          <w:cols w:equalWidth="0" w:num="1">
            <w:col w:w="11420"/>
          </w:cols>
          <w:pgMar w:left="240" w:top="445" w:right="239" w:bottom="1440" w:gutter="0" w:footer="0" w:header="0"/>
        </w:sectPr>
      </w:pPr>
    </w:p>
    <w:p>
      <w:pPr>
        <w:spacing w:after="0" w:line="20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540" w:space="720"/>
            <w:col w:w="4160"/>
          </w:cols>
          <w:pgMar w:left="240" w:top="445" w:right="239" w:bottom="1440" w:gutter="0" w:footer="0" w:header="0"/>
          <w:type w:val="continuous"/>
        </w:sectPr>
      </w:pPr>
    </w:p>
    <w:p>
      <w:pPr>
        <w:ind w:left="3840"/>
        <w:spacing w:after="0"/>
        <w:rPr>
          <w:sz w:val="20"/>
          <w:szCs w:val="20"/>
          <w:color w:val="auto"/>
        </w:rPr>
      </w:pPr>
      <w:r>
        <w:rPr>
          <w:rFonts w:ascii="Arial" w:cs="Arial" w:eastAsia="Arial" w:hAnsi="Arial"/>
          <w:sz w:val="18"/>
          <w:szCs w:val="18"/>
          <w:b w:val="1"/>
          <w:bCs w:val="1"/>
          <w:color w:val="auto"/>
        </w:rPr>
        <w:t>112 West 34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New York, New York 10120</w:t>
      </w:r>
    </w:p>
    <w:p>
      <w:pPr>
        <w:ind w:left="3900"/>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(212-720-3700)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þ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Large accelerated filer þ</w:t>
            </w:r>
          </w:p>
        </w:tc>
        <w:tc>
          <w:tcPr>
            <w:tcW w:w="2640" w:type="dxa"/>
            <w:vAlign w:val="bottom"/>
          </w:tcPr>
          <w:p>
            <w:pPr>
              <w:ind w:left="560"/>
              <w:spacing w:after="0"/>
              <w:rPr>
                <w:sz w:val="20"/>
                <w:szCs w:val="20"/>
                <w:color w:val="auto"/>
              </w:rPr>
            </w:pPr>
            <w:r>
              <w:rPr>
                <w:rFonts w:ascii="Arial" w:cs="Arial" w:eastAsia="Arial" w:hAnsi="Arial"/>
                <w:sz w:val="18"/>
                <w:szCs w:val="18"/>
                <w:color w:val="auto"/>
              </w:rPr>
              <w:t>Accelerated filer o</w:t>
            </w:r>
          </w:p>
        </w:tc>
        <w:tc>
          <w:tcPr>
            <w:tcW w:w="3280" w:type="dxa"/>
            <w:vAlign w:val="bottom"/>
          </w:tcPr>
          <w:p>
            <w:pPr>
              <w:ind w:left="760"/>
              <w:spacing w:after="0"/>
              <w:rPr>
                <w:sz w:val="20"/>
                <w:szCs w:val="20"/>
                <w:color w:val="auto"/>
              </w:rPr>
            </w:pPr>
            <w:r>
              <w:rPr>
                <w:rFonts w:ascii="Arial" w:cs="Arial" w:eastAsia="Arial" w:hAnsi="Arial"/>
                <w:sz w:val="18"/>
                <w:szCs w:val="18"/>
                <w:color w:val="auto"/>
              </w:rPr>
              <w:t>Non-accelerated filer o</w:t>
            </w:r>
          </w:p>
        </w:tc>
        <w:tc>
          <w:tcPr>
            <w:tcW w:w="3180" w:type="dxa"/>
            <w:vAlign w:val="bottom"/>
          </w:tcPr>
          <w:p>
            <w:pPr>
              <w:ind w:left="340"/>
              <w:spacing w:after="0"/>
              <w:rPr>
                <w:sz w:val="20"/>
                <w:szCs w:val="20"/>
                <w:color w:val="auto"/>
              </w:rPr>
            </w:pPr>
            <w:r>
              <w:rPr>
                <w:rFonts w:ascii="Arial" w:cs="Arial" w:eastAsia="Arial" w:hAnsi="Arial"/>
                <w:sz w:val="18"/>
                <w:szCs w:val="18"/>
                <w:color w:val="auto"/>
              </w:rPr>
              <w:t>Smaller reporting company o</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3180" w:type="dxa"/>
            <w:vAlign w:val="bottom"/>
          </w:tcPr>
          <w:p>
            <w:pPr>
              <w:ind w:left="80"/>
              <w:spacing w:after="0"/>
              <w:rPr>
                <w:sz w:val="20"/>
                <w:szCs w:val="20"/>
                <w:color w:val="auto"/>
              </w:rPr>
            </w:pPr>
            <w:r>
              <w:rPr>
                <w:rFonts w:ascii="Arial" w:cs="Arial" w:eastAsia="Arial" w:hAnsi="Arial"/>
                <w:sz w:val="18"/>
                <w:szCs w:val="18"/>
                <w:color w:val="auto"/>
              </w:rPr>
              <w:t>Yes o  No þ</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Number of shares of Common Stock outstanding as of November 27, 2015: 137,261,732</w:t>
            </w:r>
          </w:p>
        </w:tc>
        <w:tc>
          <w:tcPr>
            <w:tcW w:w="3180" w:type="dxa"/>
            <w:vAlign w:val="bottom"/>
          </w:tcPr>
          <w:p>
            <w:pPr>
              <w:spacing w:after="0"/>
              <w:rPr>
                <w:sz w:val="24"/>
                <w:szCs w:val="24"/>
                <w:color w:val="auto"/>
              </w:rPr>
            </w:pPr>
          </w:p>
        </w:tc>
      </w:tr>
      <w:tr>
        <w:trPr>
          <w:trHeight w:val="675"/>
        </w:trPr>
        <w:tc>
          <w:tcPr>
            <w:tcW w:w="2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5" w:right="239" w:bottom="1440" w:gutter="0" w:footer="0" w:header="0"/>
          <w:type w:val="continuous"/>
        </w:sectPr>
      </w:pPr>
    </w:p>
    <w:bookmarkStart w:id="1" w:name="page2"/>
    <w:bookmarkEnd w:id="1"/>
    <w:p>
      <w:pPr>
        <w:ind w:left="4820"/>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40" w:type="dxa"/>
            <w:vAlign w:val="bottom"/>
            <w:gridSpan w:val="2"/>
          </w:tcPr>
          <w:p>
            <w:pPr>
              <w:ind w:left="19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10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540" w:type="dxa"/>
            <w:vAlign w:val="bottom"/>
            <w:tcBorders>
              <w:bottom w:val="single" w:sz="8" w:color="CCEEFF"/>
            </w:tcBorders>
            <w:gridSpan w:val="11"/>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gridSpan w:val="7"/>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460" w:type="dxa"/>
            <w:vAlign w:val="bottom"/>
            <w:gridSpan w:val="1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w:t>
              </w:r>
            </w:hyperlink>
          </w:p>
        </w:tc>
        <w:tc>
          <w:tcPr>
            <w:tcW w:w="3480" w:type="dxa"/>
            <w:vAlign w:val="bottom"/>
            <w:tcBorders>
              <w:bottom w:val="single" w:sz="8" w:color="CCEEFF"/>
            </w:tcBorders>
            <w:gridSpan w:val="6"/>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60" w:type="dxa"/>
            <w:vAlign w:val="bottom"/>
            <w:gridSpan w:val="1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5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188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60" w:type="dxa"/>
            <w:vAlign w:val="bottom"/>
            <w:gridSpan w:val="1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w:t>
              </w:r>
            </w:hyperlink>
          </w:p>
        </w:tc>
        <w:tc>
          <w:tcPr>
            <w:tcW w:w="2420" w:type="dxa"/>
            <w:vAlign w:val="bottom"/>
            <w:tcBorders>
              <w:bottom w:val="single" w:sz="8" w:color="CCEEFF"/>
            </w:tcBorders>
            <w:gridSpan w:val="3"/>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gridSpan w:val="7"/>
          </w:tcPr>
          <w:p>
            <w:pPr>
              <w:ind w:left="10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460" w:type="dxa"/>
            <w:vAlign w:val="bottom"/>
            <w:gridSpan w:val="14"/>
          </w:tcPr>
          <w:p>
            <w:pPr>
              <w:spacing w:after="0" w:line="17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860" w:type="dxa"/>
            <w:vAlign w:val="bottom"/>
            <w:tcBorders>
              <w:bottom w:val="single" w:sz="8" w:color="CCEEFF"/>
            </w:tcBorders>
            <w:gridSpan w:val="5"/>
            <w:shd w:val="clear" w:color="auto" w:fill="CCEEFF"/>
          </w:tcPr>
          <w:p>
            <w:pPr>
              <w:spacing w:after="0"/>
              <w:rPr>
                <w:sz w:val="17"/>
                <w:szCs w:val="17"/>
                <w:color w:val="auto"/>
              </w:rPr>
            </w:pPr>
          </w:p>
        </w:tc>
        <w:tc>
          <w:tcPr>
            <w:tcW w:w="18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Controls and Procedures</w:t>
              </w:r>
            </w:hyperlink>
          </w:p>
        </w:tc>
        <w:tc>
          <w:tcPr>
            <w:tcW w:w="4660" w:type="dxa"/>
            <w:vAlign w:val="bottom"/>
            <w:tcBorders>
              <w:bottom w:val="single" w:sz="8" w:color="CCEEFF"/>
            </w:tcBorders>
            <w:gridSpan w:val="7"/>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line="176" w:lineRule="exact"/>
              <w:rPr>
                <w:sz w:val="20"/>
                <w:szCs w:val="20"/>
                <w:color w:val="auto"/>
              </w:rPr>
            </w:pPr>
            <w:r>
              <w:rPr>
                <w:rFonts w:ascii="Arial" w:cs="Arial" w:eastAsia="Arial" w:hAnsi="Arial"/>
                <w:sz w:val="18"/>
                <w:szCs w:val="18"/>
                <w:color w:val="auto"/>
              </w:rPr>
              <w:t>PART II.</w:t>
            </w:r>
          </w:p>
        </w:tc>
        <w:tc>
          <w:tcPr>
            <w:tcW w:w="7940" w:type="dxa"/>
            <w:vAlign w:val="bottom"/>
            <w:gridSpan w:val="21"/>
          </w:tcPr>
          <w:p>
            <w:pPr>
              <w:ind w:left="1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Item 1. 1.</w:t>
              </w:r>
            </w:hyperlink>
          </w:p>
        </w:tc>
        <w:tc>
          <w:tcPr>
            <w:tcW w:w="6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Legal Proceedings</w:t>
              </w:r>
            </w:hyperlink>
          </w:p>
        </w:tc>
        <w:tc>
          <w:tcPr>
            <w:tcW w:w="5080" w:type="dxa"/>
            <w:vAlign w:val="bottom"/>
            <w:tcBorders>
              <w:bottom w:val="single" w:sz="8" w:color="CCEEFF"/>
            </w:tcBorders>
            <w:gridSpan w:val="9"/>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gridSpan w:val="7"/>
          </w:tcPr>
          <w:p>
            <w:pPr>
              <w:ind w:left="1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6460" w:type="dxa"/>
            <w:vAlign w:val="bottom"/>
            <w:gridSpan w:val="1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860" w:type="dxa"/>
            <w:vAlign w:val="bottom"/>
            <w:tcBorders>
              <w:bottom w:val="single" w:sz="8" w:color="CCEEFF"/>
            </w:tcBorders>
            <w:gridSpan w:val="5"/>
            <w:shd w:val="clear" w:color="auto" w:fill="CCEEFF"/>
          </w:tcPr>
          <w:p>
            <w:pPr>
              <w:spacing w:after="0"/>
              <w:rPr>
                <w:sz w:val="17"/>
                <w:szCs w:val="17"/>
                <w:color w:val="auto"/>
              </w:rPr>
            </w:pPr>
          </w:p>
        </w:tc>
        <w:tc>
          <w:tcPr>
            <w:tcW w:w="43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gridSpan w:val="7"/>
          </w:tcPr>
          <w:p>
            <w:pPr>
              <w:ind w:left="10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6460" w:type="dxa"/>
            <w:vAlign w:val="bottom"/>
            <w:gridSpan w:val="1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0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SIGNATURE</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gridSpan w:val="8"/>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INDEX OF EXHIBITS</w:t>
              </w:r>
            </w:hyperlink>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24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November 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January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916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Merchandise inventories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 assets,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Accrued and other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and obligations under capital leases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Common stock and paid-in capital: 173,333,777; 170,469,434 and 170,529,401 shares,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w w:val="92"/>
              </w:rPr>
              <w:t>Less: Treasury stock at cost: 34,772,045; 27,323,176 and 29,665,213 shares, respectively</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jc w:val="both"/>
        <w:ind w:right="20" w:firstLine="8"/>
        <w:spacing w:after="0" w:line="312" w:lineRule="auto"/>
        <w:tabs>
          <w:tab w:leader="none" w:pos="13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sheet at January 31, 2015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31, 2015.</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w w:val="92"/>
              </w:rPr>
              <w:t>October 31,</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2"/>
              </w:rPr>
              <w:t>November 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92"/>
              </w:rPr>
              <w:t>October 31,</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Litigation and impairment charges</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0.84</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0.82</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assuming dilution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w w:val="92"/>
              </w:rPr>
              <w:t>October 31,</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2"/>
              </w:rPr>
              <w:t>November 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Translation adjustment arising during the period, net of income tax</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net of income tax</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Amortization of net actuarial gain/loss included in net periodic benefit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20" w:type="dxa"/>
            <w:vAlign w:val="bottom"/>
            <w:gridSpan w:val="2"/>
          </w:tcPr>
          <w:p>
            <w:pPr>
              <w:spacing w:after="0"/>
              <w:rPr>
                <w:sz w:val="20"/>
                <w:szCs w:val="20"/>
                <w:color w:val="auto"/>
              </w:rPr>
            </w:pPr>
            <w:r>
              <w:rPr>
                <w:rFonts w:ascii="Arial" w:cs="Arial" w:eastAsia="Arial" w:hAnsi="Arial"/>
                <w:sz w:val="18"/>
                <w:szCs w:val="18"/>
                <w:color w:val="auto"/>
                <w:w w:val="94"/>
              </w:rPr>
              <w:t>costs, net of income tax expense of $1, $2, $3, and $4 million, respectively</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260"/>
              <w:spacing w:after="0" w:line="205" w:lineRule="exact"/>
              <w:rPr>
                <w:sz w:val="20"/>
                <w:szCs w:val="20"/>
                <w:color w:val="auto"/>
              </w:rPr>
            </w:pPr>
            <w:r>
              <w:rPr>
                <w:rFonts w:ascii="Arial" w:cs="Arial" w:eastAsia="Arial" w:hAnsi="Arial"/>
                <w:sz w:val="18"/>
                <w:szCs w:val="18"/>
                <w:b w:val="1"/>
                <w:bCs w:val="1"/>
                <w:color w:val="auto"/>
                <w:w w:val="92"/>
              </w:rPr>
              <w:t>October 31,</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Operating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Non-cash impairment charge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Qualified pension plan contributions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Excess tax benefits on share-based compensation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assets and liabilities: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Merchandise inventories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Accrued and other liabilities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From Investing Activities: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Acquisition, net of cash acquired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short-term investments</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From Financing Activities: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Dividends paid on common stock</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Treasury stock issued under employee stock purchase plan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on share-based compensation</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Repayments of obligations under capital leases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fluctuations on Cash and Cash Equivalents</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967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interim period</w:t>
            </w:r>
          </w:p>
        </w:tc>
        <w:tc>
          <w:tcPr>
            <w:tcW w:w="13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Cash paid during the period: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 ending January 30, 2016 and of the fiscal year ended January 31, 2015.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January 31, 2015, as filed with the U.S. Securities and Exchange Commission (the “SEC”) on March 30,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November 2015, the Financial Accounting Standards Board issued Accounting Standards Update (“ASU”) 2015-17, </w:t>
      </w:r>
      <w:r>
        <w:rPr>
          <w:rFonts w:ascii="Arial" w:cs="Arial" w:eastAsia="Arial" w:hAnsi="Arial"/>
          <w:sz w:val="17"/>
          <w:szCs w:val="17"/>
          <w:i w:val="1"/>
          <w:iCs w:val="1"/>
          <w:color w:val="auto"/>
        </w:rPr>
        <w:t>Income Taxes (Topic 740): Balance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Sheet Classification of Deferred Taxes. </w:t>
      </w:r>
      <w:r>
        <w:rPr>
          <w:rFonts w:ascii="Arial" w:cs="Arial" w:eastAsia="Arial" w:hAnsi="Arial"/>
          <w:sz w:val="17"/>
          <w:szCs w:val="17"/>
          <w:color w:val="auto"/>
        </w:rPr>
        <w:t>This amendment changes how deferred taxes are recognized by eliminating the requirement of presenting deferred tax</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and assets as current and noncurrent on the balance sheet. Instead, the requirement will be to classify all deferred tax liabilities and assets as noncurrent. ASU 2015-17 is effective for annual reporting periods beginning after December 15, 2016, including interim periods within that reporting period, with earlier adoption permitted. ASU 2015-17 can be adopted either prospectively or retrospectively to all periods presented. The Company plans on early adopting ASU 2015-17 prospectively during fiscal year 2016. The adoption of this guidance is not expected to have an effect on our results of operations or cash flows, as this represents only a change in balance sheet classification.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 2015, the Company completed an insignificant asset acquisition from Futura Sport AG for total consideration of $2 million, of which $1 million was paid during the third quarter of 2015. The Company expects to make the remaining payment of $1 million during the fourth quarter for the remainder of the purchase price. The assets acquired include store fixtures, lease agreements, and inventory for 10 Runners Point and Sidestep franchise stores in Switzerland. The purchase price allocation has been completed as of October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29"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8"/>
          <w:szCs w:val="18"/>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pension litigation charge, corporate expense, non-operating income, and net interest expense.</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Athletic Stores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Direct-to-Customers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sales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7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6"/>
          </w:tcPr>
          <w:p>
            <w:pPr>
              <w:ind w:left="28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2"/>
              </w:rPr>
              <w:t>November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October 31,</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20" w:type="dxa"/>
            <w:vAlign w:val="bottom"/>
          </w:tcPr>
          <w:p>
            <w:pPr>
              <w:spacing w:after="0"/>
              <w:rPr>
                <w:sz w:val="17"/>
                <w:szCs w:val="17"/>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r>
      <w:tr>
        <w:trPr>
          <w:trHeight w:val="228"/>
        </w:trPr>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6"/>
          </w:tcPr>
          <w:p>
            <w:pPr>
              <w:ind w:left="700"/>
              <w:spacing w:after="0"/>
              <w:rPr>
                <w:sz w:val="20"/>
                <w:szCs w:val="20"/>
                <w:color w:val="auto"/>
              </w:rPr>
            </w:pPr>
            <w:r>
              <w:rPr>
                <w:rFonts w:ascii="Arial" w:cs="Arial" w:eastAsia="Arial" w:hAnsi="Arial"/>
                <w:sz w:val="18"/>
                <w:szCs w:val="18"/>
                <w:b w:val="1"/>
                <w:bCs w:val="1"/>
                <w:color w:val="auto"/>
              </w:rPr>
              <w:t>($ in millions)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9"/>
        </w:trPr>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1,571</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4,755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4,646</w:t>
            </w:r>
          </w:p>
        </w:tc>
      </w:tr>
      <w:tr>
        <w:trPr>
          <w:trHeight w:val="234"/>
        </w:trPr>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-574040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-299720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877" w:right="239" w:bottom="1440" w:gutter="0" w:footer="0" w:header="0"/>
          <w:type w:val="continuous"/>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3. Segment Information – (continued)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7"/>
          </w:tcPr>
          <w:p>
            <w:pPr>
              <w:ind w:left="28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56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2"/>
              </w:rPr>
              <w:t>November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October 31,</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gridSpan w:val="2"/>
          </w:tcPr>
          <w:p>
            <w:pPr>
              <w:spacing w:after="0"/>
              <w:rPr>
                <w:sz w:val="17"/>
                <w:szCs w:val="17"/>
                <w:color w:val="auto"/>
              </w:rPr>
            </w:pPr>
          </w:p>
        </w:tc>
      </w:tr>
      <w:tr>
        <w:trPr>
          <w:trHeight w:val="234"/>
        </w:trPr>
        <w:tc>
          <w:tcPr>
            <w:tcW w:w="5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ind w:left="700"/>
              <w:spacing w:after="0"/>
              <w:rPr>
                <w:sz w:val="20"/>
                <w:szCs w:val="20"/>
                <w:color w:val="auto"/>
              </w:rPr>
            </w:pPr>
            <w:r>
              <w:rPr>
                <w:rFonts w:ascii="Arial" w:cs="Arial" w:eastAsia="Arial" w:hAnsi="Arial"/>
                <w:sz w:val="18"/>
                <w:szCs w:val="18"/>
                <w:b w:val="1"/>
                <w:bCs w:val="1"/>
                <w:color w:val="auto"/>
              </w:rPr>
              <w:t>($ in millions)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Athletic Stores </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649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22"/>
                <w:szCs w:val="22"/>
                <w:color w:val="auto"/>
              </w:rPr>
            </w:pPr>
          </w:p>
        </w:tc>
      </w:tr>
      <w:tr>
        <w:trPr>
          <w:trHeight w:val="270"/>
        </w:trPr>
        <w:tc>
          <w:tcPr>
            <w:tcW w:w="56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Direct-to-Customers </w:t>
            </w:r>
            <w:r>
              <w:rPr>
                <w:rFonts w:ascii="Arial" w:cs="Arial" w:eastAsia="Arial" w:hAnsi="Arial"/>
                <w:sz w:val="30"/>
                <w:szCs w:val="30"/>
                <w:color w:val="auto"/>
                <w:vertAlign w:val="superscript"/>
              </w:rPr>
              <w:t>(2)</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23"/>
                <w:szCs w:val="23"/>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Division profit</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Less:  Litigation charge </w:t>
            </w:r>
            <w:r>
              <w:rPr>
                <w:rFonts w:ascii="Arial" w:cs="Arial" w:eastAsia="Arial" w:hAnsi="Arial"/>
                <w:sz w:val="29"/>
                <w:szCs w:val="29"/>
                <w:color w:val="auto"/>
                <w:vertAlign w:val="superscript"/>
              </w:rPr>
              <w:t>(3)</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500"/>
              <w:spacing w:after="0"/>
              <w:rPr>
                <w:sz w:val="20"/>
                <w:szCs w:val="20"/>
                <w:color w:val="auto"/>
              </w:rPr>
            </w:pPr>
            <w:r>
              <w:rPr>
                <w:rFonts w:ascii="Arial" w:cs="Arial" w:eastAsia="Arial" w:hAnsi="Arial"/>
                <w:sz w:val="18"/>
                <w:szCs w:val="18"/>
                <w:color w:val="auto"/>
              </w:rPr>
              <w:t>Corporate expense,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9"/>
                <w:szCs w:val="29"/>
                <w:color w:val="auto"/>
                <w:vertAlign w:val="superscript"/>
              </w:rPr>
              <w:t>(4)</w:t>
            </w:r>
          </w:p>
        </w:tc>
        <w:tc>
          <w:tcPr>
            <w:tcW w:w="1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line="207" w:lineRule="auto"/>
        <w:tabs>
          <w:tab w:leader="none" w:pos="2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Included in the thirty-nine weeks ended November 1, 2014 is a non-cash impairment charge of $1 million to fully write down the remaining value of the tradename related to the Company’s stores in the Republic of Ireland.</w:t>
      </w:r>
    </w:p>
    <w:p>
      <w:pPr>
        <w:spacing w:after="0" w:line="110" w:lineRule="exact"/>
        <w:rPr>
          <w:rFonts w:ascii="Arial" w:cs="Arial" w:eastAsia="Arial" w:hAnsi="Arial"/>
          <w:sz w:val="28"/>
          <w:szCs w:val="28"/>
          <w:color w:val="auto"/>
          <w:vertAlign w:val="superscript"/>
        </w:rPr>
      </w:pPr>
    </w:p>
    <w:p>
      <w:pPr>
        <w:ind w:left="240" w:hanging="232"/>
        <w:spacing w:after="0"/>
        <w:tabs>
          <w:tab w:leader="none" w:pos="2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Included in the thirty-nine weeks ended November 1, 2014 is a $2 million non-cash impairment charge related to the CCS tradename.</w:t>
      </w:r>
    </w:p>
    <w:p>
      <w:pPr>
        <w:spacing w:after="0" w:line="201" w:lineRule="exact"/>
        <w:rPr>
          <w:rFonts w:ascii="Arial" w:cs="Arial" w:eastAsia="Arial" w:hAnsi="Arial"/>
          <w:sz w:val="28"/>
          <w:szCs w:val="28"/>
          <w:color w:val="auto"/>
          <w:vertAlign w:val="superscript"/>
        </w:rPr>
      </w:pPr>
    </w:p>
    <w:p>
      <w:pPr>
        <w:ind w:left="240" w:hanging="232"/>
        <w:spacing w:after="0" w:line="207" w:lineRule="auto"/>
        <w:tabs>
          <w:tab w:leader="none" w:pos="2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 xml:space="preserve">Included in the thirteen and thirty-nine weeks ended October 31, 2015 is a pre-tax litigation charge of $100 million relating to a pension litigation matter described further in Note 12, </w:t>
      </w:r>
      <w:r>
        <w:rPr>
          <w:rFonts w:ascii="Arial" w:cs="Arial" w:eastAsia="Arial" w:hAnsi="Arial"/>
          <w:sz w:val="17"/>
          <w:szCs w:val="17"/>
          <w:i w:val="1"/>
          <w:iCs w:val="1"/>
          <w:color w:val="auto"/>
        </w:rPr>
        <w:t>Legal Proceedings</w:t>
      </w:r>
      <w:r>
        <w:rPr>
          <w:rFonts w:ascii="Arial" w:cs="Arial" w:eastAsia="Arial" w:hAnsi="Arial"/>
          <w:sz w:val="17"/>
          <w:szCs w:val="17"/>
          <w:color w:val="auto"/>
        </w:rPr>
        <w:t>.</w:t>
      </w:r>
    </w:p>
    <w:p>
      <w:pPr>
        <w:spacing w:after="0" w:line="201" w:lineRule="exact"/>
        <w:rPr>
          <w:rFonts w:ascii="Arial" w:cs="Arial" w:eastAsia="Arial" w:hAnsi="Arial"/>
          <w:sz w:val="28"/>
          <w:szCs w:val="28"/>
          <w:color w:val="auto"/>
          <w:vertAlign w:val="superscript"/>
        </w:rPr>
      </w:pPr>
    </w:p>
    <w:p>
      <w:pPr>
        <w:ind w:left="240" w:hanging="232"/>
        <w:spacing w:after="0" w:line="207" w:lineRule="auto"/>
        <w:tabs>
          <w:tab w:leader="none" w:pos="2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Other income includes non-operating items, such as lease termination gains, royalty income, and the changes in fair value, premiums paid, and realized gains associated with foreign currency option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 The annual review of goodwill and intangible assets with indefinite lives performed during the first quarter of 2015 did not result in the recognition of impairment.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summary of goodwill by reportable segment. The change in the balance primarily represents foreign currency exchange fluctuations.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4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430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Direct-to-Customers</w:t>
            </w: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23"/>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90"/>
              </w:rPr>
              <w:t>October 31, 2015</w:t>
            </w: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November 1, 2014</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8"/>
          </w:tcPr>
          <w:p>
            <w:pPr>
              <w:jc w:val="center"/>
              <w:ind w:left="430"/>
              <w:spacing w:after="0"/>
              <w:rPr>
                <w:sz w:val="20"/>
                <w:szCs w:val="20"/>
                <w:color w:val="auto"/>
              </w:rPr>
            </w:pPr>
            <w:r>
              <w:rPr>
                <w:rFonts w:ascii="Arial" w:cs="Arial" w:eastAsia="Arial" w:hAnsi="Arial"/>
                <w:sz w:val="18"/>
                <w:szCs w:val="18"/>
                <w:b w:val="1"/>
                <w:bCs w:val="1"/>
                <w:color w:val="auto"/>
                <w:w w:val="91"/>
              </w:rPr>
              <w:t>January 31, 2015</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6"/>
                <w:szCs w:val="16"/>
                <w:color w:val="auto"/>
              </w:rPr>
            </w:pPr>
          </w:p>
        </w:tc>
        <w:tc>
          <w:tcPr>
            <w:tcW w:w="9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Accum.</w:t>
            </w:r>
          </w:p>
        </w:tc>
        <w:tc>
          <w:tcPr>
            <w:tcW w:w="140" w:type="dxa"/>
            <w:vAlign w:val="bottom"/>
          </w:tcPr>
          <w:p>
            <w:pPr>
              <w:spacing w:after="0"/>
              <w:rPr>
                <w:sz w:val="16"/>
                <w:szCs w:val="16"/>
                <w:color w:val="auto"/>
              </w:rPr>
            </w:pPr>
          </w:p>
        </w:tc>
        <w:tc>
          <w:tcPr>
            <w:tcW w:w="66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w w:val="86"/>
              </w:rPr>
              <w:t>Accum.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Accum.</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w:t>
            </w:r>
          </w:p>
        </w:tc>
        <w:tc>
          <w:tcPr>
            <w:tcW w:w="14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Value</w:t>
            </w: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amort.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amort.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199"/>
        </w:trPr>
        <w:tc>
          <w:tcPr>
            <w:tcW w:w="218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w w:val="95"/>
              </w:rPr>
              <w:t>Amortized intangible assets: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3"/>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(1), (2)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Lease acquisition costs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Favorable leases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0"/>
        </w:trPr>
        <w:tc>
          <w:tcPr>
            <w:tcW w:w="2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8"/>
          </w:tcPr>
          <w:p>
            <w:pPr>
              <w:spacing w:after="0"/>
              <w:rPr>
                <w:sz w:val="20"/>
                <w:szCs w:val="20"/>
                <w:color w:val="auto"/>
              </w:rPr>
            </w:pPr>
            <w:r>
              <w:rPr>
                <w:rFonts w:ascii="Arial" w:cs="Arial" w:eastAsia="Arial" w:hAnsi="Arial"/>
                <w:sz w:val="18"/>
                <w:szCs w:val="18"/>
                <w:b w:val="1"/>
                <w:bCs w:val="1"/>
                <w:color w:val="auto"/>
              </w:rPr>
              <w:t>5. Other Intangible Assets, net – (continued)</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October 31, 2015</w:t>
            </w:r>
          </w:p>
        </w:tc>
        <w:tc>
          <w:tcPr>
            <w:tcW w:w="6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8"/>
                <w:szCs w:val="18"/>
                <w:b w:val="1"/>
                <w:bCs w:val="1"/>
                <w:color w:val="auto"/>
                <w:w w:val="92"/>
              </w:rPr>
              <w:t>November 1, 2014</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January 31, 2015</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ind w:left="180"/>
              <w:spacing w:after="0" w:line="191" w:lineRule="exact"/>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305"/>
              <w:spacing w:after="0" w:line="191" w:lineRule="exact"/>
              <w:rPr>
                <w:sz w:val="20"/>
                <w:szCs w:val="20"/>
                <w:color w:val="auto"/>
              </w:rPr>
            </w:pPr>
            <w:r>
              <w:rPr>
                <w:rFonts w:ascii="Arial" w:cs="Arial" w:eastAsia="Arial" w:hAnsi="Arial"/>
                <w:sz w:val="18"/>
                <w:szCs w:val="18"/>
                <w:b w:val="1"/>
                <w:bCs w:val="1"/>
                <w:color w:val="auto"/>
                <w:w w:val="89"/>
              </w:rPr>
              <w:t>Accum.</w:t>
            </w:r>
          </w:p>
        </w:tc>
        <w:tc>
          <w:tcPr>
            <w:tcW w:w="66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16"/>
                <w:szCs w:val="16"/>
                <w:color w:val="auto"/>
              </w:rPr>
            </w:pPr>
          </w:p>
        </w:tc>
        <w:tc>
          <w:tcPr>
            <w:tcW w:w="680" w:type="dxa"/>
            <w:vAlign w:val="bottom"/>
          </w:tcPr>
          <w:p>
            <w:pPr>
              <w:ind w:left="180"/>
              <w:spacing w:after="0" w:line="191" w:lineRule="exact"/>
              <w:rPr>
                <w:sz w:val="20"/>
                <w:szCs w:val="20"/>
                <w:color w:val="auto"/>
              </w:rPr>
            </w:pPr>
            <w:r>
              <w:rPr>
                <w:rFonts w:ascii="Arial" w:cs="Arial" w:eastAsia="Arial" w:hAnsi="Arial"/>
                <w:sz w:val="18"/>
                <w:szCs w:val="18"/>
                <w:b w:val="1"/>
                <w:bCs w:val="1"/>
                <w:color w:val="auto"/>
                <w:w w:val="92"/>
              </w:rPr>
              <w:t>Gross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ind w:right="385"/>
              <w:spacing w:after="0" w:line="191" w:lineRule="exact"/>
              <w:rPr>
                <w:sz w:val="20"/>
                <w:szCs w:val="20"/>
                <w:color w:val="auto"/>
              </w:rPr>
            </w:pPr>
            <w:r>
              <w:rPr>
                <w:rFonts w:ascii="Arial" w:cs="Arial" w:eastAsia="Arial" w:hAnsi="Arial"/>
                <w:sz w:val="18"/>
                <w:szCs w:val="18"/>
                <w:b w:val="1"/>
                <w:bCs w:val="1"/>
                <w:color w:val="auto"/>
              </w:rPr>
              <w:t>Accum.</w:t>
            </w:r>
          </w:p>
        </w:tc>
        <w:tc>
          <w:tcPr>
            <w:tcW w:w="6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6"/>
              </w:rPr>
              <w:t>Net</w:t>
            </w:r>
          </w:p>
        </w:tc>
        <w:tc>
          <w:tcPr>
            <w:tcW w:w="200" w:type="dxa"/>
            <w:vAlign w:val="bottom"/>
          </w:tcPr>
          <w:p>
            <w:pPr>
              <w:spacing w:after="0"/>
              <w:rPr>
                <w:sz w:val="16"/>
                <w:szCs w:val="16"/>
                <w:color w:val="auto"/>
              </w:rPr>
            </w:pPr>
          </w:p>
        </w:tc>
        <w:tc>
          <w:tcPr>
            <w:tcW w:w="680" w:type="dxa"/>
            <w:vAlign w:val="bottom"/>
          </w:tcPr>
          <w:p>
            <w:pPr>
              <w:ind w:left="180"/>
              <w:spacing w:after="0" w:line="191" w:lineRule="exact"/>
              <w:rPr>
                <w:sz w:val="20"/>
                <w:szCs w:val="20"/>
                <w:color w:val="auto"/>
              </w:rPr>
            </w:pPr>
            <w:r>
              <w:rPr>
                <w:rFonts w:ascii="Arial" w:cs="Arial" w:eastAsia="Arial" w:hAnsi="Arial"/>
                <w:sz w:val="18"/>
                <w:szCs w:val="18"/>
                <w:b w:val="1"/>
                <w:bCs w:val="1"/>
                <w:color w:val="auto"/>
                <w:w w:val="92"/>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jc w:val="center"/>
              <w:ind w:right="250"/>
              <w:spacing w:after="0" w:line="191" w:lineRule="exact"/>
              <w:rPr>
                <w:sz w:val="20"/>
                <w:szCs w:val="20"/>
                <w:color w:val="auto"/>
              </w:rPr>
            </w:pPr>
            <w:r>
              <w:rPr>
                <w:rFonts w:ascii="Arial" w:cs="Arial" w:eastAsia="Arial" w:hAnsi="Arial"/>
                <w:sz w:val="18"/>
                <w:szCs w:val="18"/>
                <w:b w:val="1"/>
                <w:bCs w:val="1"/>
                <w:color w:val="auto"/>
                <w:w w:val="92"/>
              </w:rPr>
              <w:t>Accum.</w:t>
            </w:r>
          </w:p>
        </w:tc>
        <w:tc>
          <w:tcPr>
            <w:tcW w:w="6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720" w:type="dxa"/>
            <w:vAlign w:val="bottom"/>
          </w:tcPr>
          <w:p>
            <w:pPr>
              <w:ind w:left="2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center"/>
              <w:ind w:right="325"/>
              <w:spacing w:after="0"/>
              <w:rPr>
                <w:sz w:val="20"/>
                <w:szCs w:val="20"/>
                <w:color w:val="auto"/>
              </w:rPr>
            </w:pPr>
            <w:r>
              <w:rPr>
                <w:rFonts w:ascii="Arial" w:cs="Arial" w:eastAsia="Arial" w:hAnsi="Arial"/>
                <w:sz w:val="18"/>
                <w:szCs w:val="18"/>
                <w:b w:val="1"/>
                <w:bCs w:val="1"/>
                <w:color w:val="auto"/>
                <w:w w:val="94"/>
              </w:rPr>
              <w:t>amort.</w:t>
            </w: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Value</w:t>
            </w:r>
          </w:p>
        </w:tc>
        <w:tc>
          <w:tcPr>
            <w:tcW w:w="2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b w:val="1"/>
                <w:bCs w:val="1"/>
                <w:color w:val="auto"/>
                <w:w w:val="99"/>
              </w:rPr>
              <w:t>value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ind w:right="405"/>
              <w:spacing w:after="0"/>
              <w:rPr>
                <w:sz w:val="20"/>
                <w:szCs w:val="20"/>
                <w:color w:val="auto"/>
              </w:rPr>
            </w:pPr>
            <w:r>
              <w:rPr>
                <w:rFonts w:ascii="Arial" w:cs="Arial" w:eastAsia="Arial" w:hAnsi="Arial"/>
                <w:sz w:val="18"/>
                <w:szCs w:val="18"/>
                <w:b w:val="1"/>
                <w:bCs w:val="1"/>
                <w:color w:val="auto"/>
              </w:rPr>
              <w:t>amort.</w:t>
            </w:r>
          </w:p>
        </w:tc>
        <w:tc>
          <w:tcPr>
            <w:tcW w:w="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680" w:type="dxa"/>
            <w:vAlign w:val="bottom"/>
          </w:tcPr>
          <w:p>
            <w:pPr>
              <w:ind w:left="200"/>
              <w:spacing w:after="0"/>
              <w:rPr>
                <w:sz w:val="20"/>
                <w:szCs w:val="20"/>
                <w:color w:val="auto"/>
              </w:rPr>
            </w:pPr>
            <w:r>
              <w:rPr>
                <w:rFonts w:ascii="Arial" w:cs="Arial" w:eastAsia="Arial" w:hAnsi="Arial"/>
                <w:sz w:val="18"/>
                <w:szCs w:val="18"/>
                <w:b w:val="1"/>
                <w:bCs w:val="1"/>
                <w:color w:val="auto"/>
                <w:w w:val="99"/>
              </w:rPr>
              <w:t>value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4"/>
              </w:rPr>
              <w:t>amort.</w:t>
            </w: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99"/>
        </w:trPr>
        <w:tc>
          <w:tcPr>
            <w:tcW w:w="218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Indefinite life intangible</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300" w:type="dxa"/>
            <w:vAlign w:val="bottom"/>
            <w:gridSpan w:val="2"/>
            <w:shd w:val="clear" w:color="auto" w:fill="CCEEFF"/>
          </w:tcPr>
          <w:p>
            <w:pPr>
              <w:spacing w:after="0" w:line="266"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30"/>
                <w:szCs w:val="30"/>
                <w:color w:val="auto"/>
                <w:vertAlign w:val="superscript"/>
              </w:rPr>
              <w:t>(1)</w:t>
            </w: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Runners Point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Group trademarks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trademarks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680" w:type="dxa"/>
            <w:vAlign w:val="bottom"/>
            <w:shd w:val="clear" w:color="auto" w:fill="CCEEFF"/>
          </w:tcPr>
          <w:p>
            <w:pPr>
              <w:spacing w:after="0"/>
              <w:rPr>
                <w:sz w:val="23"/>
                <w:szCs w:val="23"/>
                <w:color w:val="auto"/>
              </w:rPr>
            </w:pP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change in the ending balances also reflects the effect of foreign currency fluctuations due primarily to the movements of the euro in relation to the U.S. dollar.</w:t>
      </w:r>
    </w:p>
    <w:p>
      <w:pPr>
        <w:spacing w:after="0" w:line="1"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2014, the Company exited the CCS e-commerce business; as such, the fully amortized customer relationship intangible of $21 million was removed from the amounts presented above for all periods.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thirty-nine week period ended October 31, 2015, activity included amortization of $3 million and a $1 million decrease related to foreign currency exchange fluctuations. This was partially offset by $1 million of lease acquisition additions primarily related to our European businesses, which are being amortized over a weighted-average life of 8 years.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9"/>
          </w:tcPr>
          <w:p>
            <w:pPr>
              <w:jc w:val="right"/>
              <w:ind w:right="68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jc w:val="center"/>
              <w:ind w:left="54"/>
              <w:spacing w:after="0" w:line="205" w:lineRule="exact"/>
              <w:rPr>
                <w:sz w:val="20"/>
                <w:szCs w:val="20"/>
                <w:color w:val="auto"/>
              </w:rPr>
            </w:pPr>
            <w:r>
              <w:rPr>
                <w:rFonts w:ascii="Arial" w:cs="Arial" w:eastAsia="Arial" w:hAnsi="Arial"/>
                <w:sz w:val="18"/>
                <w:szCs w:val="18"/>
                <w:b w:val="1"/>
                <w:bCs w:val="1"/>
                <w:color w:val="auto"/>
                <w:w w:val="90"/>
              </w:rPr>
              <w:t>October 31,</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60"/>
              <w:spacing w:after="0" w:line="205" w:lineRule="exact"/>
              <w:rPr>
                <w:sz w:val="20"/>
                <w:szCs w:val="20"/>
                <w:color w:val="auto"/>
              </w:rPr>
            </w:pPr>
            <w:r>
              <w:rPr>
                <w:rFonts w:ascii="Arial" w:cs="Arial" w:eastAsia="Arial" w:hAnsi="Arial"/>
                <w:sz w:val="18"/>
                <w:szCs w:val="18"/>
                <w:b w:val="1"/>
                <w:bCs w:val="1"/>
                <w:color w:val="auto"/>
                <w:w w:val="92"/>
              </w:rPr>
              <w:t>November 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0"/>
              </w:rPr>
              <w:t>October 31,</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1120" w:type="dxa"/>
            <w:vAlign w:val="bottom"/>
          </w:tcPr>
          <w:p>
            <w:pPr>
              <w:jc w:val="right"/>
              <w:ind w:right="234"/>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23"/>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54"/>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r>
      <w:tr>
        <w:trPr>
          <w:trHeight w:val="432"/>
        </w:trPr>
        <w:tc>
          <w:tcPr>
            <w:tcW w:w="6740" w:type="dxa"/>
            <w:vAlign w:val="bottom"/>
            <w:gridSpan w:val="3"/>
          </w:tcPr>
          <w:p>
            <w:pPr>
              <w:spacing w:after="0"/>
              <w:rPr>
                <w:sz w:val="20"/>
                <w:szCs w:val="20"/>
                <w:color w:val="auto"/>
              </w:rPr>
            </w:pPr>
            <w:r>
              <w:rPr>
                <w:rFonts w:ascii="Arial" w:cs="Arial" w:eastAsia="Arial" w:hAnsi="Arial"/>
                <w:sz w:val="18"/>
                <w:szCs w:val="18"/>
                <w:color w:val="auto"/>
              </w:rPr>
              <w:t>Estimated future amortization expense for finite life intangible assets is as follows: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 in millions)</w:t>
            </w: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6. Accumulated Other Comprehensive Loss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40" w:type="dxa"/>
            <w:vAlign w:val="bottom"/>
            <w:gridSpan w:val="3"/>
          </w:tcPr>
          <w:p>
            <w:pPr>
              <w:spacing w:after="0"/>
              <w:rPr>
                <w:sz w:val="20"/>
                <w:szCs w:val="20"/>
                <w:color w:val="auto"/>
              </w:rPr>
            </w:pPr>
            <w:r>
              <w:rPr>
                <w:rFonts w:ascii="Arial" w:cs="Arial" w:eastAsia="Arial" w:hAnsi="Arial"/>
                <w:sz w:val="18"/>
                <w:szCs w:val="18"/>
                <w:color w:val="auto"/>
                <w:w w:val="96"/>
              </w:rPr>
              <w:t>Accumulated other comprehensive loss (“AOCL”), net of tax, is comprised the following:</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October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November 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January 31,</w:t>
            </w: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r>
      <w:tr>
        <w:trPr>
          <w:trHeight w:val="210"/>
        </w:trPr>
        <w:tc>
          <w:tcPr>
            <w:tcW w:w="5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4"/>
              </w:rPr>
              <w:t>($ in millions)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Cash flow hedges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Unrecognized pension cost and postretirement benefit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Unrealized loss on available-for-sale security</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Accumulated Other Comprehensive Loss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AOCL for the thirty-nine weeks ended October 31, 2015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Foreign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Items related to</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currency</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pension and</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Unrealized loss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translation</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Cash flow</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postretirement</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on available-for-</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in millions)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adjustments</w:t>
            </w:r>
          </w:p>
        </w:tc>
        <w:tc>
          <w:tcPr>
            <w:tcW w:w="24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hedges</w:t>
            </w:r>
          </w:p>
        </w:tc>
        <w:tc>
          <w:tcPr>
            <w:tcW w:w="2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benefits</w:t>
            </w: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sale security</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gridSpan w:val="2"/>
          </w:tcPr>
          <w:p>
            <w:pPr>
              <w:spacing w:after="0"/>
              <w:rPr>
                <w:sz w:val="20"/>
                <w:szCs w:val="20"/>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OCI before reclassification</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Reclassified from AOCL</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r>
      <w:tr>
        <w:trPr>
          <w:trHeight w:val="210"/>
        </w:trPr>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income/(loss)</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October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140" w:type="dxa"/>
            <w:vAlign w:val="bottom"/>
            <w:gridSpan w:val="7"/>
          </w:tcPr>
          <w:p>
            <w:pPr>
              <w:spacing w:after="0"/>
              <w:rPr>
                <w:sz w:val="20"/>
                <w:szCs w:val="20"/>
                <w:color w:val="auto"/>
              </w:rPr>
            </w:pPr>
            <w:r>
              <w:rPr>
                <w:rFonts w:ascii="Arial" w:cs="Arial" w:eastAsia="Arial" w:hAnsi="Arial"/>
                <w:sz w:val="18"/>
                <w:szCs w:val="18"/>
                <w:color w:val="auto"/>
                <w:w w:val="94"/>
              </w:rPr>
              <w:t>Reclassifications from AOCL for the thirty-nine weeks ended October 31, 2015 were as follows: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in millions)</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(gain) loss: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Pension benefits - amortization of actuarial loss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r>
      <w:tr>
        <w:trPr>
          <w:trHeight w:val="230"/>
        </w:trPr>
        <w:tc>
          <w:tcPr>
            <w:tcW w:w="4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4"/>
              </w:rPr>
              <w:t>Postretirement benefits - amortization of actuarial gain</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w:t>
            </w: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color w:val="auto"/>
              </w:rPr>
              <w:t xml:space="preserve">Net periodic benefit cost (see </w:t>
            </w:r>
            <w:r>
              <w:rPr>
                <w:rFonts w:ascii="Arial" w:cs="Arial" w:eastAsia="Arial" w:hAnsi="Arial"/>
                <w:sz w:val="18"/>
                <w:szCs w:val="18"/>
                <w:i w:val="1"/>
                <w:iCs w:val="1"/>
                <w:color w:val="auto"/>
              </w:rPr>
              <w:t>Note 10</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8,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primary currencies to which the Company is exposed are the euro, British pound, Canadian dollar, and Australian dollar. For the most part, merchandise inventories are purchased by each geographic area in their respective local currency. The exception to this is the United Kingdom, whose merchandise inventory purchases are denominated in euros. 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Financial Instruments –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each quarter-end, substantially all of the Company’s hedged forecasted transactions are less than twelve months, and the Company expects substantially all derivative-related amounts reported in AOCL to be reclassified to earnings within twelve months.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change in the fair value of the foreign exchange derivative financial instruments designated as cash flow hedges of the purchase of inventory was a gain of $2 million and $1 million for the thirteen and thirty-nine weeks ended October 31, 2015, respectively, and therefore decreased AOCL. At October 31, 2015, there was a $2 million loss included in AOCL. For both the thirteen and thirty-nine weeks ended November 1, 2014, the net change resulted in a loss of $1 million. The notional value of the foreign exchange contracts designed as hedges outstanding at October 31, 2015 was $93 million, and these contracts mature at various dates through January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Not Designated as Hedges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enters into foreign exchange forward contracts that are not designated as hedges in order to manage the costs of foreign-currency denominated merchandise purchases and intercompany transactions. Changes in the fair value of these foreign exchange forward contracts are recorded in earnings immediately within selling, general and administrative expenses. The net change in fair value resulted in expense of $3 million and $1 million for the thirteen and thirty-nine weeks ended October 31, 2015, respectively. The net change in fair value was not significant for the thirteen weeks ended November 1, 2014 and resulted in $1 million of income for the thirty-nine weeks ended November 1, 2014. The notional value of the foreign exchange contracts not designed as hedges outstanding at October 31, 2015 was $15 million, and these contracts mature at various dates through December 2015.</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recorded were not significant for the thirteen and thirty-nine weeks ended October 31, 2015. The realized gain was $1 million for the thirteen weeks and thirty-nine weeks ended November 1, 2014. No such contracts were outstanding at October 31, 2015.</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enters into diesel fuel forward and option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The notional value of the diesel fuel forward contracts outstanding at October 31, 2015 was $1 million and these contracts mature at various dates through May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Current liabilities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Non-Hedging Instruments: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Current assets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Current liabilities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21" w:lineRule="exact"/>
        <w:rPr>
          <w:sz w:val="20"/>
          <w:szCs w:val="20"/>
          <w:color w:val="auto"/>
        </w:rPr>
      </w:pPr>
    </w:p>
    <w:p>
      <w:pPr>
        <w:ind w:left="700"/>
        <w:spacing w:after="0"/>
        <w:tabs>
          <w:tab w:leader="none" w:pos="170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6"/>
          <w:szCs w:val="16"/>
          <w:color w:val="auto"/>
        </w:rPr>
        <w:t>Quoted prices for identical instruments in active markets.</w:t>
      </w:r>
    </w:p>
    <w:p>
      <w:pPr>
        <w:spacing w:after="0" w:line="225" w:lineRule="exact"/>
        <w:rPr>
          <w:sz w:val="20"/>
          <w:szCs w:val="20"/>
          <w:color w:val="auto"/>
        </w:rPr>
      </w:pPr>
    </w:p>
    <w:p>
      <w:pPr>
        <w:ind w:left="1620" w:hanging="917"/>
        <w:spacing w:after="0" w:line="308" w:lineRule="auto"/>
        <w:tabs>
          <w:tab w:leader="none" w:pos="160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47" w:lineRule="exact"/>
        <w:rPr>
          <w:sz w:val="20"/>
          <w:szCs w:val="20"/>
          <w:color w:val="auto"/>
        </w:rPr>
      </w:pPr>
    </w:p>
    <w:p>
      <w:pPr>
        <w:jc w:val="center"/>
        <w:ind w:right="1060"/>
        <w:spacing w:after="0"/>
        <w:tabs>
          <w:tab w:leader="none" w:pos="2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6"/>
          <w:szCs w:val="16"/>
          <w:color w:val="auto"/>
        </w:rPr>
        <w:t>Model-derived valuations in which one or more significant inputs or significant value-drivers are unobservable.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At October 31, 2015</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At November 1, 2014</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ind w:left="468"/>
              <w:spacing w:after="0"/>
              <w:rPr>
                <w:sz w:val="20"/>
                <w:szCs w:val="20"/>
                <w:color w:val="auto"/>
              </w:rPr>
            </w:pPr>
            <w:r>
              <w:rPr>
                <w:rFonts w:ascii="Arial" w:cs="Arial" w:eastAsia="Arial" w:hAnsi="Arial"/>
                <w:sz w:val="14"/>
                <w:szCs w:val="14"/>
                <w:b w:val="1"/>
                <w:bCs w:val="1"/>
                <w:color w:val="auto"/>
                <w:w w:val="94"/>
              </w:rPr>
              <w:t>At January 31, 2015</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9"/>
              </w:rPr>
              <w:t>($ in millions)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Auction rate security</w:t>
            </w:r>
          </w:p>
        </w:tc>
        <w:tc>
          <w:tcPr>
            <w:tcW w:w="6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w w:val="85"/>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6</w:t>
            </w:r>
          </w:p>
        </w:tc>
        <w:tc>
          <w:tcPr>
            <w:tcW w:w="120" w:type="dxa"/>
            <w:vAlign w:val="bottom"/>
          </w:tcPr>
          <w:p>
            <w:pPr>
              <w:spacing w:after="0"/>
              <w:rPr>
                <w:sz w:val="14"/>
                <w:szCs w:val="14"/>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660" w:type="dxa"/>
            <w:vAlign w:val="bottom"/>
            <w:tcBorders>
              <w:top w:val="single" w:sz="8" w:color="auto"/>
              <w:bottom w:val="single" w:sz="8" w:color="auto"/>
            </w:tcBorders>
            <w:shd w:val="clear" w:color="auto" w:fill="CCEEFF"/>
          </w:tcPr>
          <w:p>
            <w:pPr>
              <w:jc w:val="right"/>
              <w:ind w:right="508"/>
              <w:spacing w:after="0" w:line="155" w:lineRule="exact"/>
              <w:rPr>
                <w:sz w:val="20"/>
                <w:szCs w:val="20"/>
                <w:color w:val="auto"/>
              </w:rPr>
            </w:pPr>
            <w:r>
              <w:rPr>
                <w:rFonts w:ascii="Arial" w:cs="Arial" w:eastAsia="Arial" w:hAnsi="Arial"/>
                <w:sz w:val="14"/>
                <w:szCs w:val="14"/>
                <w:b w:val="1"/>
                <w:bCs w:val="1"/>
                <w:color w:val="auto"/>
                <w:w w:val="76"/>
              </w:rPr>
              <w:t>$</w:t>
            </w:r>
          </w:p>
        </w:tc>
        <w:tc>
          <w:tcPr>
            <w:tcW w:w="16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ind w:left="540"/>
              <w:spacing w:after="0" w:line="155" w:lineRule="exact"/>
              <w:rPr>
                <w:sz w:val="20"/>
                <w:szCs w:val="20"/>
                <w:color w:val="auto"/>
              </w:rPr>
            </w:pPr>
            <w:r>
              <w:rPr>
                <w:rFonts w:ascii="Arial" w:cs="Arial" w:eastAsia="Arial" w:hAnsi="Arial"/>
                <w:sz w:val="14"/>
                <w:szCs w:val="14"/>
                <w:b w:val="1"/>
                <w:bCs w:val="1"/>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540"/>
              <w:spacing w:after="0" w:line="155" w:lineRule="exact"/>
              <w:rPr>
                <w:sz w:val="20"/>
                <w:szCs w:val="20"/>
                <w:color w:val="auto"/>
              </w:rPr>
            </w:pPr>
            <w:r>
              <w:rPr>
                <w:rFonts w:ascii="Arial" w:cs="Arial" w:eastAsia="Arial" w:hAnsi="Arial"/>
                <w:sz w:val="14"/>
                <w:szCs w:val="14"/>
                <w:color w:val="auto"/>
                <w:w w:val="85"/>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ind w:left="50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50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52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Foreign exchange forward contracts</w:t>
            </w:r>
          </w:p>
        </w:tc>
        <w:tc>
          <w:tcPr>
            <w:tcW w:w="6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w w:val="85"/>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4"/>
                <w:szCs w:val="14"/>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660" w:type="dxa"/>
            <w:vAlign w:val="bottom"/>
            <w:tcBorders>
              <w:top w:val="single" w:sz="8" w:color="auto"/>
              <w:bottom w:val="single" w:sz="8" w:color="auto"/>
            </w:tcBorders>
            <w:shd w:val="clear" w:color="auto" w:fill="CCEEFF"/>
          </w:tcPr>
          <w:p>
            <w:pPr>
              <w:jc w:val="right"/>
              <w:ind w:right="508"/>
              <w:spacing w:after="0" w:line="155" w:lineRule="exact"/>
              <w:rPr>
                <w:sz w:val="20"/>
                <w:szCs w:val="20"/>
                <w:color w:val="auto"/>
              </w:rPr>
            </w:pPr>
            <w:r>
              <w:rPr>
                <w:rFonts w:ascii="Arial" w:cs="Arial" w:eastAsia="Arial" w:hAnsi="Arial"/>
                <w:sz w:val="14"/>
                <w:szCs w:val="14"/>
                <w:b w:val="1"/>
                <w:bCs w:val="1"/>
                <w:color w:val="auto"/>
                <w:w w:val="76"/>
              </w:rPr>
              <w:t>$</w:t>
            </w:r>
          </w:p>
        </w:tc>
        <w:tc>
          <w:tcPr>
            <w:tcW w:w="16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ind w:left="540"/>
              <w:spacing w:after="0" w:line="155" w:lineRule="exact"/>
              <w:rPr>
                <w:sz w:val="20"/>
                <w:szCs w:val="20"/>
                <w:color w:val="auto"/>
              </w:rPr>
            </w:pPr>
            <w:r>
              <w:rPr>
                <w:rFonts w:ascii="Arial" w:cs="Arial" w:eastAsia="Arial" w:hAnsi="Arial"/>
                <w:sz w:val="14"/>
                <w:szCs w:val="14"/>
                <w:b w:val="1"/>
                <w:bCs w:val="1"/>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540"/>
              <w:spacing w:after="0" w:line="155" w:lineRule="exact"/>
              <w:rPr>
                <w:sz w:val="20"/>
                <w:szCs w:val="20"/>
                <w:color w:val="auto"/>
              </w:rPr>
            </w:pPr>
            <w:r>
              <w:rPr>
                <w:rFonts w:ascii="Arial" w:cs="Arial" w:eastAsia="Arial" w:hAnsi="Arial"/>
                <w:sz w:val="14"/>
                <w:szCs w:val="14"/>
                <w:color w:val="auto"/>
                <w:w w:val="85"/>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ind w:left="50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50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52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classified as available-for-sale are recorded at fair value with unrealized gains and losses reported, net of tax, in other comprehensive income, unless unrealized losses are determined to be other than temporary. The fair value of the auction rate security is determined by using quoted prices for similar instruments in active markets and accordingly is classified as a Level 2 instrument.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estimated fair value of long-term debt and obligations under capital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October 31,</w:t>
            </w:r>
          </w:p>
        </w:tc>
        <w:tc>
          <w:tcPr>
            <w:tcW w:w="24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November 1,</w:t>
            </w:r>
          </w:p>
        </w:tc>
        <w:tc>
          <w:tcPr>
            <w:tcW w:w="2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 in millions)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3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Fair value</w:t>
            </w:r>
          </w:p>
        </w:tc>
        <w:tc>
          <w:tcPr>
            <w:tcW w:w="3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bl>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reported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ectPr>
          <w:pgSz w:w="11900" w:h="16838" w:orient="portrait"/>
          <w:cols w:equalWidth="0" w:num="1">
            <w:col w:w="11420"/>
          </w:cols>
          <w:pgMar w:left="240" w:top="904"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basic and diluted earnings per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common shares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Dilution: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common shares assuming dilution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4"/>
          </w:tcPr>
          <w:p>
            <w:pPr>
              <w:ind w:left="540"/>
              <w:spacing w:after="0"/>
              <w:rPr>
                <w:sz w:val="20"/>
                <w:szCs w:val="20"/>
                <w:color w:val="auto"/>
              </w:rPr>
            </w:pPr>
            <w:r>
              <w:rPr>
                <w:rFonts w:ascii="Arial" w:cs="Arial" w:eastAsia="Arial" w:hAnsi="Arial"/>
                <w:sz w:val="18"/>
                <w:szCs w:val="18"/>
                <w:b w:val="1"/>
                <w:bCs w:val="1"/>
                <w:color w:val="auto"/>
              </w:rPr>
              <w:t>Thirteen weeks ended</w:t>
            </w:r>
          </w:p>
        </w:tc>
        <w:tc>
          <w:tcPr>
            <w:tcW w:w="2720" w:type="dxa"/>
            <w:vAlign w:val="bottom"/>
            <w:gridSpan w:val="4"/>
          </w:tcPr>
          <w:p>
            <w:pPr>
              <w:ind w:left="40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1500" w:type="dxa"/>
            <w:vAlign w:val="bottom"/>
            <w:tcBorders>
              <w:top w:val="single" w:sz="8" w:color="auto"/>
            </w:tcBorders>
            <w:gridSpan w:val="2"/>
          </w:tcPr>
          <w:p>
            <w:pPr>
              <w:ind w:left="180"/>
              <w:spacing w:after="0" w:line="205" w:lineRule="exact"/>
              <w:rPr>
                <w:sz w:val="20"/>
                <w:szCs w:val="20"/>
                <w:color w:val="auto"/>
              </w:rPr>
            </w:pPr>
            <w:r>
              <w:rPr>
                <w:rFonts w:ascii="Arial" w:cs="Arial" w:eastAsia="Arial" w:hAnsi="Arial"/>
                <w:sz w:val="18"/>
                <w:szCs w:val="18"/>
                <w:b w:val="1"/>
                <w:bCs w:val="1"/>
                <w:color w:val="auto"/>
              </w:rPr>
              <w:t>October 31,</w:t>
            </w:r>
          </w:p>
        </w:tc>
        <w:tc>
          <w:tcPr>
            <w:tcW w:w="128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rPr>
              <w:t>November 1,</w:t>
            </w: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ind w:left="160"/>
              <w:spacing w:after="0" w:line="205" w:lineRule="exact"/>
              <w:rPr>
                <w:sz w:val="20"/>
                <w:szCs w:val="20"/>
                <w:color w:val="auto"/>
              </w:rPr>
            </w:pPr>
            <w:r>
              <w:rPr>
                <w:rFonts w:ascii="Arial" w:cs="Arial" w:eastAsia="Arial" w:hAnsi="Arial"/>
                <w:sz w:val="18"/>
                <w:szCs w:val="18"/>
                <w:b w:val="1"/>
                <w:bCs w:val="1"/>
                <w:color w:val="auto"/>
              </w:rPr>
              <w:t>October 31,</w:t>
            </w:r>
          </w:p>
        </w:tc>
        <w:tc>
          <w:tcPr>
            <w:tcW w:w="126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rPr>
              <w:t>November 1,</w:t>
            </w:r>
          </w:p>
        </w:tc>
        <w:tc>
          <w:tcPr>
            <w:tcW w:w="20" w:type="dxa"/>
            <w:vAlign w:val="bottom"/>
          </w:tcPr>
          <w:p>
            <w:pPr>
              <w:spacing w:after="0"/>
              <w:rPr>
                <w:sz w:val="17"/>
                <w:szCs w:val="17"/>
                <w:color w:val="auto"/>
              </w:rPr>
            </w:pPr>
          </w:p>
        </w:tc>
      </w:tr>
      <w:tr>
        <w:trPr>
          <w:trHeight w:val="234"/>
        </w:trPr>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r>
      <w:tr>
        <w:trPr>
          <w:trHeight w:val="191"/>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4"/>
          </w:tcPr>
          <w:p>
            <w:pPr>
              <w:ind w:left="820"/>
              <w:spacing w:after="0" w:line="191" w:lineRule="exact"/>
              <w:rPr>
                <w:sz w:val="20"/>
                <w:szCs w:val="20"/>
                <w:color w:val="auto"/>
              </w:rPr>
            </w:pPr>
            <w:r>
              <w:rPr>
                <w:rFonts w:ascii="Arial" w:cs="Arial" w:eastAsia="Arial" w:hAnsi="Arial"/>
                <w:sz w:val="18"/>
                <w:szCs w:val="18"/>
                <w:b w:val="1"/>
                <w:bCs w:val="1"/>
                <w:color w:val="auto"/>
              </w:rPr>
              <w:t>($ in millions)</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139.3</w:t>
            </w:r>
          </w:p>
        </w:tc>
        <w:tc>
          <w:tcPr>
            <w:tcW w:w="2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143.6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139.6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144.5</w:t>
            </w:r>
          </w:p>
        </w:tc>
      </w:tr>
      <w:tr>
        <w:trPr>
          <w:trHeight w:val="446"/>
        </w:trPr>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w:t>
            </w:r>
          </w:p>
        </w:tc>
        <w:tc>
          <w:tcPr>
            <w:tcW w:w="2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w:t>
            </w:r>
          </w:p>
        </w:tc>
        <w:tc>
          <w:tcPr>
            <w:tcW w:w="20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146.6</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-599440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580"/>
            <w:col w:w="5800"/>
          </w:cols>
          <w:pgMar w:left="240" w:top="904" w:right="239" w:bottom="1440" w:gutter="0" w:footer="0" w:header="0"/>
          <w:type w:val="continuous"/>
        </w:sectPr>
      </w:pPr>
    </w:p>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number of options excluded from the computation was not significant for the thirteen weeks ended October 31, 2015, and was 0.6 million for the thirty-nine weeks ended October 31, 2015. The number of options excluded from the computation was not significant for the thirteen and thirty-nine weeks ended November 1, 2014. These options were not included because the effect would have been antidilutive. Contingently issuable shares of 0.3 million and 0.4 million have not been included as the vesting conditions have not been satisfied as of October 31, 2015 and November 1, 2014,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Postretirement Plans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defined benefit pension plans covering certain of its North American employees, which are funded in accordance with the provisions of the laws where the plans are in effect. In addition, the Company has a defined benefit pension plan covering certain individuals of the Runners Point Group.</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is recognized as part of SG&amp;A expense:</w:t>
      </w:r>
    </w:p>
    <w:p>
      <w:pPr>
        <w:sectPr>
          <w:pgSz w:w="11900" w:h="16838" w:orient="portrait"/>
          <w:cols w:equalWidth="0" w:num="1">
            <w:col w:w="1142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in millions)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Service cost</w:t>
      </w:r>
    </w:p>
    <w:p>
      <w:pPr>
        <w:spacing w:after="0" w:line="221" w:lineRule="auto"/>
        <w:rPr>
          <w:sz w:val="20"/>
          <w:szCs w:val="20"/>
          <w:color w:val="auto"/>
        </w:rPr>
      </w:pPr>
      <w:r>
        <w:rPr>
          <w:rFonts w:ascii="Arial" w:cs="Arial" w:eastAsia="Arial" w:hAnsi="Arial"/>
          <w:sz w:val="14"/>
          <w:szCs w:val="14"/>
          <w:color w:val="auto"/>
        </w:rPr>
        <w:t>Interest cost</w:t>
      </w:r>
    </w:p>
    <w:p>
      <w:pPr>
        <w:jc w:val="both"/>
        <w:ind w:right="840"/>
        <w:spacing w:after="0" w:line="270" w:lineRule="auto"/>
        <w:rPr>
          <w:sz w:val="20"/>
          <w:szCs w:val="20"/>
          <w:color w:val="auto"/>
        </w:rPr>
      </w:pPr>
      <w:r>
        <w:rPr>
          <w:rFonts w:ascii="Arial" w:cs="Arial" w:eastAsia="Arial" w:hAnsi="Arial"/>
          <w:sz w:val="12"/>
          <w:szCs w:val="12"/>
          <w:color w:val="auto"/>
        </w:rPr>
        <w:t>Expected return on plan assets Amortization of net loss (gain)</w:t>
      </w:r>
    </w:p>
    <w:p>
      <w:pPr>
        <w:spacing w:after="0"/>
        <w:rPr>
          <w:sz w:val="20"/>
          <w:szCs w:val="20"/>
          <w:color w:val="auto"/>
        </w:rPr>
      </w:pPr>
      <w:r>
        <w:rPr>
          <w:rFonts w:ascii="Arial" w:cs="Arial" w:eastAsia="Arial" w:hAnsi="Arial"/>
          <w:sz w:val="13"/>
          <w:szCs w:val="13"/>
          <w:color w:val="auto"/>
        </w:rPr>
        <w:t>Net benefit expense (income)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Pension Benefits</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Postretirement Benefits</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160" w:type="dxa"/>
            <w:vAlign w:val="bottom"/>
          </w:tcPr>
          <w:p>
            <w:pPr>
              <w:spacing w:after="0"/>
              <w:rPr>
                <w:sz w:val="11"/>
                <w:szCs w:val="11"/>
                <w:color w:val="auto"/>
              </w:rPr>
            </w:pPr>
          </w:p>
        </w:tc>
        <w:tc>
          <w:tcPr>
            <w:tcW w:w="1940" w:type="dxa"/>
            <w:vAlign w:val="bottom"/>
            <w:gridSpan w:val="5"/>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Thirteen weeks</w:t>
            </w:r>
          </w:p>
        </w:tc>
        <w:tc>
          <w:tcPr>
            <w:tcW w:w="160" w:type="dxa"/>
            <w:vAlign w:val="bottom"/>
          </w:tcPr>
          <w:p>
            <w:pPr>
              <w:spacing w:after="0"/>
              <w:rPr>
                <w:sz w:val="11"/>
                <w:szCs w:val="11"/>
                <w:color w:val="auto"/>
              </w:rPr>
            </w:pPr>
          </w:p>
        </w:tc>
        <w:tc>
          <w:tcPr>
            <w:tcW w:w="148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2"/>
              </w:rPr>
              <w:t>Thirty-nine weeks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4"/>
          </w:tcPr>
          <w:p>
            <w:pPr>
              <w:ind w:left="260"/>
              <w:spacing w:after="0" w:line="133" w:lineRule="exact"/>
              <w:rPr>
                <w:sz w:val="20"/>
                <w:szCs w:val="20"/>
                <w:color w:val="auto"/>
              </w:rPr>
            </w:pPr>
            <w:r>
              <w:rPr>
                <w:rFonts w:ascii="Arial" w:cs="Arial" w:eastAsia="Arial" w:hAnsi="Arial"/>
                <w:sz w:val="14"/>
                <w:szCs w:val="14"/>
                <w:b w:val="1"/>
                <w:bCs w:val="1"/>
                <w:color w:val="auto"/>
              </w:rPr>
              <w:t>Thirteen weeks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4"/>
          </w:tcPr>
          <w:p>
            <w:pPr>
              <w:jc w:val="right"/>
              <w:ind w:right="89"/>
              <w:spacing w:after="0" w:line="133" w:lineRule="exact"/>
              <w:rPr>
                <w:sz w:val="20"/>
                <w:szCs w:val="20"/>
                <w:color w:val="auto"/>
              </w:rPr>
            </w:pPr>
            <w:r>
              <w:rPr>
                <w:rFonts w:ascii="Arial" w:cs="Arial" w:eastAsia="Arial" w:hAnsi="Arial"/>
                <w:sz w:val="14"/>
                <w:szCs w:val="14"/>
                <w:b w:val="1"/>
                <w:bCs w:val="1"/>
                <w:color w:val="auto"/>
              </w:rPr>
              <w:t>Thirty-nine weeks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4"/>
                <w:szCs w:val="14"/>
                <w:b w:val="1"/>
                <w:bCs w:val="1"/>
                <w:color w:val="auto"/>
                <w:w w:val="87"/>
              </w:rPr>
              <w:t>ended</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ended</w:t>
            </w: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ended</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4"/>
                <w:szCs w:val="14"/>
                <w:b w:val="1"/>
                <w:bCs w:val="1"/>
                <w:color w:val="auto"/>
              </w:rPr>
              <w:t>ended</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1040" w:type="dxa"/>
            <w:vAlign w:val="bottom"/>
            <w:gridSpan w:val="3"/>
          </w:tcPr>
          <w:p>
            <w:pPr>
              <w:jc w:val="right"/>
              <w:ind w:right="280"/>
              <w:spacing w:after="0" w:line="133" w:lineRule="exact"/>
              <w:rPr>
                <w:sz w:val="20"/>
                <w:szCs w:val="20"/>
                <w:color w:val="auto"/>
              </w:rPr>
            </w:pPr>
            <w:r>
              <w:rPr>
                <w:rFonts w:ascii="Arial" w:cs="Arial" w:eastAsia="Arial" w:hAnsi="Arial"/>
                <w:sz w:val="14"/>
                <w:szCs w:val="14"/>
                <w:b w:val="1"/>
                <w:bCs w:val="1"/>
                <w:color w:val="auto"/>
                <w:w w:val="96"/>
              </w:rPr>
              <w:t>October 31,</w:t>
            </w:r>
          </w:p>
        </w:tc>
        <w:tc>
          <w:tcPr>
            <w:tcW w:w="8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2"/>
              </w:rPr>
              <w:t>November 1,</w:t>
            </w:r>
          </w:p>
        </w:tc>
        <w:tc>
          <w:tcPr>
            <w:tcW w:w="240" w:type="dxa"/>
            <w:vAlign w:val="bottom"/>
          </w:tcPr>
          <w:p>
            <w:pPr>
              <w:spacing w:after="0"/>
              <w:rPr>
                <w:sz w:val="11"/>
                <w:szCs w:val="11"/>
                <w:color w:val="auto"/>
              </w:rPr>
            </w:pPr>
          </w:p>
        </w:tc>
        <w:tc>
          <w:tcPr>
            <w:tcW w:w="106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October 31,</w:t>
            </w:r>
          </w:p>
        </w:tc>
        <w:tc>
          <w:tcPr>
            <w:tcW w:w="8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November 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October 31,</w:t>
            </w:r>
          </w:p>
        </w:tc>
        <w:tc>
          <w:tcPr>
            <w:tcW w:w="90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November 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w w:val="96"/>
              </w:rPr>
              <w:t>October 31,</w:t>
            </w:r>
          </w:p>
        </w:tc>
        <w:tc>
          <w:tcPr>
            <w:tcW w:w="80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w w:val="92"/>
              </w:rPr>
              <w:t>November 1,</w:t>
            </w:r>
          </w:p>
        </w:tc>
        <w:tc>
          <w:tcPr>
            <w:tcW w:w="40" w:type="dxa"/>
            <w:vAlign w:val="bottom"/>
            <w:gridSpan w:val="2"/>
          </w:tcPr>
          <w:p>
            <w:pPr>
              <w:spacing w:after="0"/>
              <w:rPr>
                <w:sz w:val="11"/>
                <w:szCs w:val="11"/>
                <w:color w:val="auto"/>
              </w:rPr>
            </w:pPr>
          </w:p>
        </w:tc>
      </w:tr>
      <w:tr>
        <w:trPr>
          <w:trHeight w:val="171"/>
        </w:trPr>
        <w:tc>
          <w:tcPr>
            <w:tcW w:w="16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160" w:type="dxa"/>
            <w:vAlign w:val="bottom"/>
            <w:tcBorders>
              <w:top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5</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color w:val="auto"/>
              </w:rPr>
              <w:t>3</w:t>
            </w:r>
          </w:p>
        </w:tc>
        <w:tc>
          <w:tcPr>
            <w:tcW w:w="240" w:type="dxa"/>
            <w:vAlign w:val="bottom"/>
          </w:tcPr>
          <w:p>
            <w:pPr>
              <w:spacing w:after="0"/>
              <w:rPr>
                <w:sz w:val="10"/>
                <w:szCs w:val="10"/>
                <w:color w:val="auto"/>
              </w:rPr>
            </w:pPr>
          </w:p>
        </w:tc>
        <w:tc>
          <w:tcPr>
            <w:tcW w:w="160" w:type="dxa"/>
            <w:vAlign w:val="bottom"/>
            <w:tcBorders>
              <w:top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tcPr>
          <w:p>
            <w:pPr>
              <w:jc w:val="center"/>
              <w:ind w:left="429"/>
              <w:spacing w:after="0" w:line="119" w:lineRule="exact"/>
              <w:rPr>
                <w:sz w:val="20"/>
                <w:szCs w:val="20"/>
                <w:color w:val="auto"/>
              </w:rPr>
            </w:pPr>
            <w:r>
              <w:rPr>
                <w:rFonts w:ascii="Arial" w:cs="Arial" w:eastAsia="Arial" w:hAnsi="Arial"/>
                <w:sz w:val="13"/>
                <w:szCs w:val="13"/>
                <w:b w:val="1"/>
                <w:bCs w:val="1"/>
                <w:color w:val="auto"/>
                <w:w w:val="96"/>
              </w:rPr>
              <w:t>13</w:t>
            </w:r>
          </w:p>
        </w:tc>
        <w:tc>
          <w:tcPr>
            <w:tcW w:w="260" w:type="dxa"/>
            <w:vAlign w:val="bottom"/>
          </w:tcPr>
          <w:p>
            <w:pPr>
              <w:spacing w:after="0"/>
              <w:rPr>
                <w:sz w:val="10"/>
                <w:szCs w:val="10"/>
                <w:color w:val="auto"/>
              </w:rPr>
            </w:pPr>
          </w:p>
        </w:tc>
        <w:tc>
          <w:tcPr>
            <w:tcW w:w="5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tcPr>
          <w:p>
            <w:pPr>
              <w:ind w:left="460"/>
              <w:spacing w:after="0" w:line="11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jc w:val="right"/>
              <w:ind w:right="450"/>
              <w:spacing w:after="0" w:line="119"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0"/>
                <w:szCs w:val="10"/>
                <w:color w:val="auto"/>
              </w:rPr>
            </w:pPr>
          </w:p>
        </w:tc>
        <w:tc>
          <w:tcPr>
            <w:tcW w:w="160" w:type="dxa"/>
            <w:vAlign w:val="bottom"/>
            <w:tcBorders>
              <w:top w:val="single" w:sz="8" w:color="auto"/>
            </w:tcBorders>
          </w:tcPr>
          <w:p>
            <w:pPr>
              <w:jc w:val="right"/>
              <w:ind w:right="10"/>
              <w:spacing w:after="0" w:line="119"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color w:val="auto"/>
              </w:rPr>
              <w:t>—</w:t>
            </w:r>
          </w:p>
        </w:tc>
        <w:tc>
          <w:tcPr>
            <w:tcW w:w="40" w:type="dxa"/>
            <w:vAlign w:val="bottom"/>
            <w:gridSpan w:val="2"/>
          </w:tcPr>
          <w:p>
            <w:pPr>
              <w:spacing w:after="0"/>
              <w:rPr>
                <w:sz w:val="10"/>
                <w:szCs w:val="10"/>
                <w:color w:val="auto"/>
              </w:rPr>
            </w:pPr>
          </w:p>
        </w:tc>
      </w:tr>
      <w:tr>
        <w:trPr>
          <w:trHeight w:val="149"/>
        </w:trPr>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left="429"/>
              <w:spacing w:after="0" w:line="149" w:lineRule="exact"/>
              <w:rPr>
                <w:sz w:val="20"/>
                <w:szCs w:val="20"/>
                <w:color w:val="auto"/>
              </w:rPr>
            </w:pPr>
            <w:r>
              <w:rPr>
                <w:rFonts w:ascii="Arial" w:cs="Arial" w:eastAsia="Arial" w:hAnsi="Arial"/>
                <w:sz w:val="14"/>
                <w:szCs w:val="14"/>
                <w:b w:val="1"/>
                <w:bCs w:val="1"/>
                <w:color w:val="auto"/>
                <w:w w:val="89"/>
              </w:rPr>
              <w:t>18</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gridSpan w:val="3"/>
          </w:tcPr>
          <w:p>
            <w:pPr>
              <w:jc w:val="right"/>
              <w:ind w:right="35"/>
              <w:spacing w:after="0" w:line="149" w:lineRule="exact"/>
              <w:rPr>
                <w:sz w:val="20"/>
                <w:szCs w:val="20"/>
                <w:color w:val="auto"/>
              </w:rPr>
            </w:pPr>
            <w:r>
              <w:rPr>
                <w:rFonts w:ascii="Arial" w:cs="Arial" w:eastAsia="Arial" w:hAnsi="Arial"/>
                <w:sz w:val="14"/>
                <w:szCs w:val="14"/>
                <w:color w:val="auto"/>
              </w:rPr>
              <w:t>—</w:t>
            </w:r>
          </w:p>
        </w:tc>
      </w:tr>
      <w:tr>
        <w:trPr>
          <w:trHeight w:val="153"/>
        </w:trPr>
        <w:tc>
          <w:tcPr>
            <w:tcW w:w="160" w:type="dxa"/>
            <w:vAlign w:val="bottom"/>
          </w:tcPr>
          <w:p>
            <w:pPr>
              <w:spacing w:after="0"/>
              <w:rPr>
                <w:sz w:val="13"/>
                <w:szCs w:val="13"/>
                <w:color w:val="auto"/>
              </w:rPr>
            </w:pPr>
          </w:p>
        </w:tc>
        <w:tc>
          <w:tcPr>
            <w:tcW w:w="88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(10</w:t>
            </w: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3"/>
                <w:szCs w:val="13"/>
                <w:color w:val="auto"/>
              </w:rPr>
            </w:pPr>
          </w:p>
        </w:tc>
        <w:tc>
          <w:tcPr>
            <w:tcW w:w="900" w:type="dxa"/>
            <w:vAlign w:val="bottom"/>
            <w:gridSpan w:val="2"/>
          </w:tcPr>
          <w:p>
            <w:pPr>
              <w:jc w:val="center"/>
              <w:ind w:left="189"/>
              <w:spacing w:after="0" w:line="153" w:lineRule="exact"/>
              <w:rPr>
                <w:sz w:val="20"/>
                <w:szCs w:val="20"/>
                <w:color w:val="auto"/>
              </w:rPr>
            </w:pPr>
            <w:r>
              <w:rPr>
                <w:rFonts w:ascii="Arial" w:cs="Arial" w:eastAsia="Arial" w:hAnsi="Arial"/>
                <w:sz w:val="14"/>
                <w:szCs w:val="14"/>
                <w:b w:val="1"/>
                <w:bCs w:val="1"/>
                <w:color w:val="auto"/>
                <w:w w:val="96"/>
              </w:rPr>
              <w:t>(29</w:t>
            </w:r>
            <w:r>
              <w:rPr>
                <w:rFonts w:ascii="Arial" w:cs="Arial" w:eastAsia="Arial" w:hAnsi="Arial"/>
                <w:sz w:val="14"/>
                <w:szCs w:val="14"/>
                <w:color w:val="auto"/>
                <w:w w:val="96"/>
              </w:rPr>
              <w:t>)</w:t>
            </w:r>
          </w:p>
        </w:tc>
        <w:tc>
          <w:tcPr>
            <w:tcW w:w="580" w:type="dxa"/>
            <w:vAlign w:val="bottom"/>
          </w:tcPr>
          <w:p>
            <w:pPr>
              <w:spacing w:after="0"/>
              <w:rPr>
                <w:sz w:val="13"/>
                <w:szCs w:val="13"/>
                <w:color w:val="auto"/>
              </w:rPr>
            </w:pPr>
          </w:p>
        </w:tc>
        <w:tc>
          <w:tcPr>
            <w:tcW w:w="36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w w:val="96"/>
              </w:rPr>
              <w:t>(28)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gridSpan w:val="2"/>
          </w:tcPr>
          <w:p>
            <w:pPr>
              <w:jc w:val="right"/>
              <w:ind w:right="79"/>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gridSpan w:val="3"/>
          </w:tcPr>
          <w:p>
            <w:pPr>
              <w:jc w:val="right"/>
              <w:ind w:right="35"/>
              <w:spacing w:after="0" w:line="153" w:lineRule="exact"/>
              <w:rPr>
                <w:sz w:val="20"/>
                <w:szCs w:val="20"/>
                <w:color w:val="auto"/>
              </w:rPr>
            </w:pPr>
            <w:r>
              <w:rPr>
                <w:rFonts w:ascii="Arial" w:cs="Arial" w:eastAsia="Arial" w:hAnsi="Arial"/>
                <w:sz w:val="14"/>
                <w:szCs w:val="14"/>
                <w:color w:val="auto"/>
              </w:rPr>
              <w:t>—</w:t>
            </w:r>
          </w:p>
        </w:tc>
      </w:tr>
      <w:tr>
        <w:trPr>
          <w:trHeight w:val="174"/>
        </w:trPr>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left="429"/>
              <w:spacing w:after="0"/>
              <w:rPr>
                <w:sz w:val="20"/>
                <w:szCs w:val="20"/>
                <w:color w:val="auto"/>
              </w:rPr>
            </w:pPr>
            <w:r>
              <w:rPr>
                <w:rFonts w:ascii="Arial" w:cs="Arial" w:eastAsia="Arial" w:hAnsi="Arial"/>
                <w:sz w:val="14"/>
                <w:szCs w:val="14"/>
                <w:b w:val="1"/>
                <w:bCs w:val="1"/>
                <w:color w:val="auto"/>
                <w:w w:val="89"/>
              </w:rPr>
              <w:t>10</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gridSpan w:val="2"/>
          </w:tcPr>
          <w:p>
            <w:pPr>
              <w:jc w:val="right"/>
              <w:ind w:right="3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w:t>
            </w: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(2)</w:t>
            </w:r>
          </w:p>
        </w:tc>
      </w:tr>
      <w:tr>
        <w:trPr>
          <w:trHeight w:val="162"/>
        </w:trPr>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center"/>
              <w:ind w:left="429"/>
              <w:spacing w:after="0"/>
              <w:rPr>
                <w:sz w:val="20"/>
                <w:szCs w:val="20"/>
                <w:color w:val="auto"/>
              </w:rPr>
            </w:pPr>
            <w:r>
              <w:rPr>
                <w:rFonts w:ascii="Arial" w:cs="Arial" w:eastAsia="Arial" w:hAnsi="Arial"/>
                <w:sz w:val="14"/>
                <w:szCs w:val="14"/>
                <w:b w:val="1"/>
                <w:bCs w:val="1"/>
                <w:color w:val="auto"/>
                <w:w w:val="89"/>
              </w:rPr>
              <w:t>12</w:t>
            </w:r>
          </w:p>
        </w:tc>
        <w:tc>
          <w:tcPr>
            <w:tcW w:w="260" w:type="dxa"/>
            <w:vAlign w:val="bottom"/>
          </w:tcPr>
          <w:p>
            <w:pPr>
              <w:spacing w:after="0"/>
              <w:rPr>
                <w:sz w:val="14"/>
                <w:szCs w:val="14"/>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20" w:type="dxa"/>
            <w:vAlign w:val="bottom"/>
          </w:tcPr>
          <w:p>
            <w:pPr>
              <w:jc w:val="right"/>
              <w:spacing w:after="0"/>
              <w:rPr>
                <w:sz w:val="20"/>
                <w:szCs w:val="20"/>
                <w:color w:val="auto"/>
              </w:rPr>
            </w:pPr>
            <w:r>
              <w:rPr>
                <w:rFonts w:ascii="Arial" w:cs="Arial" w:eastAsia="Arial" w:hAnsi="Arial"/>
                <w:sz w:val="1"/>
                <w:szCs w:val="1"/>
                <w:color w:val="auto"/>
                <w:w w:val="4294967281"/>
              </w:rPr>
              <w:t>)</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-334010</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-136525</wp:posOffset>
            </wp:positionV>
            <wp:extent cx="72466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-530860</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8080"/>
          </w:cols>
          <w:pgMar w:left="240" w:top="904" w:right="239" w:bottom="1440" w:gutter="0" w:footer="0" w:header="0"/>
          <w:type w:val="continuous"/>
        </w:sectPr>
      </w:pPr>
    </w:p>
    <w:p>
      <w:pPr>
        <w:spacing w:after="0" w:line="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On August 14, 2015, the Company made a contribution of $4 million to the U.S. qualified plan. The Company continually evaluates the amount and timing of any future contributions. The Company currently does not expect any further pension plan contributions during the current year. Actual contributions are dependent on several factors, including the outcome of the ongoing pension litigation. See Note 12,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for further information.</w:t>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the Company’s share-based compensation plans were as follows: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Options and shares purchased under the employee stock purchase plan Restricted stock and restricted stock units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6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6"/>
          </w:tcPr>
          <w:p>
            <w:pPr>
              <w:ind w:left="28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11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October 31,</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November 1,</w:t>
            </w: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20"/>
              <w:spacing w:after="0" w:line="205" w:lineRule="exact"/>
              <w:rPr>
                <w:sz w:val="20"/>
                <w:szCs w:val="20"/>
                <w:color w:val="auto"/>
              </w:rPr>
            </w:pPr>
            <w:r>
              <w:rPr>
                <w:rFonts w:ascii="Arial" w:cs="Arial" w:eastAsia="Arial" w:hAnsi="Arial"/>
                <w:sz w:val="18"/>
                <w:szCs w:val="18"/>
                <w:b w:val="1"/>
                <w:bCs w:val="1"/>
                <w:color w:val="auto"/>
              </w:rPr>
              <w:t>October 31,</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20" w:type="dxa"/>
            <w:vAlign w:val="bottom"/>
          </w:tcPr>
          <w:p>
            <w:pPr>
              <w:spacing w:after="0"/>
              <w:rPr>
                <w:sz w:val="17"/>
                <w:szCs w:val="17"/>
                <w:color w:val="auto"/>
              </w:rPr>
            </w:pPr>
          </w:p>
        </w:tc>
      </w:tr>
      <w:tr>
        <w:trPr>
          <w:trHeight w:val="234"/>
        </w:trPr>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r>
      <w:tr>
        <w:trPr>
          <w:trHeight w:val="191"/>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7"/>
          </w:tcPr>
          <w:p>
            <w:pPr>
              <w:ind w:left="820"/>
              <w:spacing w:after="0" w:line="191" w:lineRule="exact"/>
              <w:rPr>
                <w:sz w:val="20"/>
                <w:szCs w:val="20"/>
                <w:color w:val="auto"/>
              </w:rPr>
            </w:pPr>
            <w:r>
              <w:rPr>
                <w:rFonts w:ascii="Arial" w:cs="Arial" w:eastAsia="Arial" w:hAnsi="Arial"/>
                <w:sz w:val="18"/>
                <w:szCs w:val="18"/>
                <w:b w:val="1"/>
                <w:bCs w:val="1"/>
                <w:color w:val="auto"/>
              </w:rPr>
              <w:t>($ in millions)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1120" w:type="dxa"/>
            <w:vAlign w:val="bottom"/>
          </w:tcPr>
          <w:p>
            <w:pPr>
              <w:jc w:val="right"/>
              <w:ind w:right="956"/>
              <w:spacing w:after="0"/>
              <w:rPr>
                <w:sz w:val="20"/>
                <w:szCs w:val="20"/>
                <w:color w:val="auto"/>
              </w:rPr>
            </w:pPr>
            <w:r>
              <w:rPr>
                <w:rFonts w:ascii="Arial" w:cs="Arial" w:eastAsia="Arial" w:hAnsi="Arial"/>
                <w:sz w:val="15"/>
                <w:szCs w:val="15"/>
                <w:b w:val="1"/>
                <w:bCs w:val="1"/>
                <w:color w:val="auto"/>
                <w:w w:val="71"/>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128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34"/>
        </w:trPr>
        <w:tc>
          <w:tcPr>
            <w:tcW w:w="1120" w:type="dxa"/>
            <w:vAlign w:val="bottom"/>
          </w:tcPr>
          <w:p>
            <w:pPr>
              <w:spacing w:after="0"/>
              <w:rPr>
                <w:sz w:val="20"/>
                <w:szCs w:val="2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23"/>
        </w:trPr>
        <w:tc>
          <w:tcPr>
            <w:tcW w:w="112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-462280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540"/>
            <w:col w:w="580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Tax benefit recognized</w:t>
            </w:r>
          </w:p>
        </w:tc>
        <w:tc>
          <w:tcPr>
            <w:tcW w:w="70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5540" w:type="dxa"/>
            <w:vAlign w:val="bottom"/>
          </w:tcPr>
          <w:p>
            <w:pPr>
              <w:spacing w:after="0" w:line="201" w:lineRule="exact"/>
              <w:rPr>
                <w:sz w:val="20"/>
                <w:szCs w:val="20"/>
                <w:color w:val="auto"/>
              </w:rPr>
            </w:pPr>
            <w:r>
              <w:rPr>
                <w:rFonts w:ascii="Arial" w:cs="Arial" w:eastAsia="Arial" w:hAnsi="Arial"/>
                <w:sz w:val="18"/>
                <w:szCs w:val="18"/>
                <w:color w:val="auto"/>
                <w:w w:val="90"/>
              </w:rPr>
              <w:t>Excess income tax benefit from settled equity-classified share-based awards</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33</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reported as a cash flow from financing activities</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Model and Assumptions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 The following table shows the Company’s assumptions used to compute the share-based compensation expense: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Stock Option Plans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Stock Purchase Plan</w:t>
            </w:r>
          </w:p>
        </w:tc>
      </w:tr>
      <w:tr>
        <w:trPr>
          <w:trHeight w:val="205"/>
        </w:trPr>
        <w:tc>
          <w:tcPr>
            <w:tcW w:w="4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90"/>
              </w:rPr>
              <w:t>October 31,</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0"/>
              <w:spacing w:after="0" w:line="205" w:lineRule="exact"/>
              <w:rPr>
                <w:sz w:val="20"/>
                <w:szCs w:val="20"/>
                <w:color w:val="auto"/>
              </w:rPr>
            </w:pPr>
            <w:r>
              <w:rPr>
                <w:rFonts w:ascii="Arial" w:cs="Arial" w:eastAsia="Arial" w:hAnsi="Arial"/>
                <w:sz w:val="18"/>
                <w:szCs w:val="18"/>
                <w:b w:val="1"/>
                <w:bCs w:val="1"/>
                <w:color w:val="auto"/>
                <w:w w:val="90"/>
              </w:rPr>
              <w:t>November 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420"/>
              <w:spacing w:after="0" w:line="205" w:lineRule="exact"/>
              <w:rPr>
                <w:sz w:val="20"/>
                <w:szCs w:val="20"/>
                <w:color w:val="auto"/>
              </w:rPr>
            </w:pPr>
            <w:r>
              <w:rPr>
                <w:rFonts w:ascii="Arial" w:cs="Arial" w:eastAsia="Arial" w:hAnsi="Arial"/>
                <w:sz w:val="18"/>
                <w:szCs w:val="18"/>
                <w:b w:val="1"/>
                <w:bCs w:val="1"/>
                <w:color w:val="auto"/>
                <w:w w:val="92"/>
              </w:rPr>
              <w:t>October 31,</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60" w:type="dxa"/>
            <w:vAlign w:val="bottom"/>
          </w:tcPr>
          <w:p>
            <w:pPr>
              <w:spacing w:after="0"/>
              <w:rPr>
                <w:sz w:val="17"/>
                <w:szCs w:val="17"/>
                <w:color w:val="auto"/>
              </w:rPr>
            </w:pPr>
          </w:p>
        </w:tc>
      </w:tr>
      <w:tr>
        <w:trPr>
          <w:trHeight w:val="234"/>
        </w:trPr>
        <w:tc>
          <w:tcPr>
            <w:tcW w:w="42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 free rate of interest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award life</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6.0 years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 years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 year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 year</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Dividend yield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10.20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in the following table covers options granted under the Company’s stock option plans for the thirty-nine weeks ended October 31,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14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Average Term</w:t>
            </w:r>
          </w:p>
        </w:tc>
        <w:tc>
          <w:tcPr>
            <w:tcW w:w="28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191"/>
        </w:trPr>
        <w:tc>
          <w:tcPr>
            <w:tcW w:w="7000" w:type="dxa"/>
            <w:vAlign w:val="bottom"/>
          </w:tcPr>
          <w:p>
            <w:pPr>
              <w:spacing w:after="0"/>
              <w:rPr>
                <w:sz w:val="16"/>
                <w:szCs w:val="16"/>
                <w:color w:val="auto"/>
              </w:rPr>
            </w:pPr>
          </w:p>
        </w:tc>
        <w:tc>
          <w:tcPr>
            <w:tcW w:w="4320" w:type="dxa"/>
            <w:vAlign w:val="bottom"/>
            <w:tcBorders>
              <w:top w:val="single" w:sz="8" w:color="auto"/>
            </w:tcBorders>
            <w:gridSpan w:val="6"/>
          </w:tcPr>
          <w:p>
            <w:pPr>
              <w:jc w:val="center"/>
              <w:spacing w:after="0" w:line="191" w:lineRule="exact"/>
              <w:rPr>
                <w:sz w:val="20"/>
                <w:szCs w:val="20"/>
                <w:color w:val="auto"/>
              </w:rPr>
            </w:pPr>
            <w:r>
              <w:rPr>
                <w:rFonts w:ascii="Arial" w:cs="Arial" w:eastAsia="Arial" w:hAnsi="Arial"/>
                <w:sz w:val="18"/>
                <w:szCs w:val="18"/>
                <w:b w:val="1"/>
                <w:bCs w:val="1"/>
                <w:color w:val="auto"/>
                <w:w w:val="88"/>
              </w:rPr>
              <w:t>(in thousands, except price per share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4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weighted-average term)</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5,569</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694</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62.29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(2,447)</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Expired or cancelled</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(55)</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October 31, 2015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Options exercisable at October 31, 2015</w:t>
            </w: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2,531</w:t>
            </w:r>
          </w:p>
        </w:tc>
        <w:tc>
          <w:tcPr>
            <w:tcW w:w="20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0" w:type="dxa"/>
            <w:vAlign w:val="bottom"/>
            <w:vMerge w:val="continue"/>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22.13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at October 31, 2015</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3,720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Options available for future grant at October 31, 2015</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13,037</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 –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intrinsic value of options exercised (the difference between the market price of the Company’s common stock on the exercise date and the price paid by the optionee to exercise the option)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4"/>
          </w:tcPr>
          <w:p>
            <w:pPr>
              <w:ind w:left="28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5620" w:type="dxa"/>
            <w:vAlign w:val="bottom"/>
          </w:tcPr>
          <w:p>
            <w:pPr>
              <w:spacing w:after="0"/>
              <w:rPr>
                <w:sz w:val="17"/>
                <w:szCs w:val="17"/>
                <w:color w:val="auto"/>
              </w:rPr>
            </w:pPr>
          </w:p>
        </w:tc>
        <w:tc>
          <w:tcPr>
            <w:tcW w:w="1080" w:type="dxa"/>
            <w:vAlign w:val="bottom"/>
            <w:tcBorders>
              <w:top w:val="single" w:sz="8" w:color="auto"/>
            </w:tcBorders>
          </w:tcPr>
          <w:p>
            <w:pPr>
              <w:jc w:val="center"/>
              <w:ind w:left="94"/>
              <w:spacing w:after="0" w:line="205" w:lineRule="exact"/>
              <w:rPr>
                <w:sz w:val="20"/>
                <w:szCs w:val="20"/>
                <w:color w:val="auto"/>
              </w:rPr>
            </w:pPr>
            <w:r>
              <w:rPr>
                <w:rFonts w:ascii="Arial" w:cs="Arial" w:eastAsia="Arial" w:hAnsi="Arial"/>
                <w:sz w:val="18"/>
                <w:szCs w:val="18"/>
                <w:b w:val="1"/>
                <w:bCs w:val="1"/>
                <w:color w:val="auto"/>
                <w:w w:val="90"/>
              </w:rPr>
              <w:t>October 31,</w:t>
            </w: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left="17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w w:val="90"/>
              </w:rPr>
              <w:t>October 31,</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5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6"/>
          </w:tcPr>
          <w:p>
            <w:pPr>
              <w:jc w:val="right"/>
              <w:ind w:right="890"/>
              <w:spacing w:after="0"/>
              <w:rPr>
                <w:sz w:val="20"/>
                <w:szCs w:val="20"/>
                <w:color w:val="auto"/>
              </w:rPr>
            </w:pPr>
            <w:r>
              <w:rPr>
                <w:rFonts w:ascii="Arial" w:cs="Arial" w:eastAsia="Arial" w:hAnsi="Arial"/>
                <w:sz w:val="18"/>
                <w:szCs w:val="18"/>
                <w:b w:val="1"/>
                <w:bCs w:val="1"/>
                <w:color w:val="auto"/>
              </w:rPr>
              <w:t>($ in millions)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31</w:t>
            </w:r>
          </w:p>
        </w:tc>
        <w:tc>
          <w:tcPr>
            <w:tcW w:w="12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for stock options outstanding and for stock options exercisable (the difference between the Company’s closing stock price on the last trading day of the period and the exercise price of the options, multiplied by the number of in-the-money stock options)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4"/>
          </w:tcPr>
          <w:p>
            <w:pPr>
              <w:ind w:left="28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5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10"/>
              <w:spacing w:after="0" w:line="205" w:lineRule="exact"/>
              <w:rPr>
                <w:sz w:val="20"/>
                <w:szCs w:val="20"/>
                <w:color w:val="auto"/>
              </w:rPr>
            </w:pPr>
            <w:r>
              <w:rPr>
                <w:rFonts w:ascii="Arial" w:cs="Arial" w:eastAsia="Arial" w:hAnsi="Arial"/>
                <w:sz w:val="18"/>
                <w:szCs w:val="18"/>
                <w:b w:val="1"/>
                <w:bCs w:val="1"/>
                <w:color w:val="auto"/>
                <w:w w:val="92"/>
              </w:rPr>
              <w:t>October 31,</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r>
      <w:tr>
        <w:trPr>
          <w:trHeight w:val="234"/>
        </w:trPr>
        <w:tc>
          <w:tcPr>
            <w:tcW w:w="53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3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Outstanding and exercisable</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3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31, 2015 there was $9 million of total unrecognized compensation cost related to nonvested stock options, which is expected to be recognized over a weighted-average period of 1.5 years.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cash received from option exercises for the thirteen and thirty-nine weeks ended October 31, 2015 was $25 million and $63 million, respectively. The cash received from option exercises for the thirteen and thirty-nine weeks ended November 1, 2014 was $4 million and $17 million, respectively. The total tax benefit realized from option exercises was $12 million and $37 million for the thirteen and thirty-nine weeks ended October 31, 2015, respectively, and was $2 million and $7 million for the corresponding prior-year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October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Options Outstanding</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tcPr>
          <w:p>
            <w:pPr>
              <w:ind w:left="58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5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Weighted-</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40" w:type="dxa"/>
            <w:vAlign w:val="bottom"/>
          </w:tcPr>
          <w:p>
            <w:pPr>
              <w:spacing w:after="0"/>
              <w:rPr>
                <w:sz w:val="18"/>
                <w:szCs w:val="18"/>
                <w:color w:val="auto"/>
              </w:rPr>
            </w:pPr>
          </w:p>
        </w:tc>
        <w:tc>
          <w:tcPr>
            <w:tcW w:w="3580" w:type="dxa"/>
            <w:vAlign w:val="bottom"/>
            <w:gridSpan w:val="2"/>
          </w:tcPr>
          <w:p>
            <w:pPr>
              <w:ind w:left="780"/>
              <w:spacing w:after="0"/>
              <w:rPr>
                <w:sz w:val="20"/>
                <w:szCs w:val="20"/>
                <w:color w:val="auto"/>
              </w:rPr>
            </w:pPr>
            <w:r>
              <w:rPr>
                <w:rFonts w:ascii="Arial" w:cs="Arial" w:eastAsia="Arial" w:hAnsi="Arial"/>
                <w:sz w:val="18"/>
                <w:szCs w:val="18"/>
                <w:b w:val="1"/>
                <w:bCs w:val="1"/>
                <w:color w:val="auto"/>
              </w:rPr>
              <w:t>Range of Exercise</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540" w:type="dxa"/>
            <w:vAlign w:val="bottom"/>
          </w:tcPr>
          <w:p>
            <w:pPr>
              <w:spacing w:after="0"/>
              <w:rPr>
                <w:sz w:val="20"/>
                <w:szCs w:val="20"/>
                <w:color w:val="auto"/>
              </w:rPr>
            </w:pPr>
          </w:p>
        </w:tc>
        <w:tc>
          <w:tcPr>
            <w:tcW w:w="3580" w:type="dxa"/>
            <w:vAlign w:val="bottom"/>
            <w:gridSpan w:val="2"/>
          </w:tcPr>
          <w:p>
            <w:pPr>
              <w:ind w:left="1240"/>
              <w:spacing w:after="0"/>
              <w:rPr>
                <w:sz w:val="20"/>
                <w:szCs w:val="20"/>
                <w:color w:val="auto"/>
              </w:rPr>
            </w:pPr>
            <w:r>
              <w:rPr>
                <w:rFonts w:ascii="Arial" w:cs="Arial" w:eastAsia="Arial" w:hAnsi="Arial"/>
                <w:sz w:val="18"/>
                <w:szCs w:val="18"/>
                <w:b w:val="1"/>
                <w:bCs w:val="1"/>
                <w:color w:val="auto"/>
              </w:rPr>
              <w:t>Prices</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Contractual Life</w:t>
            </w: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Exercisable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54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0" w:type="dxa"/>
            <w:vAlign w:val="bottom"/>
            <w:tcBorders>
              <w:top w:val="single" w:sz="8" w:color="auto"/>
            </w:tcBorders>
            <w:gridSpan w:val="8"/>
          </w:tcPr>
          <w:p>
            <w:pPr>
              <w:ind w:left="60"/>
              <w:spacing w:after="0"/>
              <w:rPr>
                <w:sz w:val="20"/>
                <w:szCs w:val="20"/>
                <w:color w:val="auto"/>
              </w:rPr>
            </w:pPr>
            <w:r>
              <w:rPr>
                <w:rFonts w:ascii="Arial" w:cs="Arial" w:eastAsia="Arial" w:hAnsi="Arial"/>
                <w:sz w:val="18"/>
                <w:szCs w:val="18"/>
                <w:b w:val="1"/>
                <w:bCs w:val="1"/>
                <w:color w:val="auto"/>
                <w:w w:val="89"/>
              </w:rPr>
              <w:t>(in thousands, except prices per share and contractual life)</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3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 $18.80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w w:val="87"/>
              </w:rPr>
              <w:t>$18.84</w:t>
            </w:r>
          </w:p>
        </w:tc>
        <w:tc>
          <w:tcPr>
            <w:tcW w:w="3580" w:type="dxa"/>
            <w:vAlign w:val="bottom"/>
            <w:gridSpan w:val="2"/>
          </w:tcPr>
          <w:p>
            <w:pPr>
              <w:ind w:left="60"/>
              <w:spacing w:after="0"/>
              <w:rPr>
                <w:sz w:val="20"/>
                <w:szCs w:val="20"/>
                <w:color w:val="auto"/>
              </w:rPr>
            </w:pPr>
            <w:r>
              <w:rPr>
                <w:rFonts w:ascii="Arial" w:cs="Arial" w:eastAsia="Arial" w:hAnsi="Arial"/>
                <w:sz w:val="18"/>
                <w:szCs w:val="18"/>
                <w:color w:val="auto"/>
              </w:rPr>
              <w:t>to $24.75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899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19.81</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r>
      <w:tr>
        <w:trPr>
          <w:trHeight w:val="216"/>
        </w:trPr>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$30.92</w:t>
            </w:r>
          </w:p>
        </w:tc>
        <w:tc>
          <w:tcPr>
            <w:tcW w:w="3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 $36.59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w w:val="87"/>
              </w:rPr>
              <w:t>$45.08</w:t>
            </w:r>
          </w:p>
        </w:tc>
        <w:tc>
          <w:tcPr>
            <w:tcW w:w="3580" w:type="dxa"/>
            <w:vAlign w:val="bottom"/>
            <w:gridSpan w:val="2"/>
          </w:tcPr>
          <w:p>
            <w:pPr>
              <w:ind w:left="60"/>
              <w:spacing w:after="0"/>
              <w:rPr>
                <w:sz w:val="20"/>
                <w:szCs w:val="20"/>
                <w:color w:val="auto"/>
              </w:rPr>
            </w:pPr>
            <w:r>
              <w:rPr>
                <w:rFonts w:ascii="Arial" w:cs="Arial" w:eastAsia="Arial" w:hAnsi="Arial"/>
                <w:sz w:val="18"/>
                <w:szCs w:val="18"/>
                <w:color w:val="auto"/>
              </w:rPr>
              <w:t>to $73.21</w:t>
            </w:r>
          </w:p>
        </w:tc>
        <w:tc>
          <w:tcPr>
            <w:tcW w:w="1280" w:type="dxa"/>
            <w:vAlign w:val="bottom"/>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55.47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45.70</w:t>
            </w:r>
          </w:p>
        </w:tc>
      </w:tr>
      <w:tr>
        <w:trPr>
          <w:trHeight w:val="223"/>
        </w:trPr>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3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Restricted shares of the Company’s common stock and restricted stock units (“RSU”) may be awarded to certain officers and key employees of the Company. RSU awards generally are made to executives outside of the United States and to nonemployee directors. Additionally, RSU awards are made in connection with the Company’s long-term incentive program. Each RSU represents the right to receive one share of the Company’s common stock provided that the vesting conditions are satisfied. There were 588,308 and 734,295 RSU awards outstanding as of October 31, 2015 and November 1, 2014, respectively.</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 – (continued)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Generally, awards fully vest after the passage of time, typically three years. However, RSU awards made in connection with the Company’s long-term incentive program vest after the attainment of both certain performance metrics and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expense is recognized using the fair market value at the date of grant and is amortized over the vesting period, provided the recipient continues to be employed by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r>
              <w:rPr>
                <w:rFonts w:ascii="Arial" w:cs="Arial" w:eastAsia="Arial" w:hAnsi="Arial"/>
                <w:sz w:val="18"/>
                <w:szCs w:val="18"/>
                <w:color w:val="auto"/>
                <w:w w:val="92"/>
              </w:rPr>
              <w:t>Restricted stock and RSU activity for the thirty-nine weeks ended October 31, 2015 is summarized as follows: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1"/>
              </w:rPr>
              <w:t>Weighted-Average</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 Date Fair</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Value per Share</w:t>
            </w:r>
          </w:p>
        </w:tc>
        <w:tc>
          <w:tcPr>
            <w:tcW w:w="0" w:type="dxa"/>
            <w:vAlign w:val="bottom"/>
          </w:tcPr>
          <w:p>
            <w:pPr>
              <w:spacing w:after="0"/>
              <w:rPr>
                <w:sz w:val="1"/>
                <w:szCs w:val="1"/>
                <w:color w:val="auto"/>
              </w:rPr>
            </w:pPr>
          </w:p>
        </w:tc>
      </w:tr>
      <w:tr>
        <w:trPr>
          <w:trHeight w:val="210"/>
        </w:trPr>
        <w:tc>
          <w:tcPr>
            <w:tcW w:w="8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89"/>
              </w:rPr>
              <w:t>(in thousands, except price per share)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Nonvested at the beginning of the year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Granted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Expired or cancelled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October 31, 2015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Aggregate value ($ in millions)</w:t>
            </w: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contractual life (in years)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 years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 grant-date fair value per share was $63.72 and $45.24 for the thirty-nine weeks ended October 31, 2015 and November 1, 2014, respectively . The total value of awards for which restrictions lapsed for the thirty-nine weeks ended October 31, 2015 and November 1, 2014 was $10 million and $14 million, respectively. As of October 31, 2015, there was $12 million of total unrecognized compensation cost net of forfeitures related to nonvested restricted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and the Company’s U.S. retirement plan are defendants in a class action (</w:t>
      </w:r>
      <w:r>
        <w:rPr>
          <w:rFonts w:ascii="Arial" w:cs="Arial" w:eastAsia="Arial" w:hAnsi="Arial"/>
          <w:sz w:val="16"/>
          <w:szCs w:val="16"/>
          <w:i w:val="1"/>
          <w:iCs w:val="1"/>
          <w:color w:val="auto"/>
        </w:rPr>
        <w:t>Osberg v. Foot Locker Inc.</w:t>
      </w:r>
      <w:r>
        <w:rPr>
          <w:rFonts w:ascii="Arial" w:cs="Arial" w:eastAsia="Arial" w:hAnsi="Arial"/>
          <w:sz w:val="16"/>
          <w:szCs w:val="16"/>
          <w:color w:val="auto"/>
        </w:rPr>
        <w:t xml:space="preserve"> et ano.,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claims were for breach of fiduciary duty under the Employee Retirement Income Security Act of 1974, as amended, and violation of the statutory provisions governing the content of the Summary Plan Description. The trial was held in July 2015 and the court issued a decision in September 2015 in favor of the class on the foregoing claims. The court ordered that the Plan be reformed. The Company is appealing the court’s decision, and the judgment has been stayed pending the outcome of the appeal. As a result of this development, the Company has determined that it is probable a liability exists. The Company’s reasonable estimate of this liability is a range between $100 million and $200 million, with no amount within that range more probable than any other amount. Therefore, in accordance with U.S. GAAP, the Company recorded a charge of $100 million pre-tax ($61 million after-tax) in the third quarter of 2015. This amount has been classified as a long-term liability. The Company will continue to vigorously defend itself in this case. In light of the uncertainties involved in this matter, there is no assurance that the ultimate resolution will not differ from the amount currently accrued by the Company.</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 – (continued)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Certain of the Company’s subsidiaries were defendants in a number of lawsuits filed in state and federal courts containing various class action allegations under federal or state wage and hour laws, including allegations concerning unpaid overtime, meal and rest breaks, and uniforms. In </w:t>
      </w:r>
      <w:r>
        <w:rPr>
          <w:rFonts w:ascii="Arial" w:cs="Arial" w:eastAsia="Arial" w:hAnsi="Arial"/>
          <w:sz w:val="16"/>
          <w:szCs w:val="16"/>
          <w:i w:val="1"/>
          <w:iCs w:val="1"/>
          <w:color w:val="auto"/>
        </w:rPr>
        <w:t>Pereira v. Foot Locker</w:t>
      </w:r>
      <w:r>
        <w:rPr>
          <w:rFonts w:ascii="Arial" w:cs="Arial" w:eastAsia="Arial" w:hAnsi="Arial"/>
          <w:sz w:val="16"/>
          <w:szCs w:val="16"/>
          <w:color w:val="auto"/>
        </w:rPr>
        <w:t xml:space="preserve">, filed in the U.S. District Court for the Eastern District of Pennsylvania, the plaintiff alleged that the Company permitted unpaid off-the-clock hours in violation of the Fair Labor Standards Act and state labor laws and sought compensatory and punitive damages, injunctive relief, and attorneys’ fees and costs. Additional purported wage and hour class actions were filed against the Company that asserted claims similar to those asserted in </w:t>
      </w:r>
      <w:r>
        <w:rPr>
          <w:rFonts w:ascii="Arial" w:cs="Arial" w:eastAsia="Arial" w:hAnsi="Arial"/>
          <w:sz w:val="16"/>
          <w:szCs w:val="16"/>
          <w:i w:val="1"/>
          <w:iCs w:val="1"/>
          <w:color w:val="auto"/>
        </w:rPr>
        <w:t>Pereira</w:t>
      </w:r>
      <w:r>
        <w:rPr>
          <w:rFonts w:ascii="Arial" w:cs="Arial" w:eastAsia="Arial" w:hAnsi="Arial"/>
          <w:sz w:val="16"/>
          <w:szCs w:val="16"/>
          <w:color w:val="auto"/>
        </w:rPr>
        <w:t xml:space="preserve"> and sought similar remedies. With the exception of </w:t>
      </w:r>
      <w:r>
        <w:rPr>
          <w:rFonts w:ascii="Arial" w:cs="Arial" w:eastAsia="Arial" w:hAnsi="Arial"/>
          <w:sz w:val="16"/>
          <w:szCs w:val="16"/>
          <w:i w:val="1"/>
          <w:iCs w:val="1"/>
          <w:color w:val="auto"/>
        </w:rPr>
        <w:t>Hill v. Foot Locker</w:t>
      </w:r>
      <w:r>
        <w:rPr>
          <w:rFonts w:ascii="Arial" w:cs="Arial" w:eastAsia="Arial" w:hAnsi="Arial"/>
          <w:sz w:val="16"/>
          <w:szCs w:val="16"/>
          <w:color w:val="auto"/>
        </w:rPr>
        <w:t xml:space="preserve"> filed in state court in Illinois, </w:t>
      </w:r>
      <w:r>
        <w:rPr>
          <w:rFonts w:ascii="Arial" w:cs="Arial" w:eastAsia="Arial" w:hAnsi="Arial"/>
          <w:sz w:val="16"/>
          <w:szCs w:val="16"/>
          <w:i w:val="1"/>
          <w:iCs w:val="1"/>
          <w:color w:val="auto"/>
        </w:rPr>
        <w:t>Kissinger v. Foot Locker</w:t>
      </w:r>
      <w:r>
        <w:rPr>
          <w:rFonts w:ascii="Arial" w:cs="Arial" w:eastAsia="Arial" w:hAnsi="Arial"/>
          <w:sz w:val="16"/>
          <w:szCs w:val="16"/>
          <w:color w:val="auto"/>
        </w:rPr>
        <w:t xml:space="preserve"> filed in state court in California, and </w:t>
      </w:r>
      <w:r>
        <w:rPr>
          <w:rFonts w:ascii="Arial" w:cs="Arial" w:eastAsia="Arial" w:hAnsi="Arial"/>
          <w:sz w:val="16"/>
          <w:szCs w:val="16"/>
          <w:i w:val="1"/>
          <w:iCs w:val="1"/>
          <w:color w:val="auto"/>
        </w:rPr>
        <w:t>Cortes v. Foot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Locker </w:t>
      </w:r>
      <w:r>
        <w:rPr>
          <w:rFonts w:ascii="Arial" w:cs="Arial" w:eastAsia="Arial" w:hAnsi="Arial"/>
          <w:sz w:val="16"/>
          <w:szCs w:val="16"/>
          <w:color w:val="auto"/>
        </w:rPr>
        <w:t>filed in federal court in New York, all of these actions were consolidated by the United States Judicial Panel on Multidistrict Litigation with</w:t>
      </w:r>
      <w:r>
        <w:rPr>
          <w:rFonts w:ascii="Arial" w:cs="Arial" w:eastAsia="Arial" w:hAnsi="Arial"/>
          <w:sz w:val="16"/>
          <w:szCs w:val="16"/>
          <w:i w:val="1"/>
          <w:iCs w:val="1"/>
          <w:color w:val="auto"/>
        </w:rPr>
        <w:t xml:space="preserve"> Pereira </w:t>
      </w:r>
      <w:r>
        <w:rPr>
          <w:rFonts w:ascii="Arial" w:cs="Arial" w:eastAsia="Arial" w:hAnsi="Arial"/>
          <w:sz w:val="16"/>
          <w:szCs w:val="16"/>
          <w:color w:val="auto"/>
        </w:rPr>
        <w:t xml:space="preserve">under the caption </w:t>
      </w:r>
      <w:r>
        <w:rPr>
          <w:rFonts w:ascii="Arial" w:cs="Arial" w:eastAsia="Arial" w:hAnsi="Arial"/>
          <w:sz w:val="16"/>
          <w:szCs w:val="16"/>
          <w:i w:val="1"/>
          <w:iCs w:val="1"/>
          <w:color w:val="auto"/>
        </w:rPr>
        <w:t>In re Foot Locker, Inc</w:t>
      </w:r>
      <w:r>
        <w:rPr>
          <w:rFonts w:ascii="Arial" w:cs="Arial" w:eastAsia="Arial" w:hAnsi="Arial"/>
          <w:sz w:val="16"/>
          <w:szCs w:val="16"/>
          <w:color w:val="auto"/>
        </w:rPr>
        <w:t xml:space="preserve">. </w:t>
      </w:r>
      <w:r>
        <w:rPr>
          <w:rFonts w:ascii="Arial" w:cs="Arial" w:eastAsia="Arial" w:hAnsi="Arial"/>
          <w:sz w:val="16"/>
          <w:szCs w:val="16"/>
          <w:i w:val="1"/>
          <w:iCs w:val="1"/>
          <w:color w:val="auto"/>
        </w:rPr>
        <w:t>Fair Labor Standards Act and Wage and Hour Litigation</w:t>
      </w:r>
      <w:r>
        <w:rPr>
          <w:rFonts w:ascii="Arial" w:cs="Arial" w:eastAsia="Arial" w:hAnsi="Arial"/>
          <w:sz w:val="16"/>
          <w:szCs w:val="16"/>
          <w:color w:val="auto"/>
        </w:rPr>
        <w:t xml:space="preserve">. The Company and plaintiffs entered into a settlement agreement resolving </w:t>
      </w:r>
      <w:r>
        <w:rPr>
          <w:rFonts w:ascii="Arial" w:cs="Arial" w:eastAsia="Arial" w:hAnsi="Arial"/>
          <w:sz w:val="16"/>
          <w:szCs w:val="16"/>
          <w:i w:val="1"/>
          <w:iCs w:val="1"/>
          <w:color w:val="auto"/>
        </w:rPr>
        <w:t>Hill</w:t>
      </w:r>
      <w:r>
        <w:rPr>
          <w:rFonts w:ascii="Arial" w:cs="Arial" w:eastAsia="Arial" w:hAnsi="Arial"/>
          <w:sz w:val="16"/>
          <w:szCs w:val="16"/>
          <w:color w:val="auto"/>
        </w:rPr>
        <w:t xml:space="preserve"> and the consolidated cases that was approved by the court during the second quarter of 2015. Additionally, during the third quarter of 2015, the Company and plaintiffs in </w:t>
      </w:r>
      <w:r>
        <w:rPr>
          <w:rFonts w:ascii="Arial" w:cs="Arial" w:eastAsia="Arial" w:hAnsi="Arial"/>
          <w:sz w:val="16"/>
          <w:szCs w:val="16"/>
          <w:i w:val="1"/>
          <w:iCs w:val="1"/>
          <w:color w:val="auto"/>
        </w:rPr>
        <w:t>Cortes</w:t>
      </w:r>
      <w:r>
        <w:rPr>
          <w:rFonts w:ascii="Arial" w:cs="Arial" w:eastAsia="Arial" w:hAnsi="Arial"/>
          <w:sz w:val="16"/>
          <w:szCs w:val="16"/>
          <w:color w:val="auto"/>
        </w:rPr>
        <w:t xml:space="preserve"> and </w:t>
      </w:r>
      <w:r>
        <w:rPr>
          <w:rFonts w:ascii="Arial" w:cs="Arial" w:eastAsia="Arial" w:hAnsi="Arial"/>
          <w:sz w:val="16"/>
          <w:szCs w:val="16"/>
          <w:i w:val="1"/>
          <w:iCs w:val="1"/>
          <w:color w:val="auto"/>
        </w:rPr>
        <w:t>Kissinger</w:t>
      </w:r>
      <w:r>
        <w:rPr>
          <w:rFonts w:ascii="Arial" w:cs="Arial" w:eastAsia="Arial" w:hAnsi="Arial"/>
          <w:sz w:val="16"/>
          <w:szCs w:val="16"/>
          <w:color w:val="auto"/>
        </w:rPr>
        <w:t xml:space="preserve"> entered into settlement agreements that have also been approved by the respective courts.</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Management does not believe that the outcome of any such legal proceedings pending against the Company or its consolidated subsidiaries, including </w:t>
      </w:r>
      <w:r>
        <w:rPr>
          <w:rFonts w:ascii="Arial" w:cs="Arial" w:eastAsia="Arial" w:hAnsi="Arial"/>
          <w:sz w:val="17"/>
          <w:szCs w:val="17"/>
          <w:i w:val="1"/>
          <w:iCs w:val="1"/>
          <w:color w:val="auto"/>
        </w:rPr>
        <w:t>Osberg</w:t>
      </w:r>
      <w:r>
        <w:rPr>
          <w:rFonts w:ascii="Arial" w:cs="Arial" w:eastAsia="Arial" w:hAnsi="Arial"/>
          <w:sz w:val="17"/>
          <w:szCs w:val="17"/>
          <w:color w:val="auto"/>
        </w:rPr>
        <w:t>, as described above, would have a material adverse effect on the Company’s consolidated financial position, liquidity, or results of operations, taken</w:t>
      </w:r>
      <w:r>
        <w:rPr>
          <w:rFonts w:ascii="Arial" w:cs="Arial" w:eastAsia="Arial" w:hAnsi="Arial"/>
          <w:sz w:val="17"/>
          <w:szCs w:val="17"/>
          <w:i w:val="1"/>
          <w:iCs w:val="1"/>
          <w:color w:val="auto"/>
        </w:rPr>
        <w:t xml:space="preserve"> </w:t>
      </w:r>
      <w:r>
        <w:rPr>
          <w:rFonts w:ascii="Arial" w:cs="Arial" w:eastAsia="Arial" w:hAnsi="Arial"/>
          <w:sz w:val="17"/>
          <w:szCs w:val="17"/>
          <w:color w:val="auto"/>
        </w:rPr>
        <w:t>as a whole, based upon current knowledge and taking into consideration current accruals. Litigation is inherently unpredictable, and judgments could be rendered or settlements entered into that could adversely affect the Company’s operating results or cash flows in a particular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 through its subsidiaries, operates in two reportable segments – Athletic Stores and Direct-to-Customers.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Athletic Stores segment is one of the largest athletic footwear and apparel retailers in the world, with formats that include Foot Locker, Lady Foot Locker, SIX:02, Kids Foot Locker, Champs Sports, Footaction, Runners Point, and Sidestep.</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Direct-to-Customers segment is multi-branded and multi-channeled. This segment sells, through its affiliates, directly to customers through its Internet and mobile sites and catalogs. Eastbay, one of the affiliates, is among the largest direct marketers in the United States. The Direct-to-Customers segment operates the websites for eastbay.com, final-score.com, eastbayteamsales.com, as well as websites aligned with the brand names of its store banners (footlocker.com, footlocker.ca, footlocker.eu, ladyfootlocker.com, six02.com, kidsfootlocker.com, champssports.com, footaction.com, runnerspoint.com, and sidestep-shoes.com). Additionally, this segment includes sp24.com, a clearance website for our European e-commerce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October 31, 2015, the Company operated 3,432 stores as compared with 3,423 and 3,474 stores at January 31, 2015 and November 1, 2014, respectively.</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total of 64 franchised stores were operating at October 31, 2015, as compared with 78 and 73 stores at January 31, 2015 and November 1, 2014, respectively. During the third quarter of 2015, the Company completed an acquisition from Futura Sport AG of 10 Runners Point and Sidestep stores, which were previously franchise stores.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the franchised stores was not significant for any of the periods presented. These stores are not included in the Company’s operating store count above.</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increased by $63 million, or 3.6 percent, to $1,794 million for the thirteen weeks ended October 31, 2015, from $1,731 million for the thirteen weeks ended November 1, 2014. For the thirty-nine weeks ended October 31, 2015, sales of $5,405 million increased 3.1 percent from sales of $5,240 million for the corresponding prior-year period. Excluding the effect of foreign currency fluctuations, total sales for both the thirteen and thirty-nine week periods increased 8.9 percent as compared with the corresponding prior-year periods. Comparable-store sales increased by 8.7 percent for both the thirteen and thirty-nine weeks ended October 31,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Gross Margin</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100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30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Thirteen weeks ended</w:t>
            </w:r>
          </w:p>
        </w:tc>
        <w:tc>
          <w:tcPr>
            <w:tcW w:w="29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10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540" w:type="dxa"/>
            <w:vAlign w:val="bottom"/>
            <w:tcBorders>
              <w:top w:val="single" w:sz="8" w:color="auto"/>
            </w:tcBorders>
            <w:gridSpan w:val="3"/>
          </w:tcPr>
          <w:p>
            <w:pPr>
              <w:jc w:val="center"/>
              <w:ind w:right="280"/>
              <w:spacing w:after="0" w:line="205" w:lineRule="exact"/>
              <w:rPr>
                <w:sz w:val="20"/>
                <w:szCs w:val="20"/>
                <w:color w:val="auto"/>
              </w:rPr>
            </w:pPr>
            <w:r>
              <w:rPr>
                <w:rFonts w:ascii="Arial" w:cs="Arial" w:eastAsia="Arial" w:hAnsi="Arial"/>
                <w:sz w:val="18"/>
                <w:szCs w:val="18"/>
                <w:b w:val="1"/>
                <w:bCs w:val="1"/>
                <w:color w:val="auto"/>
                <w:w w:val="90"/>
              </w:rPr>
              <w:t>October 31,</w:t>
            </w:r>
          </w:p>
        </w:tc>
        <w:tc>
          <w:tcPr>
            <w:tcW w:w="12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November 1,</w:t>
            </w:r>
          </w:p>
        </w:tc>
        <w:tc>
          <w:tcPr>
            <w:tcW w:w="280" w:type="dxa"/>
            <w:vAlign w:val="bottom"/>
          </w:tcPr>
          <w:p>
            <w:pPr>
              <w:spacing w:after="0"/>
              <w:rPr>
                <w:sz w:val="17"/>
                <w:szCs w:val="17"/>
                <w:color w:val="auto"/>
              </w:rPr>
            </w:pPr>
          </w:p>
        </w:tc>
        <w:tc>
          <w:tcPr>
            <w:tcW w:w="1540" w:type="dxa"/>
            <w:vAlign w:val="bottom"/>
            <w:tcBorders>
              <w:top w:val="single" w:sz="8" w:color="auto"/>
            </w:tcBorders>
            <w:gridSpan w:val="2"/>
          </w:tcPr>
          <w:p>
            <w:pPr>
              <w:ind w:left="160"/>
              <w:spacing w:after="0" w:line="205" w:lineRule="exact"/>
              <w:rPr>
                <w:sz w:val="20"/>
                <w:szCs w:val="20"/>
                <w:color w:val="auto"/>
              </w:rPr>
            </w:pPr>
            <w:r>
              <w:rPr>
                <w:rFonts w:ascii="Arial" w:cs="Arial" w:eastAsia="Arial" w:hAnsi="Arial"/>
                <w:sz w:val="18"/>
                <w:szCs w:val="18"/>
                <w:b w:val="1"/>
                <w:bCs w:val="1"/>
                <w:color w:val="auto"/>
              </w:rPr>
              <w:t>October 31,</w:t>
            </w:r>
          </w:p>
        </w:tc>
        <w:tc>
          <w:tcPr>
            <w:tcW w:w="12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November 1,</w:t>
            </w:r>
          </w:p>
        </w:tc>
        <w:tc>
          <w:tcPr>
            <w:tcW w:w="160" w:type="dxa"/>
            <w:vAlign w:val="bottom"/>
          </w:tcPr>
          <w:p>
            <w:pPr>
              <w:spacing w:after="0"/>
              <w:rPr>
                <w:sz w:val="17"/>
                <w:szCs w:val="17"/>
                <w:color w:val="auto"/>
              </w:rPr>
            </w:pPr>
          </w:p>
        </w:tc>
      </w:tr>
      <w:tr>
        <w:trPr>
          <w:trHeight w:val="234"/>
        </w:trPr>
        <w:tc>
          <w:tcPr>
            <w:tcW w:w="5420" w:type="dxa"/>
            <w:vAlign w:val="bottom"/>
            <w:tcBorders>
              <w:bottom w:val="single" w:sz="8" w:color="CCEEFF"/>
            </w:tcBorders>
            <w:gridSpan w:val="2"/>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rate</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Basis point increase in the gross margin rate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60</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Components of the increase-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80" w:type="dxa"/>
            <w:vAlign w:val="bottom"/>
            <w:gridSpan w:val="3"/>
          </w:tcPr>
          <w:p>
            <w:pPr>
              <w:ind w:left="340"/>
              <w:spacing w:after="0"/>
              <w:rPr>
                <w:sz w:val="20"/>
                <w:szCs w:val="20"/>
                <w:color w:val="auto"/>
              </w:rPr>
            </w:pPr>
            <w:r>
              <w:rPr>
                <w:rFonts w:ascii="Arial" w:cs="Arial" w:eastAsia="Arial" w:hAnsi="Arial"/>
                <w:sz w:val="18"/>
                <w:szCs w:val="18"/>
                <w:color w:val="auto"/>
              </w:rPr>
              <w:t>Merchandise margin rate improvement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Lower occupancy and buyers’ compensation expense rate</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gross margin rate improved by 60 basis points for both the thirteen and thirty-nine weeks ended October 31, 2015. Excluding the effect of foreign currency fluctuations, the gross margin rate improved by 80 and 70 basis points for the thirteen and thirty-nine weeks ended October 31, 2015, respectively. The improvement in the gross margin rate for both the thirteen and thirty-nine weeks ended October 31, 2015 was primarily the result of a higher merchandise margin rate, which primarily reflected a lower markdown rate. In addition, the prior year merchandise margin rate was negatively affected by the liquidation of CCS merchandise. Further, the occupancy and buyers compensation expense rate decreased 10 and 30 basis points for the thirteen and thirty-nine weeks ended October 31, 2015, respectively, which was the result of leveraging the fixed rent and salary elements within our cost of sales.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2"/>
          </w:tcPr>
          <w:p>
            <w:pPr>
              <w:spacing w:after="0"/>
              <w:rPr>
                <w:sz w:val="20"/>
                <w:szCs w:val="20"/>
                <w:color w:val="auto"/>
              </w:rPr>
            </w:pPr>
            <w:r>
              <w:rPr>
                <w:rFonts w:ascii="Arial" w:cs="Arial" w:eastAsia="Arial" w:hAnsi="Arial"/>
                <w:sz w:val="18"/>
                <w:szCs w:val="18"/>
                <w:i w:val="1"/>
                <w:iCs w:val="1"/>
                <w:color w:val="auto"/>
              </w:rPr>
              <w:t>Selling, General and Administrative Expenses (SG&amp;A)</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6"/>
        </w:trPr>
        <w:tc>
          <w:tcPr>
            <w:tcW w:w="39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4"/>
                <w:szCs w:val="24"/>
                <w:color w:val="auto"/>
              </w:rPr>
            </w:pPr>
          </w:p>
        </w:tc>
        <w:tc>
          <w:tcPr>
            <w:tcW w:w="286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Borders>
              <w:top w:val="single" w:sz="8" w:color="auto"/>
            </w:tcBorders>
            <w:gridSpan w:val="2"/>
          </w:tcPr>
          <w:p>
            <w:pPr>
              <w:jc w:val="right"/>
              <w:ind w:right="370"/>
              <w:spacing w:after="0" w:line="205" w:lineRule="exact"/>
              <w:rPr>
                <w:sz w:val="20"/>
                <w:szCs w:val="20"/>
                <w:color w:val="auto"/>
              </w:rPr>
            </w:pPr>
            <w:r>
              <w:rPr>
                <w:rFonts w:ascii="Arial" w:cs="Arial" w:eastAsia="Arial" w:hAnsi="Arial"/>
                <w:sz w:val="18"/>
                <w:szCs w:val="18"/>
                <w:b w:val="1"/>
                <w:bCs w:val="1"/>
                <w:color w:val="auto"/>
              </w:rPr>
              <w:t>October 31,</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0"/>
              <w:spacing w:after="0" w:line="205" w:lineRule="exact"/>
              <w:rPr>
                <w:sz w:val="20"/>
                <w:szCs w:val="20"/>
                <w:color w:val="auto"/>
              </w:rPr>
            </w:pPr>
            <w:r>
              <w:rPr>
                <w:rFonts w:ascii="Arial" w:cs="Arial" w:eastAsia="Arial" w:hAnsi="Arial"/>
                <w:sz w:val="18"/>
                <w:szCs w:val="18"/>
                <w:b w:val="1"/>
                <w:bCs w:val="1"/>
                <w:color w:val="auto"/>
                <w:w w:val="90"/>
              </w:rPr>
              <w:t>November 1,</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37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60" w:type="dxa"/>
            <w:vAlign w:val="bottom"/>
          </w:tcPr>
          <w:p>
            <w:pPr>
              <w:spacing w:after="0"/>
              <w:rPr>
                <w:sz w:val="17"/>
                <w:szCs w:val="17"/>
                <w:color w:val="auto"/>
              </w:rPr>
            </w:pPr>
          </w:p>
        </w:tc>
      </w:tr>
      <w:tr>
        <w:trPr>
          <w:trHeight w:val="234"/>
        </w:trPr>
        <w:tc>
          <w:tcPr>
            <w:tcW w:w="3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10"/>
        </w:trPr>
        <w:tc>
          <w:tcPr>
            <w:tcW w:w="3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 in millions)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w:t>
            </w:r>
          </w:p>
        </w:tc>
        <w:tc>
          <w:tcPr>
            <w:tcW w:w="15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1,051</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5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4640" w:type="dxa"/>
            <w:vAlign w:val="bottom"/>
            <w:gridSpan w:val="2"/>
          </w:tcPr>
          <w:p>
            <w:pPr>
              <w:spacing w:after="0"/>
              <w:rPr>
                <w:sz w:val="20"/>
                <w:szCs w:val="20"/>
                <w:color w:val="auto"/>
              </w:rPr>
            </w:pPr>
            <w:r>
              <w:rPr>
                <w:rFonts w:ascii="Arial" w:cs="Arial" w:eastAsia="Arial" w:hAnsi="Arial"/>
                <w:sz w:val="18"/>
                <w:szCs w:val="18"/>
                <w:color w:val="auto"/>
              </w:rPr>
              <w:t>SG&amp;A as a percentage of sales</w:t>
            </w: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19.6%</w:t>
            </w: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19.0%</w:t>
            </w: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r>
    </w:tbl>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SG&amp;A decreased by $1 million and $23 million for the thirteen and thirty-nine weeks ended October 31, 2015, respectively, as compared with the corresponding prior-year periods. Excluding the effect of foreign currency fluctuations, SG&amp;A expense increased by $18 million and $43 million and represented an improvement of 70 and 90 basis points, as a percentage of sales, for the thirteen and thirty-nine weeks ended October 31, 2015, respectively, as compared with the corresponding prior-year periods. The SG&amp;A rate improvements reflected continued disciplined expense management.</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Depreciation and Amortization</w:t>
            </w: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226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80" w:type="dxa"/>
            <w:vAlign w:val="bottom"/>
            <w:gridSpan w:val="5"/>
          </w:tcPr>
          <w:p>
            <w:pPr>
              <w:ind w:left="54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4"/>
          </w:tcPr>
          <w:p>
            <w:pPr>
              <w:ind w:left="32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2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80" w:type="dxa"/>
            <w:vAlign w:val="bottom"/>
            <w:tcBorders>
              <w:top w:val="single" w:sz="8" w:color="auto"/>
            </w:tcBorders>
            <w:gridSpan w:val="2"/>
          </w:tcPr>
          <w:p>
            <w:pPr>
              <w:jc w:val="right"/>
              <w:ind w:right="330"/>
              <w:spacing w:after="0" w:line="205" w:lineRule="exact"/>
              <w:rPr>
                <w:sz w:val="20"/>
                <w:szCs w:val="20"/>
                <w:color w:val="auto"/>
              </w:rPr>
            </w:pPr>
            <w:r>
              <w:rPr>
                <w:rFonts w:ascii="Arial" w:cs="Arial" w:eastAsia="Arial" w:hAnsi="Arial"/>
                <w:sz w:val="18"/>
                <w:szCs w:val="18"/>
                <w:b w:val="1"/>
                <w:bCs w:val="1"/>
                <w:color w:val="auto"/>
              </w:rPr>
              <w:t>October 31,</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33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r>
      <w:tr>
        <w:trPr>
          <w:trHeight w:val="234"/>
        </w:trPr>
        <w:tc>
          <w:tcPr>
            <w:tcW w:w="2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ind w:left="32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2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5"/>
          </w:tcPr>
          <w:p>
            <w:pPr>
              <w:jc w:val="right"/>
              <w:ind w:right="970"/>
              <w:spacing w:after="0"/>
              <w:rPr>
                <w:sz w:val="20"/>
                <w:szCs w:val="20"/>
                <w:color w:val="auto"/>
              </w:rPr>
            </w:pPr>
            <w:r>
              <w:rPr>
                <w:rFonts w:ascii="Arial" w:cs="Arial" w:eastAsia="Arial" w:hAnsi="Arial"/>
                <w:sz w:val="18"/>
                <w:szCs w:val="18"/>
                <w:b w:val="1"/>
                <w:bCs w:val="1"/>
                <w:color w:val="auto"/>
              </w:rPr>
              <w:t>($ in millions)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5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250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1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increased by $4 million and $3 million for the thirteen weeks and thirty-nine weeks ended October 31, 2015, respectively, as compared with the corresponding prior-year period. Excluding the effect of foreign currency fluctuations, depreciation and amortization increased by $6 million and $10 million for the thirteen and thirty-nine weeks ended October 31, 2015, respectively, as compared with the corresponding prior-year periods. On a constant currency basis, the increase in depreciation and amortization reflected increased capital spending.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Pension Litigation Charge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third quarter of 2015, the Company recorded a $100 million pension litigation charge ($61 million after-tax or $0.43 per diluted share). This charge relates to a class action in which the plaintiffs alleged that the Company failed to properly disclose the effects of the 1996 conversion of the retirement plan to a defined benefit plan with a cash balance formula. In September 2015, the court ruled in favor of the plaintiffs and issued a decision ordering that the pension plan be reformed. The Company is appealing the court’s decision, and the judgment has been stayed pending the outcome of the appeal. The Company’s reasonable estimate of this liability is a range between $100 million and $200 million, with no amount within that range more probable than any other amount. Therefore, in accordance with U.S. GAAP, the Company recorded a charge of $100 million pre-tax. Please see Item 1. “Financial Statements,” Note 12,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further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Interest Expense, Net</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54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248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Thirteen weeks ended</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15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1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October 31,</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50"/>
              <w:spacing w:after="0" w:line="205" w:lineRule="exact"/>
              <w:rPr>
                <w:sz w:val="20"/>
                <w:szCs w:val="20"/>
                <w:color w:val="auto"/>
              </w:rPr>
            </w:pPr>
            <w:r>
              <w:rPr>
                <w:rFonts w:ascii="Arial" w:cs="Arial" w:eastAsia="Arial" w:hAnsi="Arial"/>
                <w:sz w:val="18"/>
                <w:szCs w:val="18"/>
                <w:b w:val="1"/>
                <w:bCs w:val="1"/>
                <w:color w:val="auto"/>
              </w:rPr>
              <w:t>November 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92"/>
              </w:rPr>
              <w:t>October 31,</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r>
      <w:tr>
        <w:trPr>
          <w:trHeight w:val="234"/>
        </w:trPr>
        <w:tc>
          <w:tcPr>
            <w:tcW w:w="1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w w:val="92"/>
              </w:rPr>
              <w:t>in millions)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jc w:val="right"/>
              <w:ind w:right="936"/>
              <w:spacing w:after="0"/>
              <w:rPr>
                <w:sz w:val="20"/>
                <w:szCs w:val="20"/>
                <w:color w:val="auto"/>
              </w:rPr>
            </w:pPr>
            <w:r>
              <w:rPr>
                <w:rFonts w:ascii="Arial" w:cs="Arial" w:eastAsia="Arial" w:hAnsi="Arial"/>
                <w:sz w:val="15"/>
                <w:szCs w:val="15"/>
                <w:b w:val="1"/>
                <w:bCs w:val="1"/>
                <w:color w:val="auto"/>
                <w:w w:val="71"/>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0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and interest income were unchanged as compared with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recorded income tax provisions of $37 million and $209 million, which represented effective tax rates of 31.7 percent and 35.3 percent for the thirteen and thirty-nine weeks ended October 31, 2015, respectively. For the thirteen and thirty-nine weeks ended November 1, 2014, the Company recorded income tax provisions of $67 million and $211 million, which represented effective tax rates of 35.8 percent and 36.1 percent, respectively. The Company’s interim provision for income taxes is measured using an annual effective tax rate, adjusted for discrete items that occur within the periods presented.</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regularly assesses the adequacy of its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Included in both the thirteen weeks ended October 31, 2015 and November 1, 2014 are tax benefits of $1 million from reserve releases due to expiration of statutes of limitation. Included in both the thirty-nine weeks ended October 31, 2015 and November 1, 2014 are tax benefits of $2 million from reserve releases due to settlements of tax examinations and lapse of statutes of limitation.</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During the third quarter of 2015, the Company recorded a pension-related litigation charge of $100 million with a related tax benefit of $39 million. This litigation charge reduced the overall effective rate because it reduced the proportion of the Company’s worldwide income taxed in the United States, where the tax rates are the highest. Additionally, the thirty-nine weeks ended October 31, 2015 includes tax benefits totaling $1 million related to an adjustment to deductible compensation costs due to executive changes and a Canadian provincial tax rate change.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Excluding the impact of the litigation charge, reserve releases, and other discrete items, the effective tax rate for the thirteen and thirty-nine weeks ended October 31, 2015 was essentially unchanged as compared with the corresponding prior-year periods.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currently expects its fourth quarter and full-year tax rate to approximate 36 percent, excluding the effect of any additional nonrecurring items that may occur. The actual tax rates will depend primarily on the level and mix of income earned in the United States as compared with its international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thirteen weeks ended October 31, 2015, net income decreased by $40 million to $80 million as compared with the corresponding prior-year period. For the thirty-nine weeks ended October 31, 2015, net income increased by $9 million to $383 million as compared with the corresponding prior-year period. These changes include the pension litigation charge. Excluding the pension litigation charge and other non-GAAP adjustments, net income increased by $20 million or 16.5 percent and $66 million or 17.5 percent for the thirteen and thirty-nine weeks ended October 31, 2015, respectively, as compared with the corresponding prior-year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present certain Non-GAAP measures. The Company believes this non-GAAP information is a useful measure to investors because it provides for a more direct comparison of the results. The non-GAAP financial information is provided in addition to, and not as an alternative to, the Company’s reported results prepared in accordance with GAAP.</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the tax effect of the non-GAAP adjustments by applying its marginal rate to each of the respective items. Presented below are GAAP and non-GAAP results for the thirteen and thirty-nine weeks ended October 31, 2015 and November 1, 2014,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7"/>
          </w:tcPr>
          <w:p>
            <w:pPr>
              <w:ind w:left="28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56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2"/>
              </w:rPr>
              <w:t>November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October 31,</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gridSpan w:val="2"/>
          </w:tcPr>
          <w:p>
            <w:pPr>
              <w:spacing w:after="0"/>
              <w:rPr>
                <w:sz w:val="17"/>
                <w:szCs w:val="17"/>
                <w:color w:val="auto"/>
              </w:rPr>
            </w:pPr>
          </w:p>
        </w:tc>
      </w:tr>
      <w:tr>
        <w:trPr>
          <w:trHeight w:val="234"/>
        </w:trPr>
        <w:tc>
          <w:tcPr>
            <w:tcW w:w="5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ind w:left="700"/>
              <w:spacing w:after="0"/>
              <w:rPr>
                <w:sz w:val="20"/>
                <w:szCs w:val="20"/>
                <w:color w:val="auto"/>
              </w:rPr>
            </w:pPr>
            <w:r>
              <w:rPr>
                <w:rFonts w:ascii="Arial" w:cs="Arial" w:eastAsia="Arial" w:hAnsi="Arial"/>
                <w:sz w:val="18"/>
                <w:szCs w:val="18"/>
                <w:b w:val="1"/>
                <w:bCs w:val="1"/>
                <w:color w:val="auto"/>
              </w:rPr>
              <w:t>($ in millions)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After-tax adjustments to arrive at non-GAAP:</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litigation charge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Runners Point Group integration costs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intangibles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non-GAAP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EPS,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2.71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After-tax adjustments to arrive at non-GAAP:</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litigation charge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Runners Point Group integration costs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intangibles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Diluted EPS, non-GAAP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As discussed more fully above and in the notes to the financial statements, during the third quarter of 2015 the Company recorded a charge of $100 million, $61 million after-tax or $0.43 per share, related to pension litigation.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non-GAAP items in the prior year include integration costs and impairment charges. For the thirteen and thirty-nine weeks ended November 1, 2014, the Company recorded after-tax expenses of $1 million and $2 million, respectively, for costs associated with the integration of Runners Point Group. During the first quarter of 2014, the Company recorded an after-tax impairment charge of $1 million, or $0.01 per diluted share, to fully write down the remaining value of the tradename related to the Company’s stores in the Republic of Ireland. Additionally, during the second quarter of 2014, the Company recorded an after-tax charge of $1 million, or $0.01 per diluted share, related to the impairment of the CCS tradename, resulting from the transition of its skate business from CCS to its Eastbay brand.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excluded the above items to arrive at its non-GAAP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pension litigation charge, corporate expense, non-operating income, and net interest expense. The following table summarizes results by segment: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ind w:left="28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56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2"/>
              </w:rPr>
              <w:t>November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October 31,</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70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Athletic Stores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1,571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4,646</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r>
      <w:tr>
        <w:trPr>
          <w:trHeight w:val="210"/>
        </w:trPr>
        <w:tc>
          <w:tcPr>
            <w:tcW w:w="56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Athletic Stores </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70"/>
        </w:trPr>
        <w:tc>
          <w:tcPr>
            <w:tcW w:w="56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Direct-to-Customers </w:t>
            </w:r>
            <w:r>
              <w:rPr>
                <w:rFonts w:ascii="Arial" w:cs="Arial" w:eastAsia="Arial" w:hAnsi="Arial"/>
                <w:sz w:val="30"/>
                <w:szCs w:val="30"/>
                <w:color w:val="auto"/>
                <w:vertAlign w:val="superscript"/>
              </w:rPr>
              <w:t>(2)</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Division profit</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Less:  Litigation charge </w:t>
            </w:r>
            <w:r>
              <w:rPr>
                <w:rFonts w:ascii="Arial" w:cs="Arial" w:eastAsia="Arial" w:hAnsi="Arial"/>
                <w:sz w:val="29"/>
                <w:szCs w:val="29"/>
                <w:color w:val="auto"/>
                <w:vertAlign w:val="superscript"/>
              </w:rPr>
              <w:t>(3)</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520"/>
              <w:spacing w:after="0"/>
              <w:rPr>
                <w:sz w:val="20"/>
                <w:szCs w:val="20"/>
                <w:color w:val="auto"/>
              </w:rPr>
            </w:pPr>
            <w:r>
              <w:rPr>
                <w:rFonts w:ascii="Arial" w:cs="Arial" w:eastAsia="Arial" w:hAnsi="Arial"/>
                <w:sz w:val="18"/>
                <w:szCs w:val="18"/>
                <w:color w:val="auto"/>
              </w:rPr>
              <w:t>Corporate expense,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5620" w:type="dxa"/>
            <w:vAlign w:val="bottom"/>
          </w:tcPr>
          <w:p>
            <w:pPr>
              <w:spacing w:after="0" w:line="269"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30"/>
                <w:szCs w:val="30"/>
                <w:color w:val="auto"/>
                <w:vertAlign w:val="superscript"/>
              </w:rPr>
              <w:t>(4)</w:t>
            </w:r>
          </w:p>
        </w:tc>
        <w:tc>
          <w:tcPr>
            <w:tcW w:w="14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interest expense and income</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the thirty-nine weeks ended November 1, 2014 is a non-cash impairment charge of $1 million to fully write down the remaining value of the tradename related to the Company’s stores in the Republic of Ireland.</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the thirty-nine weeks ended November 1, 2014 is a $2 million non-cash impairment charge related to the CCS tradename.</w:t>
      </w:r>
    </w:p>
    <w:p>
      <w:pPr>
        <w:spacing w:after="0" w:line="22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Included in the thirteen and thirty-nine weeks ended October 31, 2015 is a pre-tax litigation charge of $100 million relating to the pension litigation matter. Please see Item 1. “Financial Statements,” Note 12,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further information.</w:t>
      </w:r>
    </w:p>
    <w:p>
      <w:pPr>
        <w:spacing w:after="0" w:line="170"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Athletic Stores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106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Thirteen weeks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1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31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0"/>
              <w:spacing w:after="0" w:line="205" w:lineRule="exact"/>
              <w:rPr>
                <w:sz w:val="20"/>
                <w:szCs w:val="20"/>
                <w:color w:val="auto"/>
              </w:rPr>
            </w:pPr>
            <w:r>
              <w:rPr>
                <w:rFonts w:ascii="Arial" w:cs="Arial" w:eastAsia="Arial" w:hAnsi="Arial"/>
                <w:sz w:val="18"/>
                <w:szCs w:val="18"/>
                <w:b w:val="1"/>
                <w:bCs w:val="1"/>
                <w:color w:val="auto"/>
                <w:w w:val="90"/>
              </w:rPr>
              <w:t>November 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33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60" w:type="dxa"/>
            <w:vAlign w:val="bottom"/>
          </w:tcPr>
          <w:p>
            <w:pPr>
              <w:spacing w:after="0"/>
              <w:rPr>
                <w:sz w:val="17"/>
                <w:szCs w:val="17"/>
                <w:color w:val="auto"/>
              </w:rPr>
            </w:pPr>
          </w:p>
        </w:tc>
      </w:tr>
      <w:tr>
        <w:trPr>
          <w:trHeight w:val="234"/>
        </w:trPr>
        <w:tc>
          <w:tcPr>
            <w:tcW w:w="1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10"/>
        </w:trPr>
        <w:tc>
          <w:tcPr>
            <w:tcW w:w="1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right"/>
              <w:ind w:right="990"/>
              <w:spacing w:after="0"/>
              <w:rPr>
                <w:sz w:val="20"/>
                <w:szCs w:val="20"/>
                <w:color w:val="auto"/>
              </w:rPr>
            </w:pPr>
            <w:r>
              <w:rPr>
                <w:rFonts w:ascii="Arial" w:cs="Arial" w:eastAsia="Arial" w:hAnsi="Arial"/>
                <w:sz w:val="18"/>
                <w:szCs w:val="18"/>
                <w:b w:val="1"/>
                <w:bCs w:val="1"/>
                <w:color w:val="auto"/>
              </w:rPr>
              <w:t>($ in millions)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4,755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4,646</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50</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109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Division profit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206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649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r>
      <w:tr>
        <w:trPr>
          <w:trHeight w:val="23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Excluding the effect of foreign currency fluctuations, Athletic Stores segment sales increased by 9.1 percent and 8.6 percent for the thirteen and thirty-nine weeks ended October 31, 2015, respectively, as compared with the corresponding prior-year periods. Comparable-store sales increased by 8.0 percent and 7.7 percent for the thirteen and thirty-nine weeks ended October 31, 2015, respectively, which was led by our international divisions and was largely driven by the performance of Foot Locker Europe. Foot Locker Europe posted double-digit comparable-store gains in all major categories and in almost all countries. Lifestyle running, basketball, and classic court styles continued to be the main drivers of the increase in footwear sales, while both branded and private-label apparel performed well.</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Runners Point and Sidestep comparable-store sales declined for both the quarter and year-to-date periods, due to the continued segmentation process and the overreliance on a few key running styles. Our segmentation process includes better defining product offerings for each of these banners and executing upon our multi-banner strategy in the European market. We are broadening the assortment in the Runners Point stores beyond performance running to include more lifestyle running products, while the Sidestep stores are being shifted to lifestyle and casual footwear. Management believes that this segmentation process, along with initiatives to provide more diversified product assortments, will position these banners for future growth. Management will monitor the results of this business during the fourth quarter and will assess, if necessary, the impact of various initiatives on the projected performance of this division, which may include an impairment review.</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Domestically, all formats generated comparable-store sales gains for the quarter and year-to-date periods, with the exception of Footaction, which generated a slightly negative result for the quarter. Foot Locker and Kids Foot Locker led the overall domestic comparable-store sales increases. Lifestyle running and basketball (led by Jordan and key marquee player styles) continue to be the strongest drivers of footwear sales for both the quarter and year-to-date periods. Sales also benefited from the continued expansion of various shop-in-shop partnerships with our key vendors. Court classics and boots also contributed to the comparable-store sales increase during the third quarter. Footaction’s comparable-store sales experienced a slight decline for the quarter and a modest increase for the year-to-date period. Footaction is in the early stages of remodeling its store fleet, which has resulted in comparable-store sales being negatively affected during the quarter as a few large stores were closed during this time for remodels. Lady Foot Locker/SIX:02 produced a positive comparable-store sales gain for the sixth consecutive quarter, with a comparable-store gain for both the quarter and year-to-date periods. Champs Sports also generated a comparable-store sales gain for the quarter and year-to-date periods, with increased footwear sales partially offset by declines in apparel and accessories. The decline in Champs Sports’ apparel sales primarily reflects the continuation of the customer’s shift away from licensed apparel.</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Athletic Stores division profit increased by 13.8 percent and 12.5 percent for the thirteen and thirty-nine weeks ended October 31, 2015, respectively, as compared with the corresponding prior-year periods. Division profit, as a percentage of sales, was 13.1 percent and 13.6 percent for the thirteen and thirty-nine weeks ended October 31, 2015, respectively. This represents a 120 basis point improvement for both the thirteen and thirty-nine week periods ended October 31, 2015, as compared with the corresponding prior-year periods. These increases primarily reflect improved sales, an improved gross margin rate driven by improved merchandise margin, and continued diligent expense management. Included in the results for the thirty-nine weeks ended November 1, 2014 is a $1 million impairment charge to fully write down the remaining value of the tradename related to the Company’s stores in the Republic of Ireland.</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Direct-to-Customers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150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Thirteen weeks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1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31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0"/>
              <w:spacing w:after="0" w:line="205" w:lineRule="exact"/>
              <w:rPr>
                <w:sz w:val="20"/>
                <w:szCs w:val="20"/>
                <w:color w:val="auto"/>
              </w:rPr>
            </w:pPr>
            <w:r>
              <w:rPr>
                <w:rFonts w:ascii="Arial" w:cs="Arial" w:eastAsia="Arial" w:hAnsi="Arial"/>
                <w:sz w:val="18"/>
                <w:szCs w:val="18"/>
                <w:b w:val="1"/>
                <w:bCs w:val="1"/>
                <w:color w:val="auto"/>
                <w:w w:val="90"/>
              </w:rPr>
              <w:t>November 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33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60" w:type="dxa"/>
            <w:vAlign w:val="bottom"/>
          </w:tcPr>
          <w:p>
            <w:pPr>
              <w:spacing w:after="0"/>
              <w:rPr>
                <w:sz w:val="17"/>
                <w:szCs w:val="17"/>
                <w:color w:val="auto"/>
              </w:rPr>
            </w:pPr>
          </w:p>
        </w:tc>
      </w:tr>
      <w:tr>
        <w:trPr>
          <w:trHeight w:val="234"/>
        </w:trPr>
        <w:tc>
          <w:tcPr>
            <w:tcW w:w="1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10"/>
        </w:trPr>
        <w:tc>
          <w:tcPr>
            <w:tcW w:w="1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right"/>
              <w:ind w:right="990"/>
              <w:spacing w:after="0"/>
              <w:rPr>
                <w:sz w:val="20"/>
                <w:szCs w:val="20"/>
                <w:color w:val="auto"/>
              </w:rPr>
            </w:pPr>
            <w:r>
              <w:rPr>
                <w:rFonts w:ascii="Arial" w:cs="Arial" w:eastAsia="Arial" w:hAnsi="Arial"/>
                <w:sz w:val="18"/>
                <w:szCs w:val="18"/>
                <w:b w:val="1"/>
                <w:bCs w:val="1"/>
                <w:color w:val="auto"/>
              </w:rPr>
              <w:t>($ in millions)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56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Division profit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98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r>
      <w:tr>
        <w:trPr>
          <w:trHeight w:val="23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Excluding the effect of foreign currency fluctuations, Direct-to-Customers segment sales increased by 7.6 percent and 11.0 percent for the thirteen and thirty-nine weeks ended October 31, 2015, respectively, as compared with the corresponding prior-year period. Comparable sales increased by 13.4 percent and 16.8 percent for the thirteen and thirty-nine weeks ended October 31, 2015,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increases were primarily the result of continued strong sales performance of the Company’s domestic store-banner websites, coupled with growth from the international e-commerce businesses, particularly in Europe. Our U.S. store-banner website sales increased significantly, with collective gains of nearly 30 percent and 40 percent for the quarter and year-to-date periods, respectively, reflecting the continued success and expansion of the connectivity of store banners to the e-commerce sites. Footwear continues to be our strongest category and was led by basketball, casual, and training styles, which all posted strong comparable sales gains during the quarter and year-to-date periods. These increases were partially offset by the 2014 closure of the CCS direct business.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Direct-to-Customers division profit for the thirteen and thirty-nine weeks ended October 31, 2015 increased by $6 million and $31 million, respectively, as compared with the corresponding prior-year periods. Division profit, as a percentage of sales, was 13.9 percent and 15.1 percent for the thirteen and thirty-nine weeks ended October 31, 2015, respectively, as compared with 11.9 percent and 11.3 percent for the corresponding prior-year periods. The increase primarily reflected strong flow-through of sales to profit, resulting from improved gross margins due to more full-price selling and diligent expense management. Included in the prior-year results was a $2 million tradename impairment charge related to the CCS e-commerce business, which was triggered by the Company’s decision to transition the skate business to the Eastbay banner. Division profit in the prior-year periods was also negatively affected by the CCS business results.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Corporate Expense</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2880" w:type="dxa"/>
            <w:vAlign w:val="bottom"/>
            <w:gridSpan w:val="5"/>
          </w:tcPr>
          <w:p>
            <w:pPr>
              <w:ind w:left="54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4"/>
          </w:tcPr>
          <w:p>
            <w:pPr>
              <w:ind w:left="28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5620" w:type="dxa"/>
            <w:vAlign w:val="bottom"/>
          </w:tcPr>
          <w:p>
            <w:pPr>
              <w:spacing w:after="0"/>
              <w:rPr>
                <w:sz w:val="17"/>
                <w:szCs w:val="17"/>
                <w:color w:val="auto"/>
              </w:rPr>
            </w:pPr>
          </w:p>
        </w:tc>
        <w:tc>
          <w:tcPr>
            <w:tcW w:w="10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October 31,</w:t>
            </w: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w w:val="92"/>
              </w:rPr>
              <w:t>October 31,</w:t>
            </w: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5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jc w:val="right"/>
              <w:ind w:right="910"/>
              <w:spacing w:after="0"/>
              <w:rPr>
                <w:sz w:val="20"/>
                <w:szCs w:val="20"/>
                <w:color w:val="auto"/>
              </w:rPr>
            </w:pPr>
            <w:r>
              <w:rPr>
                <w:rFonts w:ascii="Arial" w:cs="Arial" w:eastAsia="Arial" w:hAnsi="Arial"/>
                <w:sz w:val="18"/>
                <w:szCs w:val="18"/>
                <w:b w:val="1"/>
                <w:bCs w:val="1"/>
                <w:color w:val="auto"/>
              </w:rPr>
              <w:t>($ in millions)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1080" w:type="dxa"/>
            <w:vAlign w:val="bottom"/>
            <w:shd w:val="clear" w:color="auto" w:fill="CCEEFF"/>
          </w:tcPr>
          <w:p>
            <w:pPr>
              <w:jc w:val="right"/>
              <w:ind w:right="916"/>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 Change</w:t>
            </w:r>
          </w:p>
        </w:tc>
        <w:tc>
          <w:tcPr>
            <w:tcW w:w="1080" w:type="dxa"/>
            <w:vAlign w:val="bottom"/>
          </w:tcPr>
          <w:p>
            <w:pPr>
              <w:jc w:val="right"/>
              <w:ind w:right="916"/>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Corporate expense consists of unallocated SG&amp;A, as well as depreciation and amortization related to the Company’s corporate headquarters, centrally managed departments, unallocated insurance and benefit programs, certain foreign exchange transaction gains and losses, and other items.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and amortization included in corporate expense was $3 million for both the thirteen weeks ended October 31, 2015 and November 1, 2014, and was $8 million and $9 million for the thirty-nine weeks ended October 31, 2015 and November 1, 2014, respectively. The allocation of corporate expense to the operating divisions is adjusted annually based upon an internal study; accordingly, the allocation increased by $1 million and $3 million for the thirteen and thirty-nine weeks ended October 31, 2015, respectively, thus reducing corporate expense. Excluding the corporate allocation change as well as depreciation and amortization, corporate expense, as compared with the corresponding prior-year periods, increased by $2 million for the thirteen weeks ended October 31, 2015 and decreased by $1 million for the thirty-nine weeks ended October 31, 2015.</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The $2 million increase in corporate expense for the thirteen weeks ended October 31, 2015 was primarily related to an increase in legal accruals coupled with costs incurred in connection with the spring 2016 relocation of our corporate headquarters within New York City. The $1 million decrease in corporate expense for the thirty-nine weeks ended October 31, 2015 was primarily related to prior-year costs incurred for the integration of Runners Point Group of $2 million. This was partially offset by $1 million of current year costs relating to the corporate headquarters relocation.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primary source of liquidity has been cash flow from earnings,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its short-term and long-term operating strategies. The Company generally finances real estate with operating leases. Management believes its cash, cash equivalents, and future cash flow from operations will be adequate to fund these requirements.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 As of October 31, 2015, approximately $740 million remained available under the Company’s current $1 billion share repurchase program.</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 discussed further in the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note under “Item 1. Financial Statements,” the Company recorded a pre-tax charge of $100 million ($61 million after-tax) in the third quarter of 2015. In light of the uncertainties involved in this matter, there is no assurance that the ultimate resolution will not differ from the amount currently accrued by the Company. The $100 million charge has been classified as a long-term liability due to the uncertainty involved with the resolution of this litigation as the appeals process can be lengthy. Additionally, the timing and the amount of any future contributions to the pension plan is dependent on the funded status of the plan and various other factors, such as interest rates and the performance of the plan’s assets. The pension plan is sufficiently funded to absorb a $100 million liability and, accordingly, we do not anticipate the need to make any pension contributions in the near term.</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Operating Activities</w:t>
            </w:r>
          </w:p>
        </w:tc>
        <w:tc>
          <w:tcPr>
            <w:tcW w:w="2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6"/>
        </w:trPr>
        <w:tc>
          <w:tcPr>
            <w:tcW w:w="146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Thirty-nine weeks ended</w:t>
            </w:r>
          </w:p>
        </w:tc>
      </w:tr>
      <w:tr>
        <w:trPr>
          <w:trHeight w:val="218"/>
        </w:trPr>
        <w:tc>
          <w:tcPr>
            <w:tcW w:w="14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2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October 31,</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14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3"/>
          </w:tcPr>
          <w:p>
            <w:pPr>
              <w:jc w:val="center"/>
              <w:ind w:right="730"/>
              <w:spacing w:after="0"/>
              <w:rPr>
                <w:sz w:val="20"/>
                <w:szCs w:val="20"/>
                <w:color w:val="auto"/>
              </w:rPr>
            </w:pPr>
            <w:r>
              <w:rPr>
                <w:rFonts w:ascii="Arial" w:cs="Arial" w:eastAsia="Arial" w:hAnsi="Arial"/>
                <w:sz w:val="18"/>
                <w:szCs w:val="18"/>
                <w:b w:val="1"/>
                <w:bCs w:val="1"/>
                <w:color w:val="auto"/>
                <w:w w:val="91"/>
              </w:rPr>
              <w:t>($ in millions)</w:t>
            </w: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36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amount provided by operating activities reflects net income adjusted for non-cash items and working capital changes. Adjustments to net income for non-cash items include non-cash impairment charges, depreciation and amortization, share-based compensation expense, and share-based related tax benefits. The decrease from the prior year reflects working capital changes and an increase in cash paid for income taxes during the thirty-nine weeks ended October 31, 2015. The increase of cash paid for taxes of $41 million reflected higher amounts paid due to the Company’s earnings growth.</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Arial" w:cs="Arial" w:eastAsia="Arial" w:hAnsi="Arial"/>
                <w:sz w:val="18"/>
                <w:szCs w:val="18"/>
                <w:i w:val="1"/>
                <w:iCs w:val="1"/>
                <w:color w:val="auto"/>
              </w:rPr>
              <w:t>Investing Activities</w:t>
            </w:r>
          </w:p>
        </w:tc>
        <w:tc>
          <w:tcPr>
            <w:tcW w:w="3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38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Thirty-nine weeks ended</w:t>
            </w:r>
          </w:p>
        </w:tc>
      </w:tr>
      <w:tr>
        <w:trPr>
          <w:trHeight w:val="205"/>
        </w:trPr>
        <w:tc>
          <w:tcPr>
            <w:tcW w:w="13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210"/>
              <w:spacing w:after="0" w:line="205" w:lineRule="exact"/>
              <w:rPr>
                <w:sz w:val="20"/>
                <w:szCs w:val="20"/>
                <w:color w:val="auto"/>
              </w:rPr>
            </w:pPr>
            <w:r>
              <w:rPr>
                <w:rFonts w:ascii="Arial" w:cs="Arial" w:eastAsia="Arial" w:hAnsi="Arial"/>
                <w:sz w:val="18"/>
                <w:szCs w:val="18"/>
                <w:b w:val="1"/>
                <w:bCs w:val="1"/>
                <w:color w:val="auto"/>
              </w:rPr>
              <w:t>October 31,</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r>
      <w:tr>
        <w:trPr>
          <w:trHeight w:val="234"/>
        </w:trPr>
        <w:tc>
          <w:tcPr>
            <w:tcW w:w="13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1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3"/>
          </w:tcPr>
          <w:p>
            <w:pPr>
              <w:jc w:val="center"/>
              <w:ind w:right="730"/>
              <w:spacing w:after="0"/>
              <w:rPr>
                <w:sz w:val="20"/>
                <w:szCs w:val="20"/>
                <w:color w:val="auto"/>
              </w:rPr>
            </w:pPr>
            <w:r>
              <w:rPr>
                <w:rFonts w:ascii="Arial" w:cs="Arial" w:eastAsia="Arial" w:hAnsi="Arial"/>
                <w:sz w:val="18"/>
                <w:szCs w:val="18"/>
                <w:b w:val="1"/>
                <w:bCs w:val="1"/>
                <w:color w:val="auto"/>
                <w:w w:val="91"/>
              </w:rPr>
              <w:t>($ in millions)</w:t>
            </w:r>
          </w:p>
        </w:tc>
        <w:tc>
          <w:tcPr>
            <w:tcW w:w="10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8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34"/>
        </w:trPr>
        <w:tc>
          <w:tcPr>
            <w:tcW w:w="558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38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Capital expenditures represented a $35 million increase from the prior year, which reflected a higher number of store projects in the current year, as well as increased spending on corporate technology projects. The Company’s full year forecast for capital expenditures is $228 million, which includes $174 million related to the remodeling or relocation of existing stores and approximately 110 new store openings, as well as $54 million for the development of information systems, websites, infrastructure, and our corporate headquarters relocation within New York City. During the third quarter of 2015, the Company completed an asset acquisition for $2 million involving 10 Runners Point and Sidestep stores in Switzerland, of which $1 million will be paid during the fourth quarter. The prior year included $9 million from the sales and maturities of short-term investments.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Financing Activities</w:t>
            </w:r>
          </w:p>
        </w:tc>
        <w:tc>
          <w:tcPr>
            <w:tcW w:w="2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46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Thirty-nine weeks ended</w:t>
            </w:r>
          </w:p>
        </w:tc>
      </w:tr>
      <w:tr>
        <w:trPr>
          <w:trHeight w:val="205"/>
        </w:trPr>
        <w:tc>
          <w:tcPr>
            <w:tcW w:w="14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210"/>
              <w:spacing w:after="0" w:line="205" w:lineRule="exact"/>
              <w:rPr>
                <w:sz w:val="20"/>
                <w:szCs w:val="20"/>
                <w:color w:val="auto"/>
              </w:rPr>
            </w:pPr>
            <w:r>
              <w:rPr>
                <w:rFonts w:ascii="Arial" w:cs="Arial" w:eastAsia="Arial" w:hAnsi="Arial"/>
                <w:sz w:val="18"/>
                <w:szCs w:val="18"/>
                <w:b w:val="1"/>
                <w:bCs w:val="1"/>
                <w:color w:val="auto"/>
              </w:rPr>
              <w:t>October 31,</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Pr>
          <w:p>
            <w:pPr>
              <w:spacing w:after="0"/>
              <w:rPr>
                <w:sz w:val="17"/>
                <w:szCs w:val="17"/>
                <w:color w:val="auto"/>
              </w:rPr>
            </w:pPr>
          </w:p>
        </w:tc>
      </w:tr>
      <w:tr>
        <w:trPr>
          <w:trHeight w:val="234"/>
        </w:trPr>
        <w:tc>
          <w:tcPr>
            <w:tcW w:w="14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14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3"/>
          </w:tcPr>
          <w:p>
            <w:pPr>
              <w:jc w:val="center"/>
              <w:ind w:right="730"/>
              <w:spacing w:after="0"/>
              <w:rPr>
                <w:sz w:val="20"/>
                <w:szCs w:val="20"/>
                <w:color w:val="auto"/>
              </w:rPr>
            </w:pPr>
            <w:r>
              <w:rPr>
                <w:rFonts w:ascii="Arial" w:cs="Arial" w:eastAsia="Arial" w:hAnsi="Arial"/>
                <w:sz w:val="18"/>
                <w:szCs w:val="18"/>
                <w:b w:val="1"/>
                <w:bCs w:val="1"/>
                <w:color w:val="auto"/>
                <w:w w:val="91"/>
              </w:rPr>
              <w:t>($ in millions)</w:t>
            </w:r>
          </w:p>
        </w:tc>
        <w:tc>
          <w:tcPr>
            <w:tcW w:w="10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8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r>
      <w:tr>
        <w:trPr>
          <w:trHeight w:val="234"/>
        </w:trPr>
        <w:tc>
          <w:tcPr>
            <w:tcW w:w="560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38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thirty-nine weeks ended October 31, 2015, the Company repurchased 5,050,000 shares of its common stock for $316 million, as compared with 3,547,553 shares repurchased for $174 million in the corresponding prior-year period. The Company declared and paid dividends during the first three quarters of 2015 and 2014 of $105 million and $96 million, respectively. This represents quarterly rates of $0.25 and $0.22 per share for 2015 and 2014, respectively. Additionally, the Company received proceeds from the issuance of common stock in connection with employee stock programs of $68 million and $22 million for the thirty-nine weeks ended October 31, 2015 and November 1, 2014, respectively. In connection with stock option exercises and share-based compensation programs, the Company recorded excess tax benefits of $33 million and $11 million as a financing activity for the thirty-nine weeks ended October 31, 2015 and November 1, 2014, respectively. The increased excess tax benefit primarily reflected a higher number of stock option exercises during the first three quarters of 2015 as compared with the corresponding prior-year period. The activity for the thirty-nine weeks ended October 31, 2015 and November 1, 2014 also reflects payments made on capital lease obligations of $2 million and $3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January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Descriptions of the recently issued accounting principles are included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suppliers for a majority of its merchandise purchases (including a significant portion from one key supplier),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disclosed in the 2014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as of October 31, 2015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quarter ended October 31, 2015,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the 2014 Annual Report on Form 10-K.</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thirteen weeks ended October 31,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Number of</w:t>
            </w: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Approximate Dollar</w:t>
            </w:r>
          </w:p>
        </w:tc>
      </w:t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 Purchased</w:t>
            </w: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Value of Shares that</w:t>
            </w:r>
          </w:p>
        </w:tc>
      </w:t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Average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as Part of Publicly</w:t>
            </w:r>
          </w:p>
        </w:tc>
        <w:tc>
          <w:tcPr>
            <w:tcW w:w="22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yet be</w:t>
            </w:r>
          </w:p>
        </w:tc>
      </w:tr>
      <w:tr>
        <w:trPr>
          <w:trHeight w:val="220"/>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rPr>
              <w:t>Price Paid</w:t>
            </w: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Announced</w:t>
            </w: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6"/>
              </w:rPr>
              <w:t>Purchased Under the</w:t>
            </w:r>
          </w:p>
        </w:tc>
      </w:tr>
      <w:tr>
        <w:trPr>
          <w:trHeight w:val="271"/>
        </w:trPr>
        <w:tc>
          <w:tcPr>
            <w:tcW w:w="5520" w:type="dxa"/>
            <w:vAlign w:val="bottom"/>
            <w:gridSpan w:val="2"/>
          </w:tcPr>
          <w:p>
            <w:pPr>
              <w:ind w:left="2100"/>
              <w:spacing w:after="0"/>
              <w:rPr>
                <w:sz w:val="20"/>
                <w:szCs w:val="20"/>
                <w:color w:val="auto"/>
              </w:rPr>
            </w:pPr>
            <w:r>
              <w:rPr>
                <w:rFonts w:ascii="Arial" w:cs="Arial" w:eastAsia="Arial" w:hAnsi="Arial"/>
                <w:sz w:val="18"/>
                <w:szCs w:val="18"/>
                <w:b w:val="1"/>
                <w:bCs w:val="1"/>
                <w:color w:val="auto"/>
              </w:rPr>
              <w:t>Date Purchased</w:t>
            </w:r>
          </w:p>
        </w:tc>
        <w:tc>
          <w:tcPr>
            <w:tcW w:w="1220" w:type="dxa"/>
            <w:vAlign w:val="bottom"/>
            <w:gridSpan w:val="2"/>
          </w:tcPr>
          <w:p>
            <w:pPr>
              <w:jc w:val="center"/>
              <w:ind w:right="200"/>
              <w:spacing w:after="0" w:line="271"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30"/>
                <w:szCs w:val="30"/>
                <w:b w:val="1"/>
                <w:bCs w:val="1"/>
                <w:color w:val="auto"/>
                <w:w w:val="84"/>
                <w:vertAlign w:val="superscript"/>
              </w:rPr>
              <w:t>(1)</w:t>
            </w:r>
          </w:p>
        </w:tc>
        <w:tc>
          <w:tcPr>
            <w:tcW w:w="1240" w:type="dxa"/>
            <w:vAlign w:val="bottom"/>
            <w:gridSpan w:val="3"/>
          </w:tcPr>
          <w:p>
            <w:pPr>
              <w:ind w:left="20"/>
              <w:spacing w:after="0" w:line="271" w:lineRule="exact"/>
              <w:rPr>
                <w:sz w:val="20"/>
                <w:szCs w:val="20"/>
                <w:color w:val="auto"/>
              </w:rPr>
            </w:pPr>
            <w:r>
              <w:rPr>
                <w:rFonts w:ascii="Arial" w:cs="Arial" w:eastAsia="Arial" w:hAnsi="Arial"/>
                <w:sz w:val="18"/>
                <w:szCs w:val="18"/>
                <w:b w:val="1"/>
                <w:bCs w:val="1"/>
                <w:color w:val="auto"/>
              </w:rPr>
              <w:t xml:space="preserve">per Share </w:t>
            </w:r>
            <w:r>
              <w:rPr>
                <w:rFonts w:ascii="Arial" w:cs="Arial" w:eastAsia="Arial" w:hAnsi="Arial"/>
                <w:sz w:val="30"/>
                <w:szCs w:val="30"/>
                <w:b w:val="1"/>
                <w:bCs w:val="1"/>
                <w:color w:val="auto"/>
                <w:vertAlign w:val="superscript"/>
              </w:rPr>
              <w:t>(1)</w:t>
            </w:r>
          </w:p>
        </w:tc>
        <w:tc>
          <w:tcPr>
            <w:tcW w:w="168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6"/>
              </w:rPr>
              <w:t xml:space="preserve">Program </w:t>
            </w:r>
            <w:r>
              <w:rPr>
                <w:rFonts w:ascii="Arial" w:cs="Arial" w:eastAsia="Arial" w:hAnsi="Arial"/>
                <w:sz w:val="30"/>
                <w:szCs w:val="30"/>
                <w:b w:val="1"/>
                <w:bCs w:val="1"/>
                <w:color w:val="auto"/>
                <w:w w:val="86"/>
                <w:vertAlign w:val="superscript"/>
              </w:rPr>
              <w:t>(2)</w:t>
            </w:r>
          </w:p>
        </w:tc>
        <w:tc>
          <w:tcPr>
            <w:tcW w:w="220" w:type="dxa"/>
            <w:vAlign w:val="bottom"/>
          </w:tcPr>
          <w:p>
            <w:pPr>
              <w:spacing w:after="0"/>
              <w:rPr>
                <w:sz w:val="23"/>
                <w:szCs w:val="23"/>
                <w:color w:val="auto"/>
              </w:rPr>
            </w:pPr>
          </w:p>
        </w:tc>
        <w:tc>
          <w:tcPr>
            <w:tcW w:w="1540" w:type="dxa"/>
            <w:vAlign w:val="bottom"/>
            <w:gridSpan w:val="2"/>
          </w:tcPr>
          <w:p>
            <w:pPr>
              <w:ind w:left="140"/>
              <w:spacing w:after="0" w:line="271" w:lineRule="exact"/>
              <w:rPr>
                <w:sz w:val="20"/>
                <w:szCs w:val="20"/>
                <w:color w:val="auto"/>
              </w:rPr>
            </w:pPr>
            <w:r>
              <w:rPr>
                <w:rFonts w:ascii="Arial" w:cs="Arial" w:eastAsia="Arial" w:hAnsi="Arial"/>
                <w:sz w:val="18"/>
                <w:szCs w:val="18"/>
                <w:b w:val="1"/>
                <w:bCs w:val="1"/>
                <w:color w:val="auto"/>
              </w:rPr>
              <w:t xml:space="preserve">Program </w:t>
            </w:r>
            <w:r>
              <w:rPr>
                <w:rFonts w:ascii="Arial" w:cs="Arial" w:eastAsia="Arial" w:hAnsi="Arial"/>
                <w:sz w:val="30"/>
                <w:szCs w:val="30"/>
                <w:b w:val="1"/>
                <w:bCs w:val="1"/>
                <w:color w:val="auto"/>
                <w:vertAlign w:val="superscript"/>
              </w:rPr>
              <w:t>(2)</w:t>
            </w:r>
          </w:p>
        </w:tc>
      </w:tr>
      <w:tr>
        <w:trPr>
          <w:trHeight w:val="210"/>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2, 2015 through August 29, 2015</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843,894,883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August 30, 2015 through October 3, 2015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698,910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72.21</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698,910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793,426,324</w:t>
            </w: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4, 2015 through October 31, 2015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760,750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69.85</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760,750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740,284,926</w:t>
            </w:r>
          </w:p>
        </w:tc>
      </w:tr>
      <w:tr>
        <w:trPr>
          <w:trHeight w:val="223"/>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1,560,000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2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1,560,000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20" w:hanging="372"/>
        <w:spacing w:after="0" w:line="194" w:lineRule="auto"/>
        <w:tabs>
          <w:tab w:leader="none" w:pos="38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These columns reflect shares acquired in open market purchases. The calculation of the average price paid per share includes all fees, commissions, and other costs associated with the repurchase of such shares.</w:t>
      </w:r>
    </w:p>
    <w:p>
      <w:pPr>
        <w:ind w:left="380" w:hanging="372"/>
        <w:spacing w:after="0" w:line="180" w:lineRule="auto"/>
        <w:tabs>
          <w:tab w:leader="none" w:pos="38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On February 17, 2015, the Board of Directors approved a new 3-year, $1 billion share repurchase program extending through January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December 9, 2015</w:t>
      </w:r>
      <w:r>
        <w:rPr>
          <w:sz w:val="20"/>
          <w:szCs w:val="20"/>
          <w:color w:val="auto"/>
        </w:rPr>
        <w:tab/>
      </w:r>
      <w:r>
        <w:rPr>
          <w:rFonts w:ascii="Arial" w:cs="Arial" w:eastAsia="Arial" w:hAnsi="Arial"/>
          <w:sz w:val="17"/>
          <w:szCs w:val="17"/>
          <w:color w:val="auto"/>
        </w:rPr>
        <w:t>FOOT LOCKER,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tcPr>
          <w:p>
            <w:pPr>
              <w:ind w:left="3720"/>
              <w:spacing w:after="0"/>
              <w:rPr>
                <w:sz w:val="20"/>
                <w:szCs w:val="20"/>
                <w:color w:val="auto"/>
              </w:rPr>
            </w:pPr>
            <w:r>
              <w:rPr>
                <w:rFonts w:ascii="Arial" w:cs="Arial" w:eastAsia="Arial" w:hAnsi="Arial"/>
                <w:sz w:val="18"/>
                <w:szCs w:val="18"/>
                <w:b w:val="1"/>
                <w:bCs w:val="1"/>
                <w:color w:val="auto"/>
              </w:rPr>
              <w:t>FOOT LOCKER, INC.</w:t>
            </w: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tcPr>
          <w:p>
            <w:pPr>
              <w:ind w:left="3720"/>
              <w:spacing w:after="0"/>
              <w:rPr>
                <w:sz w:val="20"/>
                <w:szCs w:val="20"/>
                <w:color w:val="auto"/>
              </w:rPr>
            </w:pPr>
            <w:r>
              <w:rPr>
                <w:rFonts w:ascii="Arial" w:cs="Arial" w:eastAsia="Arial" w:hAnsi="Arial"/>
                <w:sz w:val="18"/>
                <w:szCs w:val="18"/>
                <w:b w:val="1"/>
                <w:bCs w:val="1"/>
                <w:color w:val="auto"/>
              </w:rPr>
              <w:t>INDEX OF EXHIBITS</w:t>
            </w:r>
          </w:p>
        </w:tc>
      </w:tr>
      <w:tr>
        <w:trPr>
          <w:trHeight w:val="432"/>
        </w:trPr>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0320" w:type="dxa"/>
            <w:vAlign w:val="bottom"/>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12*</w:t>
            </w:r>
          </w:p>
        </w:tc>
        <w:tc>
          <w:tcPr>
            <w:tcW w:w="120" w:type="dxa"/>
            <w:vAlign w:val="bottom"/>
          </w:tcPr>
          <w:p>
            <w:pPr>
              <w:spacing w:after="0"/>
              <w:rPr>
                <w:sz w:val="24"/>
                <w:szCs w:val="24"/>
                <w:color w:val="auto"/>
              </w:rPr>
            </w:pPr>
          </w:p>
        </w:tc>
        <w:tc>
          <w:tcPr>
            <w:tcW w:w="10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980" w:type="dxa"/>
            <w:vAlign w:val="bottom"/>
          </w:tcPr>
          <w:p>
            <w:pPr>
              <w:jc w:val="center"/>
              <w:spacing w:after="0"/>
              <w:rPr>
                <w:sz w:val="20"/>
                <w:szCs w:val="20"/>
                <w:color w:val="auto"/>
              </w:rPr>
            </w:pPr>
            <w:r>
              <w:rPr>
                <w:rFonts w:ascii="Arial" w:cs="Arial" w:eastAsia="Arial" w:hAnsi="Arial"/>
                <w:sz w:val="18"/>
                <w:szCs w:val="18"/>
                <w:color w:val="auto"/>
                <w:w w:val="96"/>
              </w:rPr>
              <w:t>15*</w:t>
            </w:r>
          </w:p>
        </w:tc>
        <w:tc>
          <w:tcPr>
            <w:tcW w:w="1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Accountants’ Acknowledgement.</w:t>
            </w:r>
          </w:p>
        </w:tc>
      </w:tr>
      <w:tr>
        <w:trPr>
          <w:trHeight w:val="418"/>
        </w:trPr>
        <w:tc>
          <w:tcPr>
            <w:tcW w:w="98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Rule 13a-14(a) or 15d-14(a), as adopted pursuant to Section 302 of the Sarbanes-Oxley</w:t>
            </w:r>
          </w:p>
        </w:tc>
      </w:tr>
      <w:tr>
        <w:trPr>
          <w:trHeight w:val="230"/>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Act of 2002.</w:t>
            </w:r>
          </w:p>
        </w:tc>
      </w:tr>
      <w:tr>
        <w:trPr>
          <w:trHeight w:val="418"/>
        </w:trPr>
        <w:tc>
          <w:tcPr>
            <w:tcW w:w="9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Rule 13a-14(a) or 15d-14(a), as adopted pursuant to Section 302 of the Sarbanes-Oxley</w:t>
            </w:r>
          </w:p>
        </w:tc>
      </w:tr>
      <w:tr>
        <w:trPr>
          <w:trHeight w:val="230"/>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Act of 2002.</w:t>
            </w:r>
          </w:p>
        </w:tc>
      </w:tr>
      <w:tr>
        <w:trPr>
          <w:trHeight w:val="418"/>
        </w:trPr>
        <w:tc>
          <w:tcPr>
            <w:tcW w:w="980" w:type="dxa"/>
            <w:vAlign w:val="bottom"/>
          </w:tcPr>
          <w:p>
            <w:pPr>
              <w:jc w:val="cente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 Section 906 of</w:t>
            </w:r>
          </w:p>
        </w:tc>
      </w:tr>
      <w:tr>
        <w:trPr>
          <w:trHeight w:val="230"/>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432"/>
        </w:trPr>
        <w:tc>
          <w:tcPr>
            <w:tcW w:w="980" w:type="dxa"/>
            <w:vAlign w:val="bottom"/>
          </w:tcPr>
          <w:p>
            <w:pPr>
              <w:jc w:val="center"/>
              <w:spacing w:after="0"/>
              <w:rPr>
                <w:sz w:val="20"/>
                <w:szCs w:val="20"/>
                <w:color w:val="auto"/>
              </w:rPr>
            </w:pPr>
            <w:r>
              <w:rPr>
                <w:rFonts w:ascii="Arial" w:cs="Arial" w:eastAsia="Arial" w:hAnsi="Arial"/>
                <w:sz w:val="18"/>
                <w:szCs w:val="18"/>
                <w:color w:val="auto"/>
                <w:w w:val="96"/>
              </w:rPr>
              <w:t>99*</w:t>
            </w:r>
          </w:p>
        </w:tc>
        <w:tc>
          <w:tcPr>
            <w:tcW w:w="1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r>
      <w:tr>
        <w:trPr>
          <w:trHeight w:val="432"/>
        </w:trPr>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101.INS*</w:t>
            </w:r>
          </w:p>
        </w:tc>
        <w:tc>
          <w:tcPr>
            <w:tcW w:w="1032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101.SCH*</w:t>
            </w: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101.LAB*</w:t>
            </w: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1032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1100" w:hanging="651"/>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00" w:hanging="696"/>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left="10620"/>
        <w:spacing w:after="0"/>
        <w:rPr>
          <w:sz w:val="20"/>
          <w:szCs w:val="20"/>
          <w:color w:val="auto"/>
        </w:rPr>
      </w:pPr>
      <w:r>
        <w:rPr>
          <w:rFonts w:ascii="Arial" w:cs="Arial" w:eastAsia="Arial" w:hAnsi="Arial"/>
          <w:sz w:val="16"/>
          <w:szCs w:val="16"/>
          <w:b w:val="1"/>
          <w:bCs w:val="1"/>
          <w:color w:val="auto"/>
        </w:rPr>
        <w:t>Exhibit 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Thirty-nine weeks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6"/>
          </w:tcPr>
          <w:p>
            <w:pPr>
              <w:jc w:val="center"/>
              <w:ind w:left="290"/>
              <w:spacing w:after="0"/>
              <w:rPr>
                <w:sz w:val="20"/>
                <w:szCs w:val="20"/>
                <w:color w:val="auto"/>
              </w:rPr>
            </w:pPr>
            <w:r>
              <w:rPr>
                <w:rFonts w:ascii="Arial" w:cs="Arial" w:eastAsia="Arial" w:hAnsi="Arial"/>
                <w:sz w:val="18"/>
                <w:szCs w:val="18"/>
                <w:b w:val="1"/>
                <w:bCs w:val="1"/>
                <w:color w:val="auto"/>
                <w:w w:val="88"/>
              </w:rPr>
              <w:t>Fiscal year ended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2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Oct. 31,</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8"/>
              </w:rPr>
              <w:t>Nov.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gridSpan w:val="3"/>
          </w:tcPr>
          <w:p>
            <w:pPr>
              <w:jc w:val="right"/>
              <w:ind w:right="160"/>
              <w:spacing w:after="0" w:line="191" w:lineRule="exact"/>
              <w:rPr>
                <w:sz w:val="20"/>
                <w:szCs w:val="20"/>
                <w:color w:val="auto"/>
              </w:rPr>
            </w:pPr>
            <w:r>
              <w:rPr>
                <w:rFonts w:ascii="Arial" w:cs="Arial" w:eastAsia="Arial" w:hAnsi="Arial"/>
                <w:sz w:val="18"/>
                <w:szCs w:val="18"/>
                <w:b w:val="1"/>
                <w:bCs w:val="1"/>
                <w:color w:val="auto"/>
                <w:w w:val="96"/>
              </w:rPr>
              <w:t>Jan. 31,</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rPr>
              <w:t>Feb. 1,</w:t>
            </w:r>
          </w:p>
        </w:tc>
        <w:tc>
          <w:tcPr>
            <w:tcW w:w="88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7"/>
              </w:rPr>
              <w:t>Feb. 2,</w:t>
            </w:r>
          </w:p>
        </w:tc>
        <w:tc>
          <w:tcPr>
            <w:tcW w:w="780" w:type="dxa"/>
            <w:vAlign w:val="bottom"/>
            <w:tcBorders>
              <w:top w:val="single" w:sz="8" w:color="auto"/>
            </w:tcBorders>
            <w:gridSpan w:val="3"/>
          </w:tcPr>
          <w:p>
            <w:pPr>
              <w:jc w:val="right"/>
              <w:ind w:right="140"/>
              <w:spacing w:after="0" w:line="191" w:lineRule="exact"/>
              <w:rPr>
                <w:sz w:val="20"/>
                <w:szCs w:val="20"/>
                <w:color w:val="auto"/>
              </w:rPr>
            </w:pPr>
            <w:r>
              <w:rPr>
                <w:rFonts w:ascii="Arial" w:cs="Arial" w:eastAsia="Arial" w:hAnsi="Arial"/>
                <w:sz w:val="18"/>
                <w:szCs w:val="18"/>
                <w:b w:val="1"/>
                <w:bCs w:val="1"/>
                <w:color w:val="auto"/>
                <w:w w:val="93"/>
              </w:rPr>
              <w:t>Jan. 28,</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Jan. 29,</w:t>
            </w:r>
          </w:p>
        </w:tc>
        <w:tc>
          <w:tcPr>
            <w:tcW w:w="100" w:type="dxa"/>
            <w:vAlign w:val="bottom"/>
          </w:tcPr>
          <w:p>
            <w:pPr>
              <w:spacing w:after="0"/>
              <w:rPr>
                <w:sz w:val="16"/>
                <w:szCs w:val="16"/>
                <w:color w:val="auto"/>
              </w:rPr>
            </w:pPr>
          </w:p>
        </w:tc>
      </w:tr>
      <w:tr>
        <w:trPr>
          <w:trHeight w:val="234"/>
        </w:trPr>
        <w:tc>
          <w:tcPr>
            <w:tcW w:w="338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2015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2014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Borders>
              <w:bottom w:val="single" w:sz="8" w:color="CCEEFF"/>
            </w:tcBorders>
          </w:tcPr>
          <w:p>
            <w:pPr>
              <w:spacing w:after="0"/>
              <w:rPr>
                <w:sz w:val="20"/>
                <w:szCs w:val="20"/>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w w:val="90"/>
              </w:rPr>
              <w:t>Interest expense, excluding capitalized interest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52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Portion of rents deemed representative of the interest factor (1/3)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50"/>
        </w:trPr>
        <w:tc>
          <w:tcPr>
            <w:tcW w:w="3380" w:type="dxa"/>
            <w:vAlign w:val="bottom"/>
            <w:tcBorders>
              <w:bottom w:val="single" w:sz="8" w:color="CCEEFF"/>
            </w:tcBorders>
          </w:tcPr>
          <w:p>
            <w:pPr>
              <w:spacing w:after="0"/>
              <w:rPr>
                <w:sz w:val="21"/>
                <w:szCs w:val="21"/>
                <w:color w:val="auto"/>
              </w:rPr>
            </w:pPr>
          </w:p>
        </w:tc>
        <w:tc>
          <w:tcPr>
            <w:tcW w:w="17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tcPr>
          <w:p>
            <w:pPr>
              <w:spacing w:after="0"/>
              <w:rPr>
                <w:sz w:val="21"/>
                <w:szCs w:val="21"/>
                <w:color w:val="auto"/>
              </w:rPr>
            </w:pPr>
          </w:p>
        </w:tc>
      </w:tr>
      <w:tr>
        <w:trPr>
          <w:trHeight w:val="197"/>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Gross interest expense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3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Portion of rents deemed representative of the</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interest factor (1/3)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50"/>
        </w:trPr>
        <w:tc>
          <w:tcPr>
            <w:tcW w:w="3380" w:type="dxa"/>
            <w:vAlign w:val="bottom"/>
            <w:tcBorders>
              <w:bottom w:val="single" w:sz="8" w:color="CCEEFF"/>
            </w:tcBorders>
          </w:tcPr>
          <w:p>
            <w:pPr>
              <w:spacing w:after="0"/>
              <w:rPr>
                <w:sz w:val="21"/>
                <w:szCs w:val="21"/>
                <w:color w:val="auto"/>
              </w:rPr>
            </w:pPr>
          </w:p>
        </w:tc>
        <w:tc>
          <w:tcPr>
            <w:tcW w:w="17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21"/>
                <w:szCs w:val="21"/>
                <w:color w:val="auto"/>
              </w:rPr>
            </w:pPr>
          </w:p>
        </w:tc>
      </w:tr>
      <w:tr>
        <w:trPr>
          <w:trHeight w:val="197"/>
        </w:trPr>
        <w:tc>
          <w:tcPr>
            <w:tcW w:w="5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RATIO OF EARNINGS TO FIXED CHARGES</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r>
      <w:tr>
        <w:trPr>
          <w:trHeight w:val="669"/>
        </w:trPr>
        <w:tc>
          <w:tcPr>
            <w:tcW w:w="3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hereby acknowledge our awareness of the use of our report dated December 9, 2015 related to our review of interim financial information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Statements:</w:t>
      </w:r>
    </w:p>
    <w:p>
      <w:pPr>
        <w:spacing w:after="0" w:line="211" w:lineRule="exact"/>
        <w:rPr>
          <w:sz w:val="20"/>
          <w:szCs w:val="20"/>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A. Johnson,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December 9,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A. Johnson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 B. Peters,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December 9,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Lauren B. Peters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October 31, 2015,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87" w:lineRule="exact"/>
        <w:rPr>
          <w:sz w:val="20"/>
          <w:szCs w:val="20"/>
          <w:color w:val="auto"/>
        </w:rPr>
      </w:pPr>
    </w:p>
    <w:p>
      <w:pPr>
        <w:ind w:left="660" w:hanging="271"/>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271"/>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A. Johnson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reviewed the accompanying condensed consolidated balance sheets of Foot Locker, Inc. and subsidiaries as of October 31, 2015 and November 1, 2014, and the related condensed consolidated statements of operations and comprehensive income for the thirteen and thirty-nine week periods ended October 31, 2015 and November 1, 2014, and the related condensed consolidated statements of cash flows for the thirty-nine week periods ended October 31, 2015 and November 1, 2014. These condensed consolidated financial statements are the responsibility of the Company’s management.</w:t>
      </w:r>
    </w:p>
    <w:p>
      <w:pPr>
        <w:spacing w:after="0" w:line="15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Foot Locker, Inc. and subsidiaries as of January 31, 2015, and the related consolidated statements of operations, comprehensive income, shareholders’ equity, and cash flows for the year then ended (not presented herein); and in our report dated March 30, 2015 we expressed an unqualified opinion on those consolidated financial statements. In our opinion, the information set forth in the accompanying condensed consolidated balance sheet as of January 31, 2015,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þ"/>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2019-12-29T13:21:46Z</dcterms:created>
  <dcterms:modified xsi:type="dcterms:W3CDTF">2019-12-29T13:21:46Z</dcterms:modified>
</cp:coreProperties>
</file>