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50049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049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6500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004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92075</wp:posOffset>
            </wp:positionV>
            <wp:extent cx="16205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7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94" w:lineRule="exact"/>
        <w:rPr>
          <w:sz w:val="24"/>
          <w:szCs w:val="24"/>
          <w:color w:val="auto"/>
        </w:rPr>
      </w:pPr>
    </w:p>
    <w:p>
      <w:pPr>
        <w:ind w:left="3700" w:right="2300" w:hanging="3491"/>
        <w:spacing w:after="0" w:line="486" w:lineRule="auto"/>
        <w:tabs>
          <w:tab w:leader="none" w:pos="55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QUARTERLY REPORT PURSUANT TO SECTION 13 OR 15(d) OF THE SECURITIES EXCHANGE ACT OF 1934 </w:t>
      </w:r>
      <w:r>
        <w:rPr>
          <w:rFonts w:ascii="Arial" w:cs="Arial" w:eastAsia="Arial" w:hAnsi="Arial"/>
          <w:sz w:val="14"/>
          <w:szCs w:val="14"/>
          <w:color w:val="auto"/>
        </w:rPr>
        <w:t>For the quarterly period ended: May 4,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307" w:lineRule="exact"/>
        <w:rPr>
          <w:sz w:val="24"/>
          <w:szCs w:val="24"/>
          <w:color w:val="auto"/>
        </w:rPr>
      </w:pPr>
    </w:p>
    <w:p>
      <w:pPr>
        <w:ind w:left="3280" w:right="2300" w:hanging="3071"/>
        <w:spacing w:after="0" w:line="476" w:lineRule="auto"/>
        <w:tabs>
          <w:tab w:leader="none" w:pos="56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ind w:left="4000"/>
        <w:spacing w:after="0" w:line="161" w:lineRule="exact"/>
        <w:rPr>
          <w:rFonts w:ascii="MS PGothic" w:cs="MS PGothic" w:eastAsia="MS PGothic" w:hAnsi="MS PGothic"/>
          <w:sz w:val="14"/>
          <w:szCs w:val="14"/>
          <w:color w:val="auto"/>
          <w:highlight w:val="black"/>
        </w:rPr>
      </w:pPr>
      <w:r>
        <w:rPr>
          <w:rFonts w:ascii="Arial" w:cs="Arial" w:eastAsia="Arial" w:hAnsi="Arial"/>
          <w:sz w:val="14"/>
          <w:szCs w:val="14"/>
          <w:color w:val="auto"/>
        </w:rPr>
        <w:t>Commission File Number: 1</w:t>
      </w:r>
      <w:r>
        <w:rPr>
          <w:rFonts w:ascii="MS PGothic" w:cs="MS PGothic" w:eastAsia="MS PGothic" w:hAnsi="MS PGothic"/>
          <w:sz w:val="14"/>
          <w:szCs w:val="14"/>
          <w:color w:val="auto"/>
        </w:rPr>
        <w:t>‑</w:t>
      </w:r>
      <w:r>
        <w:rPr>
          <w:rFonts w:ascii="Arial" w:cs="Arial" w:eastAsia="Arial" w:hAnsi="Arial"/>
          <w:sz w:val="14"/>
          <w:szCs w:val="14"/>
          <w:color w:val="auto"/>
        </w:rPr>
        <w:t>10299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92075</wp:posOffset>
            </wp:positionV>
            <wp:extent cx="16205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0520" cy="8890"/>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194945</wp:posOffset>
            </wp:positionV>
            <wp:extent cx="2426970" cy="283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6970"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2437765</wp:posOffset>
            </wp:positionH>
            <wp:positionV relativeFrom="paragraph">
              <wp:posOffset>92075</wp:posOffset>
            </wp:positionV>
            <wp:extent cx="16205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ectPr>
          <w:pgSz w:w="11900" w:h="16838" w:orient="portrait"/>
          <w:cols w:equalWidth="0" w:num="1">
            <w:col w:w="10240"/>
          </w:cols>
          <w:pgMar w:left="920" w:top="233" w:right="739" w:bottom="1440" w:gutter="0" w:footer="0" w:header="0"/>
        </w:sectPr>
      </w:pPr>
    </w:p>
    <w:p>
      <w:pPr>
        <w:spacing w:after="0" w:line="200" w:lineRule="exact"/>
        <w:rPr>
          <w:sz w:val="24"/>
          <w:szCs w:val="24"/>
          <w:color w:val="auto"/>
        </w:rPr>
      </w:pPr>
    </w:p>
    <w:p>
      <w:pPr>
        <w:spacing w:after="0" w:line="256" w:lineRule="exact"/>
        <w:rPr>
          <w:sz w:val="24"/>
          <w:szCs w:val="24"/>
          <w:color w:val="auto"/>
        </w:rPr>
      </w:pPr>
    </w:p>
    <w:p>
      <w:pPr>
        <w:jc w:val="center"/>
        <w:ind w:right="720"/>
        <w:spacing w:after="0"/>
        <w:rPr>
          <w:sz w:val="20"/>
          <w:szCs w:val="20"/>
          <w:color w:val="auto"/>
        </w:rPr>
      </w:pPr>
      <w:r>
        <w:rPr>
          <w:rFonts w:ascii="Arial" w:cs="Arial" w:eastAsia="Arial" w:hAnsi="Arial"/>
          <w:sz w:val="14"/>
          <w:szCs w:val="14"/>
          <w:b w:val="1"/>
          <w:bCs w:val="1"/>
          <w:color w:val="auto"/>
        </w:rPr>
        <w:t>New York</w:t>
      </w:r>
    </w:p>
    <w:p>
      <w:pPr>
        <w:spacing w:after="0" w:line="19" w:lineRule="exact"/>
        <w:rPr>
          <w:sz w:val="24"/>
          <w:szCs w:val="24"/>
          <w:color w:val="auto"/>
        </w:rPr>
      </w:pPr>
    </w:p>
    <w:p>
      <w:pPr>
        <w:jc w:val="center"/>
        <w:ind w:right="72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6" w:lineRule="exact"/>
        <w:rPr>
          <w:sz w:val="24"/>
          <w:szCs w:val="24"/>
          <w:color w:val="auto"/>
        </w:rPr>
      </w:pPr>
    </w:p>
    <w:p>
      <w:pPr>
        <w:jc w:val="center"/>
        <w:ind w:right="1460"/>
        <w:spacing w:after="0" w:line="161" w:lineRule="exact"/>
        <w:rPr>
          <w:sz w:val="20"/>
          <w:szCs w:val="20"/>
          <w:color w:val="auto"/>
        </w:rPr>
      </w:pPr>
      <w:r>
        <w:rPr>
          <w:rFonts w:ascii="Arial" w:cs="Arial" w:eastAsia="Arial" w:hAnsi="Arial"/>
          <w:sz w:val="14"/>
          <w:szCs w:val="14"/>
          <w:b w:val="1"/>
          <w:bCs w:val="1"/>
          <w:color w:val="auto"/>
        </w:rPr>
        <w:t>13</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3513936</w:t>
      </w:r>
    </w:p>
    <w:p>
      <w:pPr>
        <w:spacing w:after="0" w:line="19" w:lineRule="exact"/>
        <w:rPr>
          <w:sz w:val="24"/>
          <w:szCs w:val="24"/>
          <w:color w:val="auto"/>
        </w:rPr>
      </w:pPr>
    </w:p>
    <w:p>
      <w:pPr>
        <w:jc w:val="center"/>
        <w:ind w:right="1460"/>
        <w:spacing w:after="0"/>
        <w:rPr>
          <w:sz w:val="20"/>
          <w:szCs w:val="20"/>
          <w:color w:val="auto"/>
        </w:rPr>
      </w:pPr>
      <w:r>
        <w:rPr>
          <w:rFonts w:ascii="Arial" w:cs="Arial" w:eastAsia="Arial" w:hAnsi="Arial"/>
          <w:sz w:val="14"/>
          <w:szCs w:val="14"/>
          <w:color w:val="auto"/>
        </w:rPr>
        <w:t>(I.R.S. Employer Identification No.)</w:t>
      </w:r>
    </w:p>
    <w:p>
      <w:pPr>
        <w:spacing w:after="0" w:line="139" w:lineRule="exact"/>
        <w:rPr>
          <w:sz w:val="24"/>
          <w:szCs w:val="24"/>
          <w:color w:val="auto"/>
        </w:rPr>
      </w:pPr>
    </w:p>
    <w:p>
      <w:pPr>
        <w:sectPr>
          <w:pgSz w:w="11900" w:h="16838" w:orient="portrait"/>
          <w:cols w:equalWidth="0" w:num="2">
            <w:col w:w="5840" w:space="720"/>
            <w:col w:w="3680"/>
          </w:cols>
          <w:pgMar w:left="920" w:top="233" w:right="739" w:bottom="1440" w:gutter="0" w:footer="0" w:header="0"/>
          <w:type w:val="continuous"/>
        </w:sectPr>
      </w:pPr>
    </w:p>
    <w:p>
      <w:pPr>
        <w:ind w:left="3500"/>
        <w:spacing w:after="0"/>
        <w:rPr>
          <w:sz w:val="20"/>
          <w:szCs w:val="20"/>
          <w:color w:val="auto"/>
        </w:rPr>
      </w:pPr>
      <w:r>
        <w:rPr>
          <w:rFonts w:ascii="Arial" w:cs="Arial" w:eastAsia="Arial" w:hAnsi="Arial"/>
          <w:sz w:val="14"/>
          <w:szCs w:val="14"/>
          <w:b w:val="1"/>
          <w:bCs w:val="1"/>
          <w:color w:val="auto"/>
        </w:rPr>
        <w:t>330 West 34</w:t>
      </w:r>
      <w:r>
        <w:rPr>
          <w:rFonts w:ascii="Arial" w:cs="Arial" w:eastAsia="Arial" w:hAnsi="Arial"/>
          <w:sz w:val="14"/>
          <w:szCs w:val="14"/>
          <w:b w:val="1"/>
          <w:bCs w:val="1"/>
          <w:color w:val="auto"/>
          <w:vertAlign w:val="superscript"/>
        </w:rPr>
        <w:t>th</w:t>
      </w:r>
      <w:r>
        <w:rPr>
          <w:rFonts w:ascii="Arial" w:cs="Arial" w:eastAsia="Arial" w:hAnsi="Arial"/>
          <w:sz w:val="14"/>
          <w:szCs w:val="14"/>
          <w:b w:val="1"/>
          <w:bCs w:val="1"/>
          <w:color w:val="auto"/>
        </w:rPr>
        <w:t xml:space="preserve"> Street, New York, New York 10001</w:t>
      </w:r>
    </w:p>
    <w:p>
      <w:pPr>
        <w:spacing w:after="0" w:line="25" w:lineRule="exact"/>
        <w:rPr>
          <w:sz w:val="24"/>
          <w:szCs w:val="24"/>
          <w:color w:val="auto"/>
        </w:rPr>
      </w:pPr>
    </w:p>
    <w:p>
      <w:pPr>
        <w:ind w:left="3560"/>
        <w:spacing w:after="0"/>
        <w:rPr>
          <w:sz w:val="20"/>
          <w:szCs w:val="20"/>
          <w:color w:val="auto"/>
        </w:rPr>
      </w:pPr>
      <w:r>
        <w:rPr>
          <w:rFonts w:ascii="Arial" w:cs="Arial" w:eastAsia="Arial" w:hAnsi="Arial"/>
          <w:sz w:val="14"/>
          <w:szCs w:val="14"/>
          <w:color w:val="auto"/>
        </w:rPr>
        <w:t>(Address of principal executive offices, Zip Code)</w:t>
      </w:r>
    </w:p>
    <w:p>
      <w:pPr>
        <w:spacing w:after="0" w:line="1"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b w:val="1"/>
          <w:bCs w:val="1"/>
          <w:color w:val="auto"/>
        </w:rPr>
        <w:t>(212</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720</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3700)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25" w:lineRule="exact"/>
        <w:rPr>
          <w:sz w:val="24"/>
          <w:szCs w:val="24"/>
          <w:color w:val="auto"/>
        </w:rPr>
      </w:pPr>
    </w:p>
    <w:tbl>
      <w:tblPr>
        <w:tblLayout w:type="fixed"/>
        <w:tblInd w:w="1090" w:type="dxa"/>
        <w:tblCellMar>
          <w:top w:w="0" w:type="dxa"/>
          <w:left w:w="0" w:type="dxa"/>
          <w:bottom w:w="0" w:type="dxa"/>
          <w:right w:w="0" w:type="dxa"/>
        </w:tblCellMar>
      </w:tblPr>
      <w:tr>
        <w:trPr>
          <w:trHeight w:val="162"/>
        </w:trPr>
        <w:tc>
          <w:tcPr>
            <w:tcW w:w="32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3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w:t>
            </w:r>
          </w:p>
        </w:tc>
      </w:tr>
      <w:tr>
        <w:trPr>
          <w:trHeight w:val="190"/>
        </w:trPr>
        <w:tc>
          <w:tcPr>
            <w:tcW w:w="3280" w:type="dxa"/>
            <w:vAlign w:val="bottom"/>
            <w:tcBorders>
              <w:left w:val="single" w:sz="8" w:color="auto"/>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registered</w:t>
            </w:r>
          </w:p>
        </w:tc>
      </w:tr>
      <w:tr>
        <w:trPr>
          <w:trHeight w:val="134"/>
        </w:trPr>
        <w:tc>
          <w:tcPr>
            <w:tcW w:w="3280" w:type="dxa"/>
            <w:vAlign w:val="bottom"/>
            <w:tcBorders>
              <w:left w:val="single" w:sz="8" w:color="auto"/>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3260" w:type="dxa"/>
            <w:vAlign w:val="bottom"/>
            <w:tcBorders>
              <w:bottom w:val="single" w:sz="8" w:color="auto"/>
              <w:right w:val="single" w:sz="8" w:color="auto"/>
            </w:tcBorders>
          </w:tcPr>
          <w:p>
            <w:pPr>
              <w:spacing w:after="0"/>
              <w:rPr>
                <w:sz w:val="11"/>
                <w:szCs w:val="11"/>
                <w:color w:val="auto"/>
              </w:rPr>
            </w:pPr>
          </w:p>
        </w:tc>
      </w:tr>
      <w:tr>
        <w:trPr>
          <w:trHeight w:val="171"/>
        </w:trPr>
        <w:tc>
          <w:tcPr>
            <w:tcW w:w="3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par value $0.01</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FL</w:t>
            </w:r>
          </w:p>
        </w:tc>
        <w:tc>
          <w:tcPr>
            <w:tcW w:w="3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r>
      <w:tr>
        <w:trPr>
          <w:trHeight w:val="134"/>
        </w:trPr>
        <w:tc>
          <w:tcPr>
            <w:tcW w:w="3280" w:type="dxa"/>
            <w:vAlign w:val="bottom"/>
            <w:tcBorders>
              <w:left w:val="single" w:sz="8" w:color="auto"/>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3260" w:type="dxa"/>
            <w:vAlign w:val="bottom"/>
            <w:tcBorders>
              <w:bottom w:val="single" w:sz="8" w:color="auto"/>
              <w:right w:val="single" w:sz="8" w:color="auto"/>
            </w:tcBorders>
          </w:tcPr>
          <w:p>
            <w:pPr>
              <w:spacing w:after="0"/>
              <w:rPr>
                <w:sz w:val="11"/>
                <w:szCs w:val="11"/>
                <w:color w:val="auto"/>
              </w:rPr>
            </w:pPr>
          </w:p>
        </w:tc>
      </w:tr>
    </w:tbl>
    <w:p>
      <w:pPr>
        <w:spacing w:after="0" w:line="167" w:lineRule="exact"/>
        <w:rPr>
          <w:sz w:val="24"/>
          <w:szCs w:val="24"/>
          <w:color w:val="auto"/>
        </w:rPr>
      </w:pPr>
    </w:p>
    <w:p>
      <w:pPr>
        <w:jc w:val="both"/>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7" w:lineRule="exact"/>
        <w:rPr>
          <w:sz w:val="24"/>
          <w:szCs w:val="24"/>
          <w:color w:val="auto"/>
        </w:rPr>
      </w:pPr>
    </w:p>
    <w:p>
      <w:pPr>
        <w:jc w:val="both"/>
        <w:ind w:right="20"/>
        <w:spacing w:after="0" w:line="19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70" w:lineRule="exact"/>
        <w:rPr>
          <w:sz w:val="24"/>
          <w:szCs w:val="24"/>
          <w:color w:val="auto"/>
        </w:rPr>
      </w:pPr>
    </w:p>
    <w:p>
      <w:pPr>
        <w:jc w:val="both"/>
        <w:spacing w:after="0" w:line="166"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pacing w:after="0" w:line="264" w:lineRule="exact"/>
        <w:rPr>
          <w:sz w:val="24"/>
          <w:szCs w:val="24"/>
          <w:color w:val="auto"/>
        </w:rPr>
      </w:pPr>
    </w:p>
    <w:p>
      <w:pPr>
        <w:ind w:right="660"/>
        <w:spacing w:after="0" w:line="20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350" w:lineRule="exact"/>
        <w:rPr>
          <w:sz w:val="24"/>
          <w:szCs w:val="24"/>
          <w:color w:val="auto"/>
        </w:rPr>
      </w:pPr>
    </w:p>
    <w:p>
      <w:pPr>
        <w:ind w:right="2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right="2200"/>
        <w:spacing w:after="0" w:line="260"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Number of shares of Common Stock outstanding as of June 11, 2019: 109,701,174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500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34290</wp:posOffset>
            </wp:positionV>
            <wp:extent cx="650049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049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539750</wp:posOffset>
            </wp:positionV>
            <wp:extent cx="650049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0495" cy="26035"/>
                    </a:xfrm>
                    <a:prstGeom prst="rect">
                      <a:avLst/>
                    </a:prstGeom>
                    <a:noFill/>
                  </pic:spPr>
                </pic:pic>
              </a:graphicData>
            </a:graphic>
          </wp:anchor>
        </w:drawing>
      </w:r>
    </w:p>
    <w:p>
      <w:pPr>
        <w:sectPr>
          <w:pgSz w:w="11900" w:h="16838" w:orient="portrait"/>
          <w:cols w:equalWidth="0" w:num="1">
            <w:col w:w="10240"/>
          </w:cols>
          <w:pgMar w:left="920" w:top="233" w:right="7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700" w:type="dxa"/>
            <w:vAlign w:val="bottom"/>
            <w:gridSpan w:val="8"/>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0"/>
        </w:trPr>
        <w:tc>
          <w:tcPr>
            <w:tcW w:w="560" w:type="dxa"/>
            <w:vAlign w:val="bottom"/>
            <w:tcBorders>
              <w:top w:val="single" w:sz="8" w:color="0563C1"/>
            </w:tcBorders>
          </w:tcPr>
          <w:p>
            <w:pPr>
              <w:spacing w:after="0"/>
              <w:rPr>
                <w:sz w:val="24"/>
                <w:szCs w:val="24"/>
                <w:color w:val="auto"/>
              </w:rPr>
            </w:pPr>
          </w:p>
        </w:tc>
        <w:tc>
          <w:tcPr>
            <w:tcW w:w="3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0" w:type="dxa"/>
            <w:vAlign w:val="bottom"/>
            <w:gridSpan w:val="10"/>
          </w:tcPr>
          <w:p>
            <w:pPr>
              <w:jc w:val="center"/>
              <w:ind w:right="2700"/>
              <w:spacing w:after="0"/>
              <w:rPr>
                <w:sz w:val="20"/>
                <w:szCs w:val="20"/>
                <w:color w:val="auto"/>
              </w:rPr>
            </w:pPr>
            <w:r>
              <w:rPr>
                <w:rFonts w:ascii="Arial" w:cs="Arial" w:eastAsia="Arial" w:hAnsi="Arial"/>
                <w:sz w:val="18"/>
                <w:szCs w:val="18"/>
                <w:b w:val="1"/>
                <w:bCs w:val="1"/>
                <w:color w:val="auto"/>
              </w:rPr>
              <w:t>FOOT LOCKER, INC.</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0" w:type="dxa"/>
            <w:vAlign w:val="bottom"/>
            <w:gridSpan w:val="10"/>
          </w:tcPr>
          <w:p>
            <w:pPr>
              <w:jc w:val="center"/>
              <w:ind w:right="268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20" w:type="dxa"/>
            <w:vAlign w:val="bottom"/>
            <w:gridSpan w:val="2"/>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7460" w:type="dxa"/>
            <w:vAlign w:val="bottom"/>
            <w:gridSpan w:val="23"/>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56"/>
        </w:trPr>
        <w:tc>
          <w:tcPr>
            <w:tcW w:w="920" w:type="dxa"/>
            <w:vAlign w:val="bottom"/>
            <w:gridSpan w:val="2"/>
            <w:vMerge w:val="continue"/>
          </w:tcPr>
          <w:p>
            <w:pPr>
              <w:spacing w:after="0"/>
              <w:rPr>
                <w:sz w:val="13"/>
                <w:szCs w:val="13"/>
                <w:color w:val="auto"/>
              </w:rPr>
            </w:pPr>
          </w:p>
        </w:tc>
        <w:tc>
          <w:tcPr>
            <w:tcW w:w="7460" w:type="dxa"/>
            <w:vAlign w:val="bottom"/>
            <w:gridSpan w:val="23"/>
            <w:vMerge w:val="continue"/>
          </w:tcPr>
          <w:p>
            <w:pPr>
              <w:spacing w:after="0"/>
              <w:rPr>
                <w:sz w:val="13"/>
                <w:szCs w:val="13"/>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Item 1.</w:t>
              </w:r>
            </w:hyperlink>
          </w:p>
        </w:tc>
        <w:tc>
          <w:tcPr>
            <w:tcW w:w="220" w:type="dxa"/>
            <w:vAlign w:val="bottom"/>
            <w:gridSpan w:val="3"/>
          </w:tcPr>
          <w:p>
            <w:pPr>
              <w:spacing w:after="0"/>
              <w:rPr>
                <w:sz w:val="19"/>
                <w:szCs w:val="19"/>
                <w:color w:val="auto"/>
              </w:rPr>
            </w:pPr>
          </w:p>
        </w:tc>
        <w:tc>
          <w:tcPr>
            <w:tcW w:w="1680" w:type="dxa"/>
            <w:vAlign w:val="bottom"/>
            <w:tcBorders>
              <w:bottom w:val="single" w:sz="8" w:color="0000EE"/>
            </w:tcBorders>
            <w:gridSpan w:val="7"/>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Financial Statements</w:t>
              </w:r>
            </w:hyperlink>
          </w:p>
        </w:tc>
        <w:tc>
          <w:tcPr>
            <w:tcW w:w="5000" w:type="dxa"/>
            <w:vAlign w:val="bottom"/>
            <w:gridSpan w:val="10"/>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8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20" w:type="dxa"/>
            <w:vAlign w:val="bottom"/>
            <w:tcBorders>
              <w:top w:val="single" w:sz="8" w:color="0000EE"/>
            </w:tcBorders>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Shareholders’ Equity</w:t>
              </w:r>
            </w:hyperlink>
          </w:p>
        </w:tc>
        <w:tc>
          <w:tcPr>
            <w:tcW w:w="1560" w:type="dxa"/>
            <w:vAlign w:val="bottom"/>
            <w:gridSpan w:val="2"/>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80" w:type="dxa"/>
            <w:vAlign w:val="bottom"/>
            <w:tcBorders>
              <w:top w:val="single" w:sz="8" w:color="0000EE"/>
            </w:tcBorders>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1800" w:type="dxa"/>
            <w:vAlign w:val="bottom"/>
            <w:gridSpan w:val="3"/>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8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gridSpan w:val="3"/>
          </w:tcPr>
          <w:p>
            <w:pPr>
              <w:spacing w:after="0"/>
              <w:rPr>
                <w:rFonts w:ascii="Arial" w:cs="Arial" w:eastAsia="Arial" w:hAnsi="Arial"/>
                <w:sz w:val="18"/>
                <w:szCs w:val="18"/>
                <w:color w:val="0000EE"/>
                <w:w w:val="98"/>
              </w:rPr>
            </w:pPr>
            <w:hyperlink w:anchor="page22">
              <w:r>
                <w:rPr>
                  <w:rFonts w:ascii="Arial" w:cs="Arial" w:eastAsia="Arial" w:hAnsi="Arial"/>
                  <w:sz w:val="18"/>
                  <w:szCs w:val="18"/>
                  <w:color w:val="0000EE"/>
                  <w:w w:val="98"/>
                </w:rPr>
                <w:t>Item 2.</w:t>
              </w:r>
            </w:hyperlink>
          </w:p>
        </w:tc>
        <w:tc>
          <w:tcPr>
            <w:tcW w:w="220" w:type="dxa"/>
            <w:vAlign w:val="bottom"/>
            <w:gridSpan w:val="3"/>
          </w:tcPr>
          <w:p>
            <w:pPr>
              <w:spacing w:after="0"/>
              <w:rPr>
                <w:sz w:val="19"/>
                <w:szCs w:val="19"/>
                <w:color w:val="auto"/>
              </w:rPr>
            </w:pPr>
          </w:p>
        </w:tc>
        <w:tc>
          <w:tcPr>
            <w:tcW w:w="668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Operations</w:t>
              </w:r>
            </w:hyperlink>
          </w:p>
        </w:tc>
        <w:tc>
          <w:tcPr>
            <w:tcW w:w="5260" w:type="dxa"/>
            <w:vAlign w:val="bottom"/>
            <w:tcBorders>
              <w:top w:val="single" w:sz="8" w:color="0000EE"/>
            </w:tcBorders>
            <w:gridSpan w:val="14"/>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200" w:type="dxa"/>
            <w:vAlign w:val="bottom"/>
            <w:gridSpan w:val="2"/>
          </w:tcPr>
          <w:p>
            <w:pPr>
              <w:spacing w:after="0"/>
              <w:rPr>
                <w:sz w:val="19"/>
                <w:szCs w:val="19"/>
                <w:color w:val="auto"/>
              </w:rPr>
            </w:pPr>
          </w:p>
        </w:tc>
        <w:tc>
          <w:tcPr>
            <w:tcW w:w="668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0" w:type="dxa"/>
            <w:vAlign w:val="bottom"/>
          </w:tcPr>
          <w:p>
            <w:pPr>
              <w:spacing w:after="0"/>
              <w:rPr>
                <w:rFonts w:ascii="Arial" w:cs="Arial" w:eastAsia="Arial" w:hAnsi="Arial"/>
                <w:sz w:val="18"/>
                <w:szCs w:val="18"/>
                <w:color w:val="0000EE"/>
                <w:w w:val="82"/>
              </w:rPr>
            </w:pPr>
            <w:hyperlink w:anchor="page31">
              <w:r>
                <w:rPr>
                  <w:rFonts w:ascii="Arial" w:cs="Arial" w:eastAsia="Arial" w:hAnsi="Arial"/>
                  <w:sz w:val="18"/>
                  <w:szCs w:val="18"/>
                  <w:color w:val="0000EE"/>
                  <w:w w:val="82"/>
                </w:rPr>
                <w:t>PART II</w:t>
              </w:r>
            </w:hyperlink>
          </w:p>
        </w:tc>
        <w:tc>
          <w:tcPr>
            <w:tcW w:w="360" w:type="dxa"/>
            <w:vAlign w:val="bottom"/>
          </w:tcPr>
          <w:p>
            <w:pPr>
              <w:spacing w:after="0"/>
              <w:rPr>
                <w:sz w:val="24"/>
                <w:szCs w:val="24"/>
                <w:color w:val="auto"/>
              </w:rPr>
            </w:pPr>
          </w:p>
        </w:tc>
        <w:tc>
          <w:tcPr>
            <w:tcW w:w="7460" w:type="dxa"/>
            <w:vAlign w:val="bottom"/>
            <w:gridSpan w:val="2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w:t>
              </w:r>
            </w:hyperlink>
          </w:p>
        </w:tc>
        <w:tc>
          <w:tcPr>
            <w:tcW w:w="200" w:type="dxa"/>
            <w:vAlign w:val="bottom"/>
            <w:gridSpan w:val="2"/>
          </w:tcPr>
          <w:p>
            <w:pPr>
              <w:spacing w:after="0"/>
              <w:rPr>
                <w:sz w:val="19"/>
                <w:szCs w:val="19"/>
                <w:color w:val="auto"/>
              </w:rPr>
            </w:pPr>
          </w:p>
        </w:tc>
        <w:tc>
          <w:tcPr>
            <w:tcW w:w="668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bottom w:val="single" w:sz="8" w:color="0000EE"/>
            </w:tcBorders>
            <w:gridSpan w:val="5"/>
          </w:tcPr>
          <w:p>
            <w:pPr>
              <w:spacing w:after="0"/>
              <w:rPr>
                <w:rFonts w:ascii="Arial" w:cs="Arial" w:eastAsia="Arial" w:hAnsi="Arial"/>
                <w:sz w:val="18"/>
                <w:szCs w:val="18"/>
                <w:color w:val="0000EE"/>
                <w:w w:val="98"/>
              </w:rPr>
            </w:pPr>
            <w:hyperlink w:anchor="page31">
              <w:r>
                <w:rPr>
                  <w:rFonts w:ascii="Arial" w:cs="Arial" w:eastAsia="Arial" w:hAnsi="Arial"/>
                  <w:sz w:val="18"/>
                  <w:szCs w:val="18"/>
                  <w:color w:val="0000EE"/>
                  <w:w w:val="98"/>
                </w:rPr>
                <w:t>Item 1A.</w:t>
              </w:r>
            </w:hyperlink>
          </w:p>
        </w:tc>
        <w:tc>
          <w:tcPr>
            <w:tcW w:w="100" w:type="dxa"/>
            <w:vAlign w:val="bottom"/>
          </w:tcPr>
          <w:p>
            <w:pPr>
              <w:spacing w:after="0"/>
              <w:rPr>
                <w:sz w:val="19"/>
                <w:szCs w:val="19"/>
                <w:color w:val="auto"/>
              </w:rPr>
            </w:pPr>
          </w:p>
        </w:tc>
        <w:tc>
          <w:tcPr>
            <w:tcW w:w="100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Risk Factors</w:t>
              </w:r>
            </w:hyperlink>
          </w:p>
        </w:tc>
        <w:tc>
          <w:tcPr>
            <w:tcW w:w="5680" w:type="dxa"/>
            <w:vAlign w:val="bottom"/>
            <w:gridSpan w:val="14"/>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200" w:type="dxa"/>
            <w:vAlign w:val="bottom"/>
            <w:gridSpan w:val="2"/>
          </w:tcPr>
          <w:p>
            <w:pPr>
              <w:spacing w:after="0"/>
              <w:rPr>
                <w:sz w:val="19"/>
                <w:szCs w:val="19"/>
                <w:color w:val="auto"/>
              </w:rPr>
            </w:pPr>
          </w:p>
        </w:tc>
        <w:tc>
          <w:tcPr>
            <w:tcW w:w="668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Borders>
              <w:top w:val="single" w:sz="8" w:color="0000EE"/>
            </w:tcBorders>
            <w:gridSpan w:val="3"/>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Item 6.</w:t>
              </w:r>
            </w:hyperlink>
          </w:p>
        </w:tc>
        <w:tc>
          <w:tcPr>
            <w:tcW w:w="20" w:type="dxa"/>
            <w:vAlign w:val="bottom"/>
            <w:tcBorders>
              <w:top w:val="single" w:sz="8" w:color="0000EE"/>
            </w:tcBorders>
          </w:tcPr>
          <w:p>
            <w:pPr>
              <w:spacing w:after="0"/>
              <w:rPr>
                <w:sz w:val="19"/>
                <w:szCs w:val="19"/>
                <w:color w:val="auto"/>
              </w:rPr>
            </w:pPr>
          </w:p>
        </w:tc>
        <w:tc>
          <w:tcPr>
            <w:tcW w:w="200" w:type="dxa"/>
            <w:vAlign w:val="bottom"/>
            <w:gridSpan w:val="2"/>
          </w:tcPr>
          <w:p>
            <w:pPr>
              <w:spacing w:after="0"/>
              <w:rPr>
                <w:sz w:val="19"/>
                <w:szCs w:val="19"/>
                <w:color w:val="auto"/>
              </w:rPr>
            </w:pPr>
          </w:p>
        </w:tc>
        <w:tc>
          <w:tcPr>
            <w:tcW w:w="4840" w:type="dxa"/>
            <w:vAlign w:val="bottom"/>
            <w:tcBorders>
              <w:top w:val="single" w:sz="8" w:color="0000EE"/>
            </w:tcBorders>
            <w:gridSpan w:val="1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1840" w:type="dxa"/>
            <w:vAlign w:val="bottom"/>
            <w:gridSpan w:val="4"/>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700" w:type="dxa"/>
            <w:vAlign w:val="bottom"/>
            <w:gridSpan w:val="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w:t>
              </w:r>
            </w:hyperlink>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69"/>
        </w:trPr>
        <w:tc>
          <w:tcPr>
            <w:tcW w:w="56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 in millions, except shares)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ind w:right="495"/>
              <w:spacing w:after="0"/>
              <w:rPr>
                <w:sz w:val="20"/>
                <w:szCs w:val="20"/>
                <w:color w:val="auto"/>
              </w:rPr>
            </w:pPr>
            <w:r>
              <w:rPr>
                <w:rFonts w:ascii="Arial" w:cs="Arial" w:eastAsia="Arial" w:hAnsi="Arial"/>
                <w:sz w:val="17"/>
                <w:szCs w:val="17"/>
                <w:b w:val="1"/>
                <w:bCs w:val="1"/>
                <w:color w:val="auto"/>
              </w:rPr>
              <w:t>May 4,</w:t>
            </w:r>
          </w:p>
        </w:tc>
        <w:tc>
          <w:tcPr>
            <w:tcW w:w="340" w:type="dxa"/>
            <w:vAlign w:val="bottom"/>
          </w:tcPr>
          <w:p>
            <w:pPr>
              <w:spacing w:after="0"/>
              <w:rPr>
                <w:sz w:val="16"/>
                <w:szCs w:val="16"/>
                <w:color w:val="auto"/>
              </w:rPr>
            </w:pPr>
          </w:p>
        </w:tc>
        <w:tc>
          <w:tcPr>
            <w:tcW w:w="1300" w:type="dxa"/>
            <w:vAlign w:val="bottom"/>
          </w:tcPr>
          <w:p>
            <w:pPr>
              <w:jc w:val="right"/>
              <w:ind w:right="475"/>
              <w:spacing w:after="0"/>
              <w:rPr>
                <w:sz w:val="20"/>
                <w:szCs w:val="20"/>
                <w:color w:val="auto"/>
              </w:rPr>
            </w:pPr>
            <w:r>
              <w:rPr>
                <w:rFonts w:ascii="Arial" w:cs="Arial" w:eastAsia="Arial" w:hAnsi="Arial"/>
                <w:sz w:val="17"/>
                <w:szCs w:val="17"/>
                <w:b w:val="1"/>
                <w:bCs w:val="1"/>
                <w:color w:val="auto"/>
              </w:rPr>
              <w:t>May 5,</w:t>
            </w:r>
          </w:p>
        </w:tc>
        <w:tc>
          <w:tcPr>
            <w:tcW w:w="280" w:type="dxa"/>
            <w:vAlign w:val="bottom"/>
          </w:tcPr>
          <w:p>
            <w:pPr>
              <w:spacing w:after="0"/>
              <w:rPr>
                <w:sz w:val="16"/>
                <w:szCs w:val="16"/>
                <w:color w:val="auto"/>
              </w:rPr>
            </w:pPr>
          </w:p>
        </w:tc>
        <w:tc>
          <w:tcPr>
            <w:tcW w:w="1220" w:type="dxa"/>
            <w:vAlign w:val="bottom"/>
          </w:tcPr>
          <w:p>
            <w:pPr>
              <w:jc w:val="right"/>
              <w:ind w:right="135"/>
              <w:spacing w:after="0"/>
              <w:rPr>
                <w:sz w:val="20"/>
                <w:szCs w:val="20"/>
                <w:color w:val="auto"/>
              </w:rPr>
            </w:pPr>
            <w:r>
              <w:rPr>
                <w:rFonts w:ascii="Arial" w:cs="Arial" w:eastAsia="Arial" w:hAnsi="Arial"/>
                <w:sz w:val="17"/>
                <w:szCs w:val="17"/>
                <w:b w:val="1"/>
                <w:bCs w:val="1"/>
                <w:color w:val="auto"/>
              </w:rPr>
              <w:t>February 2,</w:t>
            </w:r>
          </w:p>
        </w:tc>
        <w:tc>
          <w:tcPr>
            <w:tcW w:w="0" w:type="dxa"/>
            <w:vAlign w:val="bottom"/>
          </w:tcPr>
          <w:p>
            <w:pPr>
              <w:spacing w:after="0"/>
              <w:rPr>
                <w:sz w:val="1"/>
                <w:szCs w:val="1"/>
                <w:color w:val="auto"/>
              </w:rPr>
            </w:pPr>
          </w:p>
        </w:tc>
      </w:tr>
      <w:tr>
        <w:trPr>
          <w:trHeight w:val="215"/>
        </w:trPr>
        <w:tc>
          <w:tcPr>
            <w:tcW w:w="4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2018</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135"/>
              <w:spacing w:after="0" w:line="176" w:lineRule="exact"/>
              <w:rPr>
                <w:sz w:val="20"/>
                <w:szCs w:val="20"/>
                <w:color w:val="auto"/>
              </w:rPr>
            </w:pPr>
            <w:r>
              <w:rPr>
                <w:rFonts w:ascii="Arial" w:cs="Arial" w:eastAsia="Arial" w:hAnsi="Arial"/>
                <w:sz w:val="17"/>
                <w:szCs w:val="17"/>
                <w:b w:val="1"/>
                <w:bCs w:val="1"/>
                <w:color w:val="auto"/>
              </w:rPr>
              <w:t>(Unaudited)</w:t>
            </w:r>
          </w:p>
        </w:tc>
        <w:tc>
          <w:tcPr>
            <w:tcW w:w="340" w:type="dxa"/>
            <w:vAlign w:val="bottom"/>
          </w:tcPr>
          <w:p>
            <w:pPr>
              <w:spacing w:after="0"/>
              <w:rPr>
                <w:sz w:val="15"/>
                <w:szCs w:val="15"/>
                <w:color w:val="auto"/>
              </w:rPr>
            </w:pPr>
          </w:p>
        </w:tc>
        <w:tc>
          <w:tcPr>
            <w:tcW w:w="1300" w:type="dxa"/>
            <w:vAlign w:val="bottom"/>
          </w:tcPr>
          <w:p>
            <w:pPr>
              <w:jc w:val="right"/>
              <w:ind w:right="135"/>
              <w:spacing w:after="0" w:line="176" w:lineRule="exact"/>
              <w:rPr>
                <w:sz w:val="20"/>
                <w:szCs w:val="20"/>
                <w:color w:val="auto"/>
              </w:rPr>
            </w:pPr>
            <w:r>
              <w:rPr>
                <w:rFonts w:ascii="Arial" w:cs="Arial" w:eastAsia="Arial" w:hAnsi="Arial"/>
                <w:sz w:val="17"/>
                <w:szCs w:val="17"/>
                <w:b w:val="1"/>
                <w:bCs w:val="1"/>
                <w:color w:val="auto"/>
              </w:rPr>
              <w:t>(Unaudited)</w:t>
            </w:r>
          </w:p>
        </w:tc>
        <w:tc>
          <w:tcPr>
            <w:tcW w:w="280" w:type="dxa"/>
            <w:vAlign w:val="bottom"/>
          </w:tcPr>
          <w:p>
            <w:pPr>
              <w:spacing w:after="0"/>
              <w:rPr>
                <w:sz w:val="15"/>
                <w:szCs w:val="15"/>
                <w:color w:val="auto"/>
              </w:rPr>
            </w:pPr>
          </w:p>
        </w:tc>
        <w:tc>
          <w:tcPr>
            <w:tcW w:w="1220" w:type="dxa"/>
            <w:vAlign w:val="bottom"/>
          </w:tcPr>
          <w:p>
            <w:pPr>
              <w:jc w:val="right"/>
              <w:ind w:right="455"/>
              <w:spacing w:after="0" w:line="176"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 in millions)</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assets:</w:t>
            </w: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120"/>
              <w:spacing w:after="0" w:line="189" w:lineRule="exact"/>
              <w:rPr>
                <w:sz w:val="20"/>
                <w:szCs w:val="20"/>
                <w:color w:val="auto"/>
              </w:rPr>
            </w:pPr>
            <w:r>
              <w:rPr>
                <w:rFonts w:ascii="Arial" w:cs="Arial" w:eastAsia="Arial" w:hAnsi="Arial"/>
                <w:sz w:val="17"/>
                <w:szCs w:val="17"/>
                <w:color w:val="auto"/>
              </w:rPr>
              <w:t>Cash and cash equivalents</w:t>
            </w:r>
          </w:p>
        </w:tc>
        <w:tc>
          <w:tcPr>
            <w:tcW w:w="36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32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1,126</w:t>
            </w:r>
          </w:p>
        </w:tc>
        <w:tc>
          <w:tcPr>
            <w:tcW w:w="3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1,029</w:t>
            </w:r>
          </w:p>
        </w:tc>
        <w:tc>
          <w:tcPr>
            <w:tcW w:w="2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Merchandise inventories</w:t>
            </w: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1,211</w:t>
            </w: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1,210</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1,269</w:t>
            </w:r>
          </w:p>
        </w:tc>
        <w:tc>
          <w:tcPr>
            <w:tcW w:w="0" w:type="dxa"/>
            <w:vAlign w:val="bottom"/>
          </w:tcPr>
          <w:p>
            <w:pPr>
              <w:spacing w:after="0"/>
              <w:rPr>
                <w:sz w:val="1"/>
                <w:szCs w:val="1"/>
                <w:color w:val="auto"/>
              </w:rPr>
            </w:pPr>
          </w:p>
        </w:tc>
      </w:tr>
      <w:tr>
        <w:trPr>
          <w:trHeight w:val="189"/>
        </w:trPr>
        <w:tc>
          <w:tcPr>
            <w:tcW w:w="4240" w:type="dxa"/>
            <w:vAlign w:val="bottom"/>
            <w:tcBorders>
              <w:bottom w:val="single" w:sz="8" w:color="auto"/>
            </w:tcBorders>
          </w:tcPr>
          <w:p>
            <w:pPr>
              <w:ind w:left="120"/>
              <w:spacing w:after="0" w:line="189" w:lineRule="exact"/>
              <w:rPr>
                <w:sz w:val="20"/>
                <w:szCs w:val="20"/>
                <w:color w:val="auto"/>
              </w:rPr>
            </w:pPr>
            <w:r>
              <w:rPr>
                <w:rFonts w:ascii="Arial" w:cs="Arial" w:eastAsia="Arial" w:hAnsi="Arial"/>
                <w:sz w:val="17"/>
                <w:szCs w:val="17"/>
                <w:color w:val="auto"/>
              </w:rPr>
              <w:t>Other current assets</w:t>
            </w: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255</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301</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2,592</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2,540</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2,518</w:t>
            </w:r>
          </w:p>
        </w:tc>
        <w:tc>
          <w:tcPr>
            <w:tcW w:w="0" w:type="dxa"/>
            <w:vAlign w:val="bottom"/>
          </w:tcPr>
          <w:p>
            <w:pPr>
              <w:spacing w:after="0"/>
              <w:rPr>
                <w:sz w:val="1"/>
                <w:szCs w:val="1"/>
                <w:color w:val="auto"/>
              </w:rPr>
            </w:pPr>
          </w:p>
        </w:tc>
      </w:tr>
      <w:tr>
        <w:trPr>
          <w:trHeight w:val="189"/>
        </w:trPr>
        <w:tc>
          <w:tcPr>
            <w:tcW w:w="4240" w:type="dxa"/>
            <w:vAlign w:val="bottom"/>
          </w:tcPr>
          <w:p>
            <w:pPr>
              <w:spacing w:after="0" w:line="189" w:lineRule="exact"/>
              <w:rPr>
                <w:sz w:val="20"/>
                <w:szCs w:val="20"/>
                <w:color w:val="auto"/>
              </w:rPr>
            </w:pPr>
            <w:r>
              <w:rPr>
                <w:rFonts w:ascii="Arial" w:cs="Arial" w:eastAsia="Arial" w:hAnsi="Arial"/>
                <w:sz w:val="17"/>
                <w:szCs w:val="17"/>
                <w:color w:val="auto"/>
              </w:rPr>
              <w:t>Property and equipment, net</w:t>
            </w:r>
          </w:p>
        </w:tc>
        <w:tc>
          <w:tcPr>
            <w:tcW w:w="360" w:type="dxa"/>
            <w:vAlign w:val="bottom"/>
          </w:tcPr>
          <w:p>
            <w:pPr>
              <w:spacing w:after="0"/>
              <w:rPr>
                <w:sz w:val="16"/>
                <w:szCs w:val="16"/>
                <w:color w:val="auto"/>
              </w:rPr>
            </w:pPr>
          </w:p>
        </w:tc>
        <w:tc>
          <w:tcPr>
            <w:tcW w:w="132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810</w:t>
            </w:r>
          </w:p>
        </w:tc>
        <w:tc>
          <w:tcPr>
            <w:tcW w:w="340" w:type="dxa"/>
            <w:vAlign w:val="bottom"/>
          </w:tcPr>
          <w:p>
            <w:pPr>
              <w:spacing w:after="0"/>
              <w:rPr>
                <w:sz w:val="16"/>
                <w:szCs w:val="16"/>
                <w:color w:val="auto"/>
              </w:rPr>
            </w:pPr>
          </w:p>
        </w:tc>
        <w:tc>
          <w:tcPr>
            <w:tcW w:w="13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843</w:t>
            </w:r>
          </w:p>
        </w:tc>
        <w:tc>
          <w:tcPr>
            <w:tcW w:w="2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836</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lease right-of-use assets</w:t>
            </w: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3,025</w:t>
            </w: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240" w:type="dxa"/>
            <w:vAlign w:val="bottom"/>
          </w:tcPr>
          <w:p>
            <w:pPr>
              <w:spacing w:after="0" w:line="189" w:lineRule="exact"/>
              <w:rPr>
                <w:sz w:val="20"/>
                <w:szCs w:val="20"/>
                <w:color w:val="auto"/>
              </w:rPr>
            </w:pPr>
            <w:r>
              <w:rPr>
                <w:rFonts w:ascii="Arial" w:cs="Arial" w:eastAsia="Arial" w:hAnsi="Arial"/>
                <w:sz w:val="17"/>
                <w:szCs w:val="17"/>
                <w:color w:val="auto"/>
              </w:rPr>
              <w:t>Deferred taxes</w:t>
            </w:r>
          </w:p>
        </w:tc>
        <w:tc>
          <w:tcPr>
            <w:tcW w:w="360" w:type="dxa"/>
            <w:vAlign w:val="bottom"/>
          </w:tcPr>
          <w:p>
            <w:pPr>
              <w:spacing w:after="0"/>
              <w:rPr>
                <w:sz w:val="16"/>
                <w:szCs w:val="16"/>
                <w:color w:val="auto"/>
              </w:rPr>
            </w:pPr>
          </w:p>
        </w:tc>
        <w:tc>
          <w:tcPr>
            <w:tcW w:w="132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89</w:t>
            </w:r>
          </w:p>
        </w:tc>
        <w:tc>
          <w:tcPr>
            <w:tcW w:w="340" w:type="dxa"/>
            <w:vAlign w:val="bottom"/>
          </w:tcPr>
          <w:p>
            <w:pPr>
              <w:spacing w:after="0"/>
              <w:rPr>
                <w:sz w:val="16"/>
                <w:szCs w:val="16"/>
                <w:color w:val="auto"/>
              </w:rPr>
            </w:pPr>
          </w:p>
        </w:tc>
        <w:tc>
          <w:tcPr>
            <w:tcW w:w="13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104</w:t>
            </w:r>
          </w:p>
        </w:tc>
        <w:tc>
          <w:tcPr>
            <w:tcW w:w="2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Goodwill</w:t>
            </w: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156</w:t>
            </w: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158</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189"/>
        </w:trPr>
        <w:tc>
          <w:tcPr>
            <w:tcW w:w="4240" w:type="dxa"/>
            <w:vAlign w:val="bottom"/>
          </w:tcPr>
          <w:p>
            <w:pPr>
              <w:spacing w:after="0" w:line="189" w:lineRule="exact"/>
              <w:rPr>
                <w:sz w:val="20"/>
                <w:szCs w:val="20"/>
                <w:color w:val="auto"/>
              </w:rPr>
            </w:pPr>
            <w:r>
              <w:rPr>
                <w:rFonts w:ascii="Arial" w:cs="Arial" w:eastAsia="Arial" w:hAnsi="Arial"/>
                <w:sz w:val="17"/>
                <w:szCs w:val="17"/>
                <w:color w:val="auto"/>
              </w:rPr>
              <w:t>Other intangible assets, net</w:t>
            </w:r>
          </w:p>
        </w:tc>
        <w:tc>
          <w:tcPr>
            <w:tcW w:w="360" w:type="dxa"/>
            <w:vAlign w:val="bottom"/>
          </w:tcPr>
          <w:p>
            <w:pPr>
              <w:spacing w:after="0"/>
              <w:rPr>
                <w:sz w:val="16"/>
                <w:szCs w:val="16"/>
                <w:color w:val="auto"/>
              </w:rPr>
            </w:pPr>
          </w:p>
        </w:tc>
        <w:tc>
          <w:tcPr>
            <w:tcW w:w="132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22</w:t>
            </w:r>
          </w:p>
        </w:tc>
        <w:tc>
          <w:tcPr>
            <w:tcW w:w="340" w:type="dxa"/>
            <w:vAlign w:val="bottom"/>
          </w:tcPr>
          <w:p>
            <w:pPr>
              <w:spacing w:after="0"/>
              <w:rPr>
                <w:sz w:val="16"/>
                <w:szCs w:val="16"/>
                <w:color w:val="auto"/>
              </w:rPr>
            </w:pPr>
          </w:p>
        </w:tc>
        <w:tc>
          <w:tcPr>
            <w:tcW w:w="13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43</w:t>
            </w:r>
          </w:p>
        </w:tc>
        <w:tc>
          <w:tcPr>
            <w:tcW w:w="2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89"/>
        </w:trPr>
        <w:tc>
          <w:tcPr>
            <w:tcW w:w="42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 assets</w:t>
            </w:r>
          </w:p>
        </w:tc>
        <w:tc>
          <w:tcPr>
            <w:tcW w:w="3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234</w:t>
            </w:r>
          </w:p>
        </w:tc>
        <w:tc>
          <w:tcPr>
            <w:tcW w:w="3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275</w:t>
            </w:r>
          </w:p>
        </w:tc>
        <w:tc>
          <w:tcPr>
            <w:tcW w:w="2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190"/>
        </w:trPr>
        <w:tc>
          <w:tcPr>
            <w:tcW w:w="4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6,928</w:t>
            </w:r>
          </w:p>
        </w:tc>
        <w:tc>
          <w:tcPr>
            <w:tcW w:w="3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3,963</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3,820</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line="189" w:lineRule="exact"/>
              <w:rPr>
                <w:sz w:val="20"/>
                <w:szCs w:val="20"/>
                <w:color w:val="auto"/>
              </w:rPr>
            </w:pPr>
            <w:r>
              <w:rPr>
                <w:rFonts w:ascii="Arial" w:cs="Arial" w:eastAsia="Arial" w:hAnsi="Arial"/>
                <w:sz w:val="17"/>
                <w:szCs w:val="17"/>
                <w:b w:val="1"/>
                <w:bCs w:val="1"/>
                <w:color w:val="auto"/>
              </w:rPr>
              <w:t>LIABILITIES AND SHAREHOLDERS’ EQUITY</w:t>
            </w: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line="189" w:lineRule="exact"/>
              <w:rPr>
                <w:sz w:val="20"/>
                <w:szCs w:val="20"/>
                <w:color w:val="auto"/>
              </w:rPr>
            </w:pPr>
            <w:r>
              <w:rPr>
                <w:rFonts w:ascii="Arial" w:cs="Arial" w:eastAsia="Arial" w:hAnsi="Arial"/>
                <w:sz w:val="17"/>
                <w:szCs w:val="17"/>
                <w:color w:val="auto"/>
              </w:rPr>
              <w:t>Current liabilities:</w:t>
            </w: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Accounts payable</w:t>
            </w:r>
          </w:p>
        </w:tc>
        <w:tc>
          <w:tcPr>
            <w:tcW w:w="3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451</w:t>
            </w:r>
          </w:p>
        </w:tc>
        <w:tc>
          <w:tcPr>
            <w:tcW w:w="3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344</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189"/>
        </w:trPr>
        <w:tc>
          <w:tcPr>
            <w:tcW w:w="4240" w:type="dxa"/>
            <w:vAlign w:val="bottom"/>
          </w:tcPr>
          <w:p>
            <w:pPr>
              <w:ind w:left="120"/>
              <w:spacing w:after="0" w:line="189" w:lineRule="exact"/>
              <w:rPr>
                <w:sz w:val="20"/>
                <w:szCs w:val="20"/>
                <w:color w:val="auto"/>
              </w:rPr>
            </w:pPr>
            <w:r>
              <w:rPr>
                <w:rFonts w:ascii="Arial" w:cs="Arial" w:eastAsia="Arial" w:hAnsi="Arial"/>
                <w:sz w:val="17"/>
                <w:szCs w:val="17"/>
                <w:color w:val="auto"/>
              </w:rPr>
              <w:t>Accrued and other liabilities</w:t>
            </w:r>
          </w:p>
        </w:tc>
        <w:tc>
          <w:tcPr>
            <w:tcW w:w="360" w:type="dxa"/>
            <w:vAlign w:val="bottom"/>
          </w:tcPr>
          <w:p>
            <w:pPr>
              <w:spacing w:after="0"/>
              <w:rPr>
                <w:sz w:val="16"/>
                <w:szCs w:val="16"/>
                <w:color w:val="auto"/>
              </w:rPr>
            </w:pPr>
          </w:p>
        </w:tc>
        <w:tc>
          <w:tcPr>
            <w:tcW w:w="132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340</w:t>
            </w:r>
          </w:p>
        </w:tc>
        <w:tc>
          <w:tcPr>
            <w:tcW w:w="340" w:type="dxa"/>
            <w:vAlign w:val="bottom"/>
          </w:tcPr>
          <w:p>
            <w:pPr>
              <w:spacing w:after="0"/>
              <w:rPr>
                <w:sz w:val="16"/>
                <w:szCs w:val="16"/>
                <w:color w:val="auto"/>
              </w:rPr>
            </w:pPr>
          </w:p>
        </w:tc>
        <w:tc>
          <w:tcPr>
            <w:tcW w:w="13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309</w:t>
            </w:r>
          </w:p>
        </w:tc>
        <w:tc>
          <w:tcPr>
            <w:tcW w:w="2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377</w:t>
            </w:r>
          </w:p>
        </w:tc>
        <w:tc>
          <w:tcPr>
            <w:tcW w:w="0" w:type="dxa"/>
            <w:vAlign w:val="bottom"/>
          </w:tcPr>
          <w:p>
            <w:pPr>
              <w:spacing w:after="0"/>
              <w:rPr>
                <w:sz w:val="1"/>
                <w:szCs w:val="1"/>
                <w:color w:val="auto"/>
              </w:rPr>
            </w:pPr>
          </w:p>
        </w:tc>
      </w:tr>
      <w:tr>
        <w:trPr>
          <w:trHeight w:val="189"/>
        </w:trPr>
        <w:tc>
          <w:tcPr>
            <w:tcW w:w="424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7"/>
                <w:szCs w:val="17"/>
                <w:color w:val="auto"/>
              </w:rPr>
              <w:t>Current portion of lease obligations</w:t>
            </w:r>
          </w:p>
        </w:tc>
        <w:tc>
          <w:tcPr>
            <w:tcW w:w="3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499</w:t>
            </w:r>
          </w:p>
        </w:tc>
        <w:tc>
          <w:tcPr>
            <w:tcW w:w="3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jc w:val="right"/>
              <w:ind w:right="95"/>
              <w:spacing w:after="0" w:line="183" w:lineRule="exact"/>
              <w:rPr>
                <w:sz w:val="20"/>
                <w:szCs w:val="20"/>
                <w:color w:val="auto"/>
              </w:rPr>
            </w:pPr>
            <w:r>
              <w:rPr>
                <w:rFonts w:ascii="Arial" w:cs="Arial" w:eastAsia="Arial" w:hAnsi="Arial"/>
                <w:sz w:val="17"/>
                <w:szCs w:val="17"/>
                <w:b w:val="1"/>
                <w:bCs w:val="1"/>
                <w:color w:val="auto"/>
              </w:rPr>
              <w:t>1,290</w:t>
            </w:r>
          </w:p>
        </w:tc>
        <w:tc>
          <w:tcPr>
            <w:tcW w:w="340" w:type="dxa"/>
            <w:vAlign w:val="bottom"/>
          </w:tcPr>
          <w:p>
            <w:pPr>
              <w:spacing w:after="0"/>
              <w:rPr>
                <w:sz w:val="15"/>
                <w:szCs w:val="15"/>
                <w:color w:val="auto"/>
              </w:rPr>
            </w:pPr>
          </w:p>
        </w:tc>
        <w:tc>
          <w:tcPr>
            <w:tcW w:w="1300" w:type="dxa"/>
            <w:vAlign w:val="bottom"/>
          </w:tcPr>
          <w:p>
            <w:pPr>
              <w:jc w:val="right"/>
              <w:ind w:right="95"/>
              <w:spacing w:after="0" w:line="183" w:lineRule="exact"/>
              <w:rPr>
                <w:sz w:val="20"/>
                <w:szCs w:val="20"/>
                <w:color w:val="auto"/>
              </w:rPr>
            </w:pPr>
            <w:r>
              <w:rPr>
                <w:rFonts w:ascii="Arial" w:cs="Arial" w:eastAsia="Arial" w:hAnsi="Arial"/>
                <w:sz w:val="17"/>
                <w:szCs w:val="17"/>
                <w:color w:val="auto"/>
              </w:rPr>
              <w:t>653</w:t>
            </w:r>
          </w:p>
        </w:tc>
        <w:tc>
          <w:tcPr>
            <w:tcW w:w="28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7"/>
                <w:szCs w:val="17"/>
                <w:color w:val="auto"/>
              </w:rPr>
              <w:t>764</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Long-term debt</w:t>
            </w: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123</w:t>
            </w: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125</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189"/>
        </w:trPr>
        <w:tc>
          <w:tcPr>
            <w:tcW w:w="4240" w:type="dxa"/>
            <w:vAlign w:val="bottom"/>
          </w:tcPr>
          <w:p>
            <w:pPr>
              <w:spacing w:after="0" w:line="189" w:lineRule="exact"/>
              <w:rPr>
                <w:sz w:val="20"/>
                <w:szCs w:val="20"/>
                <w:color w:val="auto"/>
              </w:rPr>
            </w:pPr>
            <w:r>
              <w:rPr>
                <w:rFonts w:ascii="Arial" w:cs="Arial" w:eastAsia="Arial" w:hAnsi="Arial"/>
                <w:sz w:val="17"/>
                <w:szCs w:val="17"/>
                <w:color w:val="auto"/>
              </w:rPr>
              <w:t>Long-term lease obligations</w:t>
            </w:r>
          </w:p>
        </w:tc>
        <w:tc>
          <w:tcPr>
            <w:tcW w:w="360" w:type="dxa"/>
            <w:vAlign w:val="bottom"/>
          </w:tcPr>
          <w:p>
            <w:pPr>
              <w:spacing w:after="0"/>
              <w:rPr>
                <w:sz w:val="16"/>
                <w:szCs w:val="16"/>
                <w:color w:val="auto"/>
              </w:rPr>
            </w:pPr>
          </w:p>
        </w:tc>
        <w:tc>
          <w:tcPr>
            <w:tcW w:w="132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2,804</w:t>
            </w:r>
          </w:p>
        </w:tc>
        <w:tc>
          <w:tcPr>
            <w:tcW w:w="340" w:type="dxa"/>
            <w:vAlign w:val="bottom"/>
          </w:tcPr>
          <w:p>
            <w:pPr>
              <w:spacing w:after="0"/>
              <w:rPr>
                <w:sz w:val="16"/>
                <w:szCs w:val="16"/>
                <w:color w:val="auto"/>
              </w:rPr>
            </w:pPr>
          </w:p>
        </w:tc>
        <w:tc>
          <w:tcPr>
            <w:tcW w:w="13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2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 liabilities</w:t>
            </w:r>
          </w:p>
        </w:tc>
        <w:tc>
          <w:tcPr>
            <w:tcW w:w="3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109</w:t>
            </w:r>
          </w:p>
        </w:tc>
        <w:tc>
          <w:tcPr>
            <w:tcW w:w="3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642</w:t>
            </w:r>
          </w:p>
        </w:tc>
        <w:tc>
          <w:tcPr>
            <w:tcW w:w="2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426</w:t>
            </w:r>
          </w:p>
        </w:tc>
        <w:tc>
          <w:tcPr>
            <w:tcW w:w="0" w:type="dxa"/>
            <w:vAlign w:val="bottom"/>
          </w:tcPr>
          <w:p>
            <w:pPr>
              <w:spacing w:after="0"/>
              <w:rPr>
                <w:sz w:val="1"/>
                <w:szCs w:val="1"/>
                <w:color w:val="auto"/>
              </w:rPr>
            </w:pPr>
          </w:p>
        </w:tc>
      </w:tr>
      <w:tr>
        <w:trPr>
          <w:trHeight w:val="183"/>
        </w:trPr>
        <w:tc>
          <w:tcPr>
            <w:tcW w:w="4240" w:type="dxa"/>
            <w:vAlign w:val="bottom"/>
          </w:tcPr>
          <w:p>
            <w:pPr>
              <w:spacing w:after="0" w:line="183" w:lineRule="exact"/>
              <w:rPr>
                <w:sz w:val="20"/>
                <w:szCs w:val="20"/>
                <w:color w:val="auto"/>
              </w:rPr>
            </w:pPr>
            <w:r>
              <w:rPr>
                <w:rFonts w:ascii="Arial" w:cs="Arial" w:eastAsia="Arial" w:hAnsi="Arial"/>
                <w:sz w:val="17"/>
                <w:szCs w:val="17"/>
                <w:color w:val="auto"/>
              </w:rPr>
              <w:t>Total liabilities</w:t>
            </w:r>
          </w:p>
        </w:tc>
        <w:tc>
          <w:tcPr>
            <w:tcW w:w="360" w:type="dxa"/>
            <w:vAlign w:val="bottom"/>
          </w:tcPr>
          <w:p>
            <w:pPr>
              <w:spacing w:after="0"/>
              <w:rPr>
                <w:sz w:val="15"/>
                <w:szCs w:val="15"/>
                <w:color w:val="auto"/>
              </w:rPr>
            </w:pPr>
          </w:p>
        </w:tc>
        <w:tc>
          <w:tcPr>
            <w:tcW w:w="1320" w:type="dxa"/>
            <w:vAlign w:val="bottom"/>
          </w:tcPr>
          <w:p>
            <w:pPr>
              <w:jc w:val="right"/>
              <w:ind w:right="95"/>
              <w:spacing w:after="0" w:line="183" w:lineRule="exact"/>
              <w:rPr>
                <w:sz w:val="20"/>
                <w:szCs w:val="20"/>
                <w:color w:val="auto"/>
              </w:rPr>
            </w:pPr>
            <w:r>
              <w:rPr>
                <w:rFonts w:ascii="Arial" w:cs="Arial" w:eastAsia="Arial" w:hAnsi="Arial"/>
                <w:sz w:val="17"/>
                <w:szCs w:val="17"/>
                <w:b w:val="1"/>
                <w:bCs w:val="1"/>
                <w:color w:val="auto"/>
              </w:rPr>
              <w:t>4,326</w:t>
            </w:r>
          </w:p>
        </w:tc>
        <w:tc>
          <w:tcPr>
            <w:tcW w:w="340" w:type="dxa"/>
            <w:vAlign w:val="bottom"/>
          </w:tcPr>
          <w:p>
            <w:pPr>
              <w:spacing w:after="0"/>
              <w:rPr>
                <w:sz w:val="15"/>
                <w:szCs w:val="15"/>
                <w:color w:val="auto"/>
              </w:rPr>
            </w:pPr>
          </w:p>
        </w:tc>
        <w:tc>
          <w:tcPr>
            <w:tcW w:w="1300" w:type="dxa"/>
            <w:vAlign w:val="bottom"/>
          </w:tcPr>
          <w:p>
            <w:pPr>
              <w:jc w:val="right"/>
              <w:ind w:right="95"/>
              <w:spacing w:after="0" w:line="183" w:lineRule="exact"/>
              <w:rPr>
                <w:sz w:val="20"/>
                <w:szCs w:val="20"/>
                <w:color w:val="auto"/>
              </w:rPr>
            </w:pPr>
            <w:r>
              <w:rPr>
                <w:rFonts w:ascii="Arial" w:cs="Arial" w:eastAsia="Arial" w:hAnsi="Arial"/>
                <w:sz w:val="17"/>
                <w:szCs w:val="17"/>
                <w:color w:val="auto"/>
              </w:rPr>
              <w:t>1,420</w:t>
            </w:r>
          </w:p>
        </w:tc>
        <w:tc>
          <w:tcPr>
            <w:tcW w:w="28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7"/>
                <w:szCs w:val="17"/>
                <w:color w:val="auto"/>
              </w:rPr>
              <w:t>1,314</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Shareholders’ equity:</w:t>
            </w: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120"/>
              <w:spacing w:after="0" w:line="189" w:lineRule="exact"/>
              <w:rPr>
                <w:sz w:val="20"/>
                <w:szCs w:val="20"/>
                <w:color w:val="auto"/>
              </w:rPr>
            </w:pPr>
            <w:r>
              <w:rPr>
                <w:rFonts w:ascii="Arial" w:cs="Arial" w:eastAsia="Arial" w:hAnsi="Arial"/>
                <w:sz w:val="17"/>
                <w:szCs w:val="17"/>
                <w:color w:val="auto"/>
              </w:rPr>
              <w:t>Common stock and paid-in capital: 113,161,373;</w:t>
            </w: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color w:val="auto"/>
              </w:rPr>
              <w:t>121,341,925; and 112,932,605 shares outstanding,</w:t>
            </w:r>
          </w:p>
        </w:tc>
        <w:tc>
          <w:tcPr>
            <w:tcW w:w="36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820</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respectively</w:t>
            </w:r>
          </w:p>
        </w:tc>
        <w:tc>
          <w:tcPr>
            <w:tcW w:w="36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848</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w:t>
            </w:r>
          </w:p>
        </w:tc>
        <w:tc>
          <w:tcPr>
            <w:tcW w:w="0" w:type="dxa"/>
            <w:vAlign w:val="bottom"/>
          </w:tcPr>
          <w:p>
            <w:pPr>
              <w:spacing w:after="0"/>
              <w:rPr>
                <w:sz w:val="1"/>
                <w:szCs w:val="1"/>
                <w:color w:val="auto"/>
              </w:rPr>
            </w:pPr>
          </w:p>
        </w:tc>
      </w:tr>
      <w:tr>
        <w:trPr>
          <w:trHeight w:val="189"/>
        </w:trPr>
        <w:tc>
          <w:tcPr>
            <w:tcW w:w="4240" w:type="dxa"/>
            <w:vAlign w:val="bottom"/>
          </w:tcPr>
          <w:p>
            <w:pPr>
              <w:ind w:left="120"/>
              <w:spacing w:after="0" w:line="189" w:lineRule="exact"/>
              <w:rPr>
                <w:sz w:val="20"/>
                <w:szCs w:val="20"/>
                <w:color w:val="auto"/>
              </w:rPr>
            </w:pPr>
            <w:r>
              <w:rPr>
                <w:rFonts w:ascii="Arial" w:cs="Arial" w:eastAsia="Arial" w:hAnsi="Arial"/>
                <w:sz w:val="17"/>
                <w:szCs w:val="17"/>
                <w:color w:val="auto"/>
              </w:rPr>
              <w:t>Retained earnings</w:t>
            </w:r>
          </w:p>
        </w:tc>
        <w:tc>
          <w:tcPr>
            <w:tcW w:w="360" w:type="dxa"/>
            <w:vAlign w:val="bottom"/>
          </w:tcPr>
          <w:p>
            <w:pPr>
              <w:spacing w:after="0"/>
              <w:rPr>
                <w:sz w:val="16"/>
                <w:szCs w:val="16"/>
                <w:color w:val="auto"/>
              </w:rPr>
            </w:pPr>
          </w:p>
        </w:tc>
        <w:tc>
          <w:tcPr>
            <w:tcW w:w="132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2,207</w:t>
            </w:r>
          </w:p>
        </w:tc>
        <w:tc>
          <w:tcPr>
            <w:tcW w:w="340" w:type="dxa"/>
            <w:vAlign w:val="bottom"/>
          </w:tcPr>
          <w:p>
            <w:pPr>
              <w:spacing w:after="0"/>
              <w:rPr>
                <w:sz w:val="16"/>
                <w:szCs w:val="16"/>
                <w:color w:val="auto"/>
              </w:rPr>
            </w:pPr>
          </w:p>
        </w:tc>
        <w:tc>
          <w:tcPr>
            <w:tcW w:w="13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2,184</w:t>
            </w:r>
          </w:p>
        </w:tc>
        <w:tc>
          <w:tcPr>
            <w:tcW w:w="2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2,104</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Accumulated other comprehensive loss</w:t>
            </w: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(384)</w:t>
            </w: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(313)</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189"/>
        </w:trPr>
        <w:tc>
          <w:tcPr>
            <w:tcW w:w="4240" w:type="dxa"/>
            <w:vAlign w:val="bottom"/>
          </w:tcPr>
          <w:p>
            <w:pPr>
              <w:ind w:left="120"/>
              <w:spacing w:after="0" w:line="189" w:lineRule="exact"/>
              <w:rPr>
                <w:sz w:val="20"/>
                <w:szCs w:val="20"/>
                <w:color w:val="auto"/>
              </w:rPr>
            </w:pPr>
            <w:r>
              <w:rPr>
                <w:rFonts w:ascii="Arial" w:cs="Arial" w:eastAsia="Arial" w:hAnsi="Arial"/>
                <w:sz w:val="17"/>
                <w:szCs w:val="17"/>
                <w:color w:val="auto"/>
              </w:rPr>
              <w:t>Less: Treasury stock at cost: 774,355; 4,080,653;</w:t>
            </w: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Borders>
              <w:bottom w:val="single" w:sz="8" w:color="auto"/>
            </w:tcBorders>
            <w:shd w:val="clear" w:color="auto" w:fill="CCEEFF"/>
          </w:tcPr>
          <w:p>
            <w:pPr>
              <w:ind w:left="220"/>
              <w:spacing w:after="0" w:line="189" w:lineRule="exact"/>
              <w:rPr>
                <w:sz w:val="20"/>
                <w:szCs w:val="20"/>
                <w:color w:val="auto"/>
              </w:rPr>
            </w:pPr>
            <w:r>
              <w:rPr>
                <w:rFonts w:ascii="Arial" w:cs="Arial" w:eastAsia="Arial" w:hAnsi="Arial"/>
                <w:sz w:val="17"/>
                <w:szCs w:val="17"/>
                <w:color w:val="auto"/>
              </w:rPr>
              <w:t>and 711,024 shares, respectively</w:t>
            </w:r>
          </w:p>
        </w:tc>
        <w:tc>
          <w:tcPr>
            <w:tcW w:w="3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(41)</w:t>
            </w:r>
          </w:p>
        </w:tc>
        <w:tc>
          <w:tcPr>
            <w:tcW w:w="3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(176)</w:t>
            </w:r>
          </w:p>
        </w:tc>
        <w:tc>
          <w:tcPr>
            <w:tcW w:w="2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183"/>
        </w:trPr>
        <w:tc>
          <w:tcPr>
            <w:tcW w:w="42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shareholders' equity</w:t>
            </w:r>
          </w:p>
        </w:tc>
        <w:tc>
          <w:tcPr>
            <w:tcW w:w="3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rPr>
              <w:t>2,602</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2,543</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2,506</w:t>
            </w:r>
          </w:p>
        </w:tc>
        <w:tc>
          <w:tcPr>
            <w:tcW w:w="0" w:type="dxa"/>
            <w:vAlign w:val="bottom"/>
          </w:tcPr>
          <w:p>
            <w:pPr>
              <w:spacing w:after="0"/>
              <w:rPr>
                <w:sz w:val="1"/>
                <w:szCs w:val="1"/>
                <w:color w:val="auto"/>
              </w:rPr>
            </w:pPr>
          </w:p>
        </w:tc>
      </w:tr>
      <w:tr>
        <w:trPr>
          <w:trHeight w:val="190"/>
        </w:trPr>
        <w:tc>
          <w:tcPr>
            <w:tcW w:w="42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6,928</w:t>
            </w:r>
          </w:p>
        </w:tc>
        <w:tc>
          <w:tcPr>
            <w:tcW w:w="3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3,963</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3,820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20" w:hanging="317"/>
        <w:spacing w:after="0" w:line="141" w:lineRule="exact"/>
        <w:tabs>
          <w:tab w:leader="none" w:pos="274"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balance sheet at February 2, 2019 has been derived from the previously reported audited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w:t>
      </w:r>
      <w:r>
        <w:rPr>
          <w:rFonts w:ascii="MS PGothic" w:cs="MS PGothic" w:eastAsia="MS PGothic" w:hAnsi="MS PGothic"/>
          <w:sz w:val="12"/>
          <w:szCs w:val="12"/>
          <w:color w:val="auto"/>
        </w:rPr>
        <w:t>‑</w:t>
      </w:r>
      <w:r>
        <w:rPr>
          <w:rFonts w:ascii="Arial" w:cs="Arial" w:eastAsia="Arial" w:hAnsi="Arial"/>
          <w:sz w:val="12"/>
          <w:szCs w:val="12"/>
          <w:color w:val="auto"/>
        </w:rPr>
        <w:t>K for the year ended February 2, 2019.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00" w:lineRule="exact"/>
        <w:rPr>
          <w:sz w:val="20"/>
          <w:szCs w:val="20"/>
          <w:color w:val="auto"/>
        </w:rPr>
      </w:pPr>
    </w:p>
    <w:p>
      <w:pPr>
        <w:ind w:left="65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12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7"/>
                <w:szCs w:val="17"/>
                <w:b w:val="1"/>
                <w:bCs w:val="1"/>
                <w:color w:val="auto"/>
              </w:rPr>
              <w:t>May 4,</w:t>
            </w:r>
          </w:p>
        </w:tc>
        <w:tc>
          <w:tcPr>
            <w:tcW w:w="5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375"/>
              <w:spacing w:after="0" w:line="157" w:lineRule="exact"/>
              <w:rPr>
                <w:sz w:val="20"/>
                <w:szCs w:val="20"/>
                <w:color w:val="auto"/>
              </w:rPr>
            </w:pPr>
            <w:r>
              <w:rPr>
                <w:rFonts w:ascii="Arial" w:cs="Arial" w:eastAsia="Arial" w:hAnsi="Arial"/>
                <w:sz w:val="17"/>
                <w:szCs w:val="17"/>
                <w:b w:val="1"/>
                <w:bCs w:val="1"/>
                <w:color w:val="auto"/>
              </w:rPr>
              <w:t>May 5,</w:t>
            </w:r>
          </w:p>
        </w:tc>
      </w:tr>
      <w:tr>
        <w:trPr>
          <w:trHeight w:val="215"/>
        </w:trPr>
        <w:tc>
          <w:tcPr>
            <w:tcW w:w="5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2018</w:t>
            </w:r>
          </w:p>
        </w:tc>
      </w:tr>
      <w:tr>
        <w:trPr>
          <w:trHeight w:val="183"/>
        </w:trPr>
        <w:tc>
          <w:tcPr>
            <w:tcW w:w="5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9"/>
        </w:trPr>
        <w:tc>
          <w:tcPr>
            <w:tcW w:w="51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Sales</w:t>
            </w:r>
          </w:p>
        </w:tc>
        <w:tc>
          <w:tcPr>
            <w:tcW w:w="1740" w:type="dxa"/>
            <w:vAlign w:val="bottom"/>
            <w:shd w:val="clear" w:color="auto" w:fill="CCEEFF"/>
          </w:tcPr>
          <w:p>
            <w:pPr>
              <w:jc w:val="right"/>
              <w:ind w:right="835"/>
              <w:spacing w:after="0" w:line="189" w:lineRule="exact"/>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w w:val="93"/>
              </w:rPr>
              <w:t>2,078</w:t>
            </w:r>
          </w:p>
        </w:tc>
        <w:tc>
          <w:tcPr>
            <w:tcW w:w="44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2,025</w:t>
            </w:r>
          </w:p>
        </w:tc>
      </w:tr>
      <w:tr>
        <w:trPr>
          <w:trHeight w:val="189"/>
        </w:trPr>
        <w:tc>
          <w:tcPr>
            <w:tcW w:w="5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5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sales</w:t>
            </w:r>
          </w:p>
        </w:tc>
        <w:tc>
          <w:tcPr>
            <w:tcW w:w="17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w w:val="93"/>
              </w:rPr>
              <w:t>1,389</w:t>
            </w: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1,359</w:t>
            </w:r>
          </w:p>
        </w:tc>
      </w:tr>
      <w:tr>
        <w:trPr>
          <w:trHeight w:val="189"/>
        </w:trPr>
        <w:tc>
          <w:tcPr>
            <w:tcW w:w="512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1740" w:type="dxa"/>
            <w:vAlign w:val="bottom"/>
          </w:tcPr>
          <w:p>
            <w:pPr>
              <w:spacing w:after="0"/>
              <w:rPr>
                <w:sz w:val="16"/>
                <w:szCs w:val="16"/>
                <w:color w:val="auto"/>
              </w:rPr>
            </w:pPr>
          </w:p>
        </w:tc>
        <w:tc>
          <w:tcPr>
            <w:tcW w:w="5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416</w:t>
            </w:r>
          </w:p>
        </w:tc>
        <w:tc>
          <w:tcPr>
            <w:tcW w:w="4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385</w:t>
            </w:r>
          </w:p>
        </w:tc>
      </w:tr>
      <w:tr>
        <w:trPr>
          <w:trHeight w:val="189"/>
        </w:trPr>
        <w:tc>
          <w:tcPr>
            <w:tcW w:w="5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17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44</w:t>
            </w: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45</w:t>
            </w:r>
          </w:p>
        </w:tc>
      </w:tr>
      <w:tr>
        <w:trPr>
          <w:trHeight w:val="189"/>
        </w:trPr>
        <w:tc>
          <w:tcPr>
            <w:tcW w:w="51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Litigation and other charges</w:t>
            </w:r>
          </w:p>
        </w:tc>
        <w:tc>
          <w:tcPr>
            <w:tcW w:w="17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w:t>
            </w:r>
          </w:p>
        </w:tc>
      </w:tr>
      <w:tr>
        <w:trPr>
          <w:trHeight w:val="183"/>
        </w:trPr>
        <w:tc>
          <w:tcPr>
            <w:tcW w:w="51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17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228</w:t>
            </w:r>
          </w:p>
        </w:tc>
        <w:tc>
          <w:tcPr>
            <w:tcW w:w="4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224</w:t>
            </w:r>
          </w:p>
        </w:tc>
      </w:tr>
      <w:tr>
        <w:trPr>
          <w:trHeight w:val="189"/>
        </w:trPr>
        <w:tc>
          <w:tcPr>
            <w:tcW w:w="5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5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income, net</w:t>
            </w:r>
          </w:p>
        </w:tc>
        <w:tc>
          <w:tcPr>
            <w:tcW w:w="174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51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 income</w:t>
            </w:r>
          </w:p>
        </w:tc>
        <w:tc>
          <w:tcPr>
            <w:tcW w:w="17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w:t>
            </w:r>
          </w:p>
        </w:tc>
      </w:tr>
      <w:tr>
        <w:trPr>
          <w:trHeight w:val="183"/>
        </w:trPr>
        <w:tc>
          <w:tcPr>
            <w:tcW w:w="51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before income taxes</w:t>
            </w:r>
          </w:p>
        </w:tc>
        <w:tc>
          <w:tcPr>
            <w:tcW w:w="17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234</w:t>
            </w:r>
          </w:p>
        </w:tc>
        <w:tc>
          <w:tcPr>
            <w:tcW w:w="4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229</w:t>
            </w:r>
          </w:p>
        </w:tc>
      </w:tr>
      <w:tr>
        <w:trPr>
          <w:trHeight w:val="189"/>
        </w:trPr>
        <w:tc>
          <w:tcPr>
            <w:tcW w:w="51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Income tax expense</w:t>
            </w:r>
          </w:p>
        </w:tc>
        <w:tc>
          <w:tcPr>
            <w:tcW w:w="17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62</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64</w:t>
            </w:r>
          </w:p>
        </w:tc>
      </w:tr>
      <w:tr>
        <w:trPr>
          <w:trHeight w:val="190"/>
        </w:trPr>
        <w:tc>
          <w:tcPr>
            <w:tcW w:w="51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Net income</w:t>
            </w:r>
          </w:p>
        </w:tc>
        <w:tc>
          <w:tcPr>
            <w:tcW w:w="1740" w:type="dxa"/>
            <w:vAlign w:val="bottom"/>
            <w:tcBorders>
              <w:bottom w:val="single" w:sz="8" w:color="auto"/>
            </w:tcBorders>
            <w:shd w:val="clear" w:color="auto" w:fill="CCEEFF"/>
          </w:tcPr>
          <w:p>
            <w:pPr>
              <w:jc w:val="right"/>
              <w:ind w:right="835"/>
              <w:spacing w:after="0" w:line="183"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172</w:t>
            </w:r>
          </w:p>
        </w:tc>
        <w:tc>
          <w:tcPr>
            <w:tcW w:w="44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165</w:t>
            </w:r>
          </w:p>
        </w:tc>
      </w:tr>
      <w:tr>
        <w:trPr>
          <w:trHeight w:val="189"/>
        </w:trPr>
        <w:tc>
          <w:tcPr>
            <w:tcW w:w="5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512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Basic earnings per share</w:t>
            </w:r>
          </w:p>
        </w:tc>
        <w:tc>
          <w:tcPr>
            <w:tcW w:w="1740" w:type="dxa"/>
            <w:vAlign w:val="bottom"/>
            <w:shd w:val="clear" w:color="auto" w:fill="CCEEFF"/>
          </w:tcPr>
          <w:p>
            <w:pPr>
              <w:jc w:val="right"/>
              <w:ind w:right="835"/>
              <w:spacing w:after="0" w:line="189" w:lineRule="exact"/>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1.53</w:t>
            </w:r>
          </w:p>
        </w:tc>
        <w:tc>
          <w:tcPr>
            <w:tcW w:w="44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1.39</w:t>
            </w:r>
          </w:p>
        </w:tc>
      </w:tr>
      <w:tr>
        <w:trPr>
          <w:trHeight w:val="189"/>
        </w:trPr>
        <w:tc>
          <w:tcPr>
            <w:tcW w:w="5120" w:type="dxa"/>
            <w:vAlign w:val="bottom"/>
          </w:tcPr>
          <w:p>
            <w:pPr>
              <w:ind w:left="120"/>
              <w:spacing w:after="0" w:line="189" w:lineRule="exact"/>
              <w:rPr>
                <w:sz w:val="20"/>
                <w:szCs w:val="20"/>
                <w:color w:val="auto"/>
              </w:rPr>
            </w:pPr>
            <w:r>
              <w:rPr>
                <w:rFonts w:ascii="Arial" w:cs="Arial" w:eastAsia="Arial" w:hAnsi="Arial"/>
                <w:sz w:val="17"/>
                <w:szCs w:val="17"/>
                <w:color w:val="auto"/>
              </w:rPr>
              <w:t>Weighted-average shares outstanding</w:t>
            </w:r>
          </w:p>
        </w:tc>
        <w:tc>
          <w:tcPr>
            <w:tcW w:w="1740" w:type="dxa"/>
            <w:vAlign w:val="bottom"/>
          </w:tcPr>
          <w:p>
            <w:pPr>
              <w:spacing w:after="0"/>
              <w:rPr>
                <w:sz w:val="16"/>
                <w:szCs w:val="16"/>
                <w:color w:val="auto"/>
              </w:rPr>
            </w:pPr>
          </w:p>
        </w:tc>
        <w:tc>
          <w:tcPr>
            <w:tcW w:w="5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w w:val="93"/>
              </w:rPr>
              <w:t>112.4</w:t>
            </w:r>
          </w:p>
        </w:tc>
        <w:tc>
          <w:tcPr>
            <w:tcW w:w="4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118.7</w:t>
            </w:r>
          </w:p>
        </w:tc>
      </w:tr>
      <w:tr>
        <w:trPr>
          <w:trHeight w:val="189"/>
        </w:trPr>
        <w:tc>
          <w:tcPr>
            <w:tcW w:w="5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9"/>
        </w:trPr>
        <w:tc>
          <w:tcPr>
            <w:tcW w:w="5120" w:type="dxa"/>
            <w:vAlign w:val="bottom"/>
          </w:tcPr>
          <w:p>
            <w:pPr>
              <w:ind w:left="120"/>
              <w:spacing w:after="0" w:line="189" w:lineRule="exact"/>
              <w:rPr>
                <w:sz w:val="20"/>
                <w:szCs w:val="20"/>
                <w:color w:val="auto"/>
              </w:rPr>
            </w:pPr>
            <w:r>
              <w:rPr>
                <w:rFonts w:ascii="Arial" w:cs="Arial" w:eastAsia="Arial" w:hAnsi="Arial"/>
                <w:sz w:val="17"/>
                <w:szCs w:val="17"/>
                <w:color w:val="auto"/>
              </w:rPr>
              <w:t>Diluted earnings per share</w:t>
            </w:r>
          </w:p>
        </w:tc>
        <w:tc>
          <w:tcPr>
            <w:tcW w:w="1740" w:type="dxa"/>
            <w:vAlign w:val="bottom"/>
          </w:tcPr>
          <w:p>
            <w:pPr>
              <w:jc w:val="right"/>
              <w:ind w:right="835"/>
              <w:spacing w:after="0" w:line="189" w:lineRule="exact"/>
              <w:rPr>
                <w:sz w:val="20"/>
                <w:szCs w:val="20"/>
                <w:color w:val="auto"/>
              </w:rPr>
            </w:pPr>
            <w:r>
              <w:rPr>
                <w:rFonts w:ascii="Arial" w:cs="Arial" w:eastAsia="Arial" w:hAnsi="Arial"/>
                <w:sz w:val="17"/>
                <w:szCs w:val="17"/>
                <w:b w:val="1"/>
                <w:bCs w:val="1"/>
                <w:color w:val="auto"/>
              </w:rPr>
              <w:t>$</w:t>
            </w:r>
          </w:p>
        </w:tc>
        <w:tc>
          <w:tcPr>
            <w:tcW w:w="5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1.52</w:t>
            </w:r>
          </w:p>
        </w:tc>
        <w:tc>
          <w:tcPr>
            <w:tcW w:w="44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1.38</w:t>
            </w:r>
          </w:p>
        </w:tc>
      </w:tr>
      <w:tr>
        <w:trPr>
          <w:trHeight w:val="189"/>
        </w:trPr>
        <w:tc>
          <w:tcPr>
            <w:tcW w:w="512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7"/>
                <w:szCs w:val="17"/>
                <w:color w:val="auto"/>
              </w:rPr>
              <w:t>Weighted-average shares outstanding, assuming dilution</w:t>
            </w:r>
          </w:p>
        </w:tc>
        <w:tc>
          <w:tcPr>
            <w:tcW w:w="17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w w:val="93"/>
              </w:rPr>
              <w:t>113.1</w:t>
            </w:r>
          </w:p>
        </w:tc>
        <w:tc>
          <w:tcPr>
            <w:tcW w:w="4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119.1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w:t>
      </w:r>
    </w:p>
    <w:p>
      <w:pPr>
        <w:spacing w:after="0" w:line="200" w:lineRule="exact"/>
        <w:rPr>
          <w:sz w:val="20"/>
          <w:szCs w:val="20"/>
          <w:color w:val="auto"/>
        </w:rPr>
      </w:pPr>
    </w:p>
    <w:p>
      <w:pPr>
        <w:ind w:left="684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9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7"/>
                <w:szCs w:val="17"/>
                <w:b w:val="1"/>
                <w:bCs w:val="1"/>
                <w:color w:val="auto"/>
              </w:rPr>
              <w:t>May 4,</w:t>
            </w:r>
          </w:p>
        </w:tc>
        <w:tc>
          <w:tcPr>
            <w:tcW w:w="4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15"/>
              <w:spacing w:after="0" w:line="157" w:lineRule="exact"/>
              <w:rPr>
                <w:sz w:val="20"/>
                <w:szCs w:val="20"/>
                <w:color w:val="auto"/>
              </w:rPr>
            </w:pPr>
            <w:r>
              <w:rPr>
                <w:rFonts w:ascii="Arial" w:cs="Arial" w:eastAsia="Arial" w:hAnsi="Arial"/>
                <w:sz w:val="17"/>
                <w:szCs w:val="17"/>
                <w:b w:val="1"/>
                <w:bCs w:val="1"/>
                <w:color w:val="auto"/>
              </w:rPr>
              <w:t>May 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9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2019</w:t>
            </w:r>
          </w:p>
        </w:tc>
        <w:tc>
          <w:tcPr>
            <w:tcW w:w="4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Net income</w:t>
            </w:r>
          </w:p>
        </w:tc>
        <w:tc>
          <w:tcPr>
            <w:tcW w:w="1160" w:type="dxa"/>
            <w:vAlign w:val="bottom"/>
            <w:shd w:val="clear" w:color="auto" w:fill="CCEEFF"/>
          </w:tcPr>
          <w:p>
            <w:pPr>
              <w:jc w:val="right"/>
              <w:ind w:right="795"/>
              <w:spacing w:after="0" w:line="189" w:lineRule="exact"/>
              <w:rPr>
                <w:sz w:val="20"/>
                <w:szCs w:val="20"/>
                <w:color w:val="auto"/>
              </w:rPr>
            </w:pPr>
            <w:r>
              <w:rPr>
                <w:rFonts w:ascii="Arial" w:cs="Arial" w:eastAsia="Arial" w:hAnsi="Arial"/>
                <w:sz w:val="17"/>
                <w:szCs w:val="17"/>
                <w:b w:val="1"/>
                <w:bCs w:val="1"/>
                <w:color w:val="auto"/>
              </w:rPr>
              <w:t>$</w:t>
            </w:r>
          </w:p>
        </w:tc>
        <w:tc>
          <w:tcPr>
            <w:tcW w:w="4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172</w:t>
            </w:r>
          </w:p>
        </w:tc>
        <w:tc>
          <w:tcPr>
            <w:tcW w:w="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7"/>
                <w:szCs w:val="17"/>
                <w:color w:val="auto"/>
              </w:rPr>
              <w:t>Other comprehensive income, net of income tax</w:t>
            </w: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7"/>
                <w:szCs w:val="17"/>
                <w:i w:val="1"/>
                <w:iCs w:val="1"/>
                <w:color w:val="auto"/>
              </w:rPr>
              <w:t>Foreign currency translation adjustment:</w:t>
            </w: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Translation adjustment arising during the period, net of income tax (benefit)</w:t>
            </w:r>
          </w:p>
        </w:tc>
        <w:tc>
          <w:tcPr>
            <w:tcW w:w="116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(15)</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of $- and $(5) million, respectively</w:t>
            </w:r>
          </w:p>
        </w:tc>
        <w:tc>
          <w:tcPr>
            <w:tcW w:w="116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Cash flow hedges:</w:t>
            </w:r>
          </w:p>
        </w:tc>
        <w:tc>
          <w:tcPr>
            <w:tcW w:w="1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120"/>
              <w:spacing w:after="0" w:line="189" w:lineRule="exact"/>
              <w:rPr>
                <w:sz w:val="20"/>
                <w:szCs w:val="20"/>
                <w:color w:val="auto"/>
              </w:rPr>
            </w:pPr>
            <w:r>
              <w:rPr>
                <w:rFonts w:ascii="Arial" w:cs="Arial" w:eastAsia="Arial" w:hAnsi="Arial"/>
                <w:sz w:val="17"/>
                <w:szCs w:val="17"/>
                <w:color w:val="auto"/>
              </w:rPr>
              <w:t>Change in fair value of derivatives, net of income tax</w:t>
            </w:r>
          </w:p>
        </w:tc>
        <w:tc>
          <w:tcPr>
            <w:tcW w:w="1160" w:type="dxa"/>
            <w:vAlign w:val="bottom"/>
          </w:tcPr>
          <w:p>
            <w:pPr>
              <w:spacing w:after="0"/>
              <w:rPr>
                <w:sz w:val="16"/>
                <w:szCs w:val="16"/>
                <w:color w:val="auto"/>
              </w:rPr>
            </w:pPr>
          </w:p>
        </w:tc>
        <w:tc>
          <w:tcPr>
            <w:tcW w:w="48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(2)</w:t>
            </w:r>
          </w:p>
        </w:tc>
        <w:tc>
          <w:tcPr>
            <w:tcW w:w="3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7"/>
                <w:szCs w:val="17"/>
                <w:i w:val="1"/>
                <w:iCs w:val="1"/>
                <w:color w:val="auto"/>
              </w:rPr>
              <w:t>Pension and postretirement adjustments:</w:t>
            </w: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Amortization of net actuarial gain/loss and prior service cost included in net</w:t>
            </w:r>
          </w:p>
        </w:tc>
        <w:tc>
          <w:tcPr>
            <w:tcW w:w="1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periodic benefit costs, net of income tax expense of $1 and $1 million,</w:t>
            </w:r>
          </w:p>
        </w:tc>
        <w:tc>
          <w:tcPr>
            <w:tcW w:w="1160" w:type="dxa"/>
            <w:vAlign w:val="bottom"/>
            <w:shd w:val="clear" w:color="auto" w:fill="CCEEFF"/>
          </w:tcPr>
          <w:p>
            <w:pPr>
              <w:spacing w:after="0"/>
              <w:rPr>
                <w:sz w:val="16"/>
                <w:szCs w:val="16"/>
                <w:color w:val="auto"/>
              </w:rPr>
            </w:pPr>
          </w:p>
        </w:tc>
        <w:tc>
          <w:tcPr>
            <w:tcW w:w="48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3</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respectively</w:t>
            </w:r>
          </w:p>
        </w:tc>
        <w:tc>
          <w:tcPr>
            <w:tcW w:w="1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Comprehensive income</w:t>
            </w:r>
          </w:p>
        </w:tc>
        <w:tc>
          <w:tcPr>
            <w:tcW w:w="1160" w:type="dxa"/>
            <w:vAlign w:val="bottom"/>
            <w:tcBorders>
              <w:bottom w:val="single" w:sz="8" w:color="auto"/>
            </w:tcBorders>
          </w:tcPr>
          <w:p>
            <w:pPr>
              <w:jc w:val="right"/>
              <w:ind w:right="795"/>
              <w:spacing w:after="0" w:line="183" w:lineRule="exact"/>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158</w:t>
            </w:r>
          </w:p>
        </w:tc>
        <w:tc>
          <w:tcPr>
            <w:tcW w:w="3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Additional Paid-In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92"/>
              <w:spacing w:after="0"/>
              <w:rPr>
                <w:sz w:val="20"/>
                <w:szCs w:val="20"/>
                <w:color w:val="auto"/>
              </w:rPr>
            </w:pPr>
            <w:r>
              <w:rPr>
                <w:rFonts w:ascii="Arial" w:cs="Arial" w:eastAsia="Arial" w:hAnsi="Arial"/>
                <w:sz w:val="14"/>
                <w:szCs w:val="14"/>
                <w:b w:val="1"/>
                <w:bCs w:val="1"/>
                <w:color w:val="auto"/>
                <w:w w:val="97"/>
              </w:rPr>
              <w:t>Accumulated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9"/>
        </w:trPr>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center"/>
              <w:ind w:left="252"/>
              <w:spacing w:after="0" w:line="149" w:lineRule="exact"/>
              <w:rPr>
                <w:sz w:val="20"/>
                <w:szCs w:val="20"/>
                <w:color w:val="auto"/>
              </w:rPr>
            </w:pPr>
            <w:r>
              <w:rPr>
                <w:rFonts w:ascii="Arial" w:cs="Arial" w:eastAsia="Arial" w:hAnsi="Arial"/>
                <w:sz w:val="14"/>
                <w:szCs w:val="14"/>
                <w:b w:val="1"/>
                <w:bCs w:val="1"/>
                <w:color w:val="auto"/>
                <w:w w:val="95"/>
              </w:rPr>
              <w:t>Capital &amp;</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74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5"/>
              </w:rPr>
              <w:t>Total</w:t>
            </w:r>
          </w:p>
        </w:tc>
      </w:tr>
      <w:tr>
        <w:trPr>
          <w:trHeight w:val="165"/>
        </w:trPr>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Common Stock</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Treasury Stock</w:t>
            </w: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Retained</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Comprehensive</w:t>
            </w:r>
          </w:p>
        </w:tc>
        <w:tc>
          <w:tcPr>
            <w:tcW w:w="100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96"/>
              </w:rPr>
              <w:t>Shareholders'</w:t>
            </w:r>
          </w:p>
        </w:tc>
      </w:tr>
      <w:tr>
        <w:trPr>
          <w:trHeight w:val="142"/>
        </w:trPr>
        <w:tc>
          <w:tcPr>
            <w:tcW w:w="34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(shares in thousands, amounts in millions)</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4"/>
              </w:rPr>
              <w:t>Shares</w:t>
            </w:r>
          </w:p>
        </w:tc>
        <w:tc>
          <w:tcPr>
            <w:tcW w:w="64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w w:val="98"/>
              </w:rPr>
              <w:t>Amount</w:t>
            </w:r>
          </w:p>
        </w:tc>
        <w:tc>
          <w:tcPr>
            <w:tcW w:w="820" w:type="dxa"/>
            <w:vAlign w:val="bottom"/>
            <w:tcBorders>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92"/>
              <w:spacing w:after="0" w:line="142" w:lineRule="exact"/>
              <w:rPr>
                <w:sz w:val="20"/>
                <w:szCs w:val="20"/>
                <w:color w:val="auto"/>
              </w:rPr>
            </w:pPr>
            <w:r>
              <w:rPr>
                <w:rFonts w:ascii="Arial" w:cs="Arial" w:eastAsia="Arial" w:hAnsi="Arial"/>
                <w:sz w:val="14"/>
                <w:szCs w:val="14"/>
                <w:b w:val="1"/>
                <w:bCs w:val="1"/>
                <w:color w:val="auto"/>
                <w:w w:val="91"/>
              </w:rPr>
              <w:t>Loss</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92"/>
              <w:spacing w:after="0" w:line="142" w:lineRule="exact"/>
              <w:rPr>
                <w:sz w:val="20"/>
                <w:szCs w:val="20"/>
                <w:color w:val="auto"/>
              </w:rPr>
            </w:pPr>
            <w:r>
              <w:rPr>
                <w:rFonts w:ascii="Arial" w:cs="Arial" w:eastAsia="Arial" w:hAnsi="Arial"/>
                <w:sz w:val="14"/>
                <w:szCs w:val="14"/>
                <w:b w:val="1"/>
                <w:bCs w:val="1"/>
                <w:color w:val="auto"/>
                <w:w w:val="98"/>
              </w:rPr>
              <w:t>Equity</w:t>
            </w:r>
          </w:p>
        </w:tc>
      </w:tr>
      <w:tr>
        <w:trPr>
          <w:trHeight w:val="142"/>
        </w:trPr>
        <w:tc>
          <w:tcPr>
            <w:tcW w:w="34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February 2, 2019</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112,933</w:t>
            </w:r>
          </w:p>
        </w:tc>
        <w:tc>
          <w:tcPr>
            <w:tcW w:w="36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809</w:t>
            </w: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(711)</w:t>
            </w:r>
          </w:p>
        </w:tc>
        <w:tc>
          <w:tcPr>
            <w:tcW w:w="2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w:t>
            </w:r>
          </w:p>
        </w:tc>
        <w:tc>
          <w:tcPr>
            <w:tcW w:w="300" w:type="dxa"/>
            <w:vAlign w:val="bottom"/>
            <w:shd w:val="clear" w:color="auto" w:fill="CCEEFF"/>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b w:val="1"/>
                <w:bCs w:val="1"/>
                <w:color w:val="auto"/>
              </w:rPr>
              <w:t>2,104</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(370)</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2,506</w:t>
            </w: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Restricted stock issued</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Issued under director and stock plans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3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r>
      <w:tr>
        <w:trPr>
          <w:trHeight w:val="148"/>
        </w:trPr>
        <w:tc>
          <w:tcPr>
            <w:tcW w:w="34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Shares of common stock used to satisfy tax</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9"/>
        </w:trPr>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withholding obligations</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w:t>
            </w:r>
          </w:p>
        </w:tc>
        <w:tc>
          <w:tcPr>
            <w:tcW w:w="2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Share repurchases</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12"/>
              <w:spacing w:after="0" w:line="149" w:lineRule="exact"/>
              <w:rPr>
                <w:sz w:val="20"/>
                <w:szCs w:val="20"/>
                <w:color w:val="auto"/>
              </w:rPr>
            </w:pPr>
            <w:r>
              <w:rPr>
                <w:rFonts w:ascii="Arial" w:cs="Arial" w:eastAsia="Arial" w:hAnsi="Arial"/>
                <w:sz w:val="14"/>
                <w:szCs w:val="14"/>
                <w:color w:val="auto"/>
              </w:rPr>
              <w:t>(32)</w:t>
            </w:r>
          </w:p>
        </w:tc>
        <w:tc>
          <w:tcPr>
            <w:tcW w:w="24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r>
      <w:tr>
        <w:trPr>
          <w:trHeight w:val="149"/>
        </w:trPr>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Reissued - ESPP</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Retirement of treasury stock</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172</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r>
      <w:tr>
        <w:trPr>
          <w:trHeight w:val="148"/>
        </w:trPr>
        <w:tc>
          <w:tcPr>
            <w:tcW w:w="3400" w:type="dxa"/>
            <w:vAlign w:val="bottom"/>
            <w:gridSpan w:val="2"/>
          </w:tcPr>
          <w:p>
            <w:pPr>
              <w:spacing w:after="0" w:line="148" w:lineRule="exact"/>
              <w:rPr>
                <w:sz w:val="20"/>
                <w:szCs w:val="20"/>
                <w:color w:val="auto"/>
              </w:rPr>
            </w:pPr>
            <w:r>
              <w:rPr>
                <w:rFonts w:ascii="Arial" w:cs="Arial" w:eastAsia="Arial" w:hAnsi="Arial"/>
                <w:sz w:val="14"/>
                <w:szCs w:val="14"/>
                <w:color w:val="auto"/>
              </w:rPr>
              <w:t>Cash dividends declared on common stock ($0.38 per</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share)</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r>
      <w:tr>
        <w:trPr>
          <w:trHeight w:val="149"/>
        </w:trPr>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 net of tax</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(15)</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Change in cash flow hedges, net of tax</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r>
      <w:tr>
        <w:trPr>
          <w:trHeight w:val="149"/>
        </w:trPr>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Pension and postretirement adjustments, net of tax</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r>
      <w:tr>
        <w:trPr>
          <w:trHeight w:val="149"/>
        </w:trPr>
        <w:tc>
          <w:tcPr>
            <w:tcW w:w="340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Cumulative effect of the adoption of Topic 842</w:t>
            </w:r>
          </w:p>
        </w:tc>
        <w:tc>
          <w:tcPr>
            <w:tcW w:w="5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w:t>
            </w:r>
          </w:p>
        </w:tc>
      </w:tr>
      <w:tr>
        <w:trPr>
          <w:trHeight w:val="142"/>
        </w:trPr>
        <w:tc>
          <w:tcPr>
            <w:tcW w:w="34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May 4, 2019</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113,161</w:t>
            </w:r>
          </w:p>
        </w:tc>
        <w:tc>
          <w:tcPr>
            <w:tcW w:w="36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820</w:t>
            </w: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(774)</w:t>
            </w:r>
          </w:p>
        </w:tc>
        <w:tc>
          <w:tcPr>
            <w:tcW w:w="2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(41)</w:t>
            </w:r>
          </w:p>
        </w:tc>
        <w:tc>
          <w:tcPr>
            <w:tcW w:w="300" w:type="dxa"/>
            <w:vAlign w:val="bottom"/>
            <w:shd w:val="clear" w:color="auto" w:fill="CCEEFF"/>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b w:val="1"/>
                <w:bCs w:val="1"/>
                <w:color w:val="auto"/>
              </w:rPr>
              <w:t>2,207</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(384)</w:t>
            </w:r>
          </w:p>
        </w:tc>
        <w:tc>
          <w:tcPr>
            <w:tcW w:w="2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2,602</w:t>
            </w:r>
          </w:p>
        </w:tc>
      </w:tr>
      <w:tr>
        <w:trPr>
          <w:trHeight w:val="564"/>
        </w:trPr>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Additional Paid-In</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center"/>
              <w:ind w:right="152"/>
              <w:spacing w:after="0"/>
              <w:rPr>
                <w:sz w:val="20"/>
                <w:szCs w:val="20"/>
                <w:color w:val="auto"/>
              </w:rPr>
            </w:pPr>
            <w:r>
              <w:rPr>
                <w:rFonts w:ascii="Arial" w:cs="Arial" w:eastAsia="Arial" w:hAnsi="Arial"/>
                <w:sz w:val="14"/>
                <w:szCs w:val="14"/>
                <w:b w:val="1"/>
                <w:bCs w:val="1"/>
                <w:color w:val="auto"/>
                <w:w w:val="95"/>
              </w:rPr>
              <w:t>Accumulated</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49"/>
        </w:trPr>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center"/>
              <w:ind w:left="172"/>
              <w:spacing w:after="0" w:line="149" w:lineRule="exact"/>
              <w:rPr>
                <w:sz w:val="20"/>
                <w:szCs w:val="20"/>
                <w:color w:val="auto"/>
              </w:rPr>
            </w:pPr>
            <w:r>
              <w:rPr>
                <w:rFonts w:ascii="Arial" w:cs="Arial" w:eastAsia="Arial" w:hAnsi="Arial"/>
                <w:sz w:val="14"/>
                <w:szCs w:val="14"/>
                <w:b w:val="1"/>
                <w:bCs w:val="1"/>
                <w:color w:val="auto"/>
                <w:w w:val="95"/>
              </w:rPr>
              <w:t>Capital &amp;</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74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65"/>
        </w:trPr>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Common Stock</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Treasury Stock</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Retained</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Comprehensive</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Shareholders'</w:t>
            </w:r>
          </w:p>
        </w:tc>
      </w:tr>
      <w:tr>
        <w:trPr>
          <w:trHeight w:val="142"/>
        </w:trPr>
        <w:tc>
          <w:tcPr>
            <w:tcW w:w="33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(shares in thousands, amounts in millions)</w:t>
            </w:r>
          </w:p>
        </w:tc>
        <w:tc>
          <w:tcPr>
            <w:tcW w:w="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8"/>
              </w:rPr>
              <w:t>Shares</w:t>
            </w:r>
          </w:p>
        </w:tc>
        <w:tc>
          <w:tcPr>
            <w:tcW w:w="64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w w:val="94"/>
              </w:rPr>
              <w:t>Shares</w:t>
            </w:r>
          </w:p>
        </w:tc>
        <w:tc>
          <w:tcPr>
            <w:tcW w:w="62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8"/>
              </w:rPr>
              <w:t>Amount</w:t>
            </w:r>
          </w:p>
        </w:tc>
        <w:tc>
          <w:tcPr>
            <w:tcW w:w="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Earnings</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52"/>
              <w:spacing w:after="0" w:line="142" w:lineRule="exact"/>
              <w:rPr>
                <w:sz w:val="20"/>
                <w:szCs w:val="20"/>
                <w:color w:val="auto"/>
              </w:rPr>
            </w:pPr>
            <w:r>
              <w:rPr>
                <w:rFonts w:ascii="Arial" w:cs="Arial" w:eastAsia="Arial" w:hAnsi="Arial"/>
                <w:sz w:val="14"/>
                <w:szCs w:val="14"/>
                <w:b w:val="1"/>
                <w:bCs w:val="1"/>
                <w:color w:val="auto"/>
                <w:w w:val="97"/>
              </w:rPr>
              <w:t>Loss</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32"/>
              <w:spacing w:after="0" w:line="142" w:lineRule="exact"/>
              <w:rPr>
                <w:sz w:val="20"/>
                <w:szCs w:val="20"/>
                <w:color w:val="auto"/>
              </w:rPr>
            </w:pPr>
            <w:r>
              <w:rPr>
                <w:rFonts w:ascii="Arial" w:cs="Arial" w:eastAsia="Arial" w:hAnsi="Arial"/>
                <w:sz w:val="14"/>
                <w:szCs w:val="14"/>
                <w:b w:val="1"/>
                <w:bCs w:val="1"/>
                <w:color w:val="auto"/>
                <w:w w:val="98"/>
              </w:rPr>
              <w:t>Equity</w:t>
            </w:r>
          </w:p>
        </w:tc>
      </w:tr>
      <w:tr>
        <w:trPr>
          <w:trHeight w:val="142"/>
        </w:trPr>
        <w:tc>
          <w:tcPr>
            <w:tcW w:w="34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February 3, 2018</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121,262</w:t>
            </w:r>
          </w:p>
        </w:tc>
        <w:tc>
          <w:tcPr>
            <w:tcW w:w="360" w:type="dxa"/>
            <w:vAlign w:val="bottom"/>
            <w:shd w:val="clear" w:color="auto" w:fill="CCEEFF"/>
          </w:tcPr>
          <w:p>
            <w:pPr>
              <w:jc w:val="center"/>
              <w:ind w:right="17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842</w:t>
            </w: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32"/>
              <w:spacing w:after="0" w:line="142" w:lineRule="exact"/>
              <w:rPr>
                <w:sz w:val="20"/>
                <w:szCs w:val="20"/>
                <w:color w:val="auto"/>
              </w:rPr>
            </w:pPr>
            <w:r>
              <w:rPr>
                <w:rFonts w:ascii="Arial" w:cs="Arial" w:eastAsia="Arial" w:hAnsi="Arial"/>
                <w:sz w:val="14"/>
                <w:szCs w:val="14"/>
                <w:b w:val="1"/>
                <w:bCs w:val="1"/>
                <w:color w:val="auto"/>
              </w:rPr>
              <w:t>(1,433)</w:t>
            </w:r>
          </w:p>
        </w:tc>
        <w:tc>
          <w:tcPr>
            <w:tcW w:w="24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(63)</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b w:val="1"/>
                <w:bCs w:val="1"/>
                <w:color w:val="auto"/>
              </w:rPr>
              <w:t>(279)</w:t>
            </w:r>
          </w:p>
        </w:tc>
        <w:tc>
          <w:tcPr>
            <w:tcW w:w="2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2,519</w:t>
            </w: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Restricted stock issued</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Issued under director and stock plans</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r>
      <w:tr>
        <w:trPr>
          <w:trHeight w:val="148"/>
        </w:trPr>
        <w:tc>
          <w:tcPr>
            <w:tcW w:w="34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Shares of common stock used to satisfy tax</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49"/>
        </w:trPr>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withholding obligations</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(31)</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Share repurchases</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32"/>
              <w:spacing w:after="0" w:line="149" w:lineRule="exact"/>
              <w:rPr>
                <w:sz w:val="20"/>
                <w:szCs w:val="20"/>
                <w:color w:val="auto"/>
              </w:rPr>
            </w:pPr>
            <w:r>
              <w:rPr>
                <w:rFonts w:ascii="Arial" w:cs="Arial" w:eastAsia="Arial" w:hAnsi="Arial"/>
                <w:sz w:val="14"/>
                <w:szCs w:val="14"/>
                <w:color w:val="auto"/>
              </w:rPr>
              <w:t>(2,617)</w:t>
            </w: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r>
      <w:tr>
        <w:trPr>
          <w:trHeight w:val="149"/>
        </w:trPr>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165</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r>
      <w:tr>
        <w:trPr>
          <w:trHeight w:val="148"/>
        </w:trPr>
        <w:tc>
          <w:tcPr>
            <w:tcW w:w="3400" w:type="dxa"/>
            <w:vAlign w:val="bottom"/>
            <w:gridSpan w:val="2"/>
          </w:tcPr>
          <w:p>
            <w:pPr>
              <w:spacing w:after="0" w:line="148" w:lineRule="exact"/>
              <w:rPr>
                <w:sz w:val="20"/>
                <w:szCs w:val="20"/>
                <w:color w:val="auto"/>
              </w:rPr>
            </w:pPr>
            <w:r>
              <w:rPr>
                <w:rFonts w:ascii="Arial" w:cs="Arial" w:eastAsia="Arial" w:hAnsi="Arial"/>
                <w:sz w:val="14"/>
                <w:szCs w:val="14"/>
                <w:color w:val="auto"/>
              </w:rPr>
              <w:t>Cash dividends declared on common stock ($0.345</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per share)</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(41)</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r>
      <w:tr>
        <w:trPr>
          <w:trHeight w:val="149"/>
        </w:trPr>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 net of tax</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(38)</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Change in cash flow hedges, net of tax</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r>
      <w:tr>
        <w:trPr>
          <w:trHeight w:val="149"/>
        </w:trPr>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Pension and postretirement adjustments, net of tax</w:t>
            </w: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r>
      <w:tr>
        <w:trPr>
          <w:trHeight w:val="149"/>
        </w:trPr>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Cumulative effect of the adoption of ASU 2014-09</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r>
      <w:tr>
        <w:trPr>
          <w:trHeight w:val="149"/>
        </w:trPr>
        <w:tc>
          <w:tcPr>
            <w:tcW w:w="3400" w:type="dxa"/>
            <w:vAlign w:val="bottom"/>
            <w:tcBorders>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the adoption of ASU 2016-16</w:t>
            </w:r>
          </w:p>
        </w:tc>
        <w:tc>
          <w:tcPr>
            <w:tcW w:w="5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37</w:t>
            </w: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r>
      <w:tr>
        <w:trPr>
          <w:trHeight w:val="142"/>
        </w:trPr>
        <w:tc>
          <w:tcPr>
            <w:tcW w:w="34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Balance at May 5, 2018</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121,342</w:t>
            </w:r>
          </w:p>
        </w:tc>
        <w:tc>
          <w:tcPr>
            <w:tcW w:w="360" w:type="dxa"/>
            <w:vAlign w:val="bottom"/>
            <w:tcBorders>
              <w:bottom w:val="single" w:sz="8" w:color="auto"/>
            </w:tcBorders>
          </w:tcPr>
          <w:p>
            <w:pPr>
              <w:jc w:val="center"/>
              <w:ind w:right="17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848</w:t>
            </w:r>
          </w:p>
        </w:tc>
        <w:tc>
          <w:tcPr>
            <w:tcW w:w="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rPr>
              <w:t>(4,081)</w:t>
            </w:r>
          </w:p>
        </w:tc>
        <w:tc>
          <w:tcPr>
            <w:tcW w:w="2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(176)</w:t>
            </w: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2,184</w:t>
            </w: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(313)</w:t>
            </w:r>
          </w:p>
        </w:tc>
        <w:tc>
          <w:tcPr>
            <w:tcW w:w="2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455"/>
              <w:spacing w:after="0"/>
              <w:rPr>
                <w:sz w:val="20"/>
                <w:szCs w:val="20"/>
                <w:color w:val="auto"/>
              </w:rPr>
            </w:pPr>
            <w:r>
              <w:rPr>
                <w:rFonts w:ascii="Arial" w:cs="Arial" w:eastAsia="Arial" w:hAnsi="Arial"/>
                <w:sz w:val="17"/>
                <w:szCs w:val="17"/>
                <w:b w:val="1"/>
                <w:bCs w:val="1"/>
                <w:color w:val="auto"/>
              </w:rPr>
              <w:t>May 4,</w:t>
            </w:r>
          </w:p>
        </w:tc>
        <w:tc>
          <w:tcPr>
            <w:tcW w:w="36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May 5,</w:t>
            </w:r>
          </w:p>
        </w:tc>
        <w:tc>
          <w:tcPr>
            <w:tcW w:w="0" w:type="dxa"/>
            <w:vAlign w:val="bottom"/>
          </w:tcPr>
          <w:p>
            <w:pPr>
              <w:spacing w:after="0"/>
              <w:rPr>
                <w:sz w:val="1"/>
                <w:szCs w:val="1"/>
                <w:color w:val="auto"/>
              </w:rPr>
            </w:pPr>
          </w:p>
        </w:tc>
      </w:tr>
      <w:tr>
        <w:trPr>
          <w:trHeight w:val="215"/>
        </w:trPr>
        <w:tc>
          <w:tcPr>
            <w:tcW w:w="5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2019</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700" w:type="dxa"/>
            <w:vAlign w:val="bottom"/>
            <w:gridSpan w:val="3"/>
          </w:tcPr>
          <w:p>
            <w:pPr>
              <w:jc w:val="right"/>
              <w:ind w:right="755"/>
              <w:spacing w:after="0" w:line="183" w:lineRule="exact"/>
              <w:rPr>
                <w:sz w:val="20"/>
                <w:szCs w:val="20"/>
                <w:color w:val="auto"/>
              </w:rPr>
            </w:pPr>
            <w:r>
              <w:rPr>
                <w:rFonts w:ascii="Arial" w:cs="Arial" w:eastAsia="Arial" w:hAnsi="Arial"/>
                <w:sz w:val="17"/>
                <w:szCs w:val="17"/>
                <w:color w:val="auto"/>
              </w:rPr>
              <w:t>($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From operating activities: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120"/>
              <w:spacing w:after="0" w:line="189" w:lineRule="exact"/>
              <w:rPr>
                <w:sz w:val="20"/>
                <w:szCs w:val="20"/>
                <w:color w:val="auto"/>
              </w:rPr>
            </w:pPr>
            <w:r>
              <w:rPr>
                <w:rFonts w:ascii="Arial" w:cs="Arial" w:eastAsia="Arial" w:hAnsi="Arial"/>
                <w:sz w:val="17"/>
                <w:szCs w:val="17"/>
                <w:color w:val="auto"/>
              </w:rPr>
              <w:t>Net income</w:t>
            </w:r>
          </w:p>
        </w:tc>
        <w:tc>
          <w:tcPr>
            <w:tcW w:w="4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172</w:t>
            </w:r>
          </w:p>
        </w:tc>
        <w:tc>
          <w:tcPr>
            <w:tcW w:w="3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165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6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Adjustments to reconcile net income to net cash provided by operating</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activities: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220"/>
              <w:spacing w:after="0" w:line="189" w:lineRule="exact"/>
              <w:rPr>
                <w:sz w:val="20"/>
                <w:szCs w:val="20"/>
                <w:color w:val="auto"/>
              </w:rPr>
            </w:pPr>
            <w:r>
              <w:rPr>
                <w:rFonts w:ascii="Arial" w:cs="Arial" w:eastAsia="Arial" w:hAnsi="Arial"/>
                <w:sz w:val="17"/>
                <w:szCs w:val="17"/>
                <w:color w:val="auto"/>
              </w:rPr>
              <w:t>Depreciation and amortization</w:t>
            </w:r>
          </w:p>
        </w:tc>
        <w:tc>
          <w:tcPr>
            <w:tcW w:w="40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44</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Share-based compensation expense</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7</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220"/>
              <w:spacing w:after="0" w:line="189" w:lineRule="exact"/>
              <w:rPr>
                <w:sz w:val="20"/>
                <w:szCs w:val="20"/>
                <w:color w:val="auto"/>
              </w:rPr>
            </w:pPr>
            <w:r>
              <w:rPr>
                <w:rFonts w:ascii="Arial" w:cs="Arial" w:eastAsia="Arial" w:hAnsi="Arial"/>
                <w:sz w:val="17"/>
                <w:szCs w:val="17"/>
                <w:color w:val="auto"/>
              </w:rPr>
              <w:t>Qualified pension plan contributions</w:t>
            </w:r>
          </w:p>
        </w:tc>
        <w:tc>
          <w:tcPr>
            <w:tcW w:w="400" w:type="dxa"/>
            <w:vAlign w:val="bottom"/>
          </w:tcPr>
          <w:p>
            <w:pPr>
              <w:spacing w:after="0"/>
              <w:rPr>
                <w:sz w:val="16"/>
                <w:szCs w:val="16"/>
                <w:color w:val="auto"/>
              </w:rPr>
            </w:pPr>
          </w:p>
        </w:tc>
        <w:tc>
          <w:tcPr>
            <w:tcW w:w="12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(55)</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Change in assets and liabilities: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320"/>
              <w:spacing w:after="0" w:line="189" w:lineRule="exact"/>
              <w:rPr>
                <w:sz w:val="20"/>
                <w:szCs w:val="20"/>
                <w:color w:val="auto"/>
              </w:rPr>
            </w:pPr>
            <w:r>
              <w:rPr>
                <w:rFonts w:ascii="Arial" w:cs="Arial" w:eastAsia="Arial" w:hAnsi="Arial"/>
                <w:sz w:val="17"/>
                <w:szCs w:val="17"/>
                <w:color w:val="auto"/>
              </w:rPr>
              <w:t>Merchandise inventories</w:t>
            </w:r>
          </w:p>
        </w:tc>
        <w:tc>
          <w:tcPr>
            <w:tcW w:w="40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50</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Accounts payable</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67</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320"/>
              <w:spacing w:after="0" w:line="189" w:lineRule="exact"/>
              <w:rPr>
                <w:sz w:val="20"/>
                <w:szCs w:val="20"/>
                <w:color w:val="auto"/>
              </w:rPr>
            </w:pPr>
            <w:r>
              <w:rPr>
                <w:rFonts w:ascii="Arial" w:cs="Arial" w:eastAsia="Arial" w:hAnsi="Arial"/>
                <w:sz w:val="17"/>
                <w:szCs w:val="17"/>
                <w:color w:val="auto"/>
              </w:rPr>
              <w:t>Accrued and other liabilities</w:t>
            </w:r>
          </w:p>
        </w:tc>
        <w:tc>
          <w:tcPr>
            <w:tcW w:w="400" w:type="dxa"/>
            <w:vAlign w:val="bottom"/>
          </w:tcPr>
          <w:p>
            <w:pPr>
              <w:spacing w:after="0"/>
              <w:rPr>
                <w:sz w:val="16"/>
                <w:szCs w:val="16"/>
                <w:color w:val="auto"/>
              </w:rPr>
            </w:pPr>
          </w:p>
        </w:tc>
        <w:tc>
          <w:tcPr>
            <w:tcW w:w="12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(22)</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Pension litigation accrual</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Borders>
              <w:bottom w:val="single" w:sz="8" w:color="auto"/>
            </w:tcBorders>
          </w:tcPr>
          <w:p>
            <w:pPr>
              <w:ind w:left="320"/>
              <w:spacing w:after="0" w:line="189" w:lineRule="exact"/>
              <w:rPr>
                <w:sz w:val="20"/>
                <w:szCs w:val="20"/>
                <w:color w:val="auto"/>
              </w:rPr>
            </w:pPr>
            <w:r>
              <w:rPr>
                <w:rFonts w:ascii="Arial" w:cs="Arial" w:eastAsia="Arial" w:hAnsi="Arial"/>
                <w:sz w:val="17"/>
                <w:szCs w:val="17"/>
                <w:color w:val="auto"/>
              </w:rPr>
              <w:t>Other, net</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55</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cash provided by operating activities</w:t>
            </w: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318</w:t>
            </w: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From investing activities: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120"/>
              <w:spacing w:after="0" w:line="189" w:lineRule="exact"/>
              <w:rPr>
                <w:sz w:val="20"/>
                <w:szCs w:val="20"/>
                <w:color w:val="auto"/>
              </w:rPr>
            </w:pPr>
            <w:r>
              <w:rPr>
                <w:rFonts w:ascii="Arial" w:cs="Arial" w:eastAsia="Arial" w:hAnsi="Arial"/>
                <w:sz w:val="17"/>
                <w:szCs w:val="17"/>
                <w:color w:val="auto"/>
              </w:rPr>
              <w:t>Capital expenditures</w:t>
            </w:r>
          </w:p>
        </w:tc>
        <w:tc>
          <w:tcPr>
            <w:tcW w:w="400" w:type="dxa"/>
            <w:vAlign w:val="bottom"/>
          </w:tcPr>
          <w:p>
            <w:pPr>
              <w:spacing w:after="0"/>
              <w:rPr>
                <w:sz w:val="16"/>
                <w:szCs w:val="16"/>
                <w:color w:val="auto"/>
              </w:rPr>
            </w:pPr>
          </w:p>
        </w:tc>
        <w:tc>
          <w:tcPr>
            <w:tcW w:w="12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(45)</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Minority investments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(45)</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Borders>
              <w:bottom w:val="single" w:sz="8" w:color="auto"/>
            </w:tcBorders>
          </w:tcPr>
          <w:p>
            <w:pPr>
              <w:ind w:left="120"/>
              <w:spacing w:after="0" w:line="189" w:lineRule="exact"/>
              <w:rPr>
                <w:sz w:val="20"/>
                <w:szCs w:val="20"/>
                <w:color w:val="auto"/>
              </w:rPr>
            </w:pPr>
            <w:r>
              <w:rPr>
                <w:rFonts w:ascii="Arial" w:cs="Arial" w:eastAsia="Arial" w:hAnsi="Arial"/>
                <w:sz w:val="17"/>
                <w:szCs w:val="17"/>
                <w:color w:val="auto"/>
              </w:rPr>
              <w:t>Insurance proceeds related to loss on property and equipment</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cash used in investing activities</w:t>
            </w: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(90)</w:t>
            </w: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From financing activities:</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120"/>
              <w:spacing w:after="0" w:line="189" w:lineRule="exact"/>
              <w:rPr>
                <w:sz w:val="20"/>
                <w:szCs w:val="20"/>
                <w:color w:val="auto"/>
              </w:rPr>
            </w:pPr>
            <w:r>
              <w:rPr>
                <w:rFonts w:ascii="Arial" w:cs="Arial" w:eastAsia="Arial" w:hAnsi="Arial"/>
                <w:sz w:val="17"/>
                <w:szCs w:val="17"/>
                <w:color w:val="auto"/>
              </w:rPr>
              <w:t>Purchase of treasury shares</w:t>
            </w:r>
          </w:p>
        </w:tc>
        <w:tc>
          <w:tcPr>
            <w:tcW w:w="400" w:type="dxa"/>
            <w:vAlign w:val="bottom"/>
          </w:tcPr>
          <w:p>
            <w:pPr>
              <w:spacing w:after="0"/>
              <w:rPr>
                <w:sz w:val="16"/>
                <w:szCs w:val="16"/>
                <w:color w:val="auto"/>
              </w:rPr>
            </w:pPr>
          </w:p>
        </w:tc>
        <w:tc>
          <w:tcPr>
            <w:tcW w:w="12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(2)</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(112)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Dividends paid on common stock</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(43)</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120"/>
              <w:spacing w:after="0" w:line="189" w:lineRule="exact"/>
              <w:rPr>
                <w:sz w:val="20"/>
                <w:szCs w:val="20"/>
                <w:color w:val="auto"/>
              </w:rPr>
            </w:pPr>
            <w:r>
              <w:rPr>
                <w:rFonts w:ascii="Arial" w:cs="Arial" w:eastAsia="Arial" w:hAnsi="Arial"/>
                <w:sz w:val="17"/>
                <w:szCs w:val="17"/>
                <w:color w:val="auto"/>
              </w:rPr>
              <w:t>Proceeds from exercise of stock options</w:t>
            </w:r>
          </w:p>
        </w:tc>
        <w:tc>
          <w:tcPr>
            <w:tcW w:w="40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7"/>
                <w:szCs w:val="17"/>
                <w:color w:val="auto"/>
              </w:rPr>
              <w:t>Shares of common stock repurchased to satisfy tax withholding obligations</w:t>
            </w:r>
          </w:p>
        </w:tc>
        <w:tc>
          <w:tcPr>
            <w:tcW w:w="4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w:t>
            </w:r>
          </w:p>
        </w:tc>
        <w:tc>
          <w:tcPr>
            <w:tcW w:w="3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Net cash used in financing activities</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(43)</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60" w:type="dxa"/>
            <w:vAlign w:val="bottom"/>
          </w:tcPr>
          <w:p>
            <w:pPr>
              <w:spacing w:after="0" w:line="183" w:lineRule="exact"/>
              <w:rPr>
                <w:sz w:val="20"/>
                <w:szCs w:val="20"/>
                <w:color w:val="auto"/>
              </w:rPr>
            </w:pPr>
            <w:r>
              <w:rPr>
                <w:rFonts w:ascii="Arial" w:cs="Arial" w:eastAsia="Arial" w:hAnsi="Arial"/>
                <w:sz w:val="17"/>
                <w:szCs w:val="17"/>
                <w:color w:val="auto"/>
              </w:rPr>
              <w:t>Effect of exchange rate fluctuations on cash, cash equivalents, and restricted</w:t>
            </w:r>
          </w:p>
        </w:tc>
        <w:tc>
          <w:tcPr>
            <w:tcW w:w="400" w:type="dxa"/>
            <w:vAlign w:val="bottom"/>
          </w:tcPr>
          <w:p>
            <w:pPr>
              <w:spacing w:after="0"/>
              <w:rPr>
                <w:sz w:val="15"/>
                <w:szCs w:val="15"/>
                <w:color w:val="auto"/>
              </w:rPr>
            </w:pPr>
          </w:p>
        </w:tc>
        <w:tc>
          <w:tcPr>
            <w:tcW w:w="124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(5)</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960" w:type="dxa"/>
            <w:vAlign w:val="bottom"/>
          </w:tcPr>
          <w:p>
            <w:pPr>
              <w:spacing w:after="0"/>
              <w:rPr>
                <w:sz w:val="20"/>
                <w:szCs w:val="20"/>
                <w:color w:val="auto"/>
              </w:rPr>
            </w:pPr>
            <w:r>
              <w:rPr>
                <w:rFonts w:ascii="Arial" w:cs="Arial" w:eastAsia="Arial" w:hAnsi="Arial"/>
                <w:sz w:val="17"/>
                <w:szCs w:val="17"/>
                <w:color w:val="auto"/>
              </w:rPr>
              <w:t>cash</w:t>
            </w:r>
          </w:p>
        </w:tc>
        <w:tc>
          <w:tcPr>
            <w:tcW w:w="4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83"/>
        </w:trPr>
        <w:tc>
          <w:tcPr>
            <w:tcW w:w="59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change in cash, cash equivalents, and restricted cash</w:t>
            </w:r>
          </w:p>
        </w:tc>
        <w:tc>
          <w:tcPr>
            <w:tcW w:w="4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180</w:t>
            </w:r>
          </w:p>
        </w:tc>
        <w:tc>
          <w:tcPr>
            <w:tcW w:w="3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Cash, cash equivalents, and restricted cash at beginning of year</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981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cash equivalents, and restricted cash at end of period</w:t>
            </w:r>
          </w:p>
        </w:tc>
        <w:tc>
          <w:tcPr>
            <w:tcW w:w="4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1,161</w:t>
            </w:r>
          </w:p>
        </w:tc>
        <w:tc>
          <w:tcPr>
            <w:tcW w:w="3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Cash paid during the year:</w:t>
            </w: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120"/>
              <w:spacing w:after="0" w:line="189" w:lineRule="exact"/>
              <w:rPr>
                <w:sz w:val="20"/>
                <w:szCs w:val="20"/>
                <w:color w:val="auto"/>
              </w:rPr>
            </w:pPr>
            <w:r>
              <w:rPr>
                <w:rFonts w:ascii="Arial" w:cs="Arial" w:eastAsia="Arial" w:hAnsi="Arial"/>
                <w:sz w:val="17"/>
                <w:szCs w:val="17"/>
                <w:color w:val="auto"/>
              </w:rPr>
              <w:t>Interest</w:t>
            </w:r>
          </w:p>
        </w:tc>
        <w:tc>
          <w:tcPr>
            <w:tcW w:w="4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6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7"/>
                <w:szCs w:val="17"/>
                <w:color w:val="auto"/>
              </w:rPr>
              <w:t>Income taxes</w:t>
            </w:r>
          </w:p>
        </w:tc>
        <w:tc>
          <w:tcPr>
            <w:tcW w:w="40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40</w:t>
            </w:r>
          </w:p>
        </w:tc>
        <w:tc>
          <w:tcPr>
            <w:tcW w:w="3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30"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The accompanying condensed consolidated financial statements contained in this report are unaudited. In the opinion of management, the condensed consolidated financial statements include all normal, recurring adjustments necessary for a fair presentation of the results for the interim periods of the fiscal year ending February 1, 2020 and of the fiscal year ended February 2, 2019.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Foot Locker, Inc.’s (the “Company”)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February 2, 2019, as filed with the U.S. Securities and Exchange Commission (the “SEC”) on April 2, 2019.</w:t>
      </w:r>
    </w:p>
    <w:p>
      <w:pPr>
        <w:spacing w:after="0" w:line="189" w:lineRule="exact"/>
        <w:rPr>
          <w:sz w:val="20"/>
          <w:szCs w:val="20"/>
          <w:color w:val="auto"/>
        </w:rPr>
      </w:pPr>
    </w:p>
    <w:p>
      <w:pPr>
        <w:jc w:val="both"/>
        <w:spacing w:after="0" w:line="214" w:lineRule="exact"/>
        <w:rPr>
          <w:sz w:val="20"/>
          <w:szCs w:val="20"/>
          <w:color w:val="auto"/>
        </w:rPr>
      </w:pPr>
      <w:r>
        <w:rPr>
          <w:rFonts w:ascii="Arial" w:cs="Arial" w:eastAsia="Arial" w:hAnsi="Arial"/>
          <w:sz w:val="18"/>
          <w:szCs w:val="18"/>
          <w:color w:val="auto"/>
        </w:rPr>
        <w:t xml:space="preserve">Other than the changes to the </w:t>
      </w:r>
      <w:r>
        <w:rPr>
          <w:rFonts w:ascii="Arial" w:cs="Arial" w:eastAsia="Arial" w:hAnsi="Arial"/>
          <w:sz w:val="18"/>
          <w:szCs w:val="18"/>
          <w:i w:val="1"/>
          <w:iCs w:val="1"/>
          <w:color w:val="auto"/>
        </w:rPr>
        <w:t>Leases</w:t>
      </w:r>
      <w:r>
        <w:rPr>
          <w:rFonts w:ascii="Arial" w:cs="Arial" w:eastAsia="Arial" w:hAnsi="Arial"/>
          <w:sz w:val="18"/>
          <w:szCs w:val="18"/>
          <w:color w:val="auto"/>
        </w:rPr>
        <w:t xml:space="preserve"> policies as a result of the recently adopted accounting standards discussed below, there were no significant changes to the policies disclosed in Note 1,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February 2,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1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This ASU requires lessees to recognize a lease liability, on a discounted basis, and a right-of-use asset for substantially all leases, as well as additional disclosures regarding leasing arrangements. In July 2018, the FASB issued ASU 2018-11,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Targeted improvements, </w:t>
      </w:r>
      <w:r>
        <w:rPr>
          <w:rFonts w:ascii="Arial" w:cs="Arial" w:eastAsia="Arial" w:hAnsi="Arial"/>
          <w:sz w:val="18"/>
          <w:szCs w:val="18"/>
          <w:color w:val="auto"/>
        </w:rPr>
        <w:t>which provides an optional transition method of applying the new lease standard. Topic</w:t>
      </w:r>
      <w:r>
        <w:rPr>
          <w:rFonts w:ascii="Arial" w:cs="Arial" w:eastAsia="Arial" w:hAnsi="Arial"/>
          <w:sz w:val="18"/>
          <w:szCs w:val="18"/>
          <w:i w:val="1"/>
          <w:iCs w:val="1"/>
          <w:color w:val="auto"/>
        </w:rPr>
        <w:t xml:space="preserve"> </w:t>
      </w:r>
      <w:r>
        <w:rPr>
          <w:rFonts w:ascii="Arial" w:cs="Arial" w:eastAsia="Arial" w:hAnsi="Arial"/>
          <w:sz w:val="18"/>
          <w:szCs w:val="18"/>
          <w:color w:val="auto"/>
        </w:rPr>
        <w:t>842 can be applied using either a modified retrospective approach at the beginning of the earliest period presented, or as permitted by ASU 2018-11, at the beginning of the period in which it is adopted.</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Company adopted Topic 842 on February 3, 2019 (the “effective date”) using the optional transition method, which applies Topic 842 at the beginning of the period in which it is adopted. Prior period amounts have not been adjusted in connection with the adoption of this standard. The Company elected the package of practical expedients under the new standard, which permits companies to not reassess lease classification, lease identification, or initial direct costs for existing or expired leases prior to the effective date. We have lease agreements with non-lease components that relate to the lease components. The Company elected the practical expedient to account for non-lease components and the lease components to which they relate, as a single lease component for all classes of underlying assets. Also, the Company elected to keep short-term leases with an initial term of twelve months or less off the balance sheet.</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Upon adoption of this new standard, the Company recorded right-of-use assets and lease obligations on the Condensed Consolidated Balance Sheet for our operating leases of $3,148 million and $3,422 million, respectively, as of February 3, 2019. As part of adopting the standard, previously recognized liabilities for deferred rent and lease incentives were reclassified as a component of the right-of-use assets. Additionally upon adoption, we evaluated right-to-use assets for impairment and determined that approximately $29 million of impairment was required related to newly recognized right-to-use assets that would have been impaired in previous periods. This impairment of the right-to-use asset as of February 3, 2019 was recorded, net of related income tax effects, as a $26 million reduction of beginning retained earnings. The standard did not significantly affect our Condensed Consolidated Statements of Income, Comprehensive Income, or Cash Flows.</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Store revenue is recognized at the point of sale and includes merchandise, net of returns, and excludes taxes. Revenue from layaway sales is recognized when the customer receives the product, rather than when the initial deposit is paid. Revenue for merchandise that is shipped to our customers from our distribution centers and stores is recognized upon shipment date.</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Total revenue recognized includes shipping and handling fees. We have determined that control of the promised good is passed to the customer upon shipment date since the customer has legal title, the rewards of ownership, and has paid for the merchandise as of the shipment date. Shipping and handling is accounted for as a fulfillment activity. The Company accrues the cost and recognized revenue for these activities upon shipment date.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Sales disaggregated based upon sales channel is presented below.</w:t>
      </w:r>
    </w:p>
    <w:p>
      <w:pPr>
        <w:spacing w:after="0" w:line="200" w:lineRule="exact"/>
        <w:rPr>
          <w:sz w:val="20"/>
          <w:szCs w:val="20"/>
          <w:color w:val="auto"/>
        </w:rPr>
      </w:pPr>
    </w:p>
    <w:p>
      <w:pPr>
        <w:ind w:left="634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57543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by Channel</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Stores</w:t>
      </w:r>
    </w:p>
    <w:p>
      <w:pPr>
        <w:spacing w:after="0"/>
        <w:rPr>
          <w:sz w:val="20"/>
          <w:szCs w:val="20"/>
          <w:color w:val="auto"/>
        </w:rPr>
      </w:pPr>
      <w:r>
        <w:rPr>
          <w:rFonts w:ascii="Arial" w:cs="Arial" w:eastAsia="Arial" w:hAnsi="Arial"/>
          <w:sz w:val="17"/>
          <w:szCs w:val="17"/>
          <w:color w:val="auto"/>
        </w:rPr>
        <w:t>Direct-to-customers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Total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40" w:type="dxa"/>
            <w:vAlign w:val="bottom"/>
          </w:tcPr>
          <w:p>
            <w:pPr>
              <w:spacing w:after="0"/>
              <w:rPr>
                <w:sz w:val="16"/>
                <w:szCs w:val="16"/>
                <w:color w:val="auto"/>
              </w:rPr>
            </w:pPr>
          </w:p>
        </w:tc>
        <w:tc>
          <w:tcPr>
            <w:tcW w:w="1460" w:type="dxa"/>
            <w:vAlign w:val="bottom"/>
          </w:tcPr>
          <w:p>
            <w:pPr>
              <w:jc w:val="right"/>
              <w:ind w:right="615"/>
              <w:spacing w:after="0"/>
              <w:rPr>
                <w:sz w:val="20"/>
                <w:szCs w:val="20"/>
                <w:color w:val="auto"/>
              </w:rPr>
            </w:pPr>
            <w:r>
              <w:rPr>
                <w:rFonts w:ascii="Arial" w:cs="Arial" w:eastAsia="Arial" w:hAnsi="Arial"/>
                <w:sz w:val="17"/>
                <w:szCs w:val="17"/>
                <w:b w:val="1"/>
                <w:bCs w:val="1"/>
                <w:color w:val="auto"/>
              </w:rPr>
              <w:t>May 4,</w:t>
            </w:r>
          </w:p>
        </w:tc>
        <w:tc>
          <w:tcPr>
            <w:tcW w:w="640" w:type="dxa"/>
            <w:vAlign w:val="bottom"/>
          </w:tcPr>
          <w:p>
            <w:pPr>
              <w:spacing w:after="0"/>
              <w:rPr>
                <w:sz w:val="16"/>
                <w:szCs w:val="16"/>
                <w:color w:val="auto"/>
              </w:rPr>
            </w:pPr>
          </w:p>
        </w:tc>
        <w:tc>
          <w:tcPr>
            <w:tcW w:w="1180" w:type="dxa"/>
            <w:vAlign w:val="bottom"/>
          </w:tcPr>
          <w:p>
            <w:pPr>
              <w:jc w:val="right"/>
              <w:ind w:right="455"/>
              <w:spacing w:after="0"/>
              <w:rPr>
                <w:sz w:val="20"/>
                <w:szCs w:val="20"/>
                <w:color w:val="auto"/>
              </w:rPr>
            </w:pPr>
            <w:r>
              <w:rPr>
                <w:rFonts w:ascii="Arial" w:cs="Arial" w:eastAsia="Arial" w:hAnsi="Arial"/>
                <w:sz w:val="17"/>
                <w:szCs w:val="17"/>
                <w:b w:val="1"/>
                <w:bCs w:val="1"/>
                <w:color w:val="auto"/>
              </w:rPr>
              <w:t>May 5,</w:t>
            </w:r>
          </w:p>
        </w:tc>
      </w:tr>
      <w:tr>
        <w:trPr>
          <w:trHeight w:val="223"/>
        </w:trPr>
        <w:tc>
          <w:tcPr>
            <w:tcW w:w="340" w:type="dxa"/>
            <w:vAlign w:val="bottom"/>
          </w:tcPr>
          <w:p>
            <w:pPr>
              <w:spacing w:after="0"/>
              <w:rPr>
                <w:sz w:val="19"/>
                <w:szCs w:val="19"/>
                <w:color w:val="auto"/>
              </w:rPr>
            </w:pPr>
          </w:p>
        </w:tc>
        <w:tc>
          <w:tcPr>
            <w:tcW w:w="1460" w:type="dxa"/>
            <w:vAlign w:val="bottom"/>
          </w:tcPr>
          <w:p>
            <w:pPr>
              <w:jc w:val="right"/>
              <w:ind w:right="675"/>
              <w:spacing w:after="0"/>
              <w:rPr>
                <w:sz w:val="20"/>
                <w:szCs w:val="20"/>
                <w:color w:val="auto"/>
              </w:rPr>
            </w:pPr>
            <w:r>
              <w:rPr>
                <w:rFonts w:ascii="Arial" w:cs="Arial" w:eastAsia="Arial" w:hAnsi="Arial"/>
                <w:sz w:val="17"/>
                <w:szCs w:val="17"/>
                <w:b w:val="1"/>
                <w:bCs w:val="1"/>
                <w:color w:val="auto"/>
              </w:rPr>
              <w:t>2019</w:t>
            </w:r>
          </w:p>
        </w:tc>
        <w:tc>
          <w:tcPr>
            <w:tcW w:w="640" w:type="dxa"/>
            <w:vAlign w:val="bottom"/>
          </w:tcPr>
          <w:p>
            <w:pPr>
              <w:spacing w:after="0"/>
              <w:rPr>
                <w:sz w:val="19"/>
                <w:szCs w:val="19"/>
                <w:color w:val="auto"/>
              </w:rPr>
            </w:pPr>
          </w:p>
        </w:tc>
        <w:tc>
          <w:tcPr>
            <w:tcW w:w="1180" w:type="dxa"/>
            <w:vAlign w:val="bottom"/>
          </w:tcPr>
          <w:p>
            <w:pPr>
              <w:jc w:val="right"/>
              <w:ind w:right="515"/>
              <w:spacing w:after="0"/>
              <w:rPr>
                <w:sz w:val="20"/>
                <w:szCs w:val="20"/>
                <w:color w:val="auto"/>
              </w:rPr>
            </w:pPr>
            <w:r>
              <w:rPr>
                <w:rFonts w:ascii="Arial" w:cs="Arial" w:eastAsia="Arial" w:hAnsi="Arial"/>
                <w:sz w:val="17"/>
                <w:szCs w:val="17"/>
                <w:b w:val="1"/>
                <w:bCs w:val="1"/>
                <w:color w:val="auto"/>
              </w:rPr>
              <w:t>2018</w:t>
            </w:r>
          </w:p>
        </w:tc>
      </w:tr>
      <w:tr>
        <w:trPr>
          <w:trHeight w:val="205"/>
        </w:trPr>
        <w:tc>
          <w:tcPr>
            <w:tcW w:w="340" w:type="dxa"/>
            <w:vAlign w:val="bottom"/>
          </w:tcPr>
          <w:p>
            <w:pPr>
              <w:spacing w:after="0"/>
              <w:rPr>
                <w:sz w:val="17"/>
                <w:szCs w:val="17"/>
                <w:color w:val="auto"/>
              </w:rPr>
            </w:pPr>
          </w:p>
        </w:tc>
        <w:tc>
          <w:tcPr>
            <w:tcW w:w="2100" w:type="dxa"/>
            <w:vAlign w:val="bottom"/>
            <w:gridSpan w:val="2"/>
          </w:tcPr>
          <w:p>
            <w:pPr>
              <w:jc w:val="right"/>
              <w:ind w:right="15"/>
              <w:spacing w:after="0"/>
              <w:rPr>
                <w:sz w:val="20"/>
                <w:szCs w:val="20"/>
                <w:color w:val="auto"/>
              </w:rPr>
            </w:pPr>
            <w:r>
              <w:rPr>
                <w:rFonts w:ascii="Arial" w:cs="Arial" w:eastAsia="Arial" w:hAnsi="Arial"/>
                <w:sz w:val="17"/>
                <w:szCs w:val="17"/>
                <w:color w:val="auto"/>
              </w:rPr>
              <w:t>($ in millions)</w:t>
            </w:r>
          </w:p>
        </w:tc>
        <w:tc>
          <w:tcPr>
            <w:tcW w:w="1180" w:type="dxa"/>
            <w:vAlign w:val="bottom"/>
          </w:tcPr>
          <w:p>
            <w:pPr>
              <w:spacing w:after="0"/>
              <w:rPr>
                <w:sz w:val="17"/>
                <w:szCs w:val="17"/>
                <w:color w:val="auto"/>
              </w:rPr>
            </w:pPr>
          </w:p>
        </w:tc>
      </w:tr>
      <w:tr>
        <w:trPr>
          <w:trHeight w:val="342"/>
        </w:trPr>
        <w:tc>
          <w:tcPr>
            <w:tcW w:w="3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w:t>
            </w:r>
          </w:p>
        </w:tc>
        <w:tc>
          <w:tcPr>
            <w:tcW w:w="1460" w:type="dxa"/>
            <w:vAlign w:val="bottom"/>
          </w:tcPr>
          <w:p>
            <w:pPr>
              <w:jc w:val="right"/>
              <w:ind w:right="95"/>
              <w:spacing w:after="0"/>
              <w:rPr>
                <w:sz w:val="20"/>
                <w:szCs w:val="20"/>
                <w:color w:val="auto"/>
              </w:rPr>
            </w:pPr>
            <w:r>
              <w:rPr>
                <w:rFonts w:ascii="Arial" w:cs="Arial" w:eastAsia="Arial" w:hAnsi="Arial"/>
                <w:sz w:val="17"/>
                <w:szCs w:val="17"/>
                <w:b w:val="1"/>
                <w:bCs w:val="1"/>
                <w:color w:val="auto"/>
              </w:rPr>
              <w:t>1,758</w:t>
            </w:r>
          </w:p>
        </w:tc>
        <w:tc>
          <w:tcPr>
            <w:tcW w:w="64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1,743</w:t>
            </w:r>
          </w:p>
        </w:tc>
      </w:tr>
      <w:tr>
        <w:trPr>
          <w:trHeight w:val="203"/>
        </w:trPr>
        <w:tc>
          <w:tcPr>
            <w:tcW w:w="340" w:type="dxa"/>
            <w:vAlign w:val="bottom"/>
          </w:tcPr>
          <w:p>
            <w:pPr>
              <w:spacing w:after="0"/>
              <w:rPr>
                <w:sz w:val="17"/>
                <w:szCs w:val="17"/>
                <w:color w:val="auto"/>
              </w:rPr>
            </w:pPr>
          </w:p>
        </w:tc>
        <w:tc>
          <w:tcPr>
            <w:tcW w:w="1460" w:type="dxa"/>
            <w:vAlign w:val="bottom"/>
          </w:tcPr>
          <w:p>
            <w:pPr>
              <w:jc w:val="right"/>
              <w:ind w:right="95"/>
              <w:spacing w:after="0"/>
              <w:rPr>
                <w:sz w:val="20"/>
                <w:szCs w:val="20"/>
                <w:color w:val="auto"/>
              </w:rPr>
            </w:pPr>
            <w:r>
              <w:rPr>
                <w:rFonts w:ascii="Arial" w:cs="Arial" w:eastAsia="Arial" w:hAnsi="Arial"/>
                <w:sz w:val="17"/>
                <w:szCs w:val="17"/>
                <w:b w:val="1"/>
                <w:bCs w:val="1"/>
                <w:color w:val="auto"/>
              </w:rPr>
              <w:t>320</w:t>
            </w:r>
          </w:p>
        </w:tc>
        <w:tc>
          <w:tcPr>
            <w:tcW w:w="6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282</w:t>
            </w:r>
          </w:p>
        </w:tc>
      </w:tr>
      <w:tr>
        <w:trPr>
          <w:trHeight w:val="225"/>
        </w:trPr>
        <w:tc>
          <w:tcPr>
            <w:tcW w:w="340" w:type="dxa"/>
            <w:vAlign w:val="bottom"/>
          </w:tcPr>
          <w:p>
            <w:pPr>
              <w:jc w:val="right"/>
              <w:ind w:right="155"/>
              <w:spacing w:after="0"/>
              <w:rPr>
                <w:sz w:val="20"/>
                <w:szCs w:val="20"/>
                <w:color w:val="auto"/>
              </w:rPr>
            </w:pPr>
            <w:r>
              <w:rPr>
                <w:rFonts w:ascii="Arial" w:cs="Arial" w:eastAsia="Arial" w:hAnsi="Arial"/>
                <w:sz w:val="17"/>
                <w:szCs w:val="17"/>
                <w:b w:val="1"/>
                <w:bCs w:val="1"/>
                <w:color w:val="auto"/>
                <w:w w:val="84"/>
              </w:rPr>
              <w:t>$</w:t>
            </w:r>
          </w:p>
        </w:tc>
        <w:tc>
          <w:tcPr>
            <w:tcW w:w="1460" w:type="dxa"/>
            <w:vAlign w:val="bottom"/>
          </w:tcPr>
          <w:p>
            <w:pPr>
              <w:jc w:val="right"/>
              <w:ind w:right="95"/>
              <w:spacing w:after="0"/>
              <w:rPr>
                <w:sz w:val="20"/>
                <w:szCs w:val="20"/>
                <w:color w:val="auto"/>
              </w:rPr>
            </w:pPr>
            <w:r>
              <w:rPr>
                <w:rFonts w:ascii="Arial" w:cs="Arial" w:eastAsia="Arial" w:hAnsi="Arial"/>
                <w:sz w:val="17"/>
                <w:szCs w:val="17"/>
                <w:b w:val="1"/>
                <w:bCs w:val="1"/>
                <w:color w:val="auto"/>
              </w:rPr>
              <w:t>2,078</w:t>
            </w:r>
          </w:p>
        </w:tc>
        <w:tc>
          <w:tcPr>
            <w:tcW w:w="64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-374015</wp:posOffset>
            </wp:positionV>
            <wp:extent cx="5754370"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20015"/>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-133985</wp:posOffset>
            </wp:positionV>
            <wp:extent cx="575437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46050"/>
                    </a:xfrm>
                    <a:prstGeom prst="rect">
                      <a:avLst/>
                    </a:prstGeom>
                    <a:noFill/>
                  </pic:spPr>
                </pic:pic>
              </a:graphicData>
            </a:graphic>
          </wp:anchor>
        </w:drawing>
        <w:drawing>
          <wp:anchor simplePos="0" relativeHeight="251657728" behindDoc="1" locked="0" layoutInCell="0" allowOverlap="1">
            <wp:simplePos x="0" y="0"/>
            <wp:positionH relativeFrom="column">
              <wp:posOffset>-3426460</wp:posOffset>
            </wp:positionH>
            <wp:positionV relativeFrom="paragraph">
              <wp:posOffset>-622935</wp:posOffset>
            </wp:positionV>
            <wp:extent cx="57543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3660"/>
          </w:cols>
          <w:pgMar w:left="1420" w:top="125" w:right="1419" w:bottom="1440" w:gutter="0" w:footer="0" w:header="0"/>
          <w:type w:val="continuous"/>
        </w:sectPr>
      </w:pPr>
    </w:p>
    <w:p>
      <w:pPr>
        <w:spacing w:after="0" w:line="1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Sales disaggregated based upon geographic area is presented in the below table. Sales are attributable to the geographic area in which the sales transaction is fulfilled.</w:t>
      </w:r>
    </w:p>
    <w:p>
      <w:pPr>
        <w:spacing w:after="0" w:line="185" w:lineRule="exact"/>
        <w:rPr>
          <w:sz w:val="20"/>
          <w:szCs w:val="20"/>
          <w:color w:val="auto"/>
        </w:rPr>
      </w:pPr>
    </w:p>
    <w:p>
      <w:pPr>
        <w:ind w:left="634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520" w:type="dxa"/>
            <w:vAlign w:val="bottom"/>
            <w:tcBorders>
              <w:top w:val="single" w:sz="8" w:color="auto"/>
            </w:tcBorders>
          </w:tcPr>
          <w:p>
            <w:pPr>
              <w:spacing w:after="0"/>
              <w:rPr>
                <w:sz w:val="13"/>
                <w:szCs w:val="13"/>
                <w:color w:val="auto"/>
              </w:rPr>
            </w:pPr>
          </w:p>
        </w:tc>
        <w:tc>
          <w:tcPr>
            <w:tcW w:w="30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7"/>
                <w:szCs w:val="17"/>
                <w:b w:val="1"/>
                <w:bCs w:val="1"/>
                <w:color w:val="auto"/>
              </w:rPr>
              <w:t>May 4,</w:t>
            </w:r>
          </w:p>
        </w:tc>
        <w:tc>
          <w:tcPr>
            <w:tcW w:w="6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495"/>
              <w:spacing w:after="0" w:line="157" w:lineRule="exact"/>
              <w:rPr>
                <w:sz w:val="20"/>
                <w:szCs w:val="20"/>
                <w:color w:val="auto"/>
              </w:rPr>
            </w:pPr>
            <w:r>
              <w:rPr>
                <w:rFonts w:ascii="Arial" w:cs="Arial" w:eastAsia="Arial" w:hAnsi="Arial"/>
                <w:sz w:val="17"/>
                <w:szCs w:val="17"/>
                <w:b w:val="1"/>
                <w:bCs w:val="1"/>
                <w:color w:val="auto"/>
              </w:rPr>
              <w:t>May 5,</w:t>
            </w:r>
          </w:p>
        </w:tc>
        <w:tc>
          <w:tcPr>
            <w:tcW w:w="0" w:type="dxa"/>
            <w:vAlign w:val="bottom"/>
          </w:tcPr>
          <w:p>
            <w:pPr>
              <w:spacing w:after="0"/>
              <w:rPr>
                <w:sz w:val="1"/>
                <w:szCs w:val="1"/>
                <w:color w:val="auto"/>
              </w:rPr>
            </w:pPr>
          </w:p>
        </w:tc>
      </w:tr>
      <w:tr>
        <w:trPr>
          <w:trHeight w:val="215"/>
        </w:trPr>
        <w:tc>
          <w:tcPr>
            <w:tcW w:w="35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2019</w:t>
            </w:r>
          </w:p>
        </w:tc>
        <w:tc>
          <w:tcPr>
            <w:tcW w:w="6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98"/>
        </w:trPr>
        <w:tc>
          <w:tcPr>
            <w:tcW w:w="3520" w:type="dxa"/>
            <w:vAlign w:val="bottom"/>
            <w:vMerge w:val="restart"/>
          </w:tcPr>
          <w:p>
            <w:pPr>
              <w:spacing w:after="0"/>
              <w:rPr>
                <w:sz w:val="20"/>
                <w:szCs w:val="20"/>
                <w:color w:val="auto"/>
              </w:rPr>
            </w:pPr>
            <w:r>
              <w:rPr>
                <w:rFonts w:ascii="Arial" w:cs="Arial" w:eastAsia="Arial" w:hAnsi="Arial"/>
                <w:sz w:val="17"/>
                <w:szCs w:val="17"/>
                <w:b w:val="1"/>
                <w:bCs w:val="1"/>
                <w:color w:val="auto"/>
              </w:rPr>
              <w:t>Sales by Geography</w:t>
            </w:r>
          </w:p>
        </w:tc>
        <w:tc>
          <w:tcPr>
            <w:tcW w:w="3040" w:type="dxa"/>
            <w:vAlign w:val="bottom"/>
          </w:tcPr>
          <w:p>
            <w:pPr>
              <w:spacing w:after="0"/>
              <w:rPr>
                <w:sz w:val="17"/>
                <w:szCs w:val="17"/>
                <w:color w:val="auto"/>
              </w:rPr>
            </w:pPr>
          </w:p>
        </w:tc>
        <w:tc>
          <w:tcPr>
            <w:tcW w:w="1280" w:type="dxa"/>
            <w:vAlign w:val="bottom"/>
            <w:gridSpan w:val="2"/>
          </w:tcPr>
          <w:p>
            <w:pPr>
              <w:jc w:val="right"/>
              <w:ind w:right="15"/>
              <w:spacing w:after="0"/>
              <w:rPr>
                <w:sz w:val="20"/>
                <w:szCs w:val="20"/>
                <w:color w:val="auto"/>
              </w:rPr>
            </w:pPr>
            <w:r>
              <w:rPr>
                <w:rFonts w:ascii="Arial" w:cs="Arial" w:eastAsia="Arial" w:hAnsi="Arial"/>
                <w:sz w:val="17"/>
                <w:szCs w:val="17"/>
                <w:color w:val="auto"/>
              </w:rPr>
              <w:t>($ in millions)</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520" w:type="dxa"/>
            <w:vAlign w:val="bottom"/>
            <w:vMerge w:val="continue"/>
          </w:tcPr>
          <w:p>
            <w:pPr>
              <w:spacing w:after="0"/>
              <w:rPr>
                <w:sz w:val="15"/>
                <w:szCs w:val="15"/>
                <w:color w:val="auto"/>
              </w:rPr>
            </w:pPr>
          </w:p>
        </w:tc>
        <w:tc>
          <w:tcPr>
            <w:tcW w:w="3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United States</w:t>
            </w:r>
          </w:p>
        </w:tc>
        <w:tc>
          <w:tcPr>
            <w:tcW w:w="3040" w:type="dxa"/>
            <w:vAlign w:val="bottom"/>
            <w:shd w:val="clear" w:color="auto" w:fill="CCEEFF"/>
          </w:tcPr>
          <w:p>
            <w:pPr>
              <w:jc w:val="right"/>
              <w:ind w:right="975"/>
              <w:spacing w:after="0" w:line="189" w:lineRule="exact"/>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1,552</w:t>
            </w:r>
          </w:p>
        </w:tc>
        <w:tc>
          <w:tcPr>
            <w:tcW w:w="640" w:type="dxa"/>
            <w:vAlign w:val="bottom"/>
            <w:shd w:val="clear" w:color="auto" w:fill="CCEEFF"/>
          </w:tcPr>
          <w:p>
            <w:pPr>
              <w:jc w:val="right"/>
              <w:ind w:right="275"/>
              <w:spacing w:after="0" w:line="189" w:lineRule="exact"/>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1,501</w:t>
            </w:r>
          </w:p>
        </w:tc>
        <w:tc>
          <w:tcPr>
            <w:tcW w:w="0" w:type="dxa"/>
            <w:vAlign w:val="bottom"/>
          </w:tcPr>
          <w:p>
            <w:pPr>
              <w:spacing w:after="0"/>
              <w:rPr>
                <w:sz w:val="1"/>
                <w:szCs w:val="1"/>
                <w:color w:val="auto"/>
              </w:rPr>
            </w:pPr>
          </w:p>
        </w:tc>
      </w:tr>
      <w:tr>
        <w:trPr>
          <w:trHeight w:val="189"/>
        </w:trPr>
        <w:tc>
          <w:tcPr>
            <w:tcW w:w="35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International</w:t>
            </w:r>
          </w:p>
        </w:tc>
        <w:tc>
          <w:tcPr>
            <w:tcW w:w="3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526</w:t>
            </w:r>
          </w:p>
        </w:tc>
        <w:tc>
          <w:tcPr>
            <w:tcW w:w="6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190"/>
        </w:trPr>
        <w:tc>
          <w:tcPr>
            <w:tcW w:w="35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sales</w:t>
            </w:r>
          </w:p>
        </w:tc>
        <w:tc>
          <w:tcPr>
            <w:tcW w:w="3040" w:type="dxa"/>
            <w:vAlign w:val="bottom"/>
            <w:tcBorders>
              <w:bottom w:val="single" w:sz="8" w:color="auto"/>
            </w:tcBorders>
            <w:shd w:val="clear" w:color="auto" w:fill="CCEEFF"/>
          </w:tcPr>
          <w:p>
            <w:pPr>
              <w:jc w:val="right"/>
              <w:ind w:right="975"/>
              <w:spacing w:after="0" w:line="183" w:lineRule="exact"/>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2,078</w:t>
            </w:r>
          </w:p>
        </w:tc>
        <w:tc>
          <w:tcPr>
            <w:tcW w:w="640" w:type="dxa"/>
            <w:vAlign w:val="bottom"/>
            <w:tcBorders>
              <w:bottom w:val="single" w:sz="8" w:color="auto"/>
            </w:tcBorders>
            <w:shd w:val="clear" w:color="auto" w:fill="CCEEFF"/>
          </w:tcPr>
          <w:p>
            <w:pPr>
              <w:jc w:val="right"/>
              <w:ind w:right="275"/>
              <w:spacing w:after="0" w:line="183"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2,025</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sells gift cards which do not have expiration dates. Revenue from gift card sales is recorded when the gift cards are redeemed by customers. Breakage income is reported as part of sales. The table below presents the activity of our gift card liability balance: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9"/>
              </w:rPr>
              <w:t>in millions)</w:t>
            </w:r>
          </w:p>
        </w:tc>
      </w:tr>
      <w:tr>
        <w:trPr>
          <w:trHeight w:val="183"/>
        </w:trPr>
        <w:tc>
          <w:tcPr>
            <w:tcW w:w="4920" w:type="dxa"/>
            <w:vAlign w:val="bottom"/>
          </w:tcPr>
          <w:p>
            <w:pPr>
              <w:spacing w:after="0" w:line="183" w:lineRule="exact"/>
              <w:rPr>
                <w:sz w:val="20"/>
                <w:szCs w:val="20"/>
                <w:color w:val="auto"/>
              </w:rPr>
            </w:pPr>
            <w:r>
              <w:rPr>
                <w:rFonts w:ascii="Arial" w:cs="Arial" w:eastAsia="Arial" w:hAnsi="Arial"/>
                <w:sz w:val="17"/>
                <w:szCs w:val="17"/>
                <w:color w:val="auto"/>
              </w:rPr>
              <w:t>Balance at February 3, 2019</w:t>
            </w:r>
          </w:p>
        </w:tc>
        <w:tc>
          <w:tcPr>
            <w:tcW w:w="3080" w:type="dxa"/>
            <w:vAlign w:val="bottom"/>
          </w:tcPr>
          <w:p>
            <w:pPr>
              <w:jc w:val="right"/>
              <w:ind w:right="455"/>
              <w:spacing w:after="0" w:line="183"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7"/>
                <w:szCs w:val="17"/>
                <w:color w:val="auto"/>
              </w:rPr>
              <w:t>35</w:t>
            </w:r>
          </w:p>
        </w:tc>
      </w:tr>
      <w:tr>
        <w:trPr>
          <w:trHeight w:val="189"/>
        </w:trPr>
        <w:tc>
          <w:tcPr>
            <w:tcW w:w="492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Redemptions</w:t>
            </w:r>
          </w:p>
        </w:tc>
        <w:tc>
          <w:tcPr>
            <w:tcW w:w="30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w:t>
            </w:r>
          </w:p>
        </w:tc>
      </w:tr>
      <w:tr>
        <w:trPr>
          <w:trHeight w:val="189"/>
        </w:trPr>
        <w:tc>
          <w:tcPr>
            <w:tcW w:w="4920" w:type="dxa"/>
            <w:vAlign w:val="bottom"/>
          </w:tcPr>
          <w:p>
            <w:pPr>
              <w:ind w:left="220"/>
              <w:spacing w:after="0" w:line="189" w:lineRule="exact"/>
              <w:rPr>
                <w:sz w:val="20"/>
                <w:szCs w:val="20"/>
                <w:color w:val="auto"/>
              </w:rPr>
            </w:pPr>
            <w:r>
              <w:rPr>
                <w:rFonts w:ascii="Arial" w:cs="Arial" w:eastAsia="Arial" w:hAnsi="Arial"/>
                <w:sz w:val="17"/>
                <w:szCs w:val="17"/>
                <w:color w:val="auto"/>
              </w:rPr>
              <w:t>Breakage recognized in sales</w:t>
            </w:r>
          </w:p>
        </w:tc>
        <w:tc>
          <w:tcPr>
            <w:tcW w:w="308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492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Activations</w:t>
            </w:r>
          </w:p>
        </w:tc>
        <w:tc>
          <w:tcPr>
            <w:tcW w:w="30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22</w:t>
            </w:r>
          </w:p>
        </w:tc>
      </w:tr>
      <w:tr>
        <w:trPr>
          <w:trHeight w:val="196"/>
        </w:trPr>
        <w:tc>
          <w:tcPr>
            <w:tcW w:w="4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b w:val="1"/>
                <w:bCs w:val="1"/>
                <w:color w:val="auto"/>
              </w:rPr>
              <w:t>Balance at May 4, 2019</w:t>
            </w:r>
          </w:p>
        </w:tc>
        <w:tc>
          <w:tcPr>
            <w:tcW w:w="3080" w:type="dxa"/>
            <w:vAlign w:val="bottom"/>
            <w:tcBorders>
              <w:bottom w:val="single" w:sz="8" w:color="auto"/>
            </w:tcBorders>
          </w:tcPr>
          <w:p>
            <w:pPr>
              <w:jc w:val="right"/>
              <w:ind w:right="455"/>
              <w:spacing w:after="0" w:line="189"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30</w:t>
            </w:r>
          </w:p>
        </w:tc>
      </w:tr>
    </w:tbl>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elected not to disclose the information about remaining performance obligations since the amount of gift cards redeemed after 12 months is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has integrated all available shopping channels including stores, websites, apps, social channels, and catalogs. Store sales are primarily fulfilled from the store’s inventory but may also be shipped from any of our distribution centers or from a different store location if an item is not available at the original store. Direct-to-customer orders are primarily shipped to our customers through our distribution centers but may also be shipped from any store or a combination of our distribution centers and stores depending on the availability of particular items.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operating segments are identified according to how our business activities are managed and evaluated by our chief operating decision maker, our CEO. During 2018, the Company expanded into Asia and launched our digital channels across Singapore, Hong Kong, and Malaysia. In addition, we entered China through a limited offering in partnership with Tmall (a Chinese-language platform for business-to-consumer online retail). During the first quarter of 2019, the Company changed its organizational and internal reporting structure in order to support an accelerated growth strategy for the region. We opened an Asian headquarters in Singapore and realigned our organization into three distinct geographic regions: Europe, Middle East and Africa (“EMEA”), Asia Pacific, and North America.</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light of these changes, the Company has re-evaluated its operating segments. The Company has determined that it has three operating segments, North America, EMEA, and Asia Pacific. Our North America operating segment includes the results of the following banners operating in the U.S. and Canada: Foot Locker, Kids Foot Locker, Lady Foot Locker, Champs Sports, Footaction, and SIX:02, including each of their related e-commerce businesses, as well as our Eastbay business that includes internet, catalog, and team sales. Our EMEA operating segment includes the results of the following banners operating in Europe: Foot Locker, Runners Point, Sidestep, and Kids Foot Locker, including each of their related e-commerce businesses. Our Asia Pacific operating segment includes the results of Foot Locker and Kids Foot Locker and the related e-commerce businesses operating in Australia, New Zealand, and Asia. We have further aggregated these operating segments into one reportable segment based upon their shared customer base and similar economic characteristics.</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evaluates performance based on several factors, of which the primary financial measure is the banner’s financial results referred to as division profit. Division profit reflects income before income taxes, pension litigation charges, corporate expense, non-operating income, and net interest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w:t>
      </w:r>
    </w:p>
    <w:p>
      <w:pPr>
        <w:spacing w:after="0" w:line="186" w:lineRule="exact"/>
        <w:rPr>
          <w:sz w:val="20"/>
          <w:szCs w:val="20"/>
          <w:color w:val="auto"/>
        </w:rPr>
      </w:pPr>
    </w:p>
    <w:p>
      <w:pPr>
        <w:ind w:left="644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60" w:type="dxa"/>
            <w:vAlign w:val="bottom"/>
            <w:tcBorders>
              <w:top w:val="single" w:sz="8" w:color="auto"/>
            </w:tcBorders>
          </w:tcPr>
          <w:p>
            <w:pPr>
              <w:spacing w:after="0"/>
              <w:rPr>
                <w:sz w:val="13"/>
                <w:szCs w:val="13"/>
                <w:color w:val="auto"/>
              </w:rPr>
            </w:pPr>
          </w:p>
        </w:tc>
        <w:tc>
          <w:tcPr>
            <w:tcW w:w="42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7"/>
                <w:szCs w:val="17"/>
                <w:b w:val="1"/>
                <w:bCs w:val="1"/>
                <w:color w:val="auto"/>
              </w:rPr>
              <w:t>May 4,</w:t>
            </w:r>
          </w:p>
        </w:tc>
        <w:tc>
          <w:tcPr>
            <w:tcW w:w="6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35"/>
              <w:spacing w:after="0" w:line="157" w:lineRule="exact"/>
              <w:rPr>
                <w:sz w:val="20"/>
                <w:szCs w:val="20"/>
                <w:color w:val="auto"/>
              </w:rPr>
            </w:pPr>
            <w:r>
              <w:rPr>
                <w:rFonts w:ascii="Arial" w:cs="Arial" w:eastAsia="Arial" w:hAnsi="Arial"/>
                <w:sz w:val="17"/>
                <w:szCs w:val="17"/>
                <w:b w:val="1"/>
                <w:bCs w:val="1"/>
                <w:color w:val="auto"/>
              </w:rPr>
              <w:t>May 5,</w:t>
            </w:r>
          </w:p>
        </w:tc>
      </w:tr>
      <w:tr>
        <w:trPr>
          <w:trHeight w:val="215"/>
        </w:trPr>
        <w:tc>
          <w:tcPr>
            <w:tcW w:w="246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tcPr>
          <w:p>
            <w:pPr>
              <w:jc w:val="right"/>
              <w:ind w:right="23"/>
              <w:spacing w:after="0"/>
              <w:rPr>
                <w:sz w:val="20"/>
                <w:szCs w:val="20"/>
                <w:color w:val="auto"/>
              </w:rPr>
            </w:pPr>
            <w:r>
              <w:rPr>
                <w:rFonts w:ascii="Arial" w:cs="Arial" w:eastAsia="Arial" w:hAnsi="Arial"/>
                <w:sz w:val="17"/>
                <w:szCs w:val="17"/>
                <w:b w:val="1"/>
                <w:bCs w:val="1"/>
                <w:color w:val="auto"/>
              </w:rPr>
              <w:t>2019</w:t>
            </w: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2018</w:t>
            </w:r>
          </w:p>
        </w:tc>
      </w:tr>
      <w:tr>
        <w:trPr>
          <w:trHeight w:val="183"/>
        </w:trPr>
        <w:tc>
          <w:tcPr>
            <w:tcW w:w="24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22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in millions)</w:t>
            </w:r>
          </w:p>
        </w:tc>
        <w:tc>
          <w:tcPr>
            <w:tcW w:w="1140" w:type="dxa"/>
            <w:vAlign w:val="bottom"/>
          </w:tcPr>
          <w:p>
            <w:pPr>
              <w:spacing w:after="0"/>
              <w:rPr>
                <w:sz w:val="15"/>
                <w:szCs w:val="15"/>
                <w:color w:val="auto"/>
              </w:rPr>
            </w:pPr>
          </w:p>
        </w:tc>
      </w:tr>
      <w:tr>
        <w:trPr>
          <w:trHeight w:val="189"/>
        </w:trPr>
        <w:tc>
          <w:tcPr>
            <w:tcW w:w="24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Sales</w:t>
            </w:r>
          </w:p>
        </w:tc>
        <w:tc>
          <w:tcPr>
            <w:tcW w:w="4240" w:type="dxa"/>
            <w:vAlign w:val="bottom"/>
            <w:shd w:val="clear" w:color="auto" w:fill="CCEEFF"/>
          </w:tcPr>
          <w:p>
            <w:pPr>
              <w:jc w:val="right"/>
              <w:ind w:right="923"/>
              <w:spacing w:after="0" w:line="189" w:lineRule="exact"/>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2,078</w:t>
            </w:r>
          </w:p>
        </w:tc>
        <w:tc>
          <w:tcPr>
            <w:tcW w:w="6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2,025</w:t>
            </w:r>
          </w:p>
        </w:tc>
      </w:tr>
      <w:tr>
        <w:trPr>
          <w:trHeight w:val="189"/>
        </w:trPr>
        <w:tc>
          <w:tcPr>
            <w:tcW w:w="24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24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Results</w:t>
            </w:r>
          </w:p>
        </w:tc>
        <w:tc>
          <w:tcPr>
            <w:tcW w:w="4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9"/>
        </w:trPr>
        <w:tc>
          <w:tcPr>
            <w:tcW w:w="2460" w:type="dxa"/>
            <w:vAlign w:val="bottom"/>
          </w:tcPr>
          <w:p>
            <w:pPr>
              <w:spacing w:after="0" w:line="189" w:lineRule="exact"/>
              <w:rPr>
                <w:sz w:val="20"/>
                <w:szCs w:val="20"/>
                <w:color w:val="auto"/>
              </w:rPr>
            </w:pPr>
            <w:r>
              <w:rPr>
                <w:rFonts w:ascii="Arial" w:cs="Arial" w:eastAsia="Arial" w:hAnsi="Arial"/>
                <w:sz w:val="17"/>
                <w:szCs w:val="17"/>
                <w:color w:val="auto"/>
              </w:rPr>
              <w:t>Division profit</w:t>
            </w:r>
          </w:p>
        </w:tc>
        <w:tc>
          <w:tcPr>
            <w:tcW w:w="4240" w:type="dxa"/>
            <w:vAlign w:val="bottom"/>
          </w:tcPr>
          <w:p>
            <w:pPr>
              <w:spacing w:after="0"/>
              <w:rPr>
                <w:sz w:val="16"/>
                <w:szCs w:val="16"/>
                <w:color w:val="auto"/>
              </w:rPr>
            </w:pPr>
          </w:p>
        </w:tc>
        <w:tc>
          <w:tcPr>
            <w:tcW w:w="6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250</w:t>
            </w:r>
          </w:p>
        </w:tc>
        <w:tc>
          <w:tcPr>
            <w:tcW w:w="6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247</w:t>
            </w:r>
          </w:p>
        </w:tc>
      </w:tr>
      <w:tr>
        <w:trPr>
          <w:trHeight w:val="189"/>
        </w:trPr>
        <w:tc>
          <w:tcPr>
            <w:tcW w:w="2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Pension litigation charges</w:t>
            </w:r>
          </w:p>
        </w:tc>
        <w:tc>
          <w:tcPr>
            <w:tcW w:w="4240" w:type="dxa"/>
            <w:vAlign w:val="bottom"/>
            <w:shd w:val="clear" w:color="auto" w:fill="CCEEFF"/>
          </w:tcPr>
          <w:p>
            <w:pPr>
              <w:jc w:val="right"/>
              <w:ind w:right="4003"/>
              <w:spacing w:after="0"/>
              <w:rPr>
                <w:sz w:val="20"/>
                <w:szCs w:val="20"/>
                <w:color w:val="auto"/>
              </w:rPr>
            </w:pPr>
            <w:r>
              <w:rPr>
                <w:rFonts w:ascii="Arial" w:cs="Arial" w:eastAsia="Arial" w:hAnsi="Arial"/>
                <w:sz w:val="9"/>
                <w:szCs w:val="9"/>
                <w:color w:val="auto"/>
              </w:rPr>
              <w:t>(1)</w:t>
            </w:r>
          </w:p>
        </w:tc>
        <w:tc>
          <w:tcPr>
            <w:tcW w:w="6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6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w:t>
            </w:r>
          </w:p>
        </w:tc>
      </w:tr>
      <w:tr>
        <w:trPr>
          <w:trHeight w:val="189"/>
        </w:trPr>
        <w:tc>
          <w:tcPr>
            <w:tcW w:w="24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xml:space="preserve">Less: Corporate expense </w:t>
            </w:r>
            <w:r>
              <w:rPr>
                <w:rFonts w:ascii="Arial" w:cs="Arial" w:eastAsia="Arial" w:hAnsi="Arial"/>
                <w:sz w:val="8"/>
                <w:szCs w:val="8"/>
                <w:color w:val="auto"/>
              </w:rPr>
              <w:t>(2)</w:t>
            </w:r>
          </w:p>
        </w:tc>
        <w:tc>
          <w:tcPr>
            <w:tcW w:w="4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21</w:t>
            </w: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w:t>
            </w:r>
          </w:p>
        </w:tc>
      </w:tr>
      <w:tr>
        <w:trPr>
          <w:trHeight w:val="183"/>
        </w:trPr>
        <w:tc>
          <w:tcPr>
            <w:tcW w:w="2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42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228</w:t>
            </w:r>
          </w:p>
        </w:tc>
        <w:tc>
          <w:tcPr>
            <w:tcW w:w="6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224</w:t>
            </w:r>
          </w:p>
        </w:tc>
      </w:tr>
      <w:tr>
        <w:trPr>
          <w:trHeight w:val="189"/>
        </w:trPr>
        <w:tc>
          <w:tcPr>
            <w:tcW w:w="2460" w:type="dxa"/>
            <w:vAlign w:val="bottom"/>
          </w:tcPr>
          <w:p>
            <w:pPr>
              <w:spacing w:after="0" w:line="189" w:lineRule="exact"/>
              <w:rPr>
                <w:sz w:val="20"/>
                <w:szCs w:val="20"/>
                <w:color w:val="auto"/>
              </w:rPr>
            </w:pPr>
            <w:r>
              <w:rPr>
                <w:rFonts w:ascii="Arial" w:cs="Arial" w:eastAsia="Arial" w:hAnsi="Arial"/>
                <w:sz w:val="17"/>
                <w:szCs w:val="17"/>
                <w:color w:val="auto"/>
              </w:rPr>
              <w:t>Interest income, net</w:t>
            </w:r>
          </w:p>
        </w:tc>
        <w:tc>
          <w:tcPr>
            <w:tcW w:w="4240" w:type="dxa"/>
            <w:vAlign w:val="bottom"/>
          </w:tcPr>
          <w:p>
            <w:pPr>
              <w:spacing w:after="0"/>
              <w:rPr>
                <w:sz w:val="16"/>
                <w:szCs w:val="16"/>
                <w:color w:val="auto"/>
              </w:rPr>
            </w:pPr>
          </w:p>
        </w:tc>
        <w:tc>
          <w:tcPr>
            <w:tcW w:w="6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60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2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 income</w:t>
            </w:r>
          </w:p>
        </w:tc>
        <w:tc>
          <w:tcPr>
            <w:tcW w:w="42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w:t>
            </w:r>
          </w:p>
        </w:tc>
        <w:tc>
          <w:tcPr>
            <w:tcW w:w="6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r>
      <w:tr>
        <w:trPr>
          <w:trHeight w:val="190"/>
        </w:trPr>
        <w:tc>
          <w:tcPr>
            <w:tcW w:w="24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Income before income taxes</w:t>
            </w:r>
          </w:p>
        </w:tc>
        <w:tc>
          <w:tcPr>
            <w:tcW w:w="4240" w:type="dxa"/>
            <w:vAlign w:val="bottom"/>
            <w:tcBorders>
              <w:bottom w:val="single" w:sz="8" w:color="auto"/>
            </w:tcBorders>
          </w:tcPr>
          <w:p>
            <w:pPr>
              <w:jc w:val="right"/>
              <w:ind w:right="923"/>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234</w:t>
            </w:r>
          </w:p>
        </w:tc>
        <w:tc>
          <w:tcPr>
            <w:tcW w:w="600" w:type="dxa"/>
            <w:vAlign w:val="bottom"/>
            <w:tcBorders>
              <w:bottom w:val="single" w:sz="8" w:color="auto"/>
            </w:tcBorders>
          </w:tcPr>
          <w:p>
            <w:pPr>
              <w:jc w:val="right"/>
              <w:ind w:right="255"/>
              <w:spacing w:after="0" w:line="183" w:lineRule="exact"/>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229</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 – (continued)</w:t>
      </w:r>
    </w:p>
    <w:p>
      <w:pPr>
        <w:spacing w:after="0" w:line="239" w:lineRule="exact"/>
        <w:rPr>
          <w:sz w:val="20"/>
          <w:szCs w:val="20"/>
          <w:color w:val="auto"/>
        </w:rPr>
      </w:pPr>
    </w:p>
    <w:p>
      <w:pPr>
        <w:jc w:val="both"/>
        <w:ind w:left="320" w:hanging="317"/>
        <w:spacing w:after="0" w:line="241" w:lineRule="auto"/>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recorded pre-tax charges of $1 million and $12 million for the quarters ended May 4, 2019 and May 5, 2018, respectively, related to a pension litigation matter and the related plan reformation. The charge in the current period reflects professional fees in connection with the plan reformation. The prior year charge reflected adjustments to the value of the judgment and interest that continued to accrue, as required by the provisions of the required plan reformation.</w:t>
      </w:r>
    </w:p>
    <w:p>
      <w:pPr>
        <w:spacing w:after="0" w:line="1" w:lineRule="exact"/>
        <w:rPr>
          <w:rFonts w:ascii="Arial" w:cs="Arial" w:eastAsia="Arial" w:hAnsi="Arial"/>
          <w:sz w:val="14"/>
          <w:szCs w:val="14"/>
          <w:color w:val="auto"/>
        </w:rPr>
      </w:pPr>
    </w:p>
    <w:p>
      <w:pPr>
        <w:jc w:val="both"/>
        <w:ind w:left="320" w:hanging="317"/>
        <w:spacing w:after="0" w:line="250" w:lineRule="auto"/>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Restricted Cash</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table provides a reconciliation of cash and cash equivalents, as reported on our condensed consolidated balance sheets, to cash, cash equivalents, and restricted cash, as reported on our condensed consolidated statements of cash flows.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7"/>
                <w:szCs w:val="17"/>
                <w:b w:val="1"/>
                <w:bCs w:val="1"/>
                <w:color w:val="auto"/>
              </w:rPr>
              <w:t>May 4,</w:t>
            </w: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80" w:type="dxa"/>
            <w:vAlign w:val="bottom"/>
          </w:tcPr>
          <w:p>
            <w:pPr>
              <w:jc w:val="right"/>
              <w:ind w:right="475"/>
              <w:spacing w:after="0"/>
              <w:rPr>
                <w:sz w:val="20"/>
                <w:szCs w:val="20"/>
                <w:color w:val="auto"/>
              </w:rPr>
            </w:pPr>
            <w:r>
              <w:rPr>
                <w:rFonts w:ascii="Arial" w:cs="Arial" w:eastAsia="Arial" w:hAnsi="Arial"/>
                <w:sz w:val="17"/>
                <w:szCs w:val="17"/>
                <w:b w:val="1"/>
                <w:bCs w:val="1"/>
                <w:color w:val="auto"/>
              </w:rPr>
              <w:t>May 5,</w:t>
            </w:r>
          </w:p>
        </w:tc>
      </w:tr>
      <w:tr>
        <w:trPr>
          <w:trHeight w:val="215"/>
        </w:trPr>
        <w:tc>
          <w:tcPr>
            <w:tcW w:w="47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2019</w:t>
            </w: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2018</w:t>
            </w:r>
          </w:p>
        </w:tc>
      </w:tr>
      <w:tr>
        <w:trPr>
          <w:trHeight w:val="183"/>
        </w:trPr>
        <w:tc>
          <w:tcPr>
            <w:tcW w:w="47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6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in millions)</w:t>
            </w:r>
          </w:p>
        </w:tc>
        <w:tc>
          <w:tcPr>
            <w:tcW w:w="1180" w:type="dxa"/>
            <w:vAlign w:val="bottom"/>
          </w:tcPr>
          <w:p>
            <w:pPr>
              <w:spacing w:after="0"/>
              <w:rPr>
                <w:sz w:val="15"/>
                <w:szCs w:val="15"/>
                <w:color w:val="auto"/>
              </w:rPr>
            </w:pPr>
          </w:p>
        </w:tc>
      </w:tr>
      <w:tr>
        <w:trPr>
          <w:trHeight w:val="189"/>
        </w:trPr>
        <w:tc>
          <w:tcPr>
            <w:tcW w:w="47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1900" w:type="dxa"/>
            <w:vAlign w:val="bottom"/>
            <w:shd w:val="clear" w:color="auto" w:fill="CCEEFF"/>
          </w:tcPr>
          <w:p>
            <w:pPr>
              <w:jc w:val="right"/>
              <w:ind w:right="935"/>
              <w:spacing w:after="0" w:line="189" w:lineRule="exact"/>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1,126</w:t>
            </w:r>
          </w:p>
        </w:tc>
        <w:tc>
          <w:tcPr>
            <w:tcW w:w="640" w:type="dxa"/>
            <w:vAlign w:val="bottom"/>
            <w:shd w:val="clear" w:color="auto" w:fill="CCEEFF"/>
          </w:tcPr>
          <w:p>
            <w:pPr>
              <w:jc w:val="right"/>
              <w:ind w:right="275"/>
              <w:spacing w:after="0" w:line="189"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1,029</w:t>
            </w:r>
          </w:p>
        </w:tc>
      </w:tr>
      <w:tr>
        <w:trPr>
          <w:trHeight w:val="189"/>
        </w:trPr>
        <w:tc>
          <w:tcPr>
            <w:tcW w:w="4720" w:type="dxa"/>
            <w:vAlign w:val="bottom"/>
          </w:tcPr>
          <w:p>
            <w:pPr>
              <w:spacing w:after="0" w:line="189" w:lineRule="exact"/>
              <w:rPr>
                <w:sz w:val="20"/>
                <w:szCs w:val="20"/>
                <w:color w:val="auto"/>
              </w:rPr>
            </w:pPr>
            <w:r>
              <w:rPr>
                <w:rFonts w:ascii="Arial" w:cs="Arial" w:eastAsia="Arial" w:hAnsi="Arial"/>
                <w:sz w:val="17"/>
                <w:szCs w:val="17"/>
                <w:color w:val="auto"/>
              </w:rPr>
              <w:t>Restricted cash included in other current assets</w:t>
            </w:r>
          </w:p>
        </w:tc>
        <w:tc>
          <w:tcPr>
            <w:tcW w:w="1900" w:type="dxa"/>
            <w:vAlign w:val="bottom"/>
          </w:tcPr>
          <w:p>
            <w:pPr>
              <w:spacing w:after="0"/>
              <w:rPr>
                <w:sz w:val="16"/>
                <w:szCs w:val="16"/>
                <w:color w:val="auto"/>
              </w:rPr>
            </w:pPr>
          </w:p>
        </w:tc>
        <w:tc>
          <w:tcPr>
            <w:tcW w:w="6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5</w:t>
            </w:r>
          </w:p>
        </w:tc>
        <w:tc>
          <w:tcPr>
            <w:tcW w:w="6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47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Restricted cash included in other non-current assets</w:t>
            </w:r>
          </w:p>
        </w:tc>
        <w:tc>
          <w:tcPr>
            <w:tcW w:w="19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30</w:t>
            </w:r>
          </w:p>
        </w:tc>
        <w:tc>
          <w:tcPr>
            <w:tcW w:w="6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181</w:t>
            </w:r>
          </w:p>
        </w:tc>
      </w:tr>
      <w:tr>
        <w:trPr>
          <w:trHeight w:val="190"/>
        </w:trPr>
        <w:tc>
          <w:tcPr>
            <w:tcW w:w="47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Cash, cash equivalents, and restricted cash</w:t>
            </w:r>
          </w:p>
        </w:tc>
        <w:tc>
          <w:tcPr>
            <w:tcW w:w="1900" w:type="dxa"/>
            <w:vAlign w:val="bottom"/>
            <w:tcBorders>
              <w:bottom w:val="single" w:sz="8" w:color="auto"/>
            </w:tcBorders>
          </w:tcPr>
          <w:p>
            <w:pPr>
              <w:jc w:val="right"/>
              <w:ind w:right="935"/>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1,161</w:t>
            </w:r>
          </w:p>
        </w:tc>
        <w:tc>
          <w:tcPr>
            <w:tcW w:w="640" w:type="dxa"/>
            <w:vAlign w:val="bottom"/>
            <w:tcBorders>
              <w:bottom w:val="single" w:sz="8" w:color="auto"/>
            </w:tcBorders>
          </w:tcPr>
          <w:p>
            <w:pPr>
              <w:jc w:val="right"/>
              <w:ind w:right="27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1,211</w:t>
            </w: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2017 in connection with the pension litigation matter, the Company deposited $150 million in a qualified settlement fund. At May 5, 2018, this amount was classified as part of non-current assets. During 2018 and in March 2019, the Company used substantially all of the qualified settlement fund to pay class counsel fees and to make a contribution to the pension plan.</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Other amounts included in restricted cash primarily relate to amounts held in escrow in connection with various leasing arrangements in Europe and deposits held in insurance trusts in order to satisfy the requirement to collateralize part of the self-insured workers’ compensation and liability claims.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has elected to present book overdrafts, representing checks issued but still outstanding in excess of bank balances, as part of accounts payable.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Annually during the first quarter, or more frequently if impairment indicators arise, the Company reviews goodwill and intangible assets with indefinite lives for impairment.</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light of the change in our organizational and internal reporting structure in the first quarter of 2019, we have reassessed our reporting units and have determined that the collective omni-channel banners in North America, EMEA, and Asia Pacific are the three reporting units at which goodwill is tested.</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Accordingly, goodwill was re-allocated between the affected reporting units based on their relative fair values. As required, we conducted the annual impairment review both before and after this change. Neither review resulted in the recognition of impairment, as the fair value of each reporting unit exceeded its carrying value.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Intangible Assets, net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finite-lived intangible assets and intangible assets not subject to amortization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May 4, 2019</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May 5, 2018</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115"/>
              <w:spacing w:after="0" w:line="157" w:lineRule="exact"/>
              <w:rPr>
                <w:sz w:val="20"/>
                <w:szCs w:val="20"/>
                <w:color w:val="auto"/>
              </w:rPr>
            </w:pPr>
            <w:r>
              <w:rPr>
                <w:rFonts w:ascii="Arial" w:cs="Arial" w:eastAsia="Arial" w:hAnsi="Arial"/>
                <w:sz w:val="17"/>
                <w:szCs w:val="17"/>
                <w:b w:val="1"/>
                <w:bCs w:val="1"/>
                <w:color w:val="auto"/>
              </w:rPr>
              <w:t>Gross</w:t>
            </w:r>
          </w:p>
        </w:tc>
        <w:tc>
          <w:tcPr>
            <w:tcW w:w="1040" w:type="dxa"/>
            <w:vAlign w:val="bottom"/>
            <w:gridSpan w:val="2"/>
          </w:tcPr>
          <w:p>
            <w:pPr>
              <w:jc w:val="center"/>
              <w:spacing w:after="0" w:line="157" w:lineRule="exact"/>
              <w:rPr>
                <w:sz w:val="20"/>
                <w:szCs w:val="20"/>
                <w:color w:val="auto"/>
              </w:rPr>
            </w:pPr>
            <w:r>
              <w:rPr>
                <w:rFonts w:ascii="Arial" w:cs="Arial" w:eastAsia="Arial" w:hAnsi="Arial"/>
                <w:sz w:val="17"/>
                <w:szCs w:val="17"/>
                <w:b w:val="1"/>
                <w:bCs w:val="1"/>
                <w:color w:val="auto"/>
              </w:rPr>
              <w:t>Accum.</w:t>
            </w:r>
          </w:p>
        </w:tc>
        <w:tc>
          <w:tcPr>
            <w:tcW w:w="140" w:type="dxa"/>
            <w:vAlign w:val="bottom"/>
          </w:tcPr>
          <w:p>
            <w:pPr>
              <w:spacing w:after="0"/>
              <w:rPr>
                <w:sz w:val="13"/>
                <w:szCs w:val="13"/>
                <w:color w:val="auto"/>
              </w:rPr>
            </w:pPr>
          </w:p>
        </w:tc>
        <w:tc>
          <w:tcPr>
            <w:tcW w:w="680" w:type="dxa"/>
            <w:vAlign w:val="bottom"/>
          </w:tcPr>
          <w:p>
            <w:pPr>
              <w:jc w:val="right"/>
              <w:ind w:right="195"/>
              <w:spacing w:after="0" w:line="157" w:lineRule="exact"/>
              <w:rPr>
                <w:sz w:val="20"/>
                <w:szCs w:val="20"/>
                <w:color w:val="auto"/>
              </w:rPr>
            </w:pPr>
            <w:r>
              <w:rPr>
                <w:rFonts w:ascii="Arial" w:cs="Arial" w:eastAsia="Arial" w:hAnsi="Arial"/>
                <w:sz w:val="17"/>
                <w:szCs w:val="17"/>
                <w:b w:val="1"/>
                <w:bCs w:val="1"/>
                <w:color w:val="auto"/>
              </w:rPr>
              <w:t>Net</w:t>
            </w:r>
          </w:p>
        </w:tc>
        <w:tc>
          <w:tcPr>
            <w:tcW w:w="200" w:type="dxa"/>
            <w:vAlign w:val="bottom"/>
          </w:tcPr>
          <w:p>
            <w:pPr>
              <w:spacing w:after="0"/>
              <w:rPr>
                <w:sz w:val="13"/>
                <w:szCs w:val="13"/>
                <w:color w:val="auto"/>
              </w:rPr>
            </w:pPr>
          </w:p>
        </w:tc>
        <w:tc>
          <w:tcPr>
            <w:tcW w:w="640" w:type="dxa"/>
            <w:vAlign w:val="bottom"/>
          </w:tcPr>
          <w:p>
            <w:pPr>
              <w:jc w:val="right"/>
              <w:ind w:right="35"/>
              <w:spacing w:after="0" w:line="157" w:lineRule="exact"/>
              <w:rPr>
                <w:sz w:val="20"/>
                <w:szCs w:val="20"/>
                <w:color w:val="auto"/>
              </w:rPr>
            </w:pPr>
            <w:r>
              <w:rPr>
                <w:rFonts w:ascii="Arial" w:cs="Arial" w:eastAsia="Arial" w:hAnsi="Arial"/>
                <w:sz w:val="17"/>
                <w:szCs w:val="17"/>
                <w:b w:val="1"/>
                <w:bCs w:val="1"/>
                <w:color w:val="auto"/>
              </w:rPr>
              <w:t>Gross</w:t>
            </w:r>
          </w:p>
        </w:tc>
        <w:tc>
          <w:tcPr>
            <w:tcW w:w="1000" w:type="dxa"/>
            <w:vAlign w:val="bottom"/>
            <w:gridSpan w:val="2"/>
          </w:tcPr>
          <w:p>
            <w:pPr>
              <w:jc w:val="center"/>
              <w:spacing w:after="0" w:line="157" w:lineRule="exact"/>
              <w:rPr>
                <w:sz w:val="20"/>
                <w:szCs w:val="20"/>
                <w:color w:val="auto"/>
              </w:rPr>
            </w:pPr>
            <w:r>
              <w:rPr>
                <w:rFonts w:ascii="Arial" w:cs="Arial" w:eastAsia="Arial" w:hAnsi="Arial"/>
                <w:sz w:val="17"/>
                <w:szCs w:val="17"/>
                <w:b w:val="1"/>
                <w:bCs w:val="1"/>
                <w:color w:val="auto"/>
              </w:rPr>
              <w:t>Accum.</w:t>
            </w:r>
          </w:p>
        </w:tc>
        <w:tc>
          <w:tcPr>
            <w:tcW w:w="120" w:type="dxa"/>
            <w:vAlign w:val="bottom"/>
          </w:tcPr>
          <w:p>
            <w:pPr>
              <w:spacing w:after="0"/>
              <w:rPr>
                <w:sz w:val="13"/>
                <w:szCs w:val="13"/>
                <w:color w:val="auto"/>
              </w:rPr>
            </w:pPr>
          </w:p>
        </w:tc>
        <w:tc>
          <w:tcPr>
            <w:tcW w:w="540" w:type="dxa"/>
            <w:vAlign w:val="bottom"/>
          </w:tcPr>
          <w:p>
            <w:pPr>
              <w:jc w:val="right"/>
              <w:ind w:right="95"/>
              <w:spacing w:after="0" w:line="157" w:lineRule="exact"/>
              <w:rPr>
                <w:sz w:val="20"/>
                <w:szCs w:val="20"/>
                <w:color w:val="auto"/>
              </w:rPr>
            </w:pPr>
            <w:r>
              <w:rPr>
                <w:rFonts w:ascii="Arial" w:cs="Arial" w:eastAsia="Arial" w:hAnsi="Arial"/>
                <w:sz w:val="17"/>
                <w:szCs w:val="17"/>
                <w:b w:val="1"/>
                <w:bCs w:val="1"/>
                <w:color w:val="auto"/>
              </w:rPr>
              <w:t>Net</w:t>
            </w:r>
          </w:p>
        </w:tc>
        <w:tc>
          <w:tcPr>
            <w:tcW w:w="0" w:type="dxa"/>
            <w:vAlign w:val="bottom"/>
          </w:tcPr>
          <w:p>
            <w:pPr>
              <w:spacing w:after="0"/>
              <w:rPr>
                <w:sz w:val="1"/>
                <w:szCs w:val="1"/>
                <w:color w:val="auto"/>
              </w:rPr>
            </w:pPr>
          </w:p>
        </w:tc>
      </w:tr>
      <w:tr>
        <w:trPr>
          <w:trHeight w:val="215"/>
        </w:trPr>
        <w:tc>
          <w:tcPr>
            <w:tcW w:w="35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value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b w:val="1"/>
                <w:bCs w:val="1"/>
                <w:color w:val="auto"/>
                <w:w w:val="99"/>
              </w:rPr>
              <w:t>amort.</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value</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value</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rPr>
              <w:t>amort.</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w w:val="96"/>
              </w:rPr>
              <w:t>value</w:t>
            </w:r>
          </w:p>
        </w:tc>
        <w:tc>
          <w:tcPr>
            <w:tcW w:w="0" w:type="dxa"/>
            <w:vAlign w:val="bottom"/>
          </w:tcPr>
          <w:p>
            <w:pPr>
              <w:spacing w:after="0"/>
              <w:rPr>
                <w:sz w:val="1"/>
                <w:szCs w:val="1"/>
                <w:color w:val="auto"/>
              </w:rPr>
            </w:pPr>
          </w:p>
        </w:tc>
      </w:tr>
      <w:tr>
        <w:trPr>
          <w:trHeight w:val="183"/>
        </w:trPr>
        <w:tc>
          <w:tcPr>
            <w:tcW w:w="3540" w:type="dxa"/>
            <w:vAlign w:val="bottom"/>
          </w:tcPr>
          <w:p>
            <w:pPr>
              <w:spacing w:after="0" w:line="183" w:lineRule="exact"/>
              <w:rPr>
                <w:sz w:val="20"/>
                <w:szCs w:val="20"/>
                <w:color w:val="auto"/>
              </w:rPr>
            </w:pPr>
            <w:r>
              <w:rPr>
                <w:rFonts w:ascii="Arial" w:cs="Arial" w:eastAsia="Arial" w:hAnsi="Arial"/>
                <w:sz w:val="17"/>
                <w:szCs w:val="17"/>
                <w:color w:val="auto"/>
              </w:rPr>
              <w:t xml:space="preserve">Amortized intangible assets: </w:t>
            </w:r>
            <w:r>
              <w:rPr>
                <w:rFonts w:ascii="Arial" w:cs="Arial" w:eastAsia="Arial" w:hAnsi="Arial"/>
                <w:sz w:val="8"/>
                <w:szCs w:val="8"/>
                <w:color w:val="auto"/>
              </w:rPr>
              <w:t>(1)</w:t>
            </w: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Lease acquisition costs</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116</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(108)</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8</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128</w:t>
            </w:r>
          </w:p>
        </w:tc>
        <w:tc>
          <w:tcPr>
            <w:tcW w:w="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(117)</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3540" w:type="dxa"/>
            <w:vAlign w:val="bottom"/>
          </w:tcPr>
          <w:p>
            <w:pPr>
              <w:ind w:left="220"/>
              <w:spacing w:after="0" w:line="189" w:lineRule="exact"/>
              <w:rPr>
                <w:sz w:val="20"/>
                <w:szCs w:val="20"/>
                <w:color w:val="auto"/>
              </w:rPr>
            </w:pPr>
            <w:r>
              <w:rPr>
                <w:rFonts w:ascii="Arial" w:cs="Arial" w:eastAsia="Arial" w:hAnsi="Arial"/>
                <w:sz w:val="17"/>
                <w:szCs w:val="17"/>
                <w:color w:val="auto"/>
              </w:rPr>
              <w:t>Trademarks / trade names</w:t>
            </w:r>
          </w:p>
        </w:tc>
        <w:tc>
          <w:tcPr>
            <w:tcW w:w="4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20</w:t>
            </w:r>
          </w:p>
        </w:tc>
        <w:tc>
          <w:tcPr>
            <w:tcW w:w="240" w:type="dxa"/>
            <w:vAlign w:val="bottom"/>
          </w:tcPr>
          <w:p>
            <w:pPr>
              <w:spacing w:after="0"/>
              <w:rPr>
                <w:sz w:val="16"/>
                <w:szCs w:val="16"/>
                <w:color w:val="auto"/>
              </w:rPr>
            </w:pPr>
          </w:p>
        </w:tc>
        <w:tc>
          <w:tcPr>
            <w:tcW w:w="8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(15)</w:t>
            </w:r>
          </w:p>
        </w:tc>
        <w:tc>
          <w:tcPr>
            <w:tcW w:w="1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5</w:t>
            </w:r>
          </w:p>
        </w:tc>
        <w:tc>
          <w:tcPr>
            <w:tcW w:w="2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20</w:t>
            </w:r>
          </w:p>
        </w:tc>
        <w:tc>
          <w:tcPr>
            <w:tcW w:w="240" w:type="dxa"/>
            <w:vAlign w:val="bottom"/>
          </w:tcPr>
          <w:p>
            <w:pPr>
              <w:spacing w:after="0"/>
              <w:rPr>
                <w:sz w:val="16"/>
                <w:szCs w:val="16"/>
                <w:color w:val="auto"/>
              </w:rPr>
            </w:pPr>
          </w:p>
        </w:tc>
        <w:tc>
          <w:tcPr>
            <w:tcW w:w="760" w:type="dxa"/>
            <w:vAlign w:val="bottom"/>
          </w:tcPr>
          <w:p>
            <w:pPr>
              <w:jc w:val="right"/>
              <w:ind w:right="15"/>
              <w:spacing w:after="0" w:line="189" w:lineRule="exact"/>
              <w:rPr>
                <w:sz w:val="20"/>
                <w:szCs w:val="20"/>
                <w:color w:val="auto"/>
              </w:rPr>
            </w:pPr>
            <w:r>
              <w:rPr>
                <w:rFonts w:ascii="Arial" w:cs="Arial" w:eastAsia="Arial" w:hAnsi="Arial"/>
                <w:sz w:val="17"/>
                <w:szCs w:val="17"/>
                <w:color w:val="auto"/>
              </w:rPr>
              <w:t>(14)</w:t>
            </w:r>
          </w:p>
        </w:tc>
        <w:tc>
          <w:tcPr>
            <w:tcW w:w="12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9"/>
        </w:trPr>
        <w:tc>
          <w:tcPr>
            <w:tcW w:w="3540" w:type="dxa"/>
            <w:vAlign w:val="bottom"/>
            <w:tcBorders>
              <w:bottom w:val="single" w:sz="8" w:color="auto"/>
            </w:tcBorders>
            <w:shd w:val="clear" w:color="auto" w:fill="CCEEFF"/>
          </w:tcPr>
          <w:p>
            <w:pPr>
              <w:ind w:left="220"/>
              <w:spacing w:after="0" w:line="189" w:lineRule="exact"/>
              <w:rPr>
                <w:sz w:val="20"/>
                <w:szCs w:val="20"/>
                <w:color w:val="auto"/>
              </w:rPr>
            </w:pPr>
            <w:r>
              <w:rPr>
                <w:rFonts w:ascii="Arial" w:cs="Arial" w:eastAsia="Arial" w:hAnsi="Arial"/>
                <w:sz w:val="17"/>
                <w:szCs w:val="17"/>
                <w:color w:val="auto"/>
              </w:rPr>
              <w:t>Favorable leases</w:t>
            </w:r>
          </w:p>
        </w:tc>
        <w:tc>
          <w:tcPr>
            <w:tcW w:w="4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(6)</w:t>
            </w: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136</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(123)</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13</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155</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(137)</w:t>
            </w: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83"/>
        </w:trPr>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40" w:type="dxa"/>
            <w:vAlign w:val="bottom"/>
          </w:tcPr>
          <w:p>
            <w:pPr>
              <w:spacing w:after="0" w:line="189" w:lineRule="exact"/>
              <w:rPr>
                <w:sz w:val="20"/>
                <w:szCs w:val="20"/>
                <w:color w:val="auto"/>
              </w:rPr>
            </w:pPr>
            <w:r>
              <w:rPr>
                <w:rFonts w:ascii="Arial" w:cs="Arial" w:eastAsia="Arial" w:hAnsi="Arial"/>
                <w:sz w:val="17"/>
                <w:szCs w:val="17"/>
                <w:color w:val="auto"/>
              </w:rPr>
              <w:t xml:space="preserve">Indefinite life intangible assets: </w:t>
            </w:r>
            <w:r>
              <w:rPr>
                <w:rFonts w:ascii="Arial" w:cs="Arial" w:eastAsia="Arial" w:hAnsi="Arial"/>
                <w:sz w:val="8"/>
                <w:szCs w:val="8"/>
                <w:color w:val="auto"/>
              </w:rPr>
              <w:t>(1)</w:t>
            </w: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4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color w:val="auto"/>
              </w:rPr>
              <w:t>Runners Point Group trademarks / trade</w:t>
            </w: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9</w:t>
            </w: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5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names</w:t>
            </w:r>
          </w:p>
        </w:tc>
        <w:tc>
          <w:tcPr>
            <w:tcW w:w="4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90"/>
        </w:trPr>
        <w:tc>
          <w:tcPr>
            <w:tcW w:w="35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Other intangible assets, net</w:t>
            </w: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22</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20" w:hanging="317"/>
        <w:spacing w:after="0" w:line="258" w:lineRule="auto"/>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change in the ending balances also reflects the effect of foreign currency fluctuations due primarily to the movements of the euro in relation to the U.S. dollar.</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annual review of intangible assets with indefinite lives performed during the first quarter of 2019 did not result in the recognition of impairment. Amortization expense recorded is as follows:</w:t>
      </w:r>
    </w:p>
    <w:p>
      <w:pPr>
        <w:spacing w:after="0" w:line="185" w:lineRule="exact"/>
        <w:rPr>
          <w:sz w:val="20"/>
          <w:szCs w:val="20"/>
          <w:color w:val="auto"/>
        </w:rPr>
      </w:pPr>
    </w:p>
    <w:p>
      <w:pPr>
        <w:ind w:left="652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6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7"/>
                <w:szCs w:val="17"/>
                <w:color w:val="auto"/>
              </w:rPr>
              <w:t>($ in millions)</w:t>
            </w:r>
          </w:p>
        </w:tc>
        <w:tc>
          <w:tcPr>
            <w:tcW w:w="34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May 4, 2019</w:t>
            </w:r>
          </w:p>
        </w:tc>
        <w:tc>
          <w:tcPr>
            <w:tcW w:w="28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275"/>
              <w:spacing w:after="0" w:line="183" w:lineRule="exact"/>
              <w:rPr>
                <w:sz w:val="20"/>
                <w:szCs w:val="20"/>
                <w:color w:val="auto"/>
              </w:rPr>
            </w:pPr>
            <w:r>
              <w:rPr>
                <w:rFonts w:ascii="Arial" w:cs="Arial" w:eastAsia="Arial" w:hAnsi="Arial"/>
                <w:sz w:val="17"/>
                <w:szCs w:val="17"/>
                <w:b w:val="1"/>
                <w:bCs w:val="1"/>
                <w:color w:val="auto"/>
              </w:rPr>
              <w:t>May 5, 2018</w:t>
            </w:r>
          </w:p>
        </w:tc>
      </w:tr>
      <w:tr>
        <w:trPr>
          <w:trHeight w:val="183"/>
        </w:trPr>
        <w:tc>
          <w:tcPr>
            <w:tcW w:w="35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expense</w:t>
            </w:r>
          </w:p>
        </w:tc>
        <w:tc>
          <w:tcPr>
            <w:tcW w:w="3400" w:type="dxa"/>
            <w:vAlign w:val="bottom"/>
            <w:tcBorders>
              <w:bottom w:val="single" w:sz="8" w:color="auto"/>
            </w:tcBorders>
            <w:shd w:val="clear" w:color="auto" w:fill="CCEEFF"/>
          </w:tcPr>
          <w:p>
            <w:pPr>
              <w:jc w:val="right"/>
              <w:ind w:right="1295"/>
              <w:spacing w:after="0" w:line="183" w:lineRule="exact"/>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w:t>
            </w:r>
          </w:p>
        </w:tc>
        <w:tc>
          <w:tcPr>
            <w:tcW w:w="4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r>
      <w:tr>
        <w:trPr>
          <w:trHeight w:val="412"/>
        </w:trPr>
        <w:tc>
          <w:tcPr>
            <w:tcW w:w="6960" w:type="dxa"/>
            <w:vAlign w:val="bottom"/>
            <w:gridSpan w:val="2"/>
          </w:tcPr>
          <w:p>
            <w:pPr>
              <w:spacing w:after="0"/>
              <w:rPr>
                <w:sz w:val="20"/>
                <w:szCs w:val="20"/>
                <w:color w:val="auto"/>
              </w:rPr>
            </w:pPr>
            <w:r>
              <w:rPr>
                <w:rFonts w:ascii="Arial" w:cs="Arial" w:eastAsia="Arial" w:hAnsi="Arial"/>
                <w:sz w:val="18"/>
                <w:szCs w:val="18"/>
                <w:color w:val="auto"/>
              </w:rPr>
              <w:t>Estimated future amortization expense for finite-life intangible assets is as follows: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5"/>
        </w:trPr>
        <w:tc>
          <w:tcPr>
            <w:tcW w:w="35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 in millions)</w:t>
            </w:r>
          </w:p>
        </w:tc>
      </w:tr>
      <w:tr>
        <w:trPr>
          <w:trHeight w:val="183"/>
        </w:trPr>
        <w:tc>
          <w:tcPr>
            <w:tcW w:w="35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Remainder of 2019</w:t>
            </w:r>
          </w:p>
        </w:tc>
        <w:tc>
          <w:tcPr>
            <w:tcW w:w="3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w:t>
            </w: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7"/>
                <w:szCs w:val="17"/>
                <w:color w:val="auto"/>
              </w:rPr>
              <w:t>2020</w:t>
            </w:r>
          </w:p>
        </w:tc>
        <w:tc>
          <w:tcPr>
            <w:tcW w:w="3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7"/>
                <w:szCs w:val="17"/>
                <w:color w:val="auto"/>
              </w:rPr>
              <w:t>3</w:t>
            </w:r>
          </w:p>
        </w:tc>
      </w:tr>
      <w:tr>
        <w:trPr>
          <w:trHeight w:val="189"/>
        </w:trPr>
        <w:tc>
          <w:tcPr>
            <w:tcW w:w="3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2021</w:t>
            </w:r>
          </w:p>
        </w:tc>
        <w:tc>
          <w:tcPr>
            <w:tcW w:w="3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7"/>
                <w:szCs w:val="17"/>
                <w:color w:val="auto"/>
              </w:rPr>
              <w:t>2022</w:t>
            </w:r>
          </w:p>
        </w:tc>
        <w:tc>
          <w:tcPr>
            <w:tcW w:w="3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3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2023</w:t>
            </w:r>
          </w:p>
        </w:tc>
        <w:tc>
          <w:tcPr>
            <w:tcW w:w="3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35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2024</w:t>
            </w:r>
          </w:p>
        </w:tc>
        <w:tc>
          <w:tcPr>
            <w:tcW w:w="3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is obligated under operating leases for almost all of its store properties. In addition, the Company leases certain warehouse distribution centers. Operating lease periods generally range from 5 to 10 years and most store leases contain rent escalation provisions. Leases with an initial term of 12 months or less are not recorded on the balance sheet. We recognize lease expense for these leases on a straight-line basis over the lease term. For leases beginning in 2019 and later, the Company will combine lease components (e.g. rental payments) and non-lease components (e.g. common area maintenance costs and utilities).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Right-of-use assets and liabilities are recognized at the commencement date based on the present value of lease payments over the lease term for those arrangements where there is an identified asset and the contract conveys the right to control its use.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 – (continued)</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Since the rates implicit in the leases are not readily determinable, the Company uses its incremental borrowing rates based on the remaining lease term to determine the present value of future lease payments. The Company's incremental borrowing rate for a lease is the rate of interest it would have to pay on a collateralized basis to borrow an amount equal to the lease payments under similar terms.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Some of the store leases contain renewal options with varying terms and conditions. The Company’s lease term includes options to extend or terminate a lease only when it is reasonably certain that it will exercise that option.</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Certain leases provide for variable lease costs, which primarily include rent payments based on a percentage of store sales, common area maintenance costs and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as of May 4, 2019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3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w w:val="99"/>
              </w:rPr>
              <w:t>in millions)</w:t>
            </w:r>
          </w:p>
        </w:tc>
      </w:tr>
      <w:tr>
        <w:trPr>
          <w:trHeight w:val="183"/>
        </w:trPr>
        <w:tc>
          <w:tcPr>
            <w:tcW w:w="20" w:type="dxa"/>
            <w:vAlign w:val="bottom"/>
          </w:tcPr>
          <w:p>
            <w:pPr>
              <w:spacing w:after="0"/>
              <w:rPr>
                <w:sz w:val="15"/>
                <w:szCs w:val="15"/>
                <w:color w:val="auto"/>
              </w:rPr>
            </w:pPr>
          </w:p>
        </w:tc>
        <w:tc>
          <w:tcPr>
            <w:tcW w:w="43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Operating lease costs</w:t>
            </w:r>
          </w:p>
        </w:tc>
        <w:tc>
          <w:tcPr>
            <w:tcW w:w="3360" w:type="dxa"/>
            <w:vAlign w:val="bottom"/>
            <w:shd w:val="clear" w:color="auto" w:fill="CCEEFF"/>
          </w:tcPr>
          <w:p>
            <w:pPr>
              <w:jc w:val="right"/>
              <w:ind w:right="555"/>
              <w:spacing w:after="0" w:line="183" w:lineRule="exact"/>
              <w:rPr>
                <w:sz w:val="20"/>
                <w:szCs w:val="20"/>
                <w:color w:val="auto"/>
              </w:rPr>
            </w:pPr>
            <w:r>
              <w:rPr>
                <w:rFonts w:ascii="Arial" w:cs="Arial" w:eastAsia="Arial" w:hAnsi="Arial"/>
                <w:sz w:val="17"/>
                <w:szCs w:val="17"/>
                <w:b w:val="1"/>
                <w:bCs w:val="1"/>
                <w:color w:val="auto"/>
              </w:rPr>
              <w:t>$</w:t>
            </w:r>
          </w:p>
        </w:tc>
        <w:tc>
          <w:tcPr>
            <w:tcW w:w="13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166</w:t>
            </w:r>
          </w:p>
        </w:tc>
      </w:tr>
      <w:tr>
        <w:trPr>
          <w:trHeight w:val="189"/>
        </w:trPr>
        <w:tc>
          <w:tcPr>
            <w:tcW w:w="20" w:type="dxa"/>
            <w:vAlign w:val="bottom"/>
          </w:tcPr>
          <w:p>
            <w:pPr>
              <w:spacing w:after="0"/>
              <w:rPr>
                <w:sz w:val="16"/>
                <w:szCs w:val="16"/>
                <w:color w:val="auto"/>
              </w:rPr>
            </w:pPr>
          </w:p>
        </w:tc>
        <w:tc>
          <w:tcPr>
            <w:tcW w:w="4300" w:type="dxa"/>
            <w:vAlign w:val="bottom"/>
          </w:tcPr>
          <w:p>
            <w:pPr>
              <w:spacing w:after="0" w:line="189" w:lineRule="exact"/>
              <w:rPr>
                <w:sz w:val="20"/>
                <w:szCs w:val="20"/>
                <w:color w:val="auto"/>
              </w:rPr>
            </w:pPr>
            <w:r>
              <w:rPr>
                <w:rFonts w:ascii="Arial" w:cs="Arial" w:eastAsia="Arial" w:hAnsi="Arial"/>
                <w:sz w:val="17"/>
                <w:szCs w:val="17"/>
                <w:color w:val="auto"/>
              </w:rPr>
              <w:t>Variable lease costs</w:t>
            </w:r>
          </w:p>
        </w:tc>
        <w:tc>
          <w:tcPr>
            <w:tcW w:w="3360" w:type="dxa"/>
            <w:vAlign w:val="bottom"/>
          </w:tcPr>
          <w:p>
            <w:pPr>
              <w:spacing w:after="0"/>
              <w:rPr>
                <w:sz w:val="16"/>
                <w:szCs w:val="16"/>
                <w:color w:val="auto"/>
              </w:rPr>
            </w:pPr>
          </w:p>
        </w:tc>
        <w:tc>
          <w:tcPr>
            <w:tcW w:w="13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84</w:t>
            </w:r>
          </w:p>
        </w:tc>
      </w:tr>
      <w:tr>
        <w:trPr>
          <w:trHeight w:val="189"/>
        </w:trPr>
        <w:tc>
          <w:tcPr>
            <w:tcW w:w="20" w:type="dxa"/>
            <w:vAlign w:val="bottom"/>
          </w:tcPr>
          <w:p>
            <w:pPr>
              <w:spacing w:after="0"/>
              <w:rPr>
                <w:sz w:val="16"/>
                <w:szCs w:val="16"/>
                <w:color w:val="auto"/>
              </w:rPr>
            </w:pPr>
          </w:p>
        </w:tc>
        <w:tc>
          <w:tcPr>
            <w:tcW w:w="43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Short-term lease costs</w:t>
            </w:r>
          </w:p>
        </w:tc>
        <w:tc>
          <w:tcPr>
            <w:tcW w:w="33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7</w:t>
            </w:r>
          </w:p>
        </w:tc>
      </w:tr>
      <w:tr>
        <w:trPr>
          <w:trHeight w:val="190"/>
        </w:trPr>
        <w:tc>
          <w:tcPr>
            <w:tcW w:w="20" w:type="dxa"/>
            <w:vAlign w:val="bottom"/>
            <w:tcBorders>
              <w:bottom w:val="single" w:sz="8" w:color="auto"/>
            </w:tcBorders>
          </w:tcPr>
          <w:p>
            <w:pPr>
              <w:spacing w:after="0"/>
              <w:rPr>
                <w:sz w:val="16"/>
                <w:szCs w:val="16"/>
                <w:color w:val="auto"/>
              </w:rPr>
            </w:pPr>
          </w:p>
        </w:tc>
        <w:tc>
          <w:tcPr>
            <w:tcW w:w="43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Net lease cost</w:t>
            </w:r>
          </w:p>
        </w:tc>
        <w:tc>
          <w:tcPr>
            <w:tcW w:w="3360" w:type="dxa"/>
            <w:vAlign w:val="bottom"/>
            <w:tcBorders>
              <w:bottom w:val="single" w:sz="8" w:color="auto"/>
            </w:tcBorders>
          </w:tcPr>
          <w:p>
            <w:pPr>
              <w:jc w:val="right"/>
              <w:ind w:right="555"/>
              <w:spacing w:after="0" w:line="183" w:lineRule="exact"/>
              <w:rPr>
                <w:sz w:val="20"/>
                <w:szCs w:val="20"/>
                <w:color w:val="auto"/>
              </w:rPr>
            </w:pPr>
            <w:r>
              <w:rPr>
                <w:rFonts w:ascii="Arial" w:cs="Arial" w:eastAsia="Arial" w:hAnsi="Arial"/>
                <w:sz w:val="17"/>
                <w:szCs w:val="17"/>
                <w:b w:val="1"/>
                <w:bCs w:val="1"/>
                <w:color w:val="auto"/>
              </w:rPr>
              <w:t>$</w:t>
            </w: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257</w:t>
            </w:r>
          </w:p>
        </w:tc>
      </w:tr>
    </w:tbl>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Rent expense for operating leases for the thirteen weeks ended May 5, 2018 amounted to $185 million and consisted of minimum and contingent rentals of $179 million and $7 million, respectively, less sublease income of $1 million.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gridSpan w:val="2"/>
          </w:tcPr>
          <w:p>
            <w:pPr>
              <w:spacing w:after="0"/>
              <w:rPr>
                <w:sz w:val="20"/>
                <w:szCs w:val="20"/>
                <w:color w:val="auto"/>
              </w:rPr>
            </w:pPr>
            <w:r>
              <w:rPr>
                <w:rFonts w:ascii="Arial" w:cs="Arial" w:eastAsia="Arial" w:hAnsi="Arial"/>
                <w:sz w:val="18"/>
                <w:szCs w:val="18"/>
                <w:color w:val="auto"/>
              </w:rPr>
              <w:t>Amounts  recognized  in  the  Condensed</w:t>
            </w:r>
          </w:p>
        </w:tc>
        <w:tc>
          <w:tcPr>
            <w:tcW w:w="5060" w:type="dxa"/>
            <w:vAlign w:val="bottom"/>
          </w:tcPr>
          <w:p>
            <w:pPr>
              <w:jc w:val="right"/>
              <w:spacing w:after="0"/>
              <w:rPr>
                <w:sz w:val="20"/>
                <w:szCs w:val="20"/>
                <w:color w:val="auto"/>
              </w:rPr>
            </w:pPr>
            <w:r>
              <w:rPr>
                <w:rFonts w:ascii="Arial" w:cs="Arial" w:eastAsia="Arial" w:hAnsi="Arial"/>
                <w:sz w:val="18"/>
                <w:szCs w:val="18"/>
                <w:color w:val="auto"/>
              </w:rPr>
              <w:t>Consolidated  Balance  Sheet  related  to  operating  leases</w:t>
            </w:r>
          </w:p>
        </w:tc>
        <w:tc>
          <w:tcPr>
            <w:tcW w:w="520" w:type="dxa"/>
            <w:vAlign w:val="bottom"/>
          </w:tcPr>
          <w:p>
            <w:pPr>
              <w:jc w:val="right"/>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17"/>
        </w:trPr>
        <w:tc>
          <w:tcPr>
            <w:tcW w:w="3480" w:type="dxa"/>
            <w:vAlign w:val="bottom"/>
            <w:gridSpan w:val="2"/>
          </w:tcPr>
          <w:p>
            <w:pPr>
              <w:spacing w:after="0"/>
              <w:rPr>
                <w:sz w:val="20"/>
                <w:szCs w:val="20"/>
                <w:color w:val="auto"/>
              </w:rPr>
            </w:pPr>
            <w:r>
              <w:rPr>
                <w:rFonts w:ascii="Arial" w:cs="Arial" w:eastAsia="Arial" w:hAnsi="Arial"/>
                <w:sz w:val="18"/>
                <w:szCs w:val="18"/>
                <w:color w:val="auto"/>
              </w:rPr>
              <w:t>May 4, 2019 were as follows:</w:t>
            </w:r>
          </w:p>
        </w:tc>
        <w:tc>
          <w:tcPr>
            <w:tcW w:w="5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in millions)</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60" w:type="dxa"/>
            <w:vAlign w:val="bottom"/>
          </w:tcPr>
          <w:p>
            <w:pPr>
              <w:spacing w:after="0" w:line="183" w:lineRule="exact"/>
              <w:rPr>
                <w:sz w:val="20"/>
                <w:szCs w:val="20"/>
                <w:color w:val="auto"/>
              </w:rPr>
            </w:pPr>
            <w:r>
              <w:rPr>
                <w:rFonts w:ascii="Arial" w:cs="Arial" w:eastAsia="Arial" w:hAnsi="Arial"/>
                <w:sz w:val="17"/>
                <w:szCs w:val="17"/>
                <w:b w:val="1"/>
                <w:bCs w:val="1"/>
                <w:color w:val="auto"/>
              </w:rPr>
              <w:t>Assets</w:t>
            </w:r>
          </w:p>
        </w:tc>
        <w:tc>
          <w:tcPr>
            <w:tcW w:w="5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lease right-of-use assets</w:t>
            </w:r>
          </w:p>
        </w:tc>
        <w:tc>
          <w:tcPr>
            <w:tcW w:w="5060" w:type="dxa"/>
            <w:vAlign w:val="bottom"/>
            <w:shd w:val="clear" w:color="auto" w:fill="CCEEFF"/>
          </w:tcPr>
          <w:p>
            <w:pPr>
              <w:jc w:val="right"/>
              <w:ind w:right="1413"/>
              <w:spacing w:after="0" w:line="189" w:lineRule="exact"/>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3,025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46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4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Liabilities</w:t>
            </w:r>
          </w:p>
        </w:tc>
        <w:tc>
          <w:tcPr>
            <w:tcW w:w="50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tcPr>
          <w:p>
            <w:pPr>
              <w:spacing w:after="0" w:line="189" w:lineRule="exact"/>
              <w:rPr>
                <w:sz w:val="20"/>
                <w:szCs w:val="20"/>
                <w:color w:val="auto"/>
              </w:rPr>
            </w:pPr>
            <w:r>
              <w:rPr>
                <w:rFonts w:ascii="Arial" w:cs="Arial" w:eastAsia="Arial" w:hAnsi="Arial"/>
                <w:sz w:val="17"/>
                <w:szCs w:val="17"/>
                <w:color w:val="auto"/>
              </w:rPr>
              <w:t>Current</w:t>
            </w:r>
          </w:p>
        </w:tc>
        <w:tc>
          <w:tcPr>
            <w:tcW w:w="5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Operating lease liabilities</w:t>
            </w:r>
          </w:p>
        </w:tc>
        <w:tc>
          <w:tcPr>
            <w:tcW w:w="50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tcPr>
          <w:p>
            <w:pPr>
              <w:spacing w:after="0" w:line="189" w:lineRule="exact"/>
              <w:rPr>
                <w:sz w:val="20"/>
                <w:szCs w:val="20"/>
                <w:color w:val="auto"/>
              </w:rPr>
            </w:pPr>
            <w:r>
              <w:rPr>
                <w:rFonts w:ascii="Arial" w:cs="Arial" w:eastAsia="Arial" w:hAnsi="Arial"/>
                <w:sz w:val="17"/>
                <w:szCs w:val="17"/>
                <w:color w:val="auto"/>
              </w:rPr>
              <w:t>Noncurrent</w:t>
            </w:r>
          </w:p>
        </w:tc>
        <w:tc>
          <w:tcPr>
            <w:tcW w:w="5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6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Operating lease liabilities</w:t>
            </w:r>
          </w:p>
        </w:tc>
        <w:tc>
          <w:tcPr>
            <w:tcW w:w="50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2,804</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lease liabilities</w:t>
            </w:r>
          </w:p>
        </w:tc>
        <w:tc>
          <w:tcPr>
            <w:tcW w:w="5060" w:type="dxa"/>
            <w:vAlign w:val="bottom"/>
            <w:tcBorders>
              <w:bottom w:val="single" w:sz="8" w:color="auto"/>
            </w:tcBorders>
          </w:tcPr>
          <w:p>
            <w:pPr>
              <w:jc w:val="right"/>
              <w:ind w:right="1413"/>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3,303</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operating leases as of May 4, 2019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263525</wp:posOffset>
            </wp:positionV>
            <wp:extent cx="57543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remaining lease term (years)</w:t>
            </w:r>
          </w:p>
        </w:tc>
        <w:tc>
          <w:tcPr>
            <w:tcW w:w="3060" w:type="dxa"/>
            <w:vAlign w:val="bottom"/>
            <w:shd w:val="clear" w:color="auto" w:fill="CCEEFF"/>
          </w:tcPr>
          <w:p>
            <w:pPr>
              <w:ind w:left="2380"/>
              <w:spacing w:after="0"/>
              <w:rPr>
                <w:sz w:val="20"/>
                <w:szCs w:val="20"/>
                <w:color w:val="auto"/>
              </w:rPr>
            </w:pPr>
            <w:r>
              <w:rPr>
                <w:rFonts w:ascii="Arial" w:cs="Arial" w:eastAsia="Arial" w:hAnsi="Arial"/>
                <w:sz w:val="17"/>
                <w:szCs w:val="17"/>
                <w:b w:val="1"/>
                <w:bCs w:val="1"/>
                <w:color w:val="auto"/>
              </w:rPr>
              <w:t>7.4</w:t>
            </w:r>
          </w:p>
        </w:tc>
      </w:tr>
      <w:tr>
        <w:trPr>
          <w:trHeight w:val="189"/>
        </w:trPr>
        <w:tc>
          <w:tcPr>
            <w:tcW w:w="60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Weighted average discount rate</w:t>
            </w:r>
          </w:p>
        </w:tc>
        <w:tc>
          <w:tcPr>
            <w:tcW w:w="3060" w:type="dxa"/>
            <w:vAlign w:val="bottom"/>
            <w:tcBorders>
              <w:bottom w:val="single" w:sz="8" w:color="auto"/>
            </w:tcBorders>
          </w:tcPr>
          <w:p>
            <w:pPr>
              <w:ind w:left="2380"/>
              <w:spacing w:after="0" w:line="189" w:lineRule="exact"/>
              <w:rPr>
                <w:sz w:val="20"/>
                <w:szCs w:val="20"/>
                <w:color w:val="auto"/>
              </w:rPr>
            </w:pPr>
            <w:r>
              <w:rPr>
                <w:rFonts w:ascii="Arial" w:cs="Arial" w:eastAsia="Arial" w:hAnsi="Arial"/>
                <w:sz w:val="17"/>
                <w:szCs w:val="17"/>
                <w:b w:val="1"/>
                <w:bCs w:val="1"/>
                <w:color w:val="auto"/>
              </w:rPr>
              <w:t>5.5 %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as of May 4, 2019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gridSpan w:val="3"/>
          </w:tcPr>
          <w:p>
            <w:pPr>
              <w:ind w:left="140"/>
              <w:spacing w:after="0"/>
              <w:rPr>
                <w:sz w:val="20"/>
                <w:szCs w:val="20"/>
                <w:color w:val="auto"/>
              </w:rPr>
            </w:pPr>
            <w:r>
              <w:rPr>
                <w:rFonts w:ascii="Arial" w:cs="Arial" w:eastAsia="Arial" w:hAnsi="Arial"/>
                <w:sz w:val="17"/>
                <w:szCs w:val="17"/>
                <w:color w:val="auto"/>
              </w:rPr>
              <w:t>($ in millions)</w:t>
            </w:r>
          </w:p>
        </w:tc>
      </w:tr>
      <w:tr>
        <w:trPr>
          <w:trHeight w:val="183"/>
        </w:trPr>
        <w:tc>
          <w:tcPr>
            <w:tcW w:w="20" w:type="dxa"/>
            <w:vAlign w:val="bottom"/>
          </w:tcPr>
          <w:p>
            <w:pPr>
              <w:spacing w:after="0"/>
              <w:rPr>
                <w:sz w:val="15"/>
                <w:szCs w:val="15"/>
                <w:color w:val="auto"/>
              </w:rPr>
            </w:pPr>
          </w:p>
        </w:tc>
        <w:tc>
          <w:tcPr>
            <w:tcW w:w="538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7"/>
                <w:szCs w:val="17"/>
                <w:color w:val="auto"/>
              </w:rPr>
              <w:t>Cash paid for amounts included in measurement of lease liabilities:</w:t>
            </w:r>
          </w:p>
        </w:tc>
        <w:tc>
          <w:tcPr>
            <w:tcW w:w="5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Operating cash flows from operating leases</w:t>
            </w:r>
          </w:p>
        </w:tc>
        <w:tc>
          <w:tcPr>
            <w:tcW w:w="1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168</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380" w:type="dxa"/>
            <w:vAlign w:val="bottom"/>
            <w:gridSpan w:val="2"/>
          </w:tcPr>
          <w:p>
            <w:pPr>
              <w:spacing w:after="0" w:line="189" w:lineRule="exact"/>
              <w:rPr>
                <w:sz w:val="20"/>
                <w:szCs w:val="20"/>
                <w:color w:val="auto"/>
              </w:rPr>
            </w:pPr>
            <w:r>
              <w:rPr>
                <w:rFonts w:ascii="Arial" w:cs="Arial" w:eastAsia="Arial" w:hAnsi="Arial"/>
                <w:sz w:val="17"/>
                <w:szCs w:val="17"/>
                <w:color w:val="auto"/>
              </w:rPr>
              <w:t>Right-of-use assets obtained in exchange for lease obligations:</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24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Operating leases</w:t>
            </w:r>
          </w:p>
        </w:tc>
        <w:tc>
          <w:tcPr>
            <w:tcW w:w="1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29</w:t>
            </w:r>
          </w:p>
        </w:tc>
        <w:tc>
          <w:tcPr>
            <w:tcW w:w="20" w:type="dxa"/>
            <w:vAlign w:val="bottom"/>
          </w:tcPr>
          <w:p>
            <w:pPr>
              <w:spacing w:after="0"/>
              <w:rPr>
                <w:sz w:val="16"/>
                <w:szCs w:val="16"/>
                <w:color w:val="auto"/>
              </w:rPr>
            </w:pPr>
          </w:p>
        </w:tc>
      </w:tr>
      <w:tr>
        <w:trPr>
          <w:trHeight w:val="412"/>
        </w:trPr>
        <w:tc>
          <w:tcPr>
            <w:tcW w:w="5400" w:type="dxa"/>
            <w:vAlign w:val="bottom"/>
            <w:gridSpan w:val="3"/>
          </w:tcPr>
          <w:p>
            <w:pPr>
              <w:spacing w:after="0"/>
              <w:rPr>
                <w:sz w:val="20"/>
                <w:szCs w:val="20"/>
                <w:color w:val="auto"/>
              </w:rPr>
            </w:pPr>
            <w:r>
              <w:rPr>
                <w:rFonts w:ascii="Arial" w:cs="Arial" w:eastAsia="Arial" w:hAnsi="Arial"/>
                <w:sz w:val="18"/>
                <w:szCs w:val="18"/>
                <w:color w:val="auto"/>
              </w:rPr>
              <w:t>Maturities of lease liabilities as of May 4, 2019 are as follows:</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gridSpan w:val="3"/>
          </w:tcPr>
          <w:p>
            <w:pPr>
              <w:ind w:left="140"/>
              <w:spacing w:after="0"/>
              <w:rPr>
                <w:sz w:val="20"/>
                <w:szCs w:val="20"/>
                <w:color w:val="auto"/>
              </w:rPr>
            </w:pPr>
            <w:r>
              <w:rPr>
                <w:rFonts w:ascii="Arial" w:cs="Arial" w:eastAsia="Arial" w:hAnsi="Arial"/>
                <w:sz w:val="17"/>
                <w:szCs w:val="17"/>
                <w:color w:val="auto"/>
              </w:rPr>
              <w:t>($ in millions)</w:t>
            </w:r>
          </w:p>
        </w:tc>
      </w:tr>
      <w:tr>
        <w:trPr>
          <w:trHeight w:val="183"/>
        </w:trPr>
        <w:tc>
          <w:tcPr>
            <w:tcW w:w="20" w:type="dxa"/>
            <w:vAlign w:val="bottom"/>
          </w:tcPr>
          <w:p>
            <w:pPr>
              <w:spacing w:after="0"/>
              <w:rPr>
                <w:sz w:val="15"/>
                <w:szCs w:val="15"/>
                <w:color w:val="auto"/>
              </w:rPr>
            </w:pPr>
          </w:p>
        </w:tc>
        <w:tc>
          <w:tcPr>
            <w:tcW w:w="42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Remainder of 2019</w:t>
            </w:r>
          </w:p>
        </w:tc>
        <w:tc>
          <w:tcPr>
            <w:tcW w:w="1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2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503</w:t>
            </w: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line="189" w:lineRule="exact"/>
              <w:rPr>
                <w:sz w:val="20"/>
                <w:szCs w:val="20"/>
                <w:color w:val="auto"/>
              </w:rPr>
            </w:pPr>
            <w:r>
              <w:rPr>
                <w:rFonts w:ascii="Arial" w:cs="Arial" w:eastAsia="Arial" w:hAnsi="Arial"/>
                <w:sz w:val="17"/>
                <w:szCs w:val="17"/>
                <w:color w:val="auto"/>
              </w:rPr>
              <w:t>2020</w:t>
            </w: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628</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2021</w:t>
            </w:r>
          </w:p>
        </w:tc>
        <w:tc>
          <w:tcPr>
            <w:tcW w:w="1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581</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line="189" w:lineRule="exact"/>
              <w:rPr>
                <w:sz w:val="20"/>
                <w:szCs w:val="20"/>
                <w:color w:val="auto"/>
              </w:rPr>
            </w:pPr>
            <w:r>
              <w:rPr>
                <w:rFonts w:ascii="Arial" w:cs="Arial" w:eastAsia="Arial" w:hAnsi="Arial"/>
                <w:sz w:val="17"/>
                <w:szCs w:val="17"/>
                <w:color w:val="auto"/>
              </w:rPr>
              <w:t>2022</w:t>
            </w: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526</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2023</w:t>
            </w:r>
          </w:p>
        </w:tc>
        <w:tc>
          <w:tcPr>
            <w:tcW w:w="1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455</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2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Thereafter</w:t>
            </w:r>
          </w:p>
        </w:tc>
        <w:tc>
          <w:tcPr>
            <w:tcW w:w="1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1,374</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4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Total lease payments</w:t>
            </w:r>
          </w:p>
        </w:tc>
        <w:tc>
          <w:tcPr>
            <w:tcW w:w="1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4,067</w:t>
            </w: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2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Less: Interest</w:t>
            </w:r>
          </w:p>
        </w:tc>
        <w:tc>
          <w:tcPr>
            <w:tcW w:w="1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764</w:t>
            </w:r>
          </w:p>
        </w:tc>
        <w:tc>
          <w:tcPr>
            <w:tcW w:w="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42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lease liabilities</w:t>
            </w:r>
          </w:p>
        </w:tc>
        <w:tc>
          <w:tcPr>
            <w:tcW w:w="1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3,303</w:t>
            </w:r>
          </w:p>
        </w:tc>
        <w:tc>
          <w:tcPr>
            <w:tcW w:w="20" w:type="dxa"/>
            <w:vAlign w:val="bottom"/>
          </w:tcPr>
          <w:p>
            <w:pPr>
              <w:spacing w:after="0"/>
              <w:rPr>
                <w:sz w:val="16"/>
                <w:szCs w:val="16"/>
                <w:color w:val="auto"/>
              </w:rPr>
            </w:pPr>
          </w:p>
        </w:tc>
      </w:tr>
      <w:tr>
        <w:trPr>
          <w:trHeight w:val="432"/>
        </w:trPr>
        <w:tc>
          <w:tcPr>
            <w:tcW w:w="9080" w:type="dxa"/>
            <w:vAlign w:val="bottom"/>
            <w:gridSpan w:val="9"/>
          </w:tcPr>
          <w:p>
            <w:pPr>
              <w:spacing w:after="0"/>
              <w:rPr>
                <w:sz w:val="20"/>
                <w:szCs w:val="20"/>
                <w:color w:val="auto"/>
              </w:rPr>
            </w:pPr>
            <w:r>
              <w:rPr>
                <w:rFonts w:ascii="Arial" w:cs="Arial" w:eastAsia="Arial" w:hAnsi="Arial"/>
                <w:sz w:val="18"/>
                <w:szCs w:val="18"/>
                <w:color w:val="auto"/>
              </w:rPr>
              <w:t>As of February 2, 2019, the estimated future minimum non-cancellable lease commitments were as follows:</w:t>
            </w:r>
          </w:p>
        </w:tc>
      </w:tr>
      <w:tr>
        <w:trPr>
          <w:trHeight w:val="405"/>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gridSpan w:val="3"/>
          </w:tcPr>
          <w:p>
            <w:pPr>
              <w:ind w:left="140"/>
              <w:spacing w:after="0"/>
              <w:rPr>
                <w:sz w:val="20"/>
                <w:szCs w:val="20"/>
                <w:color w:val="auto"/>
              </w:rPr>
            </w:pPr>
            <w:r>
              <w:rPr>
                <w:rFonts w:ascii="Arial" w:cs="Arial" w:eastAsia="Arial" w:hAnsi="Arial"/>
                <w:sz w:val="17"/>
                <w:szCs w:val="17"/>
                <w:color w:val="auto"/>
              </w:rPr>
              <w:t>($ in millions)</w:t>
            </w:r>
          </w:p>
        </w:tc>
      </w:tr>
      <w:tr>
        <w:trPr>
          <w:trHeight w:val="183"/>
        </w:trPr>
        <w:tc>
          <w:tcPr>
            <w:tcW w:w="20" w:type="dxa"/>
            <w:vAlign w:val="bottom"/>
          </w:tcPr>
          <w:p>
            <w:pPr>
              <w:spacing w:after="0"/>
              <w:rPr>
                <w:sz w:val="15"/>
                <w:szCs w:val="15"/>
                <w:color w:val="auto"/>
              </w:rPr>
            </w:pPr>
          </w:p>
        </w:tc>
        <w:tc>
          <w:tcPr>
            <w:tcW w:w="42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2019</w:t>
            </w:r>
          </w:p>
        </w:tc>
        <w:tc>
          <w:tcPr>
            <w:tcW w:w="1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672</w:t>
            </w: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line="189" w:lineRule="exact"/>
              <w:rPr>
                <w:sz w:val="20"/>
                <w:szCs w:val="20"/>
                <w:color w:val="auto"/>
              </w:rPr>
            </w:pPr>
            <w:r>
              <w:rPr>
                <w:rFonts w:ascii="Arial" w:cs="Arial" w:eastAsia="Arial" w:hAnsi="Arial"/>
                <w:sz w:val="17"/>
                <w:szCs w:val="17"/>
                <w:color w:val="auto"/>
              </w:rPr>
              <w:t>2020</w:t>
            </w: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631</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2021</w:t>
            </w:r>
          </w:p>
        </w:tc>
        <w:tc>
          <w:tcPr>
            <w:tcW w:w="1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583</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line="189" w:lineRule="exact"/>
              <w:rPr>
                <w:sz w:val="20"/>
                <w:szCs w:val="20"/>
                <w:color w:val="auto"/>
              </w:rPr>
            </w:pPr>
            <w:r>
              <w:rPr>
                <w:rFonts w:ascii="Arial" w:cs="Arial" w:eastAsia="Arial" w:hAnsi="Arial"/>
                <w:sz w:val="17"/>
                <w:szCs w:val="17"/>
                <w:color w:val="auto"/>
              </w:rPr>
              <w:t>2022</w:t>
            </w: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527</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2023</w:t>
            </w:r>
          </w:p>
        </w:tc>
        <w:tc>
          <w:tcPr>
            <w:tcW w:w="1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456</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2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Thereafter</w:t>
            </w:r>
          </w:p>
        </w:tc>
        <w:tc>
          <w:tcPr>
            <w:tcW w:w="1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1,408</w:t>
            </w:r>
          </w:p>
        </w:tc>
        <w:tc>
          <w:tcPr>
            <w:tcW w:w="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42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operating lease commitments</w:t>
            </w:r>
          </w:p>
        </w:tc>
        <w:tc>
          <w:tcPr>
            <w:tcW w:w="1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4,277</w:t>
            </w:r>
          </w:p>
        </w:tc>
        <w:tc>
          <w:tcPr>
            <w:tcW w:w="20" w:type="dxa"/>
            <w:vAlign w:val="bottom"/>
          </w:tcPr>
          <w:p>
            <w:pPr>
              <w:spacing w:after="0"/>
              <w:rPr>
                <w:sz w:val="16"/>
                <w:szCs w:val="16"/>
                <w:color w:val="auto"/>
              </w:rPr>
            </w:pPr>
          </w:p>
        </w:tc>
      </w:tr>
      <w:tr>
        <w:trPr>
          <w:trHeight w:val="432"/>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8. Accumulated Other Comprehensive Loss</w:t>
            </w: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7600" w:type="dxa"/>
            <w:vAlign w:val="bottom"/>
            <w:gridSpan w:val="6"/>
          </w:tcPr>
          <w:p>
            <w:pPr>
              <w:spacing w:after="0"/>
              <w:rPr>
                <w:sz w:val="20"/>
                <w:szCs w:val="20"/>
                <w:color w:val="auto"/>
              </w:rPr>
            </w:pPr>
            <w:r>
              <w:rPr>
                <w:rFonts w:ascii="Arial" w:cs="Arial" w:eastAsia="Arial" w:hAnsi="Arial"/>
                <w:sz w:val="18"/>
                <w:szCs w:val="18"/>
                <w:color w:val="auto"/>
              </w:rPr>
              <w:t>Accumulated other comprehensive loss (“AOCL”), net of tax, is comprised of the following:</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140" w:type="dxa"/>
            <w:vAlign w:val="bottom"/>
          </w:tcPr>
          <w:p>
            <w:pPr>
              <w:jc w:val="center"/>
              <w:ind w:left="494"/>
              <w:spacing w:after="0"/>
              <w:rPr>
                <w:sz w:val="20"/>
                <w:szCs w:val="20"/>
                <w:color w:val="auto"/>
              </w:rPr>
            </w:pPr>
            <w:r>
              <w:rPr>
                <w:rFonts w:ascii="Arial" w:cs="Arial" w:eastAsia="Arial" w:hAnsi="Arial"/>
                <w:sz w:val="17"/>
                <w:szCs w:val="17"/>
                <w:b w:val="1"/>
                <w:bCs w:val="1"/>
                <w:color w:val="auto"/>
                <w:w w:val="99"/>
              </w:rPr>
              <w:t>May 4,</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center"/>
              <w:ind w:right="195"/>
              <w:spacing w:after="0"/>
              <w:rPr>
                <w:sz w:val="20"/>
                <w:szCs w:val="20"/>
                <w:color w:val="auto"/>
              </w:rPr>
            </w:pPr>
            <w:r>
              <w:rPr>
                <w:rFonts w:ascii="Arial" w:cs="Arial" w:eastAsia="Arial" w:hAnsi="Arial"/>
                <w:sz w:val="17"/>
                <w:szCs w:val="17"/>
                <w:b w:val="1"/>
                <w:bCs w:val="1"/>
                <w:color w:val="auto"/>
                <w:w w:val="99"/>
              </w:rPr>
              <w:t>May 5,</w:t>
            </w:r>
          </w:p>
        </w:tc>
        <w:tc>
          <w:tcPr>
            <w:tcW w:w="26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Arial" w:cs="Arial" w:eastAsia="Arial" w:hAnsi="Arial"/>
                <w:sz w:val="17"/>
                <w:szCs w:val="17"/>
                <w:b w:val="1"/>
                <w:bCs w:val="1"/>
                <w:color w:val="auto"/>
              </w:rPr>
              <w:t>February 2,</w:t>
            </w:r>
          </w:p>
        </w:tc>
      </w:tr>
      <w:tr>
        <w:trPr>
          <w:trHeight w:val="215"/>
        </w:trPr>
        <w:tc>
          <w:tcPr>
            <w:tcW w:w="20" w:type="dxa"/>
            <w:vAlign w:val="bottom"/>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2019</w:t>
            </w: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75"/>
              <w:spacing w:after="0"/>
              <w:rPr>
                <w:sz w:val="20"/>
                <w:szCs w:val="20"/>
                <w:color w:val="auto"/>
              </w:rPr>
            </w:pPr>
            <w:r>
              <w:rPr>
                <w:rFonts w:ascii="Arial" w:cs="Arial" w:eastAsia="Arial" w:hAnsi="Arial"/>
                <w:sz w:val="17"/>
                <w:szCs w:val="17"/>
                <w:b w:val="1"/>
                <w:bCs w:val="1"/>
                <w:color w:val="auto"/>
              </w:rPr>
              <w:t>2018</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2019</w:t>
            </w:r>
          </w:p>
        </w:tc>
        <w:tc>
          <w:tcPr>
            <w:tcW w:w="20" w:type="dxa"/>
            <w:vAlign w:val="bottom"/>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ind w:right="215"/>
              <w:spacing w:after="0" w:line="183" w:lineRule="exact"/>
              <w:rPr>
                <w:sz w:val="20"/>
                <w:szCs w:val="20"/>
                <w:color w:val="auto"/>
              </w:rPr>
            </w:pPr>
            <w:r>
              <w:rPr>
                <w:rFonts w:ascii="Arial" w:cs="Arial" w:eastAsia="Arial" w:hAnsi="Arial"/>
                <w:sz w:val="17"/>
                <w:szCs w:val="17"/>
                <w:color w:val="auto"/>
              </w:rPr>
              <w:t>($ in millions)</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 currency translation adjustments</w:t>
            </w:r>
          </w:p>
        </w:tc>
        <w:tc>
          <w:tcPr>
            <w:tcW w:w="114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(99)</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(47)</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(84)</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line="189" w:lineRule="exact"/>
              <w:rPr>
                <w:sz w:val="20"/>
                <w:szCs w:val="20"/>
                <w:color w:val="auto"/>
              </w:rPr>
            </w:pPr>
            <w:r>
              <w:rPr>
                <w:rFonts w:ascii="Arial" w:cs="Arial" w:eastAsia="Arial" w:hAnsi="Arial"/>
                <w:sz w:val="17"/>
                <w:szCs w:val="17"/>
                <w:color w:val="auto"/>
              </w:rPr>
              <w:t>Cash flow hedges</w:t>
            </w:r>
          </w:p>
        </w:tc>
        <w:tc>
          <w:tcPr>
            <w:tcW w:w="1140" w:type="dxa"/>
            <w:vAlign w:val="bottom"/>
          </w:tcPr>
          <w:p>
            <w:pPr>
              <w:spacing w:after="0"/>
              <w:rPr>
                <w:sz w:val="16"/>
                <w:szCs w:val="16"/>
                <w:color w:val="auto"/>
              </w:rPr>
            </w:pPr>
          </w:p>
        </w:tc>
        <w:tc>
          <w:tcPr>
            <w:tcW w:w="5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(2)</w:t>
            </w:r>
          </w:p>
        </w:tc>
        <w:tc>
          <w:tcPr>
            <w:tcW w:w="260" w:type="dxa"/>
            <w:vAlign w:val="bottom"/>
          </w:tcPr>
          <w:p>
            <w:pPr>
              <w:spacing w:after="0"/>
              <w:rPr>
                <w:sz w:val="16"/>
                <w:szCs w:val="16"/>
                <w:color w:val="auto"/>
              </w:rPr>
            </w:pPr>
          </w:p>
        </w:tc>
        <w:tc>
          <w:tcPr>
            <w:tcW w:w="140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1</w:t>
            </w:r>
          </w:p>
        </w:tc>
        <w:tc>
          <w:tcPr>
            <w:tcW w:w="2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2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Unrecognized pension cost and postretirement benefit</w:t>
            </w:r>
          </w:p>
        </w:tc>
        <w:tc>
          <w:tcPr>
            <w:tcW w:w="1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(283)</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(267)</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(286)</w:t>
            </w:r>
          </w:p>
        </w:tc>
        <w:tc>
          <w:tcPr>
            <w:tcW w:w="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4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80"/>
              <w:spacing w:after="0" w:line="183" w:lineRule="exact"/>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(384)</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(313)</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(370)</w:t>
            </w:r>
          </w:p>
        </w:tc>
        <w:tc>
          <w:tcPr>
            <w:tcW w:w="20" w:type="dxa"/>
            <w:vAlign w:val="bottom"/>
          </w:tcPr>
          <w:p>
            <w:pPr>
              <w:spacing w:after="0"/>
              <w:rPr>
                <w:sz w:val="16"/>
                <w:szCs w:val="16"/>
                <w:color w:val="auto"/>
              </w:rPr>
            </w:pPr>
          </w:p>
        </w:tc>
      </w:tr>
      <w:tr>
        <w:trPr>
          <w:trHeight w:val="851"/>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140" w:type="dxa"/>
            <w:vAlign w:val="bottom"/>
          </w:tcPr>
          <w:p>
            <w:pPr>
              <w:ind w:left="18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0" w:type="dxa"/>
            <w:vAlign w:val="bottom"/>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AOCL for the thirteen weeks ended May 4, 2019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center"/>
              <w:ind w:right="155"/>
              <w:spacing w:after="0"/>
              <w:rPr>
                <w:sz w:val="20"/>
                <w:szCs w:val="20"/>
                <w:color w:val="auto"/>
              </w:rPr>
            </w:pPr>
            <w:r>
              <w:rPr>
                <w:rFonts w:ascii="Arial" w:cs="Arial" w:eastAsia="Arial" w:hAnsi="Arial"/>
                <w:sz w:val="17"/>
                <w:szCs w:val="17"/>
                <w:b w:val="1"/>
                <w:bCs w:val="1"/>
                <w:color w:val="auto"/>
                <w:w w:val="99"/>
              </w:rPr>
              <w:t>Foreign</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60" w:type="dxa"/>
            <w:vAlign w:val="bottom"/>
            <w:gridSpan w:val="2"/>
          </w:tcPr>
          <w:p>
            <w:pPr>
              <w:jc w:val="right"/>
              <w:ind w:right="95"/>
              <w:spacing w:after="0"/>
              <w:rPr>
                <w:sz w:val="20"/>
                <w:szCs w:val="20"/>
                <w:color w:val="auto"/>
              </w:rPr>
            </w:pPr>
            <w:r>
              <w:rPr>
                <w:rFonts w:ascii="Arial" w:cs="Arial" w:eastAsia="Arial" w:hAnsi="Arial"/>
                <w:sz w:val="17"/>
                <w:szCs w:val="17"/>
                <w:b w:val="1"/>
                <w:bCs w:val="1"/>
                <w:color w:val="auto"/>
              </w:rPr>
              <w:t>Items Related</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center"/>
              <w:ind w:right="155"/>
              <w:spacing w:after="0" w:line="189" w:lineRule="exact"/>
              <w:rPr>
                <w:sz w:val="20"/>
                <w:szCs w:val="20"/>
                <w:color w:val="auto"/>
              </w:rPr>
            </w:pPr>
            <w:r>
              <w:rPr>
                <w:rFonts w:ascii="Arial" w:cs="Arial" w:eastAsia="Arial" w:hAnsi="Arial"/>
                <w:sz w:val="17"/>
                <w:szCs w:val="17"/>
                <w:b w:val="1"/>
                <w:bCs w:val="1"/>
                <w:color w:val="auto"/>
                <w:w w:val="99"/>
              </w:rPr>
              <w:t>Currency</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60" w:type="dxa"/>
            <w:vAlign w:val="bottom"/>
            <w:gridSpan w:val="2"/>
          </w:tcPr>
          <w:p>
            <w:pPr>
              <w:ind w:left="100"/>
              <w:spacing w:after="0" w:line="189" w:lineRule="exact"/>
              <w:rPr>
                <w:sz w:val="20"/>
                <w:szCs w:val="20"/>
                <w:color w:val="auto"/>
              </w:rPr>
            </w:pPr>
            <w:r>
              <w:rPr>
                <w:rFonts w:ascii="Arial" w:cs="Arial" w:eastAsia="Arial" w:hAnsi="Arial"/>
                <w:sz w:val="17"/>
                <w:szCs w:val="17"/>
                <w:b w:val="1"/>
                <w:bCs w:val="1"/>
                <w:color w:val="auto"/>
              </w:rPr>
              <w:t>to Pension and</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Pr>
          <w:p>
            <w:pPr>
              <w:spacing w:after="0"/>
              <w:rPr>
                <w:sz w:val="16"/>
                <w:szCs w:val="16"/>
                <w:color w:val="auto"/>
              </w:rPr>
            </w:pPr>
          </w:p>
        </w:tc>
        <w:tc>
          <w:tcPr>
            <w:tcW w:w="1420" w:type="dxa"/>
            <w:vAlign w:val="bottom"/>
            <w:gridSpan w:val="2"/>
          </w:tcPr>
          <w:p>
            <w:pPr>
              <w:jc w:val="center"/>
              <w:ind w:left="35"/>
              <w:spacing w:after="0" w:line="189" w:lineRule="exact"/>
              <w:rPr>
                <w:sz w:val="20"/>
                <w:szCs w:val="20"/>
                <w:color w:val="auto"/>
              </w:rPr>
            </w:pPr>
            <w:r>
              <w:rPr>
                <w:rFonts w:ascii="Arial" w:cs="Arial" w:eastAsia="Arial" w:hAnsi="Arial"/>
                <w:sz w:val="17"/>
                <w:szCs w:val="17"/>
                <w:b w:val="1"/>
                <w:bCs w:val="1"/>
                <w:color w:val="auto"/>
                <w:w w:val="98"/>
              </w:rPr>
              <w:t>Translation</w:t>
            </w:r>
          </w:p>
        </w:tc>
        <w:tc>
          <w:tcPr>
            <w:tcW w:w="1200" w:type="dxa"/>
            <w:vAlign w:val="bottom"/>
            <w:gridSpan w:val="2"/>
          </w:tcPr>
          <w:p>
            <w:pPr>
              <w:jc w:val="right"/>
              <w:ind w:right="95"/>
              <w:spacing w:after="0" w:line="189" w:lineRule="exact"/>
              <w:rPr>
                <w:sz w:val="20"/>
                <w:szCs w:val="20"/>
                <w:color w:val="auto"/>
              </w:rPr>
            </w:pPr>
            <w:r>
              <w:rPr>
                <w:rFonts w:ascii="Arial" w:cs="Arial" w:eastAsia="Arial" w:hAnsi="Arial"/>
                <w:sz w:val="17"/>
                <w:szCs w:val="17"/>
                <w:b w:val="1"/>
                <w:bCs w:val="1"/>
                <w:color w:val="auto"/>
              </w:rPr>
              <w:t>Cash Flow</w:t>
            </w:r>
          </w:p>
        </w:tc>
        <w:tc>
          <w:tcPr>
            <w:tcW w:w="146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Postretirement</w:t>
            </w: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80" w:type="dxa"/>
            <w:vAlign w:val="bottom"/>
          </w:tcPr>
          <w:p>
            <w:pPr>
              <w:spacing w:after="0"/>
              <w:rPr>
                <w:sz w:val="20"/>
                <w:szCs w:val="20"/>
                <w:color w:val="auto"/>
              </w:rPr>
            </w:pPr>
            <w:r>
              <w:rPr>
                <w:rFonts w:ascii="Arial" w:cs="Arial" w:eastAsia="Arial" w:hAnsi="Arial"/>
                <w:sz w:val="17"/>
                <w:szCs w:val="17"/>
                <w:color w:val="auto"/>
              </w:rPr>
              <w:t>($ in millions)</w:t>
            </w:r>
          </w:p>
        </w:tc>
        <w:tc>
          <w:tcPr>
            <w:tcW w:w="1420" w:type="dxa"/>
            <w:vAlign w:val="bottom"/>
            <w:gridSpan w:val="2"/>
          </w:tcPr>
          <w:p>
            <w:pPr>
              <w:jc w:val="center"/>
              <w:ind w:left="35"/>
              <w:spacing w:after="0"/>
              <w:rPr>
                <w:sz w:val="20"/>
                <w:szCs w:val="20"/>
                <w:color w:val="auto"/>
              </w:rPr>
            </w:pPr>
            <w:r>
              <w:rPr>
                <w:rFonts w:ascii="Arial" w:cs="Arial" w:eastAsia="Arial" w:hAnsi="Arial"/>
                <w:sz w:val="17"/>
                <w:szCs w:val="17"/>
                <w:b w:val="1"/>
                <w:bCs w:val="1"/>
                <w:color w:val="auto"/>
                <w:w w:val="99"/>
              </w:rPr>
              <w:t>Adjustments</w:t>
            </w:r>
          </w:p>
        </w:tc>
        <w:tc>
          <w:tcPr>
            <w:tcW w:w="240" w:type="dxa"/>
            <w:vAlign w:val="bottom"/>
          </w:tcPr>
          <w:p>
            <w:pPr>
              <w:spacing w:after="0"/>
              <w:rPr>
                <w:sz w:val="18"/>
                <w:szCs w:val="18"/>
                <w:color w:val="auto"/>
              </w:rPr>
            </w:pPr>
          </w:p>
        </w:tc>
        <w:tc>
          <w:tcPr>
            <w:tcW w:w="960" w:type="dxa"/>
            <w:vAlign w:val="bottom"/>
          </w:tcPr>
          <w:p>
            <w:pPr>
              <w:jc w:val="right"/>
              <w:ind w:right="215"/>
              <w:spacing w:after="0"/>
              <w:rPr>
                <w:sz w:val="20"/>
                <w:szCs w:val="20"/>
                <w:color w:val="auto"/>
              </w:rPr>
            </w:pPr>
            <w:r>
              <w:rPr>
                <w:rFonts w:ascii="Arial" w:cs="Arial" w:eastAsia="Arial" w:hAnsi="Arial"/>
                <w:sz w:val="17"/>
                <w:szCs w:val="17"/>
                <w:b w:val="1"/>
                <w:bCs w:val="1"/>
                <w:color w:val="auto"/>
              </w:rPr>
              <w:t>Hedges</w:t>
            </w:r>
          </w:p>
        </w:tc>
        <w:tc>
          <w:tcPr>
            <w:tcW w:w="280" w:type="dxa"/>
            <w:vAlign w:val="bottom"/>
          </w:tcPr>
          <w:p>
            <w:pPr>
              <w:spacing w:after="0"/>
              <w:rPr>
                <w:sz w:val="18"/>
                <w:szCs w:val="18"/>
                <w:color w:val="auto"/>
              </w:rPr>
            </w:pPr>
          </w:p>
        </w:tc>
        <w:tc>
          <w:tcPr>
            <w:tcW w:w="1180" w:type="dxa"/>
            <w:vAlign w:val="bottom"/>
          </w:tcPr>
          <w:p>
            <w:pPr>
              <w:jc w:val="right"/>
              <w:ind w:right="315"/>
              <w:spacing w:after="0"/>
              <w:rPr>
                <w:sz w:val="20"/>
                <w:szCs w:val="20"/>
                <w:color w:val="auto"/>
              </w:rPr>
            </w:pPr>
            <w:r>
              <w:rPr>
                <w:rFonts w:ascii="Arial" w:cs="Arial" w:eastAsia="Arial" w:hAnsi="Arial"/>
                <w:sz w:val="17"/>
                <w:szCs w:val="17"/>
                <w:b w:val="1"/>
                <w:bCs w:val="1"/>
                <w:color w:val="auto"/>
              </w:rPr>
              <w:t>Benefits</w:t>
            </w:r>
          </w:p>
        </w:tc>
        <w:tc>
          <w:tcPr>
            <w:tcW w:w="300" w:type="dxa"/>
            <w:vAlign w:val="bottom"/>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3"/>
        </w:trPr>
        <w:tc>
          <w:tcPr>
            <w:tcW w:w="38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as of February 2, 2019</w:t>
            </w:r>
          </w:p>
        </w:tc>
        <w:tc>
          <w:tcPr>
            <w:tcW w:w="3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(84)</w:t>
            </w:r>
          </w:p>
        </w:tc>
        <w:tc>
          <w:tcPr>
            <w:tcW w:w="2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280" w:type="dxa"/>
            <w:vAlign w:val="bottom"/>
            <w:tcBorders>
              <w:top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(286)</w:t>
            </w:r>
          </w:p>
        </w:tc>
        <w:tc>
          <w:tcPr>
            <w:tcW w:w="30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OCI before reclassification</w:t>
            </w:r>
          </w:p>
        </w:tc>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(15)</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(2)</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w:t>
            </w: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Amortization of pension actuarial loss, net of tax</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2</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Other comprehensive income</w:t>
            </w:r>
          </w:p>
        </w:tc>
        <w:tc>
          <w:tcPr>
            <w:tcW w:w="3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(15)</w:t>
            </w:r>
          </w:p>
        </w:tc>
        <w:tc>
          <w:tcPr>
            <w:tcW w:w="2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w:t>
            </w: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3</w:t>
            </w: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Balance as of May 4, 2019</w:t>
            </w:r>
          </w:p>
        </w:tc>
        <w:tc>
          <w:tcPr>
            <w:tcW w:w="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(99)</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(2)</w:t>
            </w:r>
          </w:p>
        </w:tc>
        <w:tc>
          <w:tcPr>
            <w:tcW w:w="28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(283)</w:t>
            </w:r>
          </w:p>
        </w:tc>
        <w:tc>
          <w:tcPr>
            <w:tcW w:w="3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(384)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7960" w:type="dxa"/>
            <w:vAlign w:val="bottom"/>
            <w:gridSpan w:val="7"/>
          </w:tcPr>
          <w:p>
            <w:pPr>
              <w:spacing w:after="0"/>
              <w:rPr>
                <w:sz w:val="20"/>
                <w:szCs w:val="20"/>
                <w:color w:val="auto"/>
              </w:rPr>
            </w:pPr>
            <w:r>
              <w:rPr>
                <w:rFonts w:ascii="Arial" w:cs="Arial" w:eastAsia="Arial" w:hAnsi="Arial"/>
                <w:sz w:val="18"/>
                <w:szCs w:val="18"/>
                <w:color w:val="auto"/>
              </w:rPr>
              <w:t>Reclassifications from AOCL for the thirteen weeks ended May 4, 2019 were as follows: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gridSpan w:val="4"/>
          </w:tcPr>
          <w:p>
            <w:pPr>
              <w:ind w:left="960"/>
              <w:spacing w:after="0"/>
              <w:rPr>
                <w:sz w:val="20"/>
                <w:szCs w:val="20"/>
                <w:color w:val="auto"/>
              </w:rPr>
            </w:pPr>
            <w:r>
              <w:rPr>
                <w:rFonts w:ascii="Arial" w:cs="Arial" w:eastAsia="Arial" w:hAnsi="Arial"/>
                <w:sz w:val="17"/>
                <w:szCs w:val="17"/>
                <w:color w:val="auto"/>
              </w:rPr>
              <w:t>($ in millions)</w:t>
            </w:r>
          </w:p>
        </w:tc>
        <w:tc>
          <w:tcPr>
            <w:tcW w:w="0" w:type="dxa"/>
            <w:vAlign w:val="bottom"/>
          </w:tcPr>
          <w:p>
            <w:pPr>
              <w:spacing w:after="0"/>
              <w:rPr>
                <w:sz w:val="1"/>
                <w:szCs w:val="1"/>
                <w:color w:val="auto"/>
              </w:rPr>
            </w:pPr>
          </w:p>
        </w:tc>
      </w:tr>
      <w:tr>
        <w:trPr>
          <w:trHeight w:val="183"/>
        </w:trPr>
        <w:tc>
          <w:tcPr>
            <w:tcW w:w="38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of actuarial (gain) loss:</w:t>
            </w:r>
          </w:p>
        </w:tc>
        <w:tc>
          <w:tcPr>
            <w:tcW w:w="3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120"/>
              <w:spacing w:after="0" w:line="189" w:lineRule="exact"/>
              <w:rPr>
                <w:sz w:val="20"/>
                <w:szCs w:val="20"/>
                <w:color w:val="auto"/>
              </w:rPr>
            </w:pPr>
            <w:r>
              <w:rPr>
                <w:rFonts w:ascii="Arial" w:cs="Arial" w:eastAsia="Arial" w:hAnsi="Arial"/>
                <w:sz w:val="17"/>
                <w:szCs w:val="17"/>
                <w:color w:val="auto"/>
              </w:rPr>
              <w:t>Pension benefits- amortization of actuarial loss</w:t>
            </w: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355"/>
              <w:spacing w:after="0" w:line="189" w:lineRule="exact"/>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Borders>
              <w:bottom w:val="single" w:sz="8" w:color="auto"/>
            </w:tcBorders>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Postretirement benefits- amortization of actuarial gain</w:t>
            </w:r>
          </w:p>
        </w:tc>
        <w:tc>
          <w:tcPr>
            <w:tcW w:w="10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Pr>
          <w:p>
            <w:pPr>
              <w:spacing w:after="0" w:line="183" w:lineRule="exact"/>
              <w:rPr>
                <w:sz w:val="20"/>
                <w:szCs w:val="20"/>
                <w:color w:val="auto"/>
              </w:rPr>
            </w:pPr>
            <w:r>
              <w:rPr>
                <w:rFonts w:ascii="Arial" w:cs="Arial" w:eastAsia="Arial" w:hAnsi="Arial"/>
                <w:sz w:val="17"/>
                <w:szCs w:val="17"/>
                <w:color w:val="auto"/>
              </w:rPr>
              <w:t>Net periodic benefit cost (see Note 11)</w:t>
            </w: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7"/>
                <w:szCs w:val="17"/>
                <w:b w:val="1"/>
                <w:bCs w:val="1"/>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Income tax benefit</w:t>
            </w:r>
          </w:p>
        </w:tc>
        <w:tc>
          <w:tcPr>
            <w:tcW w:w="3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net of tax</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5"/>
              <w:spacing w:after="0" w:line="183" w:lineRule="exact"/>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recorded at fair value are categorized as follows:</w:t>
      </w:r>
    </w:p>
    <w:p>
      <w:pPr>
        <w:spacing w:after="0" w:line="200" w:lineRule="exact"/>
        <w:rPr>
          <w:sz w:val="20"/>
          <w:szCs w:val="20"/>
          <w:color w:val="auto"/>
        </w:rPr>
      </w:pPr>
    </w:p>
    <w:p>
      <w:pPr>
        <w:ind w:left="320"/>
        <w:spacing w:after="0"/>
        <w:tabs>
          <w:tab w:leader="none" w:pos="1260" w:val="left"/>
        </w:tabs>
        <w:rPr>
          <w:sz w:val="20"/>
          <w:szCs w:val="20"/>
          <w:color w:val="auto"/>
        </w:rPr>
      </w:pPr>
      <w:r>
        <w:rPr>
          <w:rFonts w:ascii="Arial" w:cs="Arial" w:eastAsia="Arial" w:hAnsi="Arial"/>
          <w:sz w:val="17"/>
          <w:szCs w:val="17"/>
          <w:b w:val="1"/>
          <w:bCs w:val="1"/>
          <w:color w:val="auto"/>
        </w:rPr>
        <w:t xml:space="preserve">Level 1 </w:t>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Quoted prices for identical instruments in active markets.</w:t>
      </w:r>
    </w:p>
    <w:p>
      <w:pPr>
        <w:spacing w:after="0" w:line="213" w:lineRule="exact"/>
        <w:rPr>
          <w:sz w:val="20"/>
          <w:szCs w:val="20"/>
          <w:color w:val="auto"/>
        </w:rPr>
      </w:pPr>
    </w:p>
    <w:p>
      <w:pPr>
        <w:jc w:val="both"/>
        <w:ind w:left="1300" w:hanging="971"/>
        <w:spacing w:after="0"/>
        <w:tabs>
          <w:tab w:leader="none" w:pos="1280" w:val="left"/>
        </w:tabs>
        <w:rPr>
          <w:sz w:val="20"/>
          <w:szCs w:val="20"/>
          <w:color w:val="auto"/>
        </w:rPr>
      </w:pPr>
      <w:r>
        <w:rPr>
          <w:rFonts w:ascii="Arial" w:cs="Arial" w:eastAsia="Arial" w:hAnsi="Arial"/>
          <w:sz w:val="18"/>
          <w:szCs w:val="18"/>
          <w:b w:val="1"/>
          <w:bCs w:val="1"/>
          <w:color w:val="auto"/>
        </w:rPr>
        <w:t>Level 2 –</w:t>
      </w:r>
      <w:r>
        <w:rPr>
          <w:sz w:val="20"/>
          <w:szCs w:val="20"/>
          <w:color w:val="auto"/>
        </w:rPr>
        <w:tab/>
      </w:r>
      <w:r>
        <w:rPr>
          <w:rFonts w:ascii="Arial" w:cs="Arial" w:eastAsia="Arial" w:hAnsi="Arial"/>
          <w:sz w:val="18"/>
          <w:szCs w:val="18"/>
          <w:color w:val="auto"/>
        </w:rPr>
        <w:t>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203" w:lineRule="exact"/>
        <w:rPr>
          <w:sz w:val="20"/>
          <w:szCs w:val="20"/>
          <w:color w:val="auto"/>
        </w:rPr>
      </w:pPr>
    </w:p>
    <w:p>
      <w:pPr>
        <w:jc w:val="both"/>
        <w:ind w:left="1300" w:hanging="971"/>
        <w:spacing w:after="0" w:line="246" w:lineRule="auto"/>
        <w:tabs>
          <w:tab w:leader="none" w:pos="1280" w:val="left"/>
        </w:tabs>
        <w:rPr>
          <w:sz w:val="20"/>
          <w:szCs w:val="20"/>
          <w:color w:val="auto"/>
        </w:rPr>
      </w:pPr>
      <w:r>
        <w:rPr>
          <w:rFonts w:ascii="Arial" w:cs="Arial" w:eastAsia="Arial" w:hAnsi="Arial"/>
          <w:sz w:val="18"/>
          <w:szCs w:val="18"/>
          <w:b w:val="1"/>
          <w:bCs w:val="1"/>
          <w:color w:val="auto"/>
        </w:rPr>
        <w:t>Level 3 –</w:t>
      </w:r>
      <w:r>
        <w:rPr>
          <w:sz w:val="20"/>
          <w:szCs w:val="20"/>
          <w:color w:val="auto"/>
        </w:rPr>
        <w:tab/>
      </w:r>
      <w:r>
        <w:rPr>
          <w:rFonts w:ascii="Arial" w:cs="Arial" w:eastAsia="Arial" w:hAnsi="Arial"/>
          <w:sz w:val="18"/>
          <w:szCs w:val="18"/>
          <w:color w:val="auto"/>
        </w:rPr>
        <w:t>Model-derived valuations in which one or more significant inputs or significant value-drivers are unobservable.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 – (continued)</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provides a summary of the Company’s recognized assets and liabilities that are measured at fair value on a recurring basis: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ind w:left="660"/>
              <w:spacing w:after="0"/>
              <w:rPr>
                <w:sz w:val="20"/>
                <w:szCs w:val="20"/>
                <w:color w:val="auto"/>
              </w:rPr>
            </w:pPr>
            <w:r>
              <w:rPr>
                <w:rFonts w:ascii="Arial" w:cs="Arial" w:eastAsia="Arial" w:hAnsi="Arial"/>
                <w:sz w:val="17"/>
                <w:szCs w:val="17"/>
                <w:b w:val="1"/>
                <w:bCs w:val="1"/>
                <w:color w:val="auto"/>
              </w:rPr>
              <w:t>As of May 4, 2019</w:t>
            </w: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ind w:left="660"/>
              <w:spacing w:after="0"/>
              <w:rPr>
                <w:sz w:val="20"/>
                <w:szCs w:val="20"/>
                <w:color w:val="auto"/>
              </w:rPr>
            </w:pPr>
            <w:r>
              <w:rPr>
                <w:rFonts w:ascii="Arial" w:cs="Arial" w:eastAsia="Arial" w:hAnsi="Arial"/>
                <w:sz w:val="17"/>
                <w:szCs w:val="17"/>
                <w:b w:val="1"/>
                <w:bCs w:val="1"/>
                <w:color w:val="auto"/>
              </w:rPr>
              <w:t>As of May 5, 2018</w:t>
            </w:r>
          </w:p>
        </w:tc>
        <w:tc>
          <w:tcPr>
            <w:tcW w:w="740" w:type="dxa"/>
            <w:vAlign w:val="bottom"/>
            <w:tcBorders>
              <w:bottom w:val="single" w:sz="8" w:color="auto"/>
            </w:tcBorders>
          </w:tcPr>
          <w:p>
            <w:pPr>
              <w:spacing w:after="0"/>
              <w:rPr>
                <w:sz w:val="18"/>
                <w:szCs w:val="18"/>
                <w:color w:val="auto"/>
              </w:rPr>
            </w:pPr>
          </w:p>
        </w:tc>
      </w:tr>
      <w:tr>
        <w:trPr>
          <w:trHeight w:val="156"/>
        </w:trPr>
        <w:tc>
          <w:tcPr>
            <w:tcW w:w="2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gridSpan w:val="3"/>
          </w:tcPr>
          <w:p>
            <w:pPr>
              <w:ind w:left="360"/>
              <w:spacing w:after="0" w:line="157" w:lineRule="exact"/>
              <w:rPr>
                <w:sz w:val="20"/>
                <w:szCs w:val="20"/>
                <w:color w:val="auto"/>
              </w:rPr>
            </w:pPr>
            <w:r>
              <w:rPr>
                <w:rFonts w:ascii="Arial" w:cs="Arial" w:eastAsia="Arial" w:hAnsi="Arial"/>
                <w:sz w:val="17"/>
                <w:szCs w:val="17"/>
                <w:color w:val="auto"/>
              </w:rPr>
              <w:t>($ in millions)</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15"/>
        </w:trPr>
        <w:tc>
          <w:tcPr>
            <w:tcW w:w="2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Level 1</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Level 2</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Level 3</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Level 1</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Level 2</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Level 3</w:t>
            </w:r>
          </w:p>
        </w:tc>
      </w:tr>
      <w:tr>
        <w:trPr>
          <w:trHeight w:val="183"/>
        </w:trPr>
        <w:tc>
          <w:tcPr>
            <w:tcW w:w="284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9"/>
        </w:trPr>
        <w:tc>
          <w:tcPr>
            <w:tcW w:w="2840" w:type="dxa"/>
            <w:vAlign w:val="bottom"/>
          </w:tcPr>
          <w:p>
            <w:pPr>
              <w:spacing w:after="0" w:line="189" w:lineRule="exact"/>
              <w:rPr>
                <w:sz w:val="20"/>
                <w:szCs w:val="20"/>
                <w:color w:val="auto"/>
              </w:rPr>
            </w:pPr>
            <w:r>
              <w:rPr>
                <w:rFonts w:ascii="Arial" w:cs="Arial" w:eastAsia="Arial" w:hAnsi="Arial"/>
                <w:sz w:val="17"/>
                <w:szCs w:val="17"/>
                <w:color w:val="auto"/>
              </w:rPr>
              <w:t>Equity investments</w:t>
            </w:r>
          </w:p>
        </w:tc>
        <w:tc>
          <w:tcPr>
            <w:tcW w:w="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00" w:type="dxa"/>
            <w:vAlign w:val="bottom"/>
          </w:tcPr>
          <w:p>
            <w:pPr>
              <w:ind w:left="500"/>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133</w:t>
            </w:r>
          </w:p>
        </w:tc>
        <w:tc>
          <w:tcPr>
            <w:tcW w:w="2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20" w:type="dxa"/>
            <w:vAlign w:val="bottom"/>
          </w:tcPr>
          <w:p>
            <w:pPr>
              <w:ind w:left="520"/>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tcPr>
          <w:p>
            <w:pPr>
              <w:ind w:left="50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tcPr>
          <w:p>
            <w:pPr>
              <w:ind w:left="520"/>
              <w:spacing w:after="0" w:line="189" w:lineRule="exact"/>
              <w:rPr>
                <w:sz w:val="20"/>
                <w:szCs w:val="20"/>
                <w:color w:val="auto"/>
              </w:rPr>
            </w:pPr>
            <w:r>
              <w:rPr>
                <w:rFonts w:ascii="Arial" w:cs="Arial" w:eastAsia="Arial" w:hAnsi="Arial"/>
                <w:sz w:val="17"/>
                <w:szCs w:val="17"/>
                <w:color w:val="auto"/>
              </w:rPr>
              <w:t>—</w:t>
            </w:r>
          </w:p>
        </w:tc>
      </w:tr>
      <w:tr>
        <w:trPr>
          <w:trHeight w:val="189"/>
        </w:trPr>
        <w:tc>
          <w:tcPr>
            <w:tcW w:w="2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Available-for-sale security</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6</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6</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w:t>
            </w:r>
          </w:p>
        </w:tc>
      </w:tr>
      <w:tr>
        <w:trPr>
          <w:trHeight w:val="189"/>
        </w:trPr>
        <w:tc>
          <w:tcPr>
            <w:tcW w:w="28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Foreign exchange forward contracts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500"/>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520"/>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500"/>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520"/>
              <w:spacing w:after="0" w:line="189" w:lineRule="exact"/>
              <w:rPr>
                <w:sz w:val="20"/>
                <w:szCs w:val="20"/>
                <w:color w:val="auto"/>
              </w:rPr>
            </w:pPr>
            <w:r>
              <w:rPr>
                <w:rFonts w:ascii="Arial" w:cs="Arial" w:eastAsia="Arial" w:hAnsi="Arial"/>
                <w:sz w:val="17"/>
                <w:szCs w:val="17"/>
                <w:color w:val="auto"/>
              </w:rPr>
              <w:t>—</w:t>
            </w:r>
          </w:p>
        </w:tc>
      </w:tr>
      <w:tr>
        <w:trPr>
          <w:trHeight w:val="190"/>
        </w:trPr>
        <w:tc>
          <w:tcPr>
            <w:tcW w:w="28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ind w:left="500"/>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140</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CCEEFF"/>
          </w:tcPr>
          <w:p>
            <w:pPr>
              <w:ind w:left="520"/>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ind w:left="500"/>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7</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ind w:left="520"/>
              <w:spacing w:after="0" w:line="183" w:lineRule="exact"/>
              <w:rPr>
                <w:sz w:val="20"/>
                <w:szCs w:val="20"/>
                <w:color w:val="auto"/>
              </w:rPr>
            </w:pPr>
            <w:r>
              <w:rPr>
                <w:rFonts w:ascii="Arial" w:cs="Arial" w:eastAsia="Arial" w:hAnsi="Arial"/>
                <w:sz w:val="17"/>
                <w:szCs w:val="17"/>
                <w:color w:val="auto"/>
              </w:rPr>
              <w:t>—</w:t>
            </w:r>
          </w:p>
        </w:tc>
      </w:tr>
      <w:tr>
        <w:trPr>
          <w:trHeight w:val="189"/>
        </w:trPr>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28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Liabilities</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9"/>
        </w:trPr>
        <w:tc>
          <w:tcPr>
            <w:tcW w:w="28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Foreign exchange forward contracts</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500"/>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3</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520"/>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500"/>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520"/>
              <w:spacing w:after="0" w:line="189" w:lineRule="exact"/>
              <w:rPr>
                <w:sz w:val="20"/>
                <w:szCs w:val="20"/>
                <w:color w:val="auto"/>
              </w:rPr>
            </w:pPr>
            <w:r>
              <w:rPr>
                <w:rFonts w:ascii="Arial" w:cs="Arial" w:eastAsia="Arial" w:hAnsi="Arial"/>
                <w:sz w:val="17"/>
                <w:szCs w:val="17"/>
                <w:color w:val="auto"/>
              </w:rPr>
              <w:t>—</w:t>
            </w:r>
          </w:p>
        </w:tc>
      </w:tr>
      <w:tr>
        <w:trPr>
          <w:trHeight w:val="190"/>
        </w:trPr>
        <w:tc>
          <w:tcPr>
            <w:tcW w:w="28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ind w:left="500"/>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3</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CCEEFF"/>
          </w:tcPr>
          <w:p>
            <w:pPr>
              <w:ind w:left="520"/>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ind w:left="500"/>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ind w:left="520"/>
              <w:spacing w:after="0" w:line="183" w:lineRule="exact"/>
              <w:rPr>
                <w:sz w:val="20"/>
                <w:szCs w:val="20"/>
                <w:color w:val="auto"/>
              </w:rPr>
            </w:pPr>
            <w:r>
              <w:rPr>
                <w:rFonts w:ascii="Arial" w:cs="Arial" w:eastAsia="Arial" w:hAnsi="Arial"/>
                <w:sz w:val="17"/>
                <w:szCs w:val="17"/>
                <w:color w:val="auto"/>
              </w:rPr>
              <w:t>—</w:t>
            </w:r>
          </w:p>
        </w:tc>
      </w:tr>
    </w:tbl>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fair values of the Company’s equity investments are determined by using quoted prices for identical or similar instruments in markets that are not active and therefore are classified as Level 2. The fair value of the auction rate security is determined by using quoted prices for similar instruments in active markets and accordingly is classified as a Level 2 instrument. The Company’s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and estimated fair value of long-term debt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80" w:type="dxa"/>
            <w:vAlign w:val="bottom"/>
          </w:tcPr>
          <w:p>
            <w:pPr>
              <w:jc w:val="right"/>
              <w:ind w:right="415"/>
              <w:spacing w:after="0"/>
              <w:rPr>
                <w:sz w:val="20"/>
                <w:szCs w:val="20"/>
                <w:color w:val="auto"/>
              </w:rPr>
            </w:pPr>
            <w:r>
              <w:rPr>
                <w:rFonts w:ascii="Arial" w:cs="Arial" w:eastAsia="Arial" w:hAnsi="Arial"/>
                <w:sz w:val="17"/>
                <w:szCs w:val="17"/>
                <w:b w:val="1"/>
                <w:bCs w:val="1"/>
                <w:color w:val="auto"/>
              </w:rPr>
              <w:t>May 4,</w:t>
            </w:r>
          </w:p>
        </w:tc>
        <w:tc>
          <w:tcPr>
            <w:tcW w:w="540" w:type="dxa"/>
            <w:vAlign w:val="bottom"/>
          </w:tcPr>
          <w:p>
            <w:pPr>
              <w:spacing w:after="0"/>
              <w:rPr>
                <w:sz w:val="16"/>
                <w:szCs w:val="16"/>
                <w:color w:val="auto"/>
              </w:rPr>
            </w:pPr>
          </w:p>
        </w:tc>
        <w:tc>
          <w:tcPr>
            <w:tcW w:w="940" w:type="dxa"/>
            <w:vAlign w:val="bottom"/>
          </w:tcPr>
          <w:p>
            <w:pPr>
              <w:jc w:val="right"/>
              <w:ind w:right="315"/>
              <w:spacing w:after="0"/>
              <w:rPr>
                <w:sz w:val="20"/>
                <w:szCs w:val="20"/>
                <w:color w:val="auto"/>
              </w:rPr>
            </w:pPr>
            <w:r>
              <w:rPr>
                <w:rFonts w:ascii="Arial" w:cs="Arial" w:eastAsia="Arial" w:hAnsi="Arial"/>
                <w:sz w:val="17"/>
                <w:szCs w:val="17"/>
                <w:b w:val="1"/>
                <w:bCs w:val="1"/>
                <w:color w:val="auto"/>
                <w:w w:val="99"/>
              </w:rPr>
              <w:t>May 5,</w:t>
            </w:r>
          </w:p>
        </w:tc>
      </w:tr>
      <w:tr>
        <w:trPr>
          <w:trHeight w:val="215"/>
        </w:trPr>
        <w:tc>
          <w:tcPr>
            <w:tcW w:w="36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2018</w:t>
            </w:r>
          </w:p>
        </w:tc>
      </w:tr>
      <w:tr>
        <w:trPr>
          <w:trHeight w:val="183"/>
        </w:trPr>
        <w:tc>
          <w:tcPr>
            <w:tcW w:w="36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72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in millions)</w:t>
            </w:r>
          </w:p>
        </w:tc>
        <w:tc>
          <w:tcPr>
            <w:tcW w:w="940" w:type="dxa"/>
            <w:vAlign w:val="bottom"/>
          </w:tcPr>
          <w:p>
            <w:pPr>
              <w:spacing w:after="0"/>
              <w:rPr>
                <w:sz w:val="15"/>
                <w:szCs w:val="15"/>
                <w:color w:val="auto"/>
              </w:rPr>
            </w:pPr>
          </w:p>
        </w:tc>
      </w:tr>
      <w:tr>
        <w:trPr>
          <w:trHeight w:val="189"/>
        </w:trPr>
        <w:tc>
          <w:tcPr>
            <w:tcW w:w="3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Carrying value</w:t>
            </w:r>
          </w:p>
        </w:tc>
        <w:tc>
          <w:tcPr>
            <w:tcW w:w="27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123</w:t>
            </w:r>
          </w:p>
        </w:tc>
        <w:tc>
          <w:tcPr>
            <w:tcW w:w="540" w:type="dxa"/>
            <w:vAlign w:val="bottom"/>
            <w:shd w:val="clear" w:color="auto" w:fill="CCEEFF"/>
          </w:tcPr>
          <w:p>
            <w:pPr>
              <w:jc w:val="right"/>
              <w:ind w:right="235"/>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125</w:t>
            </w:r>
          </w:p>
        </w:tc>
      </w:tr>
      <w:tr>
        <w:trPr>
          <w:trHeight w:val="189"/>
        </w:trPr>
        <w:tc>
          <w:tcPr>
            <w:tcW w:w="36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Fair value</w:t>
            </w:r>
          </w:p>
        </w:tc>
        <w:tc>
          <w:tcPr>
            <w:tcW w:w="27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136</w:t>
            </w:r>
          </w:p>
        </w:tc>
        <w:tc>
          <w:tcPr>
            <w:tcW w:w="540" w:type="dxa"/>
            <w:vAlign w:val="bottom"/>
            <w:tcBorders>
              <w:bottom w:val="single" w:sz="8" w:color="auto"/>
            </w:tcBorders>
          </w:tcPr>
          <w:p>
            <w:pPr>
              <w:jc w:val="right"/>
              <w:ind w:right="235"/>
              <w:spacing w:after="0" w:line="189"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142</w:t>
            </w: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fair value of long-term debt is determined by using model-derived valuations in which all significant inputs or significant value drivers are observable in active markets and therefore are classified as Level 2. The carrying values of cash and cash equivalents, and other current receivables and payables approximate their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accounts for and discloses earnings per share using the treasury stock method. Basic earnings per share is computed by dividing net income for the period by the weighted-average number of common shares outstanding at the end of the period.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00" w:lineRule="exact"/>
        <w:rPr>
          <w:sz w:val="20"/>
          <w:szCs w:val="20"/>
          <w:color w:val="auto"/>
        </w:rPr>
      </w:pPr>
    </w:p>
    <w:p>
      <w:pPr>
        <w:ind w:left="672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5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415"/>
              <w:spacing w:after="0" w:line="157" w:lineRule="exact"/>
              <w:rPr>
                <w:sz w:val="20"/>
                <w:szCs w:val="20"/>
                <w:color w:val="auto"/>
              </w:rPr>
            </w:pPr>
            <w:r>
              <w:rPr>
                <w:rFonts w:ascii="Arial" w:cs="Arial" w:eastAsia="Arial" w:hAnsi="Arial"/>
                <w:sz w:val="17"/>
                <w:szCs w:val="17"/>
                <w:b w:val="1"/>
                <w:bCs w:val="1"/>
                <w:color w:val="auto"/>
              </w:rPr>
              <w:t>May 4,</w:t>
            </w:r>
          </w:p>
        </w:tc>
        <w:tc>
          <w:tcPr>
            <w:tcW w:w="3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15"/>
              <w:spacing w:after="0" w:line="157" w:lineRule="exact"/>
              <w:rPr>
                <w:sz w:val="20"/>
                <w:szCs w:val="20"/>
                <w:color w:val="auto"/>
              </w:rPr>
            </w:pPr>
            <w:r>
              <w:rPr>
                <w:rFonts w:ascii="Arial" w:cs="Arial" w:eastAsia="Arial" w:hAnsi="Arial"/>
                <w:sz w:val="17"/>
                <w:szCs w:val="17"/>
                <w:b w:val="1"/>
                <w:bCs w:val="1"/>
                <w:color w:val="auto"/>
              </w:rPr>
              <w:t>May 5,</w:t>
            </w:r>
          </w:p>
        </w:tc>
      </w:tr>
      <w:tr>
        <w:trPr>
          <w:trHeight w:val="215"/>
        </w:trPr>
        <w:tc>
          <w:tcPr>
            <w:tcW w:w="55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2018</w:t>
            </w:r>
          </w:p>
        </w:tc>
      </w:tr>
      <w:tr>
        <w:trPr>
          <w:trHeight w:val="183"/>
        </w:trPr>
        <w:tc>
          <w:tcPr>
            <w:tcW w:w="5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780" w:type="dxa"/>
            <w:vAlign w:val="bottom"/>
            <w:gridSpan w:val="3"/>
          </w:tcPr>
          <w:p>
            <w:pPr>
              <w:jc w:val="right"/>
              <w:ind w:right="55"/>
              <w:spacing w:after="0" w:line="183" w:lineRule="exact"/>
              <w:rPr>
                <w:sz w:val="20"/>
                <w:szCs w:val="20"/>
                <w:color w:val="auto"/>
              </w:rPr>
            </w:pPr>
            <w:r>
              <w:rPr>
                <w:rFonts w:ascii="Arial" w:cs="Arial" w:eastAsia="Arial" w:hAnsi="Arial"/>
                <w:sz w:val="17"/>
                <w:szCs w:val="17"/>
                <w:color w:val="auto"/>
              </w:rPr>
              <w:t>(in millions, except per share data)</w:t>
            </w:r>
          </w:p>
        </w:tc>
      </w:tr>
      <w:tr>
        <w:trPr>
          <w:trHeight w:val="189"/>
        </w:trPr>
        <w:tc>
          <w:tcPr>
            <w:tcW w:w="5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Income</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172</w:t>
            </w:r>
          </w:p>
        </w:tc>
        <w:tc>
          <w:tcPr>
            <w:tcW w:w="3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165</w:t>
            </w:r>
          </w:p>
        </w:tc>
      </w:tr>
      <w:tr>
        <w:trPr>
          <w:trHeight w:val="189"/>
        </w:trPr>
        <w:tc>
          <w:tcPr>
            <w:tcW w:w="5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Weighted-average common shares outstanding</w:t>
            </w:r>
          </w:p>
        </w:tc>
        <w:tc>
          <w:tcPr>
            <w:tcW w:w="7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112.4</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118.7</w:t>
            </w:r>
          </w:p>
        </w:tc>
      </w:tr>
      <w:tr>
        <w:trPr>
          <w:trHeight w:val="189"/>
        </w:trPr>
        <w:tc>
          <w:tcPr>
            <w:tcW w:w="55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Dilutive effect of potential common shares</w:t>
            </w:r>
          </w:p>
        </w:tc>
        <w:tc>
          <w:tcPr>
            <w:tcW w:w="7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0.7</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0.4</w:t>
            </w:r>
          </w:p>
        </w:tc>
      </w:tr>
      <w:tr>
        <w:trPr>
          <w:trHeight w:val="190"/>
        </w:trPr>
        <w:tc>
          <w:tcPr>
            <w:tcW w:w="55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Weighted-average common shares outstanding assuming dilution</w:t>
            </w:r>
          </w:p>
        </w:tc>
        <w:tc>
          <w:tcPr>
            <w:tcW w:w="7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113.1</w:t>
            </w:r>
          </w:p>
        </w:tc>
        <w:tc>
          <w:tcPr>
            <w:tcW w:w="3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119.1</w:t>
            </w:r>
          </w:p>
        </w:tc>
      </w:tr>
      <w:tr>
        <w:trPr>
          <w:trHeight w:val="189"/>
        </w:trPr>
        <w:tc>
          <w:tcPr>
            <w:tcW w:w="5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Earnings per share - basic</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1.53</w:t>
            </w:r>
          </w:p>
        </w:tc>
        <w:tc>
          <w:tcPr>
            <w:tcW w:w="3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1.39</w:t>
            </w:r>
          </w:p>
        </w:tc>
      </w:tr>
      <w:tr>
        <w:trPr>
          <w:trHeight w:val="189"/>
        </w:trPr>
        <w:tc>
          <w:tcPr>
            <w:tcW w:w="5580" w:type="dxa"/>
            <w:vAlign w:val="bottom"/>
          </w:tcPr>
          <w:p>
            <w:pPr>
              <w:spacing w:after="0" w:line="189" w:lineRule="exact"/>
              <w:rPr>
                <w:sz w:val="20"/>
                <w:szCs w:val="20"/>
                <w:color w:val="auto"/>
              </w:rPr>
            </w:pPr>
            <w:r>
              <w:rPr>
                <w:rFonts w:ascii="Arial" w:cs="Arial" w:eastAsia="Arial" w:hAnsi="Arial"/>
                <w:sz w:val="17"/>
                <w:szCs w:val="17"/>
                <w:color w:val="auto"/>
              </w:rPr>
              <w:t>Earnings per share - diluted</w:t>
            </w:r>
          </w:p>
        </w:tc>
        <w:tc>
          <w:tcPr>
            <w:tcW w:w="7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1.52</w:t>
            </w:r>
          </w:p>
        </w:tc>
        <w:tc>
          <w:tcPr>
            <w:tcW w:w="3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1.38</w:t>
            </w:r>
          </w:p>
        </w:tc>
      </w:tr>
      <w:tr>
        <w:trPr>
          <w:trHeight w:val="189"/>
        </w:trPr>
        <w:tc>
          <w:tcPr>
            <w:tcW w:w="55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9"/>
        </w:trPr>
        <w:tc>
          <w:tcPr>
            <w:tcW w:w="55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Anti-dilutive share-based awards excluded from diluted calculation</w:t>
            </w:r>
          </w:p>
        </w:tc>
        <w:tc>
          <w:tcPr>
            <w:tcW w:w="7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1.6</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w:t>
            </w: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Additionally, shares of 0.8 million and 1.1 million as of May 4, 2019 and May 5, 2018, respectively, have been excluded from diluted weighted-average shares as the number of shares that will be issued is contingent on the Company’s performance metrics as compared to the pre-established performance goals which have not been achieved as of May 4, 2019 and May 5, 2018. These shares relate to restricted stock units issued in connection with the Company’s long-term incentive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Postretirement Plans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has defined benefit pension plans covering certain of its North American employees, which are funded in accordance with the provisions of the laws where the plans are in effect. The Company also has a defined benefit pension plan covering certain employees of the Runners Point Group. In addition to providing pension benefits, the Company sponsors postretirement medical and life insurance plans, which are available to most of its retired U.S. employees. These medical and life insurance plans are contributory and are not funded.</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are the components of net periodic pension benefit cost and net periodic postretirement benefit income. Service cost is recognized as part of SG&amp;A expense, while the remaining pension and postretirement expense components are recognized as part of other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80" w:type="dxa"/>
            <w:vAlign w:val="bottom"/>
            <w:gridSpan w:val="3"/>
          </w:tcPr>
          <w:p>
            <w:pPr>
              <w:jc w:val="right"/>
              <w:ind w:right="535"/>
              <w:spacing w:after="0"/>
              <w:rPr>
                <w:sz w:val="20"/>
                <w:szCs w:val="20"/>
                <w:color w:val="auto"/>
              </w:rPr>
            </w:pPr>
            <w:r>
              <w:rPr>
                <w:rFonts w:ascii="Arial" w:cs="Arial" w:eastAsia="Arial" w:hAnsi="Arial"/>
                <w:sz w:val="17"/>
                <w:szCs w:val="17"/>
                <w:b w:val="1"/>
                <w:bCs w:val="1"/>
                <w:color w:val="auto"/>
              </w:rPr>
              <w:t>Pension Benefits</w:t>
            </w:r>
          </w:p>
        </w:tc>
        <w:tc>
          <w:tcPr>
            <w:tcW w:w="280" w:type="dxa"/>
            <w:vAlign w:val="bottom"/>
          </w:tcPr>
          <w:p>
            <w:pPr>
              <w:spacing w:after="0"/>
              <w:rPr>
                <w:sz w:val="16"/>
                <w:szCs w:val="16"/>
                <w:color w:val="auto"/>
              </w:rPr>
            </w:pPr>
          </w:p>
        </w:tc>
        <w:tc>
          <w:tcPr>
            <w:tcW w:w="2200" w:type="dxa"/>
            <w:vAlign w:val="bottom"/>
            <w:gridSpan w:val="3"/>
          </w:tcPr>
          <w:p>
            <w:pPr>
              <w:ind w:left="60"/>
              <w:spacing w:after="0"/>
              <w:rPr>
                <w:sz w:val="20"/>
                <w:szCs w:val="20"/>
                <w:color w:val="auto"/>
              </w:rPr>
            </w:pPr>
            <w:r>
              <w:rPr>
                <w:rFonts w:ascii="Arial" w:cs="Arial" w:eastAsia="Arial" w:hAnsi="Arial"/>
                <w:sz w:val="17"/>
                <w:szCs w:val="17"/>
                <w:b w:val="1"/>
                <w:bCs w:val="1"/>
                <w:color w:val="auto"/>
              </w:rPr>
              <w:t>Postretirement Benefits</w:t>
            </w:r>
          </w:p>
        </w:tc>
      </w:tr>
      <w:tr>
        <w:trPr>
          <w:trHeight w:val="215"/>
        </w:trPr>
        <w:tc>
          <w:tcPr>
            <w:tcW w:w="3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7"/>
                <w:szCs w:val="17"/>
                <w:b w:val="1"/>
                <w:bCs w:val="1"/>
                <w:color w:val="auto"/>
              </w:rPr>
              <w:t>Thirteen weeks ended</w:t>
            </w:r>
          </w:p>
        </w:tc>
        <w:tc>
          <w:tcPr>
            <w:tcW w:w="2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ind w:left="140"/>
              <w:spacing w:after="0"/>
              <w:rPr>
                <w:sz w:val="20"/>
                <w:szCs w:val="20"/>
                <w:color w:val="auto"/>
              </w:rPr>
            </w:pPr>
            <w:r>
              <w:rPr>
                <w:rFonts w:ascii="Arial" w:cs="Arial" w:eastAsia="Arial" w:hAnsi="Arial"/>
                <w:sz w:val="17"/>
                <w:szCs w:val="17"/>
                <w:b w:val="1"/>
                <w:bCs w:val="1"/>
                <w:color w:val="auto"/>
              </w:rPr>
              <w:t>Thirteen weeks ended</w:t>
            </w:r>
          </w:p>
        </w:tc>
      </w:tr>
      <w:tr>
        <w:trPr>
          <w:trHeight w:val="156"/>
        </w:trPr>
        <w:tc>
          <w:tcPr>
            <w:tcW w:w="3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jc w:val="right"/>
              <w:ind w:right="235"/>
              <w:spacing w:after="0" w:line="157" w:lineRule="exact"/>
              <w:rPr>
                <w:sz w:val="20"/>
                <w:szCs w:val="20"/>
                <w:color w:val="auto"/>
              </w:rPr>
            </w:pPr>
            <w:r>
              <w:rPr>
                <w:rFonts w:ascii="Arial" w:cs="Arial" w:eastAsia="Arial" w:hAnsi="Arial"/>
                <w:sz w:val="17"/>
                <w:szCs w:val="17"/>
                <w:b w:val="1"/>
                <w:bCs w:val="1"/>
                <w:color w:val="auto"/>
              </w:rPr>
              <w:t>May 4,</w:t>
            </w:r>
          </w:p>
        </w:tc>
        <w:tc>
          <w:tcPr>
            <w:tcW w:w="340" w:type="dxa"/>
            <w:vAlign w:val="bottom"/>
          </w:tcPr>
          <w:p>
            <w:pPr>
              <w:spacing w:after="0"/>
              <w:rPr>
                <w:sz w:val="13"/>
                <w:szCs w:val="13"/>
                <w:color w:val="auto"/>
              </w:rPr>
            </w:pPr>
          </w:p>
        </w:tc>
        <w:tc>
          <w:tcPr>
            <w:tcW w:w="960" w:type="dxa"/>
            <w:vAlign w:val="bottom"/>
          </w:tcPr>
          <w:p>
            <w:pPr>
              <w:jc w:val="right"/>
              <w:ind w:right="235"/>
              <w:spacing w:after="0" w:line="157" w:lineRule="exact"/>
              <w:rPr>
                <w:sz w:val="20"/>
                <w:szCs w:val="20"/>
                <w:color w:val="auto"/>
              </w:rPr>
            </w:pPr>
            <w:r>
              <w:rPr>
                <w:rFonts w:ascii="Arial" w:cs="Arial" w:eastAsia="Arial" w:hAnsi="Arial"/>
                <w:sz w:val="17"/>
                <w:szCs w:val="17"/>
                <w:b w:val="1"/>
                <w:bCs w:val="1"/>
                <w:color w:val="auto"/>
              </w:rPr>
              <w:t>May 5,</w:t>
            </w:r>
          </w:p>
        </w:tc>
        <w:tc>
          <w:tcPr>
            <w:tcW w:w="280" w:type="dxa"/>
            <w:vAlign w:val="bottom"/>
          </w:tcPr>
          <w:p>
            <w:pPr>
              <w:spacing w:after="0"/>
              <w:rPr>
                <w:sz w:val="13"/>
                <w:szCs w:val="13"/>
                <w:color w:val="auto"/>
              </w:rPr>
            </w:pPr>
          </w:p>
        </w:tc>
        <w:tc>
          <w:tcPr>
            <w:tcW w:w="980" w:type="dxa"/>
            <w:vAlign w:val="bottom"/>
          </w:tcPr>
          <w:p>
            <w:pPr>
              <w:ind w:left="180"/>
              <w:spacing w:after="0" w:line="157" w:lineRule="exact"/>
              <w:rPr>
                <w:sz w:val="20"/>
                <w:szCs w:val="20"/>
                <w:color w:val="auto"/>
              </w:rPr>
            </w:pPr>
            <w:r>
              <w:rPr>
                <w:rFonts w:ascii="Arial" w:cs="Arial" w:eastAsia="Arial" w:hAnsi="Arial"/>
                <w:sz w:val="17"/>
                <w:szCs w:val="17"/>
                <w:b w:val="1"/>
                <w:bCs w:val="1"/>
                <w:color w:val="auto"/>
              </w:rPr>
              <w:t>May 4,</w:t>
            </w:r>
          </w:p>
        </w:tc>
        <w:tc>
          <w:tcPr>
            <w:tcW w:w="380" w:type="dxa"/>
            <w:vAlign w:val="bottom"/>
          </w:tcPr>
          <w:p>
            <w:pPr>
              <w:spacing w:after="0"/>
              <w:rPr>
                <w:sz w:val="13"/>
                <w:szCs w:val="13"/>
                <w:color w:val="auto"/>
              </w:rPr>
            </w:pPr>
          </w:p>
        </w:tc>
        <w:tc>
          <w:tcPr>
            <w:tcW w:w="840" w:type="dxa"/>
            <w:vAlign w:val="bottom"/>
          </w:tcPr>
          <w:p>
            <w:pPr>
              <w:ind w:left="120"/>
              <w:spacing w:after="0" w:line="157" w:lineRule="exact"/>
              <w:rPr>
                <w:sz w:val="20"/>
                <w:szCs w:val="20"/>
                <w:color w:val="auto"/>
              </w:rPr>
            </w:pPr>
            <w:r>
              <w:rPr>
                <w:rFonts w:ascii="Arial" w:cs="Arial" w:eastAsia="Arial" w:hAnsi="Arial"/>
                <w:sz w:val="17"/>
                <w:szCs w:val="17"/>
                <w:b w:val="1"/>
                <w:bCs w:val="1"/>
                <w:color w:val="auto"/>
              </w:rPr>
              <w:t>May 5,</w:t>
            </w:r>
          </w:p>
        </w:tc>
      </w:tr>
      <w:tr>
        <w:trPr>
          <w:trHeight w:val="215"/>
        </w:trPr>
        <w:tc>
          <w:tcPr>
            <w:tcW w:w="3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2019</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2018</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2019</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2018</w:t>
            </w:r>
          </w:p>
        </w:tc>
      </w:tr>
      <w:tr>
        <w:trPr>
          <w:trHeight w:val="183"/>
        </w:trPr>
        <w:tc>
          <w:tcPr>
            <w:tcW w:w="3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20" w:type="dxa"/>
            <w:vAlign w:val="bottom"/>
            <w:gridSpan w:val="3"/>
          </w:tcPr>
          <w:p>
            <w:pPr>
              <w:ind w:left="440"/>
              <w:spacing w:after="0" w:line="183" w:lineRule="exact"/>
              <w:rPr>
                <w:sz w:val="20"/>
                <w:szCs w:val="20"/>
                <w:color w:val="auto"/>
              </w:rPr>
            </w:pPr>
            <w:r>
              <w:rPr>
                <w:rFonts w:ascii="Arial" w:cs="Arial" w:eastAsia="Arial" w:hAnsi="Arial"/>
                <w:sz w:val="17"/>
                <w:szCs w:val="17"/>
                <w:color w:val="auto"/>
              </w:rPr>
              <w:t>($ in millions)</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9"/>
        </w:trPr>
        <w:tc>
          <w:tcPr>
            <w:tcW w:w="3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Service cost</w:t>
            </w:r>
          </w:p>
        </w:tc>
        <w:tc>
          <w:tcPr>
            <w:tcW w:w="10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5</w:t>
            </w:r>
          </w:p>
        </w:tc>
        <w:tc>
          <w:tcPr>
            <w:tcW w:w="3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5</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ind w:left="680"/>
              <w:spacing w:after="0" w:line="189" w:lineRule="exact"/>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ind w:left="620"/>
              <w:spacing w:after="0" w:line="189" w:lineRule="exact"/>
              <w:rPr>
                <w:sz w:val="20"/>
                <w:szCs w:val="20"/>
                <w:color w:val="auto"/>
              </w:rPr>
            </w:pPr>
            <w:r>
              <w:rPr>
                <w:rFonts w:ascii="Arial" w:cs="Arial" w:eastAsia="Arial" w:hAnsi="Arial"/>
                <w:sz w:val="17"/>
                <w:szCs w:val="17"/>
                <w:color w:val="auto"/>
              </w:rPr>
              <w:t>—</w:t>
            </w:r>
          </w:p>
        </w:tc>
      </w:tr>
      <w:tr>
        <w:trPr>
          <w:trHeight w:val="189"/>
        </w:trPr>
        <w:tc>
          <w:tcPr>
            <w:tcW w:w="3220" w:type="dxa"/>
            <w:vAlign w:val="bottom"/>
          </w:tcPr>
          <w:p>
            <w:pPr>
              <w:spacing w:after="0" w:line="189" w:lineRule="exact"/>
              <w:rPr>
                <w:sz w:val="20"/>
                <w:szCs w:val="20"/>
                <w:color w:val="auto"/>
              </w:rPr>
            </w:pPr>
            <w:r>
              <w:rPr>
                <w:rFonts w:ascii="Arial" w:cs="Arial" w:eastAsia="Arial" w:hAnsi="Arial"/>
                <w:sz w:val="17"/>
                <w:szCs w:val="17"/>
                <w:color w:val="auto"/>
              </w:rPr>
              <w:t>Interest cost</w:t>
            </w:r>
          </w:p>
        </w:tc>
        <w:tc>
          <w:tcPr>
            <w:tcW w:w="1080" w:type="dxa"/>
            <w:vAlign w:val="bottom"/>
          </w:tcPr>
          <w:p>
            <w:pPr>
              <w:spacing w:after="0"/>
              <w:rPr>
                <w:sz w:val="16"/>
                <w:szCs w:val="16"/>
                <w:color w:val="auto"/>
              </w:rPr>
            </w:pPr>
          </w:p>
        </w:tc>
        <w:tc>
          <w:tcPr>
            <w:tcW w:w="9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7</w:t>
            </w:r>
          </w:p>
        </w:tc>
        <w:tc>
          <w:tcPr>
            <w:tcW w:w="340" w:type="dxa"/>
            <w:vAlign w:val="bottom"/>
          </w:tcPr>
          <w:p>
            <w:pPr>
              <w:spacing w:after="0"/>
              <w:rPr>
                <w:sz w:val="16"/>
                <w:szCs w:val="16"/>
                <w:color w:val="auto"/>
              </w:rPr>
            </w:pPr>
          </w:p>
        </w:tc>
        <w:tc>
          <w:tcPr>
            <w:tcW w:w="960" w:type="dxa"/>
            <w:vAlign w:val="bottom"/>
          </w:tcPr>
          <w:p>
            <w:pPr>
              <w:jc w:val="right"/>
              <w:ind w:right="95"/>
              <w:spacing w:after="0" w:line="189" w:lineRule="exact"/>
              <w:rPr>
                <w:sz w:val="20"/>
                <w:szCs w:val="20"/>
                <w:color w:val="auto"/>
              </w:rPr>
            </w:pPr>
            <w:r>
              <w:rPr>
                <w:rFonts w:ascii="Arial" w:cs="Arial" w:eastAsia="Arial" w:hAnsi="Arial"/>
                <w:sz w:val="17"/>
                <w:szCs w:val="17"/>
                <w:color w:val="auto"/>
              </w:rPr>
              <w:t>6</w:t>
            </w:r>
          </w:p>
        </w:tc>
        <w:tc>
          <w:tcPr>
            <w:tcW w:w="280" w:type="dxa"/>
            <w:vAlign w:val="bottom"/>
          </w:tcPr>
          <w:p>
            <w:pPr>
              <w:spacing w:after="0"/>
              <w:rPr>
                <w:sz w:val="16"/>
                <w:szCs w:val="16"/>
                <w:color w:val="auto"/>
              </w:rPr>
            </w:pPr>
          </w:p>
        </w:tc>
        <w:tc>
          <w:tcPr>
            <w:tcW w:w="980" w:type="dxa"/>
            <w:vAlign w:val="bottom"/>
          </w:tcPr>
          <w:p>
            <w:pPr>
              <w:ind w:left="680"/>
              <w:spacing w:after="0" w:line="189" w:lineRule="exact"/>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6"/>
                <w:szCs w:val="16"/>
                <w:color w:val="auto"/>
              </w:rPr>
            </w:pPr>
          </w:p>
        </w:tc>
        <w:tc>
          <w:tcPr>
            <w:tcW w:w="840" w:type="dxa"/>
            <w:vAlign w:val="bottom"/>
          </w:tcPr>
          <w:p>
            <w:pPr>
              <w:ind w:left="620"/>
              <w:spacing w:after="0" w:line="189" w:lineRule="exact"/>
              <w:rPr>
                <w:sz w:val="20"/>
                <w:szCs w:val="20"/>
                <w:color w:val="auto"/>
              </w:rPr>
            </w:pPr>
            <w:r>
              <w:rPr>
                <w:rFonts w:ascii="Arial" w:cs="Arial" w:eastAsia="Arial" w:hAnsi="Arial"/>
                <w:sz w:val="17"/>
                <w:szCs w:val="17"/>
                <w:color w:val="auto"/>
              </w:rPr>
              <w:t>—</w:t>
            </w:r>
          </w:p>
        </w:tc>
      </w:tr>
      <w:tr>
        <w:trPr>
          <w:trHeight w:val="189"/>
        </w:trPr>
        <w:tc>
          <w:tcPr>
            <w:tcW w:w="3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return on plan assets</w:t>
            </w:r>
          </w:p>
        </w:tc>
        <w:tc>
          <w:tcPr>
            <w:tcW w:w="10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(9)</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(10)</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ind w:left="680"/>
              <w:spacing w:after="0" w:line="189" w:lineRule="exact"/>
              <w:rPr>
                <w:sz w:val="20"/>
                <w:szCs w:val="20"/>
                <w:color w:val="auto"/>
              </w:rPr>
            </w:pPr>
            <w:r>
              <w:rPr>
                <w:rFonts w:ascii="Arial" w:cs="Arial" w:eastAsia="Arial" w:hAnsi="Arial"/>
                <w:sz w:val="17"/>
                <w:szCs w:val="17"/>
                <w:b w:val="1"/>
                <w:bCs w:val="1"/>
                <w:color w:val="auto"/>
              </w:rPr>
              <w:t>—</w:t>
            </w: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ind w:left="620"/>
              <w:spacing w:after="0" w:line="189" w:lineRule="exact"/>
              <w:rPr>
                <w:sz w:val="20"/>
                <w:szCs w:val="20"/>
                <w:color w:val="auto"/>
              </w:rPr>
            </w:pPr>
            <w:r>
              <w:rPr>
                <w:rFonts w:ascii="Arial" w:cs="Arial" w:eastAsia="Arial" w:hAnsi="Arial"/>
                <w:sz w:val="17"/>
                <w:szCs w:val="17"/>
                <w:color w:val="auto"/>
              </w:rPr>
              <w:t>—</w:t>
            </w:r>
          </w:p>
        </w:tc>
      </w:tr>
      <w:tr>
        <w:trPr>
          <w:trHeight w:val="189"/>
        </w:trPr>
        <w:tc>
          <w:tcPr>
            <w:tcW w:w="32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Amortization of net loss (gain)</w:t>
            </w:r>
          </w:p>
        </w:tc>
        <w:tc>
          <w:tcPr>
            <w:tcW w:w="10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3</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3</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680"/>
              <w:spacing w:after="0" w:line="189" w:lineRule="exact"/>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20"/>
              <w:spacing w:after="0" w:line="189" w:lineRule="exact"/>
              <w:rPr>
                <w:sz w:val="20"/>
                <w:szCs w:val="20"/>
                <w:color w:val="auto"/>
              </w:rPr>
            </w:pPr>
            <w:r>
              <w:rPr>
                <w:rFonts w:ascii="Arial" w:cs="Arial" w:eastAsia="Arial" w:hAnsi="Arial"/>
                <w:sz w:val="17"/>
                <w:szCs w:val="17"/>
                <w:color w:val="auto"/>
              </w:rPr>
              <w:t>—</w:t>
            </w:r>
          </w:p>
        </w:tc>
      </w:tr>
      <w:tr>
        <w:trPr>
          <w:trHeight w:val="190"/>
        </w:trPr>
        <w:tc>
          <w:tcPr>
            <w:tcW w:w="32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benefit expense (income)</w:t>
            </w:r>
          </w:p>
        </w:tc>
        <w:tc>
          <w:tcPr>
            <w:tcW w:w="10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6</w:t>
            </w:r>
          </w:p>
        </w:tc>
        <w:tc>
          <w:tcPr>
            <w:tcW w:w="3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4</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shd w:val="clear" w:color="auto" w:fill="CCEEFF"/>
          </w:tcPr>
          <w:p>
            <w:pPr>
              <w:ind w:left="680"/>
              <w:spacing w:after="0" w:line="183" w:lineRule="exact"/>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ind w:left="620"/>
              <w:spacing w:after="0" w:line="183" w:lineRule="exact"/>
              <w:rPr>
                <w:sz w:val="20"/>
                <w:szCs w:val="20"/>
                <w:color w:val="auto"/>
              </w:rPr>
            </w:pPr>
            <w:r>
              <w:rPr>
                <w:rFonts w:ascii="Arial" w:cs="Arial" w:eastAsia="Arial" w:hAnsi="Arial"/>
                <w:sz w:val="17"/>
                <w:szCs w:val="17"/>
                <w:color w:val="auto"/>
              </w:rPr>
              <w:t>—</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contributed $55 million in March 2019 to its U.S. qualified pension plan. The Company continually evaluates the amount and timing of any future contributions.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Total compensation expense included in SG&amp;A, and the associated tax benefits recognized related to the</w:t>
      </w:r>
    </w:p>
    <w:p>
      <w:pPr>
        <w:spacing w:after="0"/>
        <w:rPr>
          <w:sz w:val="20"/>
          <w:szCs w:val="20"/>
          <w:color w:val="auto"/>
        </w:rPr>
      </w:pPr>
      <w:r>
        <w:rPr>
          <w:rFonts w:ascii="Arial" w:cs="Arial" w:eastAsia="Arial" w:hAnsi="Arial"/>
          <w:sz w:val="18"/>
          <w:szCs w:val="18"/>
          <w:color w:val="auto"/>
        </w:rPr>
        <w:t>Company’s share-based compensation plans, were as follows:</w:t>
      </w:r>
    </w:p>
    <w:p>
      <w:pPr>
        <w:spacing w:after="0" w:line="200" w:lineRule="exact"/>
        <w:rPr>
          <w:sz w:val="20"/>
          <w:szCs w:val="20"/>
          <w:color w:val="auto"/>
        </w:rPr>
      </w:pPr>
    </w:p>
    <w:p>
      <w:pPr>
        <w:ind w:left="672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8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55"/>
              <w:spacing w:after="0" w:line="157" w:lineRule="exact"/>
              <w:rPr>
                <w:sz w:val="20"/>
                <w:szCs w:val="20"/>
                <w:color w:val="auto"/>
              </w:rPr>
            </w:pPr>
            <w:r>
              <w:rPr>
                <w:rFonts w:ascii="Arial" w:cs="Arial" w:eastAsia="Arial" w:hAnsi="Arial"/>
                <w:sz w:val="17"/>
                <w:szCs w:val="17"/>
                <w:b w:val="1"/>
                <w:bCs w:val="1"/>
                <w:color w:val="auto"/>
              </w:rPr>
              <w:t>May 4,</w:t>
            </w:r>
          </w:p>
        </w:tc>
        <w:tc>
          <w:tcPr>
            <w:tcW w:w="3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15"/>
              <w:spacing w:after="0" w:line="157" w:lineRule="exact"/>
              <w:rPr>
                <w:sz w:val="20"/>
                <w:szCs w:val="20"/>
                <w:color w:val="auto"/>
              </w:rPr>
            </w:pPr>
            <w:r>
              <w:rPr>
                <w:rFonts w:ascii="Arial" w:cs="Arial" w:eastAsia="Arial" w:hAnsi="Arial"/>
                <w:sz w:val="17"/>
                <w:szCs w:val="17"/>
                <w:b w:val="1"/>
                <w:bCs w:val="1"/>
                <w:color w:val="auto"/>
              </w:rPr>
              <w:t>May 5,</w:t>
            </w:r>
          </w:p>
        </w:tc>
      </w:tr>
      <w:tr>
        <w:trPr>
          <w:trHeight w:val="215"/>
        </w:trPr>
        <w:tc>
          <w:tcPr>
            <w:tcW w:w="58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2019</w:t>
            </w: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2018</w:t>
            </w:r>
          </w:p>
        </w:tc>
      </w:tr>
      <w:tr>
        <w:trPr>
          <w:trHeight w:val="183"/>
        </w:trPr>
        <w:tc>
          <w:tcPr>
            <w:tcW w:w="58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9"/>
        </w:trPr>
        <w:tc>
          <w:tcPr>
            <w:tcW w:w="5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and shares purchased under the employee stock purchase plan</w:t>
            </w:r>
          </w:p>
        </w:tc>
        <w:tc>
          <w:tcPr>
            <w:tcW w:w="1420" w:type="dxa"/>
            <w:vAlign w:val="bottom"/>
            <w:shd w:val="clear" w:color="auto" w:fill="CCEEFF"/>
          </w:tcPr>
          <w:p>
            <w:pPr>
              <w:jc w:val="right"/>
              <w:ind w:right="87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w:t>
            </w:r>
          </w:p>
        </w:tc>
        <w:tc>
          <w:tcPr>
            <w:tcW w:w="3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58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Restricted stock and restricted stock units</w:t>
            </w:r>
          </w:p>
        </w:tc>
        <w:tc>
          <w:tcPr>
            <w:tcW w:w="14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5</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w:t>
            </w:r>
          </w:p>
        </w:tc>
      </w:tr>
      <w:tr>
        <w:trPr>
          <w:trHeight w:val="190"/>
        </w:trPr>
        <w:tc>
          <w:tcPr>
            <w:tcW w:w="58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share-based compensation expense</w:t>
            </w:r>
          </w:p>
        </w:tc>
        <w:tc>
          <w:tcPr>
            <w:tcW w:w="1420" w:type="dxa"/>
            <w:vAlign w:val="bottom"/>
            <w:tcBorders>
              <w:bottom w:val="single" w:sz="8" w:color="auto"/>
            </w:tcBorders>
            <w:shd w:val="clear" w:color="auto" w:fill="CCEEFF"/>
          </w:tcPr>
          <w:p>
            <w:pPr>
              <w:jc w:val="right"/>
              <w:ind w:right="875"/>
              <w:spacing w:after="0" w:line="183" w:lineRule="exact"/>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7</w:t>
            </w:r>
          </w:p>
        </w:tc>
        <w:tc>
          <w:tcPr>
            <w:tcW w:w="3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w:t>
            </w:r>
          </w:p>
        </w:tc>
      </w:tr>
      <w:tr>
        <w:trPr>
          <w:trHeight w:val="189"/>
        </w:trPr>
        <w:tc>
          <w:tcPr>
            <w:tcW w:w="58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58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Tax benefit recognized</w:t>
            </w:r>
          </w:p>
        </w:tc>
        <w:tc>
          <w:tcPr>
            <w:tcW w:w="1420" w:type="dxa"/>
            <w:vAlign w:val="bottom"/>
            <w:tcBorders>
              <w:bottom w:val="single" w:sz="8" w:color="auto"/>
            </w:tcBorders>
            <w:shd w:val="clear" w:color="auto" w:fill="CCEEFF"/>
          </w:tcPr>
          <w:p>
            <w:pPr>
              <w:jc w:val="right"/>
              <w:ind w:right="875"/>
              <w:spacing w:after="0" w:line="189" w:lineRule="exact"/>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w:t>
            </w:r>
          </w:p>
        </w:tc>
        <w:tc>
          <w:tcPr>
            <w:tcW w:w="3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Model and Assumptions</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uses the Black-Scholes option-pricing model to estimate the fair value of share-based awards. The Black-Scholes option-pricing model incorporates various and subjective assumptions, including expected term and expected volatility.</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shows the Company’s assumptions used to compute share-based compensation expense for awards granted during the thirteen weeks ended May 4, 2019 and May 5,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3"/>
          </w:tcPr>
          <w:p>
            <w:pPr>
              <w:jc w:val="right"/>
              <w:ind w:right="595"/>
              <w:spacing w:after="0"/>
              <w:rPr>
                <w:sz w:val="20"/>
                <w:szCs w:val="20"/>
                <w:color w:val="auto"/>
              </w:rPr>
            </w:pPr>
            <w:r>
              <w:rPr>
                <w:rFonts w:ascii="Arial" w:cs="Arial" w:eastAsia="Arial" w:hAnsi="Arial"/>
                <w:sz w:val="17"/>
                <w:szCs w:val="17"/>
                <w:b w:val="1"/>
                <w:bCs w:val="1"/>
                <w:color w:val="auto"/>
              </w:rPr>
              <w:t>Stock Option Plans</w:t>
            </w:r>
          </w:p>
        </w:tc>
        <w:tc>
          <w:tcPr>
            <w:tcW w:w="280" w:type="dxa"/>
            <w:vAlign w:val="bottom"/>
          </w:tcPr>
          <w:p>
            <w:pPr>
              <w:spacing w:after="0"/>
              <w:rPr>
                <w:sz w:val="18"/>
                <w:szCs w:val="18"/>
                <w:color w:val="auto"/>
              </w:rPr>
            </w:pPr>
          </w:p>
        </w:tc>
        <w:tc>
          <w:tcPr>
            <w:tcW w:w="3000" w:type="dxa"/>
            <w:vAlign w:val="bottom"/>
            <w:gridSpan w:val="4"/>
          </w:tcPr>
          <w:p>
            <w:pPr>
              <w:ind w:left="420"/>
              <w:spacing w:after="0"/>
              <w:rPr>
                <w:sz w:val="20"/>
                <w:szCs w:val="20"/>
                <w:color w:val="auto"/>
              </w:rPr>
            </w:pPr>
            <w:r>
              <w:rPr>
                <w:rFonts w:ascii="Arial" w:cs="Arial" w:eastAsia="Arial" w:hAnsi="Arial"/>
                <w:sz w:val="17"/>
                <w:szCs w:val="17"/>
                <w:b w:val="1"/>
                <w:bCs w:val="1"/>
                <w:color w:val="auto"/>
              </w:rPr>
              <w:t>Stock Purchase Plan</w:t>
            </w:r>
          </w:p>
        </w:tc>
        <w:tc>
          <w:tcPr>
            <w:tcW w:w="0" w:type="dxa"/>
            <w:vAlign w:val="bottom"/>
          </w:tcPr>
          <w:p>
            <w:pPr>
              <w:spacing w:after="0"/>
              <w:rPr>
                <w:sz w:val="1"/>
                <w:szCs w:val="1"/>
                <w:color w:val="auto"/>
              </w:rPr>
            </w:pPr>
          </w:p>
        </w:tc>
      </w:tr>
      <w:tr>
        <w:trPr>
          <w:trHeight w:val="156"/>
        </w:trPr>
        <w:tc>
          <w:tcPr>
            <w:tcW w:w="27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75"/>
              <w:spacing w:after="0" w:line="157" w:lineRule="exact"/>
              <w:rPr>
                <w:sz w:val="20"/>
                <w:szCs w:val="20"/>
                <w:color w:val="auto"/>
              </w:rPr>
            </w:pPr>
            <w:r>
              <w:rPr>
                <w:rFonts w:ascii="Arial" w:cs="Arial" w:eastAsia="Arial" w:hAnsi="Arial"/>
                <w:sz w:val="17"/>
                <w:szCs w:val="17"/>
                <w:b w:val="1"/>
                <w:bCs w:val="1"/>
                <w:color w:val="auto"/>
              </w:rPr>
              <w:t>May 4,</w:t>
            </w: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75"/>
              <w:spacing w:after="0" w:line="157" w:lineRule="exact"/>
              <w:rPr>
                <w:sz w:val="20"/>
                <w:szCs w:val="20"/>
                <w:color w:val="auto"/>
              </w:rPr>
            </w:pPr>
            <w:r>
              <w:rPr>
                <w:rFonts w:ascii="Arial" w:cs="Arial" w:eastAsia="Arial" w:hAnsi="Arial"/>
                <w:sz w:val="17"/>
                <w:szCs w:val="17"/>
                <w:b w:val="1"/>
                <w:bCs w:val="1"/>
                <w:color w:val="auto"/>
              </w:rPr>
              <w:t>May 5,</w:t>
            </w: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475"/>
              <w:spacing w:after="0" w:line="157" w:lineRule="exact"/>
              <w:rPr>
                <w:sz w:val="20"/>
                <w:szCs w:val="20"/>
                <w:color w:val="auto"/>
              </w:rPr>
            </w:pPr>
            <w:r>
              <w:rPr>
                <w:rFonts w:ascii="Arial" w:cs="Arial" w:eastAsia="Arial" w:hAnsi="Arial"/>
                <w:sz w:val="17"/>
                <w:szCs w:val="17"/>
                <w:b w:val="1"/>
                <w:bCs w:val="1"/>
                <w:color w:val="auto"/>
              </w:rPr>
              <w:t>May 4,</w:t>
            </w:r>
          </w:p>
        </w:tc>
        <w:tc>
          <w:tcPr>
            <w:tcW w:w="2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535"/>
              <w:spacing w:after="0" w:line="157" w:lineRule="exact"/>
              <w:rPr>
                <w:sz w:val="20"/>
                <w:szCs w:val="20"/>
                <w:color w:val="auto"/>
              </w:rPr>
            </w:pPr>
            <w:r>
              <w:rPr>
                <w:rFonts w:ascii="Arial" w:cs="Arial" w:eastAsia="Arial" w:hAnsi="Arial"/>
                <w:sz w:val="17"/>
                <w:szCs w:val="17"/>
                <w:b w:val="1"/>
                <w:bCs w:val="1"/>
                <w:color w:val="auto"/>
              </w:rPr>
              <w:t>May 5,</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2018</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2019</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7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Weighted-average risk free rate of</w:t>
            </w:r>
          </w:p>
        </w:tc>
        <w:tc>
          <w:tcPr>
            <w:tcW w:w="3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2.2 %</w:t>
            </w:r>
          </w:p>
        </w:tc>
        <w:tc>
          <w:tcPr>
            <w:tcW w:w="2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b w:val="1"/>
                <w:bCs w:val="1"/>
                <w:color w:val="auto"/>
              </w:rPr>
              <w:t>%</w:t>
            </w:r>
          </w:p>
        </w:tc>
        <w:tc>
          <w:tcPr>
            <w:tcW w:w="2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2.3 %</w:t>
            </w:r>
          </w:p>
        </w:tc>
        <w:tc>
          <w:tcPr>
            <w:tcW w:w="2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interest</w:t>
            </w:r>
          </w:p>
        </w:tc>
        <w:tc>
          <w:tcPr>
            <w:tcW w:w="3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6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38 %</w:t>
            </w:r>
          </w:p>
        </w:tc>
        <w:tc>
          <w:tcPr>
            <w:tcW w:w="2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b w:val="1"/>
                <w:bCs w:val="1"/>
                <w:color w:val="auto"/>
              </w:rPr>
              <w:t>%</w:t>
            </w:r>
          </w:p>
        </w:tc>
        <w:tc>
          <w:tcPr>
            <w:tcW w:w="2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59 %</w:t>
            </w:r>
          </w:p>
        </w:tc>
        <w:tc>
          <w:tcPr>
            <w:tcW w:w="280" w:type="dxa"/>
            <w:vAlign w:val="bottom"/>
          </w:tcPr>
          <w:p>
            <w:pPr>
              <w:spacing w:after="0"/>
              <w:rPr>
                <w:sz w:val="16"/>
                <w:szCs w:val="16"/>
                <w:color w:val="auto"/>
              </w:rPr>
            </w:pPr>
          </w:p>
        </w:tc>
        <w:tc>
          <w:tcPr>
            <w:tcW w:w="12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 xml:space="preserve">30 </w:t>
            </w:r>
            <w:r>
              <w:rPr>
                <w:rFonts w:ascii="Arial" w:cs="Arial" w:eastAsia="Arial" w:hAnsi="Arial"/>
                <w:sz w:val="17"/>
                <w:szCs w:val="17"/>
                <w:b w:val="1"/>
                <w:bCs w:val="1"/>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expected award</w:t>
            </w:r>
          </w:p>
        </w:tc>
        <w:tc>
          <w:tcPr>
            <w:tcW w:w="3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5.5</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1.0</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life (in years)</w:t>
            </w:r>
          </w:p>
        </w:tc>
        <w:tc>
          <w:tcPr>
            <w:tcW w:w="34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5.5</w:t>
            </w:r>
          </w:p>
        </w:tc>
        <w:tc>
          <w:tcPr>
            <w:tcW w:w="28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60" w:type="dxa"/>
            <w:vAlign w:val="bottom"/>
          </w:tcPr>
          <w:p>
            <w:pPr>
              <w:spacing w:after="0" w:line="189" w:lineRule="exact"/>
              <w:rPr>
                <w:sz w:val="20"/>
                <w:szCs w:val="20"/>
                <w:color w:val="auto"/>
              </w:rPr>
            </w:pPr>
            <w:r>
              <w:rPr>
                <w:rFonts w:ascii="Arial" w:cs="Arial" w:eastAsia="Arial" w:hAnsi="Arial"/>
                <w:sz w:val="17"/>
                <w:szCs w:val="17"/>
                <w:color w:val="auto"/>
              </w:rPr>
              <w:t>Dividend yield</w:t>
            </w:r>
          </w:p>
        </w:tc>
        <w:tc>
          <w:tcPr>
            <w:tcW w:w="34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2.6 %</w:t>
            </w:r>
          </w:p>
        </w:tc>
        <w:tc>
          <w:tcPr>
            <w:tcW w:w="28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w:t>
            </w:r>
          </w:p>
        </w:tc>
        <w:tc>
          <w:tcPr>
            <w:tcW w:w="2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2.6 %</w:t>
            </w:r>
          </w:p>
        </w:tc>
        <w:tc>
          <w:tcPr>
            <w:tcW w:w="280" w:type="dxa"/>
            <w:vAlign w:val="bottom"/>
          </w:tcPr>
          <w:p>
            <w:pPr>
              <w:spacing w:after="0"/>
              <w:rPr>
                <w:sz w:val="16"/>
                <w:szCs w:val="16"/>
                <w:color w:val="auto"/>
              </w:rPr>
            </w:pPr>
          </w:p>
        </w:tc>
        <w:tc>
          <w:tcPr>
            <w:tcW w:w="12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Weighted-average fair value</w:t>
            </w:r>
          </w:p>
        </w:tc>
        <w:tc>
          <w:tcPr>
            <w:tcW w:w="3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17.19</w:t>
            </w:r>
          </w:p>
        </w:tc>
        <w:tc>
          <w:tcPr>
            <w:tcW w:w="2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12.35</w:t>
            </w:r>
          </w:p>
        </w:tc>
        <w:tc>
          <w:tcPr>
            <w:tcW w:w="2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15.64</w:t>
            </w:r>
          </w:p>
        </w:tc>
        <w:tc>
          <w:tcPr>
            <w:tcW w:w="2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16.49</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information in the following table covers option activity under the Company’s stock option plans for the thirteen weeks ended May 4,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80" w:type="dxa"/>
            <w:vAlign w:val="bottom"/>
          </w:tcPr>
          <w:p>
            <w:pPr>
              <w:jc w:val="center"/>
              <w:ind w:right="95"/>
              <w:spacing w:after="0"/>
              <w:rPr>
                <w:sz w:val="20"/>
                <w:szCs w:val="20"/>
                <w:color w:val="auto"/>
              </w:rPr>
            </w:pPr>
            <w:r>
              <w:rPr>
                <w:rFonts w:ascii="Arial" w:cs="Arial" w:eastAsia="Arial" w:hAnsi="Arial"/>
                <w:sz w:val="17"/>
                <w:szCs w:val="17"/>
                <w:b w:val="1"/>
                <w:bCs w:val="1"/>
                <w:color w:val="auto"/>
                <w:w w:val="99"/>
              </w:rPr>
              <w:t>Weighted-</w:t>
            </w:r>
          </w:p>
        </w:tc>
        <w:tc>
          <w:tcPr>
            <w:tcW w:w="540" w:type="dxa"/>
            <w:vAlign w:val="bottom"/>
          </w:tcPr>
          <w:p>
            <w:pPr>
              <w:spacing w:after="0"/>
              <w:rPr>
                <w:sz w:val="16"/>
                <w:szCs w:val="16"/>
                <w:color w:val="auto"/>
              </w:rPr>
            </w:pPr>
          </w:p>
        </w:tc>
        <w:tc>
          <w:tcPr>
            <w:tcW w:w="1040" w:type="dxa"/>
            <w:vAlign w:val="bottom"/>
          </w:tcPr>
          <w:p>
            <w:pPr>
              <w:jc w:val="center"/>
              <w:ind w:right="55"/>
              <w:spacing w:after="0"/>
              <w:rPr>
                <w:sz w:val="20"/>
                <w:szCs w:val="20"/>
                <w:color w:val="auto"/>
              </w:rPr>
            </w:pPr>
            <w:r>
              <w:rPr>
                <w:rFonts w:ascii="Arial" w:cs="Arial" w:eastAsia="Arial" w:hAnsi="Arial"/>
                <w:sz w:val="17"/>
                <w:szCs w:val="17"/>
                <w:b w:val="1"/>
                <w:bCs w:val="1"/>
                <w:color w:val="auto"/>
                <w:w w:val="99"/>
              </w:rPr>
              <w:t>Weighted-</w:t>
            </w:r>
          </w:p>
        </w:tc>
      </w:tr>
      <w:tr>
        <w:trPr>
          <w:trHeight w:val="189"/>
        </w:trPr>
        <w:tc>
          <w:tcPr>
            <w:tcW w:w="3900" w:type="dxa"/>
            <w:vAlign w:val="bottom"/>
          </w:tcPr>
          <w:p>
            <w:pPr>
              <w:spacing w:after="0"/>
              <w:rPr>
                <w:sz w:val="16"/>
                <w:szCs w:val="16"/>
                <w:color w:val="auto"/>
              </w:rPr>
            </w:pPr>
          </w:p>
        </w:tc>
        <w:tc>
          <w:tcPr>
            <w:tcW w:w="1700" w:type="dxa"/>
            <w:vAlign w:val="bottom"/>
          </w:tcPr>
          <w:p>
            <w:pPr>
              <w:jc w:val="center"/>
              <w:ind w:right="455"/>
              <w:spacing w:after="0" w:line="189" w:lineRule="exact"/>
              <w:rPr>
                <w:sz w:val="20"/>
                <w:szCs w:val="20"/>
                <w:color w:val="auto"/>
              </w:rPr>
            </w:pPr>
            <w:r>
              <w:rPr>
                <w:rFonts w:ascii="Arial" w:cs="Arial" w:eastAsia="Arial" w:hAnsi="Arial"/>
                <w:sz w:val="17"/>
                <w:szCs w:val="17"/>
                <w:b w:val="1"/>
                <w:bCs w:val="1"/>
                <w:color w:val="auto"/>
                <w:w w:val="99"/>
              </w:rPr>
              <w:t>Number</w:t>
            </w:r>
          </w:p>
        </w:tc>
        <w:tc>
          <w:tcPr>
            <w:tcW w:w="1880" w:type="dxa"/>
            <w:vAlign w:val="bottom"/>
          </w:tcPr>
          <w:p>
            <w:pPr>
              <w:jc w:val="center"/>
              <w:ind w:right="95"/>
              <w:spacing w:after="0" w:line="189" w:lineRule="exact"/>
              <w:rPr>
                <w:sz w:val="20"/>
                <w:szCs w:val="20"/>
                <w:color w:val="auto"/>
              </w:rPr>
            </w:pPr>
            <w:r>
              <w:rPr>
                <w:rFonts w:ascii="Arial" w:cs="Arial" w:eastAsia="Arial" w:hAnsi="Arial"/>
                <w:sz w:val="17"/>
                <w:szCs w:val="17"/>
                <w:b w:val="1"/>
                <w:bCs w:val="1"/>
                <w:color w:val="auto"/>
                <w:w w:val="98"/>
              </w:rPr>
              <w:t>Average</w:t>
            </w:r>
          </w:p>
        </w:tc>
        <w:tc>
          <w:tcPr>
            <w:tcW w:w="540" w:type="dxa"/>
            <w:vAlign w:val="bottom"/>
          </w:tcPr>
          <w:p>
            <w:pPr>
              <w:spacing w:after="0"/>
              <w:rPr>
                <w:sz w:val="16"/>
                <w:szCs w:val="16"/>
                <w:color w:val="auto"/>
              </w:rPr>
            </w:pPr>
          </w:p>
        </w:tc>
        <w:tc>
          <w:tcPr>
            <w:tcW w:w="104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w w:val="98"/>
              </w:rPr>
              <w:t>Average</w:t>
            </w:r>
          </w:p>
        </w:tc>
      </w:tr>
      <w:tr>
        <w:trPr>
          <w:trHeight w:val="189"/>
        </w:trPr>
        <w:tc>
          <w:tcPr>
            <w:tcW w:w="3900" w:type="dxa"/>
            <w:vAlign w:val="bottom"/>
          </w:tcPr>
          <w:p>
            <w:pPr>
              <w:spacing w:after="0"/>
              <w:rPr>
                <w:sz w:val="16"/>
                <w:szCs w:val="16"/>
                <w:color w:val="auto"/>
              </w:rPr>
            </w:pPr>
          </w:p>
        </w:tc>
        <w:tc>
          <w:tcPr>
            <w:tcW w:w="1700" w:type="dxa"/>
            <w:vAlign w:val="bottom"/>
          </w:tcPr>
          <w:p>
            <w:pPr>
              <w:jc w:val="center"/>
              <w:ind w:right="455"/>
              <w:spacing w:after="0" w:line="189" w:lineRule="exact"/>
              <w:rPr>
                <w:sz w:val="20"/>
                <w:szCs w:val="20"/>
                <w:color w:val="auto"/>
              </w:rPr>
            </w:pPr>
            <w:r>
              <w:rPr>
                <w:rFonts w:ascii="Arial" w:cs="Arial" w:eastAsia="Arial" w:hAnsi="Arial"/>
                <w:sz w:val="17"/>
                <w:szCs w:val="17"/>
                <w:b w:val="1"/>
                <w:bCs w:val="1"/>
                <w:color w:val="auto"/>
                <w:w w:val="99"/>
              </w:rPr>
              <w:t>of</w:t>
            </w:r>
          </w:p>
        </w:tc>
        <w:tc>
          <w:tcPr>
            <w:tcW w:w="188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Remaining</w:t>
            </w:r>
          </w:p>
        </w:tc>
        <w:tc>
          <w:tcPr>
            <w:tcW w:w="540" w:type="dxa"/>
            <w:vAlign w:val="bottom"/>
          </w:tcPr>
          <w:p>
            <w:pPr>
              <w:spacing w:after="0"/>
              <w:rPr>
                <w:sz w:val="16"/>
                <w:szCs w:val="16"/>
                <w:color w:val="auto"/>
              </w:rPr>
            </w:pPr>
          </w:p>
        </w:tc>
        <w:tc>
          <w:tcPr>
            <w:tcW w:w="1040" w:type="dxa"/>
            <w:vAlign w:val="bottom"/>
          </w:tcPr>
          <w:p>
            <w:pPr>
              <w:jc w:val="center"/>
              <w:ind w:right="5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5"/>
        </w:trPr>
        <w:tc>
          <w:tcPr>
            <w:tcW w:w="39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455"/>
              <w:spacing w:after="0"/>
              <w:rPr>
                <w:sz w:val="20"/>
                <w:szCs w:val="20"/>
                <w:color w:val="auto"/>
              </w:rPr>
            </w:pPr>
            <w:r>
              <w:rPr>
                <w:rFonts w:ascii="Arial" w:cs="Arial" w:eastAsia="Arial" w:hAnsi="Arial"/>
                <w:sz w:val="17"/>
                <w:szCs w:val="17"/>
                <w:b w:val="1"/>
                <w:bCs w:val="1"/>
                <w:color w:val="auto"/>
                <w:w w:val="98"/>
              </w:rPr>
              <w:t>Shares</w:t>
            </w:r>
          </w:p>
        </w:tc>
        <w:tc>
          <w:tcPr>
            <w:tcW w:w="188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rPr>
              <w:t>Contractual Life</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rPr>
              <w:t>Price</w:t>
            </w:r>
          </w:p>
        </w:tc>
      </w:tr>
      <w:tr>
        <w:trPr>
          <w:trHeight w:val="183"/>
        </w:trPr>
        <w:tc>
          <w:tcPr>
            <w:tcW w:w="3900" w:type="dxa"/>
            <w:vAlign w:val="bottom"/>
          </w:tcPr>
          <w:p>
            <w:pPr>
              <w:spacing w:after="0"/>
              <w:rPr>
                <w:sz w:val="15"/>
                <w:szCs w:val="15"/>
                <w:color w:val="auto"/>
              </w:rPr>
            </w:pPr>
          </w:p>
        </w:tc>
        <w:tc>
          <w:tcPr>
            <w:tcW w:w="1700" w:type="dxa"/>
            <w:vAlign w:val="bottom"/>
          </w:tcPr>
          <w:p>
            <w:pPr>
              <w:jc w:val="right"/>
              <w:ind w:right="95"/>
              <w:spacing w:after="0" w:line="183" w:lineRule="exact"/>
              <w:rPr>
                <w:sz w:val="20"/>
                <w:szCs w:val="20"/>
                <w:color w:val="auto"/>
              </w:rPr>
            </w:pPr>
            <w:r>
              <w:rPr>
                <w:rFonts w:ascii="Arial" w:cs="Arial" w:eastAsia="Arial" w:hAnsi="Arial"/>
                <w:sz w:val="17"/>
                <w:szCs w:val="17"/>
                <w:color w:val="auto"/>
              </w:rPr>
              <w:t>(in thousands)</w:t>
            </w:r>
          </w:p>
        </w:tc>
        <w:tc>
          <w:tcPr>
            <w:tcW w:w="1880" w:type="dxa"/>
            <w:vAlign w:val="bottom"/>
          </w:tcPr>
          <w:p>
            <w:pPr>
              <w:jc w:val="center"/>
              <w:ind w:right="115"/>
              <w:spacing w:after="0" w:line="183" w:lineRule="exact"/>
              <w:rPr>
                <w:sz w:val="20"/>
                <w:szCs w:val="20"/>
                <w:color w:val="auto"/>
              </w:rPr>
            </w:pPr>
            <w:r>
              <w:rPr>
                <w:rFonts w:ascii="Arial" w:cs="Arial" w:eastAsia="Arial" w:hAnsi="Arial"/>
                <w:sz w:val="17"/>
                <w:szCs w:val="17"/>
                <w:color w:val="auto"/>
              </w:rPr>
              <w:t>(in years)</w:t>
            </w:r>
          </w:p>
        </w:tc>
        <w:tc>
          <w:tcPr>
            <w:tcW w:w="540" w:type="dxa"/>
            <w:vAlign w:val="bottom"/>
          </w:tcPr>
          <w:p>
            <w:pPr>
              <w:spacing w:after="0"/>
              <w:rPr>
                <w:sz w:val="15"/>
                <w:szCs w:val="15"/>
                <w:color w:val="auto"/>
              </w:rPr>
            </w:pPr>
          </w:p>
        </w:tc>
        <w:tc>
          <w:tcPr>
            <w:tcW w:w="1040" w:type="dxa"/>
            <w:vAlign w:val="bottom"/>
          </w:tcPr>
          <w:p>
            <w:pPr>
              <w:jc w:val="center"/>
              <w:ind w:right="55"/>
              <w:spacing w:after="0" w:line="183" w:lineRule="exact"/>
              <w:rPr>
                <w:sz w:val="20"/>
                <w:szCs w:val="20"/>
                <w:color w:val="auto"/>
              </w:rPr>
            </w:pPr>
            <w:r>
              <w:rPr>
                <w:rFonts w:ascii="Arial" w:cs="Arial" w:eastAsia="Arial" w:hAnsi="Arial"/>
                <w:sz w:val="17"/>
                <w:szCs w:val="17"/>
                <w:color w:val="auto"/>
                <w:w w:val="98"/>
              </w:rPr>
              <w:t>(per share)</w:t>
            </w:r>
          </w:p>
        </w:tc>
      </w:tr>
      <w:tr>
        <w:trPr>
          <w:trHeight w:val="189"/>
        </w:trPr>
        <w:tc>
          <w:tcPr>
            <w:tcW w:w="3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outstanding at the beginning of the year</w:t>
            </w:r>
          </w:p>
        </w:tc>
        <w:tc>
          <w:tcPr>
            <w:tcW w:w="1700" w:type="dxa"/>
            <w:vAlign w:val="bottom"/>
            <w:shd w:val="clear" w:color="auto" w:fill="CCEEFF"/>
          </w:tcPr>
          <w:p>
            <w:pPr>
              <w:jc w:val="right"/>
              <w:ind w:right="575"/>
              <w:spacing w:after="0" w:line="189" w:lineRule="exact"/>
              <w:rPr>
                <w:sz w:val="20"/>
                <w:szCs w:val="20"/>
                <w:color w:val="auto"/>
              </w:rPr>
            </w:pPr>
            <w:r>
              <w:rPr>
                <w:rFonts w:ascii="Arial" w:cs="Arial" w:eastAsia="Arial" w:hAnsi="Arial"/>
                <w:sz w:val="17"/>
                <w:szCs w:val="17"/>
                <w:color w:val="auto"/>
              </w:rPr>
              <w:t>2,861</w:t>
            </w:r>
          </w:p>
        </w:tc>
        <w:tc>
          <w:tcPr>
            <w:tcW w:w="1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52.34</w:t>
            </w:r>
          </w:p>
        </w:tc>
      </w:tr>
      <w:tr>
        <w:trPr>
          <w:trHeight w:val="189"/>
        </w:trPr>
        <w:tc>
          <w:tcPr>
            <w:tcW w:w="390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700" w:type="dxa"/>
            <w:vAlign w:val="bottom"/>
          </w:tcPr>
          <w:p>
            <w:pPr>
              <w:jc w:val="right"/>
              <w:ind w:right="575"/>
              <w:spacing w:after="0" w:line="189" w:lineRule="exact"/>
              <w:rPr>
                <w:sz w:val="20"/>
                <w:szCs w:val="20"/>
                <w:color w:val="auto"/>
              </w:rPr>
            </w:pPr>
            <w:r>
              <w:rPr>
                <w:rFonts w:ascii="Arial" w:cs="Arial" w:eastAsia="Arial" w:hAnsi="Arial"/>
                <w:sz w:val="17"/>
                <w:szCs w:val="17"/>
                <w:color w:val="auto"/>
              </w:rPr>
              <w:t>316</w:t>
            </w:r>
          </w:p>
        </w:tc>
        <w:tc>
          <w:tcPr>
            <w:tcW w:w="1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58.96</w:t>
            </w:r>
          </w:p>
        </w:tc>
      </w:tr>
      <w:tr>
        <w:trPr>
          <w:trHeight w:val="189"/>
        </w:trPr>
        <w:tc>
          <w:tcPr>
            <w:tcW w:w="39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1700" w:type="dxa"/>
            <w:vAlign w:val="bottom"/>
            <w:shd w:val="clear" w:color="auto" w:fill="CCEEFF"/>
          </w:tcPr>
          <w:p>
            <w:pPr>
              <w:jc w:val="right"/>
              <w:ind w:right="535"/>
              <w:spacing w:after="0" w:line="189" w:lineRule="exact"/>
              <w:rPr>
                <w:sz w:val="20"/>
                <w:szCs w:val="20"/>
                <w:color w:val="auto"/>
              </w:rPr>
            </w:pPr>
            <w:r>
              <w:rPr>
                <w:rFonts w:ascii="Arial" w:cs="Arial" w:eastAsia="Arial" w:hAnsi="Arial"/>
                <w:sz w:val="17"/>
                <w:szCs w:val="17"/>
                <w:color w:val="auto"/>
              </w:rPr>
              <w:t>(156)</w:t>
            </w:r>
          </w:p>
        </w:tc>
        <w:tc>
          <w:tcPr>
            <w:tcW w:w="1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27.34</w:t>
            </w:r>
          </w:p>
        </w:tc>
      </w:tr>
      <w:tr>
        <w:trPr>
          <w:trHeight w:val="189"/>
        </w:trPr>
        <w:tc>
          <w:tcPr>
            <w:tcW w:w="39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Expired or cancelled</w:t>
            </w:r>
          </w:p>
        </w:tc>
        <w:tc>
          <w:tcPr>
            <w:tcW w:w="1700" w:type="dxa"/>
            <w:vAlign w:val="bottom"/>
            <w:tcBorders>
              <w:bottom w:val="single" w:sz="8" w:color="auto"/>
            </w:tcBorders>
          </w:tcPr>
          <w:p>
            <w:pPr>
              <w:jc w:val="right"/>
              <w:ind w:right="535"/>
              <w:spacing w:after="0" w:line="189" w:lineRule="exact"/>
              <w:rPr>
                <w:sz w:val="20"/>
                <w:szCs w:val="20"/>
                <w:color w:val="auto"/>
              </w:rPr>
            </w:pPr>
            <w:r>
              <w:rPr>
                <w:rFonts w:ascii="Arial" w:cs="Arial" w:eastAsia="Arial" w:hAnsi="Arial"/>
                <w:sz w:val="17"/>
                <w:szCs w:val="17"/>
                <w:color w:val="auto"/>
              </w:rPr>
              <w:t>(22)</w:t>
            </w:r>
          </w:p>
        </w:tc>
        <w:tc>
          <w:tcPr>
            <w:tcW w:w="1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60.56</w:t>
            </w:r>
          </w:p>
        </w:tc>
      </w:tr>
      <w:tr>
        <w:trPr>
          <w:trHeight w:val="190"/>
        </w:trPr>
        <w:tc>
          <w:tcPr>
            <w:tcW w:w="39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Options outstanding at May 4, 2019</w:t>
            </w:r>
          </w:p>
        </w:tc>
        <w:tc>
          <w:tcPr>
            <w:tcW w:w="1700" w:type="dxa"/>
            <w:vAlign w:val="bottom"/>
            <w:tcBorders>
              <w:bottom w:val="single" w:sz="8" w:color="auto"/>
            </w:tcBorders>
            <w:shd w:val="clear" w:color="auto" w:fill="CCEEFF"/>
          </w:tcPr>
          <w:p>
            <w:pPr>
              <w:jc w:val="right"/>
              <w:ind w:right="575"/>
              <w:spacing w:after="0" w:line="183" w:lineRule="exact"/>
              <w:rPr>
                <w:sz w:val="20"/>
                <w:szCs w:val="20"/>
                <w:color w:val="auto"/>
              </w:rPr>
            </w:pPr>
            <w:r>
              <w:rPr>
                <w:rFonts w:ascii="Arial" w:cs="Arial" w:eastAsia="Arial" w:hAnsi="Arial"/>
                <w:sz w:val="17"/>
                <w:szCs w:val="17"/>
                <w:color w:val="auto"/>
              </w:rPr>
              <w:t>2,999</w:t>
            </w:r>
          </w:p>
        </w:tc>
        <w:tc>
          <w:tcPr>
            <w:tcW w:w="1880" w:type="dxa"/>
            <w:vAlign w:val="bottom"/>
            <w:tcBorders>
              <w:bottom w:val="single" w:sz="8" w:color="auto"/>
            </w:tcBorders>
            <w:shd w:val="clear" w:color="auto" w:fill="CCEEFF"/>
          </w:tcPr>
          <w:p>
            <w:pPr>
              <w:jc w:val="right"/>
              <w:ind w:right="335"/>
              <w:spacing w:after="0" w:line="183" w:lineRule="exact"/>
              <w:rPr>
                <w:sz w:val="20"/>
                <w:szCs w:val="20"/>
                <w:color w:val="auto"/>
              </w:rPr>
            </w:pPr>
            <w:r>
              <w:rPr>
                <w:rFonts w:ascii="Arial" w:cs="Arial" w:eastAsia="Arial" w:hAnsi="Arial"/>
                <w:sz w:val="17"/>
                <w:szCs w:val="17"/>
                <w:color w:val="auto"/>
              </w:rPr>
              <w:t>6.4</w:t>
            </w:r>
          </w:p>
        </w:tc>
        <w:tc>
          <w:tcPr>
            <w:tcW w:w="5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54.28</w:t>
            </w:r>
          </w:p>
        </w:tc>
      </w:tr>
      <w:tr>
        <w:trPr>
          <w:trHeight w:val="205"/>
        </w:trPr>
        <w:tc>
          <w:tcPr>
            <w:tcW w:w="3900" w:type="dxa"/>
            <w:vAlign w:val="bottom"/>
          </w:tcPr>
          <w:p>
            <w:pPr>
              <w:spacing w:after="0"/>
              <w:rPr>
                <w:sz w:val="20"/>
                <w:szCs w:val="20"/>
                <w:color w:val="auto"/>
              </w:rPr>
            </w:pPr>
            <w:r>
              <w:rPr>
                <w:rFonts w:ascii="Arial" w:cs="Arial" w:eastAsia="Arial" w:hAnsi="Arial"/>
                <w:sz w:val="17"/>
                <w:szCs w:val="17"/>
                <w:color w:val="auto"/>
              </w:rPr>
              <w:t>Options exercisable at May 4, 2019</w:t>
            </w:r>
          </w:p>
        </w:tc>
        <w:tc>
          <w:tcPr>
            <w:tcW w:w="1700" w:type="dxa"/>
            <w:vAlign w:val="bottom"/>
          </w:tcPr>
          <w:p>
            <w:pPr>
              <w:jc w:val="right"/>
              <w:ind w:right="575"/>
              <w:spacing w:after="0"/>
              <w:rPr>
                <w:sz w:val="20"/>
                <w:szCs w:val="20"/>
                <w:color w:val="auto"/>
              </w:rPr>
            </w:pPr>
            <w:r>
              <w:rPr>
                <w:rFonts w:ascii="Arial" w:cs="Arial" w:eastAsia="Arial" w:hAnsi="Arial"/>
                <w:sz w:val="17"/>
                <w:szCs w:val="17"/>
                <w:color w:val="auto"/>
              </w:rPr>
              <w:t>2,221</w:t>
            </w:r>
          </w:p>
        </w:tc>
        <w:tc>
          <w:tcPr>
            <w:tcW w:w="1880" w:type="dxa"/>
            <w:vAlign w:val="bottom"/>
          </w:tcPr>
          <w:p>
            <w:pPr>
              <w:jc w:val="right"/>
              <w:ind w:right="335"/>
              <w:spacing w:after="0"/>
              <w:rPr>
                <w:sz w:val="20"/>
                <w:szCs w:val="20"/>
                <w:color w:val="auto"/>
              </w:rPr>
            </w:pPr>
            <w:r>
              <w:rPr>
                <w:rFonts w:ascii="Arial" w:cs="Arial" w:eastAsia="Arial" w:hAnsi="Arial"/>
                <w:sz w:val="17"/>
                <w:szCs w:val="17"/>
                <w:color w:val="auto"/>
              </w:rPr>
              <w:t>5.5</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53.74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 – (continued)</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total fair value of options vested as of May 4, 2019 and May 5, 2018 was $6 million and $8 million, respectively. The cash received and tax benefits realized from option exercises was $4 million and $1 million, respectively, for the thirteen weeks ended May 4, 2019.</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total intrinsic value of options exercised (the difference between the market price of the Company’s common stock on the exercise date and the price paid by the optionee to exercise the option) is presented below:</w:t>
      </w:r>
    </w:p>
    <w:p>
      <w:pPr>
        <w:spacing w:after="0" w:line="185" w:lineRule="exact"/>
        <w:rPr>
          <w:sz w:val="20"/>
          <w:szCs w:val="20"/>
          <w:color w:val="auto"/>
        </w:rPr>
      </w:pPr>
    </w:p>
    <w:p>
      <w:pPr>
        <w:ind w:left="632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60" w:type="dxa"/>
            <w:vAlign w:val="bottom"/>
            <w:tcBorders>
              <w:top w:val="single" w:sz="8" w:color="auto"/>
              <w:bottom w:val="single" w:sz="8" w:color="auto"/>
            </w:tcBorders>
          </w:tcPr>
          <w:p>
            <w:pPr>
              <w:spacing w:after="0"/>
              <w:rPr>
                <w:sz w:val="15"/>
                <w:szCs w:val="15"/>
                <w:color w:val="auto"/>
              </w:rPr>
            </w:pPr>
          </w:p>
        </w:tc>
        <w:tc>
          <w:tcPr>
            <w:tcW w:w="36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May 4, 2019</w:t>
            </w:r>
          </w:p>
        </w:tc>
        <w:tc>
          <w:tcPr>
            <w:tcW w:w="48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ind w:left="20"/>
              <w:spacing w:after="0" w:line="183" w:lineRule="exact"/>
              <w:rPr>
                <w:sz w:val="20"/>
                <w:szCs w:val="20"/>
                <w:color w:val="auto"/>
              </w:rPr>
            </w:pPr>
            <w:r>
              <w:rPr>
                <w:rFonts w:ascii="Arial" w:cs="Arial" w:eastAsia="Arial" w:hAnsi="Arial"/>
                <w:sz w:val="17"/>
                <w:szCs w:val="17"/>
                <w:b w:val="1"/>
                <w:bCs w:val="1"/>
                <w:color w:val="auto"/>
              </w:rPr>
              <w:t>May 5, 2018</w:t>
            </w:r>
          </w:p>
        </w:tc>
      </w:tr>
      <w:tr>
        <w:trPr>
          <w:trHeight w:val="183"/>
        </w:trPr>
        <w:tc>
          <w:tcPr>
            <w:tcW w:w="30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020" w:type="dxa"/>
            <w:vAlign w:val="bottom"/>
            <w:gridSpan w:val="2"/>
          </w:tcPr>
          <w:p>
            <w:pPr>
              <w:jc w:val="right"/>
              <w:spacing w:after="0" w:line="183" w:lineRule="exact"/>
              <w:rPr>
                <w:sz w:val="20"/>
                <w:szCs w:val="20"/>
                <w:color w:val="auto"/>
              </w:rPr>
            </w:pPr>
            <w:r>
              <w:rPr>
                <w:rFonts w:ascii="Arial" w:cs="Arial" w:eastAsia="Arial" w:hAnsi="Arial"/>
                <w:sz w:val="17"/>
                <w:szCs w:val="17"/>
                <w:color w:val="auto"/>
                <w:w w:val="99"/>
              </w:rPr>
              <w:t>($ in millions)</w:t>
            </w:r>
          </w:p>
        </w:tc>
        <w:tc>
          <w:tcPr>
            <w:tcW w:w="1340" w:type="dxa"/>
            <w:vAlign w:val="bottom"/>
          </w:tcPr>
          <w:p>
            <w:pPr>
              <w:spacing w:after="0"/>
              <w:rPr>
                <w:sz w:val="15"/>
                <w:szCs w:val="15"/>
                <w:color w:val="auto"/>
              </w:rPr>
            </w:pPr>
          </w:p>
        </w:tc>
      </w:tr>
      <w:tr>
        <w:trPr>
          <w:trHeight w:val="189"/>
        </w:trPr>
        <w:tc>
          <w:tcPr>
            <w:tcW w:w="30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3640" w:type="dxa"/>
            <w:vAlign w:val="bottom"/>
            <w:tcBorders>
              <w:bottom w:val="single" w:sz="8" w:color="auto"/>
            </w:tcBorders>
            <w:shd w:val="clear" w:color="auto" w:fill="CCEEFF"/>
          </w:tcPr>
          <w:p>
            <w:pPr>
              <w:jc w:val="right"/>
              <w:ind w:right="1155"/>
              <w:spacing w:after="0" w:line="189" w:lineRule="exact"/>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5</w:t>
            </w:r>
          </w:p>
        </w:tc>
        <w:tc>
          <w:tcPr>
            <w:tcW w:w="54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ind w:left="1120"/>
              <w:spacing w:after="0" w:line="189" w:lineRule="exact"/>
              <w:rPr>
                <w:sz w:val="20"/>
                <w:szCs w:val="20"/>
                <w:color w:val="auto"/>
              </w:rPr>
            </w:pPr>
            <w:r>
              <w:rPr>
                <w:rFonts w:ascii="Arial" w:cs="Arial" w:eastAsia="Arial" w:hAnsi="Arial"/>
                <w:sz w:val="17"/>
                <w:szCs w:val="17"/>
                <w:color w:val="auto"/>
              </w:rPr>
              <w:t>—</w:t>
            </w: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aggregate intrinsic value for stock options outstanding, and outstanding and exercisable (the difference between the Company’s closing stock price on the last trading day of the period and the exercise price of the options, multiplied by the number of in-the-money stock options) is presented below:</w:t>
      </w:r>
    </w:p>
    <w:p>
      <w:pPr>
        <w:spacing w:after="0" w:line="191" w:lineRule="exact"/>
        <w:rPr>
          <w:sz w:val="20"/>
          <w:szCs w:val="20"/>
          <w:color w:val="auto"/>
        </w:rPr>
      </w:pPr>
    </w:p>
    <w:p>
      <w:pPr>
        <w:ind w:left="632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60" w:type="dxa"/>
            <w:vAlign w:val="bottom"/>
            <w:tcBorders>
              <w:top w:val="single" w:sz="8" w:color="auto"/>
              <w:bottom w:val="single" w:sz="8" w:color="auto"/>
            </w:tcBorders>
          </w:tcPr>
          <w:p>
            <w:pPr>
              <w:spacing w:after="0"/>
              <w:rPr>
                <w:sz w:val="15"/>
                <w:szCs w:val="15"/>
                <w:color w:val="auto"/>
              </w:rPr>
            </w:pPr>
          </w:p>
        </w:tc>
        <w:tc>
          <w:tcPr>
            <w:tcW w:w="2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May 4, 2019</w:t>
            </w:r>
          </w:p>
        </w:tc>
        <w:tc>
          <w:tcPr>
            <w:tcW w:w="48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295"/>
              <w:spacing w:after="0" w:line="183" w:lineRule="exact"/>
              <w:rPr>
                <w:sz w:val="20"/>
                <w:szCs w:val="20"/>
                <w:color w:val="auto"/>
              </w:rPr>
            </w:pPr>
            <w:r>
              <w:rPr>
                <w:rFonts w:ascii="Arial" w:cs="Arial" w:eastAsia="Arial" w:hAnsi="Arial"/>
                <w:sz w:val="17"/>
                <w:szCs w:val="17"/>
                <w:b w:val="1"/>
                <w:bCs w:val="1"/>
                <w:color w:val="auto"/>
                <w:w w:val="99"/>
              </w:rPr>
              <w:t>May 5, 2018</w:t>
            </w:r>
          </w:p>
        </w:tc>
      </w:tr>
      <w:tr>
        <w:trPr>
          <w:trHeight w:val="183"/>
        </w:trPr>
        <w:tc>
          <w:tcPr>
            <w:tcW w:w="37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20" w:type="dxa"/>
            <w:vAlign w:val="bottom"/>
            <w:gridSpan w:val="2"/>
          </w:tcPr>
          <w:p>
            <w:pPr>
              <w:jc w:val="right"/>
              <w:spacing w:after="0" w:line="183" w:lineRule="exact"/>
              <w:rPr>
                <w:sz w:val="20"/>
                <w:szCs w:val="20"/>
                <w:color w:val="auto"/>
              </w:rPr>
            </w:pPr>
            <w:r>
              <w:rPr>
                <w:rFonts w:ascii="Arial" w:cs="Arial" w:eastAsia="Arial" w:hAnsi="Arial"/>
                <w:sz w:val="17"/>
                <w:szCs w:val="17"/>
                <w:color w:val="auto"/>
                <w:w w:val="99"/>
              </w:rPr>
              <w:t>($ in millions)</w:t>
            </w:r>
          </w:p>
        </w:tc>
        <w:tc>
          <w:tcPr>
            <w:tcW w:w="1340" w:type="dxa"/>
            <w:vAlign w:val="bottom"/>
          </w:tcPr>
          <w:p>
            <w:pPr>
              <w:spacing w:after="0"/>
              <w:rPr>
                <w:sz w:val="15"/>
                <w:szCs w:val="15"/>
                <w:color w:val="auto"/>
              </w:rPr>
            </w:pPr>
          </w:p>
        </w:tc>
      </w:tr>
      <w:tr>
        <w:trPr>
          <w:trHeight w:val="189"/>
        </w:trPr>
        <w:tc>
          <w:tcPr>
            <w:tcW w:w="3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Outstanding</w:t>
            </w:r>
          </w:p>
        </w:tc>
        <w:tc>
          <w:tcPr>
            <w:tcW w:w="2940" w:type="dxa"/>
            <w:vAlign w:val="bottom"/>
            <w:shd w:val="clear" w:color="auto" w:fill="CCEEFF"/>
          </w:tcPr>
          <w:p>
            <w:pPr>
              <w:jc w:val="right"/>
              <w:ind w:right="1155"/>
              <w:spacing w:after="0" w:line="189" w:lineRule="exact"/>
              <w:rPr>
                <w:sz w:val="20"/>
                <w:szCs w:val="20"/>
                <w:color w:val="auto"/>
              </w:rPr>
            </w:pPr>
            <w:r>
              <w:rPr>
                <w:rFonts w:ascii="Arial" w:cs="Arial" w:eastAsia="Arial" w:hAnsi="Arial"/>
                <w:sz w:val="17"/>
                <w:szCs w:val="17"/>
                <w:b w:val="1"/>
                <w:bCs w:val="1"/>
                <w:color w:val="auto"/>
              </w:rPr>
              <w:t>$</w:t>
            </w:r>
          </w:p>
        </w:tc>
        <w:tc>
          <w:tcPr>
            <w:tcW w:w="4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20</w:t>
            </w:r>
          </w:p>
        </w:tc>
        <w:tc>
          <w:tcPr>
            <w:tcW w:w="5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w:t>
            </w:r>
          </w:p>
        </w:tc>
      </w:tr>
      <w:tr>
        <w:trPr>
          <w:trHeight w:val="189"/>
        </w:trPr>
        <w:tc>
          <w:tcPr>
            <w:tcW w:w="37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Outstanding and exercisable</w:t>
            </w:r>
          </w:p>
        </w:tc>
        <w:tc>
          <w:tcPr>
            <w:tcW w:w="2940" w:type="dxa"/>
            <w:vAlign w:val="bottom"/>
            <w:tcBorders>
              <w:bottom w:val="single" w:sz="8" w:color="auto"/>
            </w:tcBorders>
          </w:tcPr>
          <w:p>
            <w:pPr>
              <w:jc w:val="right"/>
              <w:ind w:right="1155"/>
              <w:spacing w:after="0" w:line="189" w:lineRule="exact"/>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17</w:t>
            </w:r>
          </w:p>
        </w:tc>
        <w:tc>
          <w:tcPr>
            <w:tcW w:w="54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May 4, 2019 there was $8 million of total unrecognized compensation cost related to nonvested stock options, which is expected to be recognized over a remaining weighted-average period of 1.7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May 4, 2019: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tcBorders>
              <w:bottom w:val="single" w:sz="8" w:color="auto"/>
            </w:tcBorders>
          </w:tcPr>
          <w:p>
            <w:pPr>
              <w:spacing w:after="0"/>
              <w:rPr>
                <w:sz w:val="18"/>
                <w:szCs w:val="18"/>
                <w:color w:val="auto"/>
              </w:rPr>
            </w:pPr>
          </w:p>
        </w:tc>
        <w:tc>
          <w:tcPr>
            <w:tcW w:w="438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7"/>
                <w:szCs w:val="17"/>
                <w:b w:val="1"/>
                <w:bCs w:val="1"/>
                <w:color w:val="auto"/>
              </w:rPr>
              <w:t>Options Outstanding</w:t>
            </w:r>
          </w:p>
        </w:tc>
        <w:tc>
          <w:tcPr>
            <w:tcW w:w="220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7"/>
                <w:szCs w:val="17"/>
                <w:b w:val="1"/>
                <w:bCs w:val="1"/>
                <w:color w:val="auto"/>
              </w:rPr>
              <w:t>Options Exercisable</w:t>
            </w:r>
          </w:p>
        </w:tc>
      </w:tr>
      <w:tr>
        <w:trPr>
          <w:trHeight w:val="156"/>
        </w:trPr>
        <w:tc>
          <w:tcPr>
            <w:tcW w:w="24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180" w:type="dxa"/>
            <w:vAlign w:val="bottom"/>
          </w:tcPr>
          <w:p>
            <w:pPr>
              <w:jc w:val="center"/>
              <w:spacing w:after="0" w:line="157" w:lineRule="exact"/>
              <w:rPr>
                <w:sz w:val="20"/>
                <w:szCs w:val="20"/>
                <w:color w:val="auto"/>
              </w:rPr>
            </w:pPr>
            <w:r>
              <w:rPr>
                <w:rFonts w:ascii="Arial" w:cs="Arial" w:eastAsia="Arial" w:hAnsi="Arial"/>
                <w:sz w:val="17"/>
                <w:szCs w:val="17"/>
                <w:b w:val="1"/>
                <w:bCs w:val="1"/>
                <w:color w:val="auto"/>
                <w:w w:val="99"/>
              </w:rPr>
              <w:t>Weighted-</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9"/>
        </w:trPr>
        <w:tc>
          <w:tcPr>
            <w:tcW w:w="24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1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8"/>
              </w:rPr>
              <w:t>Average</w:t>
            </w:r>
          </w:p>
        </w:tc>
        <w:tc>
          <w:tcPr>
            <w:tcW w:w="108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w w:val="99"/>
              </w:rPr>
              <w:t>Weighted-</w:t>
            </w:r>
          </w:p>
        </w:tc>
        <w:tc>
          <w:tcPr>
            <w:tcW w:w="1200" w:type="dxa"/>
            <w:vAlign w:val="bottom"/>
          </w:tcPr>
          <w:p>
            <w:pPr>
              <w:spacing w:after="0"/>
              <w:rPr>
                <w:sz w:val="16"/>
                <w:szCs w:val="16"/>
                <w:color w:val="auto"/>
              </w:rPr>
            </w:pPr>
          </w:p>
        </w:tc>
        <w:tc>
          <w:tcPr>
            <w:tcW w:w="1000" w:type="dxa"/>
            <w:vAlign w:val="bottom"/>
            <w:gridSpan w:val="2"/>
          </w:tcPr>
          <w:p>
            <w:pPr>
              <w:jc w:val="center"/>
              <w:ind w:left="35"/>
              <w:spacing w:after="0" w:line="189" w:lineRule="exact"/>
              <w:rPr>
                <w:sz w:val="20"/>
                <w:szCs w:val="20"/>
                <w:color w:val="auto"/>
              </w:rPr>
            </w:pPr>
            <w:r>
              <w:rPr>
                <w:rFonts w:ascii="Arial" w:cs="Arial" w:eastAsia="Arial" w:hAnsi="Arial"/>
                <w:sz w:val="17"/>
                <w:szCs w:val="17"/>
                <w:b w:val="1"/>
                <w:bCs w:val="1"/>
                <w:color w:val="auto"/>
              </w:rPr>
              <w:t>Weighted-</w:t>
            </w:r>
          </w:p>
        </w:tc>
      </w:tr>
      <w:tr>
        <w:trPr>
          <w:trHeight w:val="189"/>
        </w:trPr>
        <w:tc>
          <w:tcPr>
            <w:tcW w:w="24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1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Remaining</w:t>
            </w:r>
          </w:p>
        </w:tc>
        <w:tc>
          <w:tcPr>
            <w:tcW w:w="200" w:type="dxa"/>
            <w:vAlign w:val="bottom"/>
          </w:tcPr>
          <w:p>
            <w:pPr>
              <w:spacing w:after="0"/>
              <w:rPr>
                <w:sz w:val="16"/>
                <w:szCs w:val="16"/>
                <w:color w:val="auto"/>
              </w:rPr>
            </w:pPr>
          </w:p>
        </w:tc>
        <w:tc>
          <w:tcPr>
            <w:tcW w:w="88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Average</w:t>
            </w: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Average</w:t>
            </w:r>
          </w:p>
        </w:tc>
      </w:tr>
      <w:tr>
        <w:trPr>
          <w:trHeight w:val="189"/>
        </w:trPr>
        <w:tc>
          <w:tcPr>
            <w:tcW w:w="2480" w:type="dxa"/>
            <w:vAlign w:val="bottom"/>
          </w:tcPr>
          <w:p>
            <w:pPr>
              <w:spacing w:after="0" w:line="189" w:lineRule="exact"/>
              <w:rPr>
                <w:sz w:val="20"/>
                <w:szCs w:val="20"/>
                <w:color w:val="auto"/>
              </w:rPr>
            </w:pPr>
            <w:r>
              <w:rPr>
                <w:rFonts w:ascii="Arial" w:cs="Arial" w:eastAsia="Arial" w:hAnsi="Arial"/>
                <w:sz w:val="17"/>
                <w:szCs w:val="17"/>
                <w:b w:val="1"/>
                <w:bCs w:val="1"/>
                <w:color w:val="auto"/>
              </w:rPr>
              <w:t>Range of Exercise</w:t>
            </w:r>
          </w:p>
        </w:tc>
        <w:tc>
          <w:tcPr>
            <w:tcW w:w="2120" w:type="dxa"/>
            <w:vAlign w:val="bottom"/>
          </w:tcPr>
          <w:p>
            <w:pPr>
              <w:jc w:val="right"/>
              <w:ind w:right="215"/>
              <w:spacing w:after="0" w:line="189" w:lineRule="exact"/>
              <w:rPr>
                <w:sz w:val="20"/>
                <w:szCs w:val="20"/>
                <w:color w:val="auto"/>
              </w:rPr>
            </w:pPr>
            <w:r>
              <w:rPr>
                <w:rFonts w:ascii="Arial" w:cs="Arial" w:eastAsia="Arial" w:hAnsi="Arial"/>
                <w:sz w:val="17"/>
                <w:szCs w:val="17"/>
                <w:b w:val="1"/>
                <w:bCs w:val="1"/>
                <w:color w:val="auto"/>
              </w:rPr>
              <w:t>Number</w:t>
            </w:r>
          </w:p>
        </w:tc>
        <w:tc>
          <w:tcPr>
            <w:tcW w:w="11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Contractual</w:t>
            </w:r>
          </w:p>
        </w:tc>
        <w:tc>
          <w:tcPr>
            <w:tcW w:w="108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Exercise</w:t>
            </w:r>
          </w:p>
        </w:tc>
        <w:tc>
          <w:tcPr>
            <w:tcW w:w="120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Number</w:t>
            </w:r>
          </w:p>
        </w:tc>
        <w:tc>
          <w:tcPr>
            <w:tcW w:w="200" w:type="dxa"/>
            <w:vAlign w:val="bottom"/>
          </w:tcPr>
          <w:p>
            <w:pPr>
              <w:spacing w:after="0"/>
              <w:rPr>
                <w:sz w:val="16"/>
                <w:szCs w:val="16"/>
                <w:color w:val="auto"/>
              </w:rPr>
            </w:pPr>
          </w:p>
        </w:tc>
        <w:tc>
          <w:tcPr>
            <w:tcW w:w="80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Exercise</w:t>
            </w:r>
          </w:p>
        </w:tc>
      </w:tr>
      <w:tr>
        <w:trPr>
          <w:trHeight w:val="215"/>
        </w:trPr>
        <w:tc>
          <w:tcPr>
            <w:tcW w:w="24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Prices</w:t>
            </w:r>
          </w:p>
        </w:tc>
        <w:tc>
          <w:tcPr>
            <w:tcW w:w="2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Outstanding</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Life</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rPr>
              <w:t>Price</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Exercisable</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Price</w:t>
            </w:r>
          </w:p>
        </w:tc>
      </w:tr>
      <w:tr>
        <w:trPr>
          <w:trHeight w:val="183"/>
        </w:trPr>
        <w:tc>
          <w:tcPr>
            <w:tcW w:w="2480" w:type="dxa"/>
            <w:vAlign w:val="bottom"/>
          </w:tcPr>
          <w:p>
            <w:pPr>
              <w:spacing w:after="0"/>
              <w:rPr>
                <w:sz w:val="15"/>
                <w:szCs w:val="15"/>
                <w:color w:val="auto"/>
              </w:rPr>
            </w:pPr>
          </w:p>
        </w:tc>
        <w:tc>
          <w:tcPr>
            <w:tcW w:w="6580" w:type="dxa"/>
            <w:vAlign w:val="bottom"/>
            <w:gridSpan w:val="7"/>
          </w:tcPr>
          <w:p>
            <w:pPr>
              <w:jc w:val="right"/>
              <w:ind w:right="495"/>
              <w:spacing w:after="0" w:line="183" w:lineRule="exact"/>
              <w:rPr>
                <w:sz w:val="20"/>
                <w:szCs w:val="20"/>
                <w:color w:val="auto"/>
              </w:rPr>
            </w:pPr>
            <w:r>
              <w:rPr>
                <w:rFonts w:ascii="Arial" w:cs="Arial" w:eastAsia="Arial" w:hAnsi="Arial"/>
                <w:sz w:val="17"/>
                <w:szCs w:val="17"/>
                <w:color w:val="auto"/>
              </w:rPr>
              <w:t>(in thousands, except prices per share and contractual life)</w:t>
            </w:r>
          </w:p>
        </w:tc>
      </w:tr>
      <w:tr>
        <w:trPr>
          <w:trHeight w:val="189"/>
        </w:trPr>
        <w:tc>
          <w:tcPr>
            <w:tcW w:w="2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$9.85 to $18.84</w:t>
            </w:r>
          </w:p>
        </w:tc>
        <w:tc>
          <w:tcPr>
            <w:tcW w:w="21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134</w:t>
            </w:r>
          </w:p>
        </w:tc>
        <w:tc>
          <w:tcPr>
            <w:tcW w:w="11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1.7</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18.44</w:t>
            </w:r>
          </w:p>
        </w:tc>
        <w:tc>
          <w:tcPr>
            <w:tcW w:w="12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134</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18.44</w:t>
            </w:r>
          </w:p>
        </w:tc>
      </w:tr>
      <w:tr>
        <w:trPr>
          <w:trHeight w:val="189"/>
        </w:trPr>
        <w:tc>
          <w:tcPr>
            <w:tcW w:w="2480" w:type="dxa"/>
            <w:vAlign w:val="bottom"/>
          </w:tcPr>
          <w:p>
            <w:pPr>
              <w:spacing w:after="0" w:line="189" w:lineRule="exact"/>
              <w:rPr>
                <w:sz w:val="20"/>
                <w:szCs w:val="20"/>
                <w:color w:val="auto"/>
              </w:rPr>
            </w:pPr>
            <w:r>
              <w:rPr>
                <w:rFonts w:ascii="Arial" w:cs="Arial" w:eastAsia="Arial" w:hAnsi="Arial"/>
                <w:sz w:val="17"/>
                <w:szCs w:val="17"/>
                <w:color w:val="auto"/>
              </w:rPr>
              <w:t>$24.75 to $34.75</w:t>
            </w:r>
          </w:p>
        </w:tc>
        <w:tc>
          <w:tcPr>
            <w:tcW w:w="21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378</w:t>
            </w:r>
          </w:p>
        </w:tc>
        <w:tc>
          <w:tcPr>
            <w:tcW w:w="11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3.7</w:t>
            </w:r>
          </w:p>
        </w:tc>
        <w:tc>
          <w:tcPr>
            <w:tcW w:w="200" w:type="dxa"/>
            <w:vAlign w:val="bottom"/>
          </w:tcPr>
          <w:p>
            <w:pPr>
              <w:spacing w:after="0"/>
              <w:rPr>
                <w:sz w:val="16"/>
                <w:szCs w:val="16"/>
                <w:color w:val="auto"/>
              </w:rPr>
            </w:pPr>
          </w:p>
        </w:tc>
        <w:tc>
          <w:tcPr>
            <w:tcW w:w="8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32.09</w:t>
            </w:r>
          </w:p>
        </w:tc>
        <w:tc>
          <w:tcPr>
            <w:tcW w:w="120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340</w:t>
            </w: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31.79</w:t>
            </w:r>
          </w:p>
        </w:tc>
      </w:tr>
      <w:tr>
        <w:trPr>
          <w:trHeight w:val="189"/>
        </w:trPr>
        <w:tc>
          <w:tcPr>
            <w:tcW w:w="2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$44.78 to $45.75</w:t>
            </w:r>
          </w:p>
        </w:tc>
        <w:tc>
          <w:tcPr>
            <w:tcW w:w="21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586</w:t>
            </w:r>
          </w:p>
        </w:tc>
        <w:tc>
          <w:tcPr>
            <w:tcW w:w="11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7.1</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44.91</w:t>
            </w:r>
          </w:p>
        </w:tc>
        <w:tc>
          <w:tcPr>
            <w:tcW w:w="12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351</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44.99</w:t>
            </w:r>
          </w:p>
        </w:tc>
      </w:tr>
      <w:tr>
        <w:trPr>
          <w:trHeight w:val="189"/>
        </w:trPr>
        <w:tc>
          <w:tcPr>
            <w:tcW w:w="2480" w:type="dxa"/>
            <w:vAlign w:val="bottom"/>
          </w:tcPr>
          <w:p>
            <w:pPr>
              <w:spacing w:after="0" w:line="189" w:lineRule="exact"/>
              <w:rPr>
                <w:sz w:val="20"/>
                <w:szCs w:val="20"/>
                <w:color w:val="auto"/>
              </w:rPr>
            </w:pPr>
            <w:r>
              <w:rPr>
                <w:rFonts w:ascii="Arial" w:cs="Arial" w:eastAsia="Arial" w:hAnsi="Arial"/>
                <w:sz w:val="17"/>
                <w:szCs w:val="17"/>
                <w:color w:val="auto"/>
              </w:rPr>
              <w:t>$46.64 to $62.11</w:t>
            </w:r>
          </w:p>
        </w:tc>
        <w:tc>
          <w:tcPr>
            <w:tcW w:w="21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994</w:t>
            </w:r>
          </w:p>
        </w:tc>
        <w:tc>
          <w:tcPr>
            <w:tcW w:w="11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6.9</w:t>
            </w:r>
          </w:p>
        </w:tc>
        <w:tc>
          <w:tcPr>
            <w:tcW w:w="200" w:type="dxa"/>
            <w:vAlign w:val="bottom"/>
          </w:tcPr>
          <w:p>
            <w:pPr>
              <w:spacing w:after="0"/>
              <w:rPr>
                <w:sz w:val="16"/>
                <w:szCs w:val="16"/>
                <w:color w:val="auto"/>
              </w:rPr>
            </w:pPr>
          </w:p>
        </w:tc>
        <w:tc>
          <w:tcPr>
            <w:tcW w:w="8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60.07</w:t>
            </w:r>
          </w:p>
        </w:tc>
        <w:tc>
          <w:tcPr>
            <w:tcW w:w="1200" w:type="dxa"/>
            <w:vAlign w:val="bottom"/>
          </w:tcPr>
          <w:p>
            <w:pPr>
              <w:jc w:val="right"/>
              <w:ind w:right="55"/>
              <w:spacing w:after="0" w:line="189" w:lineRule="exact"/>
              <w:rPr>
                <w:sz w:val="20"/>
                <w:szCs w:val="20"/>
                <w:color w:val="auto"/>
              </w:rPr>
            </w:pPr>
            <w:r>
              <w:rPr>
                <w:rFonts w:ascii="Arial" w:cs="Arial" w:eastAsia="Arial" w:hAnsi="Arial"/>
                <w:sz w:val="17"/>
                <w:szCs w:val="17"/>
                <w:color w:val="auto"/>
              </w:rPr>
              <w:t>646</w:t>
            </w:r>
          </w:p>
        </w:tc>
        <w:tc>
          <w:tcPr>
            <w:tcW w:w="2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61.16</w:t>
            </w:r>
          </w:p>
        </w:tc>
      </w:tr>
      <w:tr>
        <w:trPr>
          <w:trHeight w:val="189"/>
        </w:trPr>
        <w:tc>
          <w:tcPr>
            <w:tcW w:w="24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$63.33 to $73.21</w:t>
            </w:r>
          </w:p>
        </w:tc>
        <w:tc>
          <w:tcPr>
            <w:tcW w:w="21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907</w:t>
            </w:r>
          </w:p>
        </w:tc>
        <w:tc>
          <w:tcPr>
            <w:tcW w:w="11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7.2</w:t>
            </w: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68.54</w:t>
            </w:r>
          </w:p>
        </w:tc>
        <w:tc>
          <w:tcPr>
            <w:tcW w:w="120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750</w:t>
            </w: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67.71</w:t>
            </w:r>
          </w:p>
        </w:tc>
      </w:tr>
      <w:tr>
        <w:trPr>
          <w:trHeight w:val="190"/>
        </w:trPr>
        <w:tc>
          <w:tcPr>
            <w:tcW w:w="24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2,999</w:t>
            </w:r>
          </w:p>
        </w:tc>
        <w:tc>
          <w:tcPr>
            <w:tcW w:w="11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6.4</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54.28</w:t>
            </w:r>
          </w:p>
        </w:tc>
        <w:tc>
          <w:tcPr>
            <w:tcW w:w="12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2,221</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53.74</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Restricted Stock Units</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Restricted shares of the Company’s common stock and restricted stock units (“RSU”) may be awarded to certain officers and key employees of the Company. Additionally, RSU awards are made to employees in connection with the Company’s long-term incentive program and to nonemployee directors.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 – (continued)</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Each RSU represents the right to receive one share of the Company’s common stock provided that the performance and vesting conditions are satisfied. There were no outstanding restricted stock awards as of May 4, 2019 and an insignificant number of restricted stock awards were outstanding as May 5, 2018.</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Generally, awards fully vest after the passage of time, typically three years. However, RSU awards made in connection with the Company’s performance-based long-term incentive program are earned after the attainment of certain performance metrics and vest after the passage of time. Restricted stock is considered outstanding at the time of grant and the holders have voting rights. Dividends are paid to holders of restricted stock that vest with the passage of time. With regard to performance-based restricted stock, dividends will be accumulated and paid after the performance criteria are met. No dividends are paid or accumulated on any RSU awards. Compensation expense is recognized using the market value at the date of grant and is amortized over the vesting period, provided the recipient continues to be employed by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and RSU activity for the thirteen weeks ended May 4, 2019 is summarized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20" w:type="dxa"/>
            <w:vAlign w:val="bottom"/>
          </w:tcPr>
          <w:p>
            <w:pPr>
              <w:jc w:val="center"/>
              <w:ind w:left="15"/>
              <w:spacing w:after="0"/>
              <w:rPr>
                <w:sz w:val="20"/>
                <w:szCs w:val="20"/>
                <w:color w:val="auto"/>
              </w:rPr>
            </w:pPr>
            <w:r>
              <w:rPr>
                <w:rFonts w:ascii="Arial" w:cs="Arial" w:eastAsia="Arial" w:hAnsi="Arial"/>
                <w:sz w:val="17"/>
                <w:szCs w:val="17"/>
                <w:b w:val="1"/>
                <w:bCs w:val="1"/>
                <w:color w:val="auto"/>
                <w:w w:val="99"/>
              </w:rPr>
              <w:t>Weighted-Average</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3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162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rPr>
              <w:t>Remaining</w:t>
            </w:r>
          </w:p>
        </w:tc>
        <w:tc>
          <w:tcPr>
            <w:tcW w:w="1560" w:type="dxa"/>
            <w:vAlign w:val="bottom"/>
            <w:gridSpan w:val="2"/>
          </w:tcPr>
          <w:p>
            <w:pPr>
              <w:jc w:val="center"/>
              <w:spacing w:after="0" w:line="189" w:lineRule="exact"/>
              <w:rPr>
                <w:sz w:val="20"/>
                <w:szCs w:val="20"/>
                <w:color w:val="auto"/>
              </w:rPr>
            </w:pPr>
            <w:r>
              <w:rPr>
                <w:rFonts w:ascii="Arial" w:cs="Arial" w:eastAsia="Arial" w:hAnsi="Arial"/>
                <w:sz w:val="17"/>
                <w:szCs w:val="17"/>
                <w:b w:val="1"/>
                <w:bCs w:val="1"/>
                <w:color w:val="auto"/>
              </w:rPr>
              <w:t>Weighted-Average</w:t>
            </w:r>
          </w:p>
        </w:tc>
      </w:tr>
      <w:tr>
        <w:trPr>
          <w:trHeight w:val="189"/>
        </w:trPr>
        <w:tc>
          <w:tcPr>
            <w:tcW w:w="3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162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rPr>
              <w:t>Contractual</w:t>
            </w:r>
          </w:p>
        </w:tc>
        <w:tc>
          <w:tcPr>
            <w:tcW w:w="220" w:type="dxa"/>
            <w:vAlign w:val="bottom"/>
          </w:tcPr>
          <w:p>
            <w:pPr>
              <w:spacing w:after="0"/>
              <w:rPr>
                <w:sz w:val="16"/>
                <w:szCs w:val="16"/>
                <w:color w:val="auto"/>
              </w:rPr>
            </w:pPr>
          </w:p>
        </w:tc>
        <w:tc>
          <w:tcPr>
            <w:tcW w:w="134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w w:val="98"/>
              </w:rPr>
              <w:t>Grant Date</w:t>
            </w:r>
          </w:p>
        </w:tc>
      </w:tr>
      <w:tr>
        <w:trPr>
          <w:trHeight w:val="215"/>
        </w:trPr>
        <w:tc>
          <w:tcPr>
            <w:tcW w:w="3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Shares</w:t>
            </w:r>
          </w:p>
        </w:tc>
        <w:tc>
          <w:tcPr>
            <w:tcW w:w="1620" w:type="dxa"/>
            <w:vAlign w:val="bottom"/>
            <w:tcBorders>
              <w:bottom w:val="single" w:sz="8" w:color="auto"/>
            </w:tcBorders>
          </w:tcPr>
          <w:p>
            <w:pPr>
              <w:jc w:val="center"/>
              <w:ind w:left="35"/>
              <w:spacing w:after="0"/>
              <w:rPr>
                <w:sz w:val="20"/>
                <w:szCs w:val="20"/>
                <w:color w:val="auto"/>
              </w:rPr>
            </w:pPr>
            <w:r>
              <w:rPr>
                <w:rFonts w:ascii="Arial" w:cs="Arial" w:eastAsia="Arial" w:hAnsi="Arial"/>
                <w:sz w:val="17"/>
                <w:szCs w:val="17"/>
                <w:b w:val="1"/>
                <w:bCs w:val="1"/>
                <w:color w:val="auto"/>
                <w:w w:val="99"/>
              </w:rPr>
              <w:t>Life</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rPr>
              <w:t>Fair Value</w:t>
            </w:r>
          </w:p>
        </w:tc>
      </w:tr>
      <w:tr>
        <w:trPr>
          <w:trHeight w:val="183"/>
        </w:trPr>
        <w:tc>
          <w:tcPr>
            <w:tcW w:w="3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20" w:type="dxa"/>
            <w:vAlign w:val="bottom"/>
          </w:tcPr>
          <w:p>
            <w:pPr>
              <w:jc w:val="right"/>
              <w:ind w:right="35"/>
              <w:spacing w:after="0" w:line="183" w:lineRule="exact"/>
              <w:rPr>
                <w:sz w:val="20"/>
                <w:szCs w:val="20"/>
                <w:color w:val="auto"/>
              </w:rPr>
            </w:pPr>
            <w:r>
              <w:rPr>
                <w:rFonts w:ascii="Arial" w:cs="Arial" w:eastAsia="Arial" w:hAnsi="Arial"/>
                <w:sz w:val="17"/>
                <w:szCs w:val="17"/>
                <w:color w:val="auto"/>
              </w:rPr>
              <w:t>(in thousands)</w:t>
            </w:r>
          </w:p>
        </w:tc>
        <w:tc>
          <w:tcPr>
            <w:tcW w:w="1620" w:type="dxa"/>
            <w:vAlign w:val="bottom"/>
          </w:tcPr>
          <w:p>
            <w:pPr>
              <w:jc w:val="center"/>
              <w:ind w:left="15"/>
              <w:spacing w:after="0" w:line="183" w:lineRule="exact"/>
              <w:rPr>
                <w:sz w:val="20"/>
                <w:szCs w:val="20"/>
                <w:color w:val="auto"/>
              </w:rPr>
            </w:pPr>
            <w:r>
              <w:rPr>
                <w:rFonts w:ascii="Arial" w:cs="Arial" w:eastAsia="Arial" w:hAnsi="Arial"/>
                <w:sz w:val="17"/>
                <w:szCs w:val="17"/>
                <w:color w:val="auto"/>
              </w:rPr>
              <w:t>(in years)</w:t>
            </w:r>
          </w:p>
        </w:tc>
        <w:tc>
          <w:tcPr>
            <w:tcW w:w="220" w:type="dxa"/>
            <w:vAlign w:val="bottom"/>
          </w:tcPr>
          <w:p>
            <w:pPr>
              <w:spacing w:after="0"/>
              <w:rPr>
                <w:sz w:val="15"/>
                <w:szCs w:val="15"/>
                <w:color w:val="auto"/>
              </w:rPr>
            </w:pPr>
          </w:p>
        </w:tc>
        <w:tc>
          <w:tcPr>
            <w:tcW w:w="1340" w:type="dxa"/>
            <w:vAlign w:val="bottom"/>
          </w:tcPr>
          <w:p>
            <w:pPr>
              <w:jc w:val="right"/>
              <w:ind w:right="135"/>
              <w:spacing w:after="0" w:line="183" w:lineRule="exact"/>
              <w:rPr>
                <w:sz w:val="20"/>
                <w:szCs w:val="20"/>
                <w:color w:val="auto"/>
              </w:rPr>
            </w:pPr>
            <w:r>
              <w:rPr>
                <w:rFonts w:ascii="Arial" w:cs="Arial" w:eastAsia="Arial" w:hAnsi="Arial"/>
                <w:sz w:val="17"/>
                <w:szCs w:val="17"/>
                <w:color w:val="auto"/>
              </w:rPr>
              <w:t>(per share)</w:t>
            </w:r>
          </w:p>
        </w:tc>
      </w:tr>
      <w:tr>
        <w:trPr>
          <w:trHeight w:val="189"/>
        </w:trPr>
        <w:tc>
          <w:tcPr>
            <w:tcW w:w="3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Nonvested at beginning of year</w:t>
            </w:r>
          </w:p>
        </w:tc>
        <w:tc>
          <w:tcPr>
            <w:tcW w:w="1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1,022</w:t>
            </w: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47.47</w:t>
            </w: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7"/>
                <w:szCs w:val="17"/>
                <w:color w:val="auto"/>
              </w:rPr>
              <w:t xml:space="preserve">Granted </w:t>
            </w:r>
            <w:r>
              <w:rPr>
                <w:rFonts w:ascii="Arial" w:cs="Arial" w:eastAsia="Arial" w:hAnsi="Arial"/>
                <w:sz w:val="8"/>
                <w:szCs w:val="8"/>
                <w:color w:val="auto"/>
              </w:rPr>
              <w:t>(1)</w:t>
            </w:r>
          </w:p>
        </w:tc>
        <w:tc>
          <w:tcPr>
            <w:tcW w:w="1200" w:type="dxa"/>
            <w:vAlign w:val="bottom"/>
          </w:tcPr>
          <w:p>
            <w:pPr>
              <w:spacing w:after="0"/>
              <w:rPr>
                <w:sz w:val="16"/>
                <w:szCs w:val="16"/>
                <w:color w:val="auto"/>
              </w:rPr>
            </w:pPr>
          </w:p>
        </w:tc>
        <w:tc>
          <w:tcPr>
            <w:tcW w:w="12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291</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58.95</w:t>
            </w:r>
          </w:p>
        </w:tc>
      </w:tr>
      <w:tr>
        <w:trPr>
          <w:trHeight w:val="189"/>
        </w:trPr>
        <w:tc>
          <w:tcPr>
            <w:tcW w:w="3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w:t>
            </w:r>
          </w:p>
        </w:tc>
        <w:tc>
          <w:tcPr>
            <w:tcW w:w="1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(72)</w:t>
            </w: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63.61</w:t>
            </w:r>
          </w:p>
        </w:tc>
      </w:tr>
      <w:tr>
        <w:trPr>
          <w:trHeight w:val="189"/>
        </w:trPr>
        <w:tc>
          <w:tcPr>
            <w:tcW w:w="3460" w:type="dxa"/>
            <w:vAlign w:val="bottom"/>
          </w:tcPr>
          <w:p>
            <w:pPr>
              <w:spacing w:after="0" w:line="189" w:lineRule="exact"/>
              <w:rPr>
                <w:sz w:val="20"/>
                <w:szCs w:val="20"/>
                <w:color w:val="auto"/>
              </w:rPr>
            </w:pPr>
            <w:r>
              <w:rPr>
                <w:rFonts w:ascii="Arial" w:cs="Arial" w:eastAsia="Arial" w:hAnsi="Arial"/>
                <w:sz w:val="17"/>
                <w:szCs w:val="17"/>
                <w:color w:val="auto"/>
              </w:rPr>
              <w:t xml:space="preserve">Performance adjustment </w:t>
            </w:r>
            <w:r>
              <w:rPr>
                <w:rFonts w:ascii="Arial" w:cs="Arial" w:eastAsia="Arial" w:hAnsi="Arial"/>
                <w:sz w:val="8"/>
                <w:szCs w:val="8"/>
                <w:color w:val="auto"/>
              </w:rPr>
              <w:t>(2)</w:t>
            </w:r>
          </w:p>
        </w:tc>
        <w:tc>
          <w:tcPr>
            <w:tcW w:w="1200" w:type="dxa"/>
            <w:vAlign w:val="bottom"/>
          </w:tcPr>
          <w:p>
            <w:pPr>
              <w:spacing w:after="0"/>
              <w:rPr>
                <w:sz w:val="16"/>
                <w:szCs w:val="16"/>
                <w:color w:val="auto"/>
              </w:rPr>
            </w:pPr>
          </w:p>
        </w:tc>
        <w:tc>
          <w:tcPr>
            <w:tcW w:w="12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10</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3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Expired or cancelled</w:t>
            </w:r>
          </w:p>
        </w:tc>
        <w:tc>
          <w:tcPr>
            <w:tcW w:w="1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(5)</w:t>
            </w:r>
          </w:p>
        </w:tc>
        <w:tc>
          <w:tcPr>
            <w:tcW w:w="16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55.79</w:t>
            </w:r>
          </w:p>
        </w:tc>
      </w:tr>
      <w:tr>
        <w:trPr>
          <w:trHeight w:val="190"/>
        </w:trPr>
        <w:tc>
          <w:tcPr>
            <w:tcW w:w="34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Nonvested at May 4, 2019</w:t>
            </w:r>
          </w:p>
        </w:tc>
        <w:tc>
          <w:tcPr>
            <w:tcW w:w="1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1,246</w:t>
            </w:r>
          </w:p>
        </w:tc>
        <w:tc>
          <w:tcPr>
            <w:tcW w:w="1620" w:type="dxa"/>
            <w:vAlign w:val="bottom"/>
            <w:tcBorders>
              <w:bottom w:val="single" w:sz="8" w:color="auto"/>
            </w:tcBorders>
          </w:tcPr>
          <w:p>
            <w:pPr>
              <w:jc w:val="right"/>
              <w:ind w:right="195"/>
              <w:spacing w:after="0" w:line="183" w:lineRule="exact"/>
              <w:rPr>
                <w:sz w:val="20"/>
                <w:szCs w:val="20"/>
                <w:color w:val="auto"/>
              </w:rPr>
            </w:pPr>
            <w:r>
              <w:rPr>
                <w:rFonts w:ascii="Arial" w:cs="Arial" w:eastAsia="Arial" w:hAnsi="Arial"/>
                <w:sz w:val="17"/>
                <w:szCs w:val="17"/>
                <w:color w:val="auto"/>
              </w:rPr>
              <w:t>2.0</w:t>
            </w:r>
          </w:p>
        </w:tc>
        <w:tc>
          <w:tcPr>
            <w:tcW w:w="22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49.17</w:t>
            </w:r>
          </w:p>
        </w:tc>
      </w:tr>
      <w:tr>
        <w:trPr>
          <w:trHeight w:val="189"/>
        </w:trPr>
        <w:tc>
          <w:tcPr>
            <w:tcW w:w="3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Aggregate value ($ in millions)</w:t>
            </w: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61</w:t>
            </w:r>
          </w:p>
        </w:tc>
        <w:tc>
          <w:tcPr>
            <w:tcW w:w="16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spacing w:after="0"/>
              <w:rPr>
                <w:sz w:val="16"/>
                <w:szCs w:val="16"/>
                <w:color w:val="auto"/>
              </w:rPr>
            </w:pPr>
          </w:p>
        </w:tc>
      </w:tr>
    </w:tbl>
    <w:p>
      <w:pPr>
        <w:spacing w:after="0" w:line="207" w:lineRule="exact"/>
        <w:rPr>
          <w:sz w:val="20"/>
          <w:szCs w:val="20"/>
          <w:color w:val="auto"/>
        </w:rPr>
      </w:pPr>
    </w:p>
    <w:p>
      <w:pPr>
        <w:jc w:val="both"/>
        <w:ind w:left="320" w:hanging="317"/>
        <w:spacing w:after="0" w:line="250"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Approximately 0.2 million performance-based RSUs were granted during the first quarter of 2019 and are included as granted in the table above. The number of performance-based RSUs that are ultimately earned may vary from 0% to 200% of target depending on the achievement relative to the Company’s predefined financial performance targets.</w:t>
      </w:r>
    </w:p>
    <w:p>
      <w:pPr>
        <w:spacing w:after="0" w:line="199" w:lineRule="exact"/>
        <w:rPr>
          <w:rFonts w:ascii="Arial" w:cs="Arial" w:eastAsia="Arial" w:hAnsi="Arial"/>
          <w:sz w:val="14"/>
          <w:szCs w:val="14"/>
          <w:color w:val="auto"/>
        </w:rPr>
      </w:pPr>
    </w:p>
    <w:p>
      <w:pPr>
        <w:ind w:left="320" w:hanging="317"/>
        <w:spacing w:after="0" w:line="258"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This represents adjustments made to performance-based RSU awards and reflect changes in estimates based upon the Company’s current performance against predefined financial targets.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total value of awards for which restrictions lapsed during the thirteen weeks ended May 4, 2019 and May 5, 2018 was $5 million for both periods. As of May 4, 2019, there was $41 million of total unrecognized compensation cost related to nonvested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Proceedings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discontinued by the Company in past years. These legal proceedings include commercial, intellectual property, customer, environmental, and employment-related claims, including a purported class action in New York alleging failure to pay for all hours worked by employees. Additionally, the Company and certain officers of the Company are defendants in a purported securities law class action in New York. The directors and certain officers of the Company are also defendants in related derivative actions.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Management does not believe that the outcome of any such legal proceedings pending against the Company or its consolidated subsidiaries, as described above, would have a material adverse effect on the Company’s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U.S. Securities and Exchange Commission.</w:t>
      </w:r>
    </w:p>
    <w:p>
      <w:pPr>
        <w:spacing w:after="0" w:line="203" w:lineRule="exact"/>
        <w:rPr>
          <w:sz w:val="20"/>
          <w:szCs w:val="20"/>
          <w:color w:val="auto"/>
        </w:rPr>
      </w:pPr>
    </w:p>
    <w:p>
      <w:pPr>
        <w:jc w:val="both"/>
        <w:spacing w:after="0" w:line="205" w:lineRule="exact"/>
        <w:rPr>
          <w:sz w:val="20"/>
          <w:szCs w:val="20"/>
          <w:color w:val="auto"/>
        </w:rPr>
      </w:pPr>
      <w:r>
        <w:rPr>
          <w:rFonts w:ascii="Arial" w:cs="Arial" w:eastAsia="Arial" w:hAnsi="Arial"/>
          <w:sz w:val="18"/>
          <w:szCs w:val="18"/>
          <w:color w:val="auto"/>
        </w:rPr>
        <w:t>These forward-looking statements are based largely on our expectations and judgments and are subject to a number of risks and uncertainties, many of which are unforeseeable and beyond our control. For additional discussion on risks and uncertainties that may affect forward-looking statements, see “Risk Factors” disclosed in the 2018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Any changes in such assumptions or factors could produce significantly different results. The Company undertakes no obligation to update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Foot Locker, Inc., through its subsidiaries, is one of the largest athletic footwear and apparel retailers in the world, operating 3,201 stores in 27 countries. The Foot Locker brand is one of the most widely recognized names in the markets in which we operate, epitomizing premium quality for the active lifestyle customer. We operate websites and mobile apps, aligned with the brand names of our store banners. Our sites offer some of the largest online selections of athletically inspired shoes and apparel, while providing a seamless link between e-commerce and physical stores. We also operate the websites for eastbay.com, final-score.com, and eastbayteamsales.com.</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With its various marketing channels and experiences across North America, Europe, Asia, Australia, and New Zealand, the Company's purpose is to inspire and empower youth culture around the world, by fueling a shared passion for self-expression and creating unrivaled experiences at the heart of the sport and sneaker communities</w:t>
      </w:r>
      <w:r>
        <w:rPr>
          <w:rFonts w:ascii="Arial" w:cs="Arial" w:eastAsia="Arial" w:hAnsi="Arial"/>
          <w:sz w:val="17"/>
          <w:szCs w:val="17"/>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Store Count</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At May 4, 2019, we operated 3,201 stores as compared with 3,221 and 3,284 stores at February 2, 2019 and May 5, 2018,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Franchise Operations</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total of 129 franchised stores were operating at May 4, 2019, as compared with 122 and 116 stores at February 2, 2019 and May 5, 2018, respectively. Revenue from the franchised stores was not significant for any of the periods presented. These stores are not included in the operating store count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to reporting the Company's financial results in accordance with generally accepted accounting principles (“GAAP”), the Company reports certain financial results that differ from what is reported under GAAP. We have presented certain financial measures identified as non-GAAP, such as sales changes excluding foreign currency fluctuations, adjusted income before income taxes, adjusted net income, and adjusted diluted earnings per share.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present certain amounts as excluding the effects of foreign currency fluctuations, which are also considered non-GAAP measures. Where amounts are expressed as excluding the effects of foreign currency fluctuations, such changes are determined by translating all amounts in both years using the prior-year average foreign exchange rates. Presenting amounts on a constant currency basis is useful to investors because it enables them to better understand the changes in our business that are not related to currency movements.</w:t>
      </w:r>
    </w:p>
    <w:p>
      <w:pPr>
        <w:spacing w:after="0" w:line="16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These non-GAAP measures are presented because we believe they assist investors in comparing our performance across reporting periods on a consistent basis by excluding items that we do not believe are indicative of our core business or affect comparability. In addition, these non-GAAP measures are useful in assessing our progress in achieving our long-term financial objectives.</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various non-GAAP adjustments are summarized in the tables below. We estimate the tax effect of all non-GAAP adjustments by applying a marginal tax rate to each of the respective items.</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non-GAAP financial information is provided in addition to, and not as an alternative to, our reported results prepared in accordance with GAAP.</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Presented below is a reconciliation of GAAP and non-GAAP results for the thirteen weeks ended May 4, 2019 and May 5, 2018, respectively.</w:t>
      </w:r>
    </w:p>
    <w:p>
      <w:pPr>
        <w:spacing w:after="0" w:line="131" w:lineRule="exact"/>
        <w:rPr>
          <w:sz w:val="20"/>
          <w:szCs w:val="20"/>
          <w:color w:val="auto"/>
        </w:rPr>
      </w:pPr>
    </w:p>
    <w:p>
      <w:pPr>
        <w:ind w:left="594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4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right"/>
              <w:ind w:right="115"/>
              <w:spacing w:after="0" w:line="157" w:lineRule="exact"/>
              <w:rPr>
                <w:sz w:val="20"/>
                <w:szCs w:val="20"/>
                <w:color w:val="auto"/>
              </w:rPr>
            </w:pPr>
            <w:r>
              <w:rPr>
                <w:rFonts w:ascii="Arial" w:cs="Arial" w:eastAsia="Arial" w:hAnsi="Arial"/>
                <w:sz w:val="17"/>
                <w:szCs w:val="17"/>
                <w:b w:val="1"/>
                <w:bCs w:val="1"/>
                <w:color w:val="auto"/>
              </w:rPr>
              <w:t>May 4,</w:t>
            </w:r>
          </w:p>
        </w:tc>
        <w:tc>
          <w:tcPr>
            <w:tcW w:w="7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jc w:val="right"/>
              <w:ind w:right="675"/>
              <w:spacing w:after="0" w:line="157" w:lineRule="exact"/>
              <w:rPr>
                <w:sz w:val="20"/>
                <w:szCs w:val="20"/>
                <w:color w:val="auto"/>
              </w:rPr>
            </w:pPr>
            <w:r>
              <w:rPr>
                <w:rFonts w:ascii="Arial" w:cs="Arial" w:eastAsia="Arial" w:hAnsi="Arial"/>
                <w:sz w:val="17"/>
                <w:szCs w:val="17"/>
                <w:b w:val="1"/>
                <w:bCs w:val="1"/>
                <w:color w:val="auto"/>
              </w:rPr>
              <w:t>May 5,</w:t>
            </w:r>
          </w:p>
        </w:tc>
        <w:tc>
          <w:tcPr>
            <w:tcW w:w="0" w:type="dxa"/>
            <w:vAlign w:val="bottom"/>
          </w:tcPr>
          <w:p>
            <w:pPr>
              <w:spacing w:after="0"/>
              <w:rPr>
                <w:sz w:val="1"/>
                <w:szCs w:val="1"/>
                <w:color w:val="auto"/>
              </w:rPr>
            </w:pPr>
          </w:p>
        </w:tc>
      </w:tr>
      <w:tr>
        <w:trPr>
          <w:trHeight w:val="215"/>
        </w:trPr>
        <w:tc>
          <w:tcPr>
            <w:tcW w:w="4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2019</w:t>
            </w:r>
          </w:p>
        </w:tc>
        <w:tc>
          <w:tcPr>
            <w:tcW w:w="7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3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183"/>
        </w:trPr>
        <w:tc>
          <w:tcPr>
            <w:tcW w:w="4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80" w:type="dxa"/>
            <w:vAlign w:val="bottom"/>
            <w:gridSpan w:val="2"/>
          </w:tcPr>
          <w:p>
            <w:pPr>
              <w:jc w:val="right"/>
              <w:ind w:right="135"/>
              <w:spacing w:after="0" w:line="183" w:lineRule="exact"/>
              <w:rPr>
                <w:sz w:val="20"/>
                <w:szCs w:val="20"/>
                <w:color w:val="auto"/>
              </w:rPr>
            </w:pPr>
            <w:r>
              <w:rPr>
                <w:rFonts w:ascii="Arial" w:cs="Arial" w:eastAsia="Arial" w:hAnsi="Arial"/>
                <w:sz w:val="17"/>
                <w:szCs w:val="17"/>
                <w:color w:val="auto"/>
              </w:rPr>
              <w:t>($ in millions)</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Pre-tax income:</w:t>
            </w:r>
          </w:p>
        </w:tc>
        <w:tc>
          <w:tcPr>
            <w:tcW w:w="1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spacing w:after="0" w:line="189" w:lineRule="exact"/>
              <w:rPr>
                <w:sz w:val="20"/>
                <w:szCs w:val="20"/>
                <w:color w:val="auto"/>
              </w:rPr>
            </w:pPr>
            <w:r>
              <w:rPr>
                <w:rFonts w:ascii="Arial" w:cs="Arial" w:eastAsia="Arial" w:hAnsi="Arial"/>
                <w:sz w:val="17"/>
                <w:szCs w:val="17"/>
                <w:color w:val="auto"/>
              </w:rPr>
              <w:t>Income before income taxes</w:t>
            </w:r>
          </w:p>
        </w:tc>
        <w:tc>
          <w:tcPr>
            <w:tcW w:w="1660" w:type="dxa"/>
            <w:vAlign w:val="bottom"/>
          </w:tcPr>
          <w:p>
            <w:pPr>
              <w:jc w:val="right"/>
              <w:ind w:right="1315"/>
              <w:spacing w:after="0" w:line="189" w:lineRule="exact"/>
              <w:rPr>
                <w:sz w:val="20"/>
                <w:szCs w:val="20"/>
                <w:color w:val="auto"/>
              </w:rPr>
            </w:pPr>
            <w:r>
              <w:rPr>
                <w:rFonts w:ascii="Arial" w:cs="Arial" w:eastAsia="Arial" w:hAnsi="Arial"/>
                <w:sz w:val="17"/>
                <w:szCs w:val="17"/>
                <w:b w:val="1"/>
                <w:bCs w:val="1"/>
                <w:color w:val="auto"/>
              </w:rPr>
              <w:t>$</w:t>
            </w:r>
          </w:p>
        </w:tc>
        <w:tc>
          <w:tcPr>
            <w:tcW w:w="74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234</w:t>
            </w:r>
          </w:p>
        </w:tc>
        <w:tc>
          <w:tcPr>
            <w:tcW w:w="740" w:type="dxa"/>
            <w:vAlign w:val="bottom"/>
          </w:tcPr>
          <w:p>
            <w:pPr>
              <w:jc w:val="right"/>
              <w:ind w:right="355"/>
              <w:spacing w:after="0" w:line="189" w:lineRule="exact"/>
              <w:rPr>
                <w:sz w:val="20"/>
                <w:szCs w:val="20"/>
                <w:color w:val="auto"/>
              </w:rPr>
            </w:pPr>
            <w:r>
              <w:rPr>
                <w:rFonts w:ascii="Arial" w:cs="Arial" w:eastAsia="Arial" w:hAnsi="Arial"/>
                <w:sz w:val="17"/>
                <w:szCs w:val="17"/>
                <w:color w:val="auto"/>
              </w:rPr>
              <w:t>$</w:t>
            </w:r>
          </w:p>
        </w:tc>
        <w:tc>
          <w:tcPr>
            <w:tcW w:w="1500" w:type="dxa"/>
            <w:vAlign w:val="bottom"/>
          </w:tcPr>
          <w:p>
            <w:pPr>
              <w:jc w:val="right"/>
              <w:spacing w:after="0" w:line="189" w:lineRule="exact"/>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Pre-tax amounts excluded from GAAP:</w:t>
            </w:r>
          </w:p>
        </w:tc>
        <w:tc>
          <w:tcPr>
            <w:tcW w:w="1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Pension litigation charge</w:t>
            </w:r>
          </w:p>
        </w:tc>
        <w:tc>
          <w:tcPr>
            <w:tcW w:w="16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b w:val="1"/>
                <w:bCs w:val="1"/>
                <w:color w:val="auto"/>
              </w:rPr>
              <w:t>1</w:t>
            </w:r>
          </w:p>
        </w:tc>
        <w:tc>
          <w:tcPr>
            <w:tcW w:w="7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90"/>
        </w:trPr>
        <w:tc>
          <w:tcPr>
            <w:tcW w:w="44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Adjusted income before income taxes (non-GAAP)</w:t>
            </w:r>
          </w:p>
        </w:tc>
        <w:tc>
          <w:tcPr>
            <w:tcW w:w="1660" w:type="dxa"/>
            <w:vAlign w:val="bottom"/>
            <w:tcBorders>
              <w:bottom w:val="single" w:sz="8" w:color="auto"/>
            </w:tcBorders>
            <w:shd w:val="clear" w:color="auto" w:fill="CCEEFF"/>
          </w:tcPr>
          <w:p>
            <w:pPr>
              <w:jc w:val="right"/>
              <w:ind w:right="1315"/>
              <w:spacing w:after="0" w:line="183" w:lineRule="exact"/>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b w:val="1"/>
                <w:bCs w:val="1"/>
                <w:color w:val="auto"/>
              </w:rPr>
              <w:t>235</w:t>
            </w:r>
          </w:p>
        </w:tc>
        <w:tc>
          <w:tcPr>
            <w:tcW w:w="740" w:type="dxa"/>
            <w:vAlign w:val="bottom"/>
            <w:tcBorders>
              <w:bottom w:val="single" w:sz="8" w:color="auto"/>
            </w:tcBorders>
            <w:shd w:val="clear" w:color="auto" w:fill="CCEEFF"/>
          </w:tcPr>
          <w:p>
            <w:pPr>
              <w:jc w:val="right"/>
              <w:ind w:right="355"/>
              <w:spacing w:after="0" w:line="183" w:lineRule="exact"/>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189"/>
        </w:trPr>
        <w:tc>
          <w:tcPr>
            <w:tcW w:w="44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After-tax income:</w:t>
            </w:r>
          </w:p>
        </w:tc>
        <w:tc>
          <w:tcPr>
            <w:tcW w:w="1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spacing w:after="0" w:line="189" w:lineRule="exact"/>
              <w:rPr>
                <w:sz w:val="20"/>
                <w:szCs w:val="20"/>
                <w:color w:val="auto"/>
              </w:rPr>
            </w:pPr>
            <w:r>
              <w:rPr>
                <w:rFonts w:ascii="Arial" w:cs="Arial" w:eastAsia="Arial" w:hAnsi="Arial"/>
                <w:sz w:val="17"/>
                <w:szCs w:val="17"/>
                <w:color w:val="auto"/>
              </w:rPr>
              <w:t>Net income</w:t>
            </w:r>
          </w:p>
        </w:tc>
        <w:tc>
          <w:tcPr>
            <w:tcW w:w="1660" w:type="dxa"/>
            <w:vAlign w:val="bottom"/>
          </w:tcPr>
          <w:p>
            <w:pPr>
              <w:jc w:val="right"/>
              <w:ind w:right="1315"/>
              <w:spacing w:after="0" w:line="189" w:lineRule="exact"/>
              <w:rPr>
                <w:sz w:val="20"/>
                <w:szCs w:val="20"/>
                <w:color w:val="auto"/>
              </w:rPr>
            </w:pPr>
            <w:r>
              <w:rPr>
                <w:rFonts w:ascii="Arial" w:cs="Arial" w:eastAsia="Arial" w:hAnsi="Arial"/>
                <w:sz w:val="17"/>
                <w:szCs w:val="17"/>
                <w:b w:val="1"/>
                <w:bCs w:val="1"/>
                <w:color w:val="auto"/>
              </w:rPr>
              <w:t>$</w:t>
            </w:r>
          </w:p>
        </w:tc>
        <w:tc>
          <w:tcPr>
            <w:tcW w:w="74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172</w:t>
            </w:r>
          </w:p>
        </w:tc>
        <w:tc>
          <w:tcPr>
            <w:tcW w:w="740" w:type="dxa"/>
            <w:vAlign w:val="bottom"/>
          </w:tcPr>
          <w:p>
            <w:pPr>
              <w:jc w:val="right"/>
              <w:ind w:right="355"/>
              <w:spacing w:after="0" w:line="189" w:lineRule="exact"/>
              <w:rPr>
                <w:sz w:val="20"/>
                <w:szCs w:val="20"/>
                <w:color w:val="auto"/>
              </w:rPr>
            </w:pPr>
            <w:r>
              <w:rPr>
                <w:rFonts w:ascii="Arial" w:cs="Arial" w:eastAsia="Arial" w:hAnsi="Arial"/>
                <w:sz w:val="17"/>
                <w:szCs w:val="17"/>
                <w:color w:val="auto"/>
              </w:rPr>
              <w:t>$</w:t>
            </w:r>
          </w:p>
        </w:tc>
        <w:tc>
          <w:tcPr>
            <w:tcW w:w="1500" w:type="dxa"/>
            <w:vAlign w:val="bottom"/>
          </w:tcPr>
          <w:p>
            <w:pPr>
              <w:jc w:val="right"/>
              <w:spacing w:after="0" w:line="189" w:lineRule="exact"/>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After-tax adjustments excluded from GAAP:</w:t>
            </w:r>
          </w:p>
        </w:tc>
        <w:tc>
          <w:tcPr>
            <w:tcW w:w="1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20" w:type="dxa"/>
            <w:vAlign w:val="bottom"/>
          </w:tcPr>
          <w:p>
            <w:pPr>
              <w:ind w:left="220"/>
              <w:spacing w:after="0" w:line="183" w:lineRule="exact"/>
              <w:rPr>
                <w:sz w:val="20"/>
                <w:szCs w:val="20"/>
                <w:color w:val="auto"/>
              </w:rPr>
            </w:pPr>
            <w:r>
              <w:rPr>
                <w:rFonts w:ascii="Arial" w:cs="Arial" w:eastAsia="Arial" w:hAnsi="Arial"/>
                <w:sz w:val="17"/>
                <w:szCs w:val="17"/>
                <w:color w:val="auto"/>
              </w:rPr>
              <w:t>Pension litigation charge, net of income tax benefit of</w:t>
            </w:r>
          </w:p>
        </w:tc>
        <w:tc>
          <w:tcPr>
            <w:tcW w:w="1660" w:type="dxa"/>
            <w:vAlign w:val="bottom"/>
          </w:tcPr>
          <w:p>
            <w:pPr>
              <w:spacing w:after="0"/>
              <w:rPr>
                <w:sz w:val="15"/>
                <w:szCs w:val="15"/>
                <w:color w:val="auto"/>
              </w:rPr>
            </w:pPr>
          </w:p>
        </w:tc>
        <w:tc>
          <w:tcPr>
            <w:tcW w:w="74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auto"/>
              </w:rPr>
              <w:t>1</w:t>
            </w: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4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 million and $3 million, respectively</w:t>
            </w:r>
          </w:p>
        </w:tc>
        <w:tc>
          <w:tcPr>
            <w:tcW w:w="16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90"/>
        </w:trPr>
        <w:tc>
          <w:tcPr>
            <w:tcW w:w="44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Adjusted net income (non-GAAP)</w:t>
            </w:r>
          </w:p>
        </w:tc>
        <w:tc>
          <w:tcPr>
            <w:tcW w:w="1660" w:type="dxa"/>
            <w:vAlign w:val="bottom"/>
            <w:tcBorders>
              <w:bottom w:val="single" w:sz="8" w:color="auto"/>
            </w:tcBorders>
            <w:shd w:val="clear" w:color="auto" w:fill="CCEEFF"/>
          </w:tcPr>
          <w:p>
            <w:pPr>
              <w:jc w:val="right"/>
              <w:ind w:right="1315"/>
              <w:spacing w:after="0" w:line="183" w:lineRule="exact"/>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b w:val="1"/>
                <w:bCs w:val="1"/>
                <w:color w:val="auto"/>
              </w:rPr>
              <w:t>173</w:t>
            </w:r>
          </w:p>
        </w:tc>
        <w:tc>
          <w:tcPr>
            <w:tcW w:w="740" w:type="dxa"/>
            <w:vAlign w:val="bottom"/>
            <w:tcBorders>
              <w:bottom w:val="single" w:sz="8" w:color="auto"/>
            </w:tcBorders>
            <w:shd w:val="clear" w:color="auto" w:fill="CCEEFF"/>
          </w:tcPr>
          <w:p>
            <w:pPr>
              <w:jc w:val="right"/>
              <w:ind w:right="355"/>
              <w:spacing w:after="0" w:line="183" w:lineRule="exact"/>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189"/>
        </w:trPr>
        <w:tc>
          <w:tcPr>
            <w:tcW w:w="44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Earnings per share:</w:t>
            </w:r>
          </w:p>
        </w:tc>
        <w:tc>
          <w:tcPr>
            <w:tcW w:w="1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spacing w:after="0" w:line="189" w:lineRule="exact"/>
              <w:rPr>
                <w:sz w:val="20"/>
                <w:szCs w:val="20"/>
                <w:color w:val="auto"/>
              </w:rPr>
            </w:pPr>
            <w:r>
              <w:rPr>
                <w:rFonts w:ascii="Arial" w:cs="Arial" w:eastAsia="Arial" w:hAnsi="Arial"/>
                <w:sz w:val="17"/>
                <w:szCs w:val="17"/>
                <w:color w:val="auto"/>
              </w:rPr>
              <w:t>Diluted EPS</w:t>
            </w:r>
          </w:p>
        </w:tc>
        <w:tc>
          <w:tcPr>
            <w:tcW w:w="1660" w:type="dxa"/>
            <w:vAlign w:val="bottom"/>
          </w:tcPr>
          <w:p>
            <w:pPr>
              <w:jc w:val="right"/>
              <w:ind w:right="1315"/>
              <w:spacing w:after="0" w:line="189" w:lineRule="exact"/>
              <w:rPr>
                <w:sz w:val="20"/>
                <w:szCs w:val="20"/>
                <w:color w:val="auto"/>
              </w:rPr>
            </w:pPr>
            <w:r>
              <w:rPr>
                <w:rFonts w:ascii="Arial" w:cs="Arial" w:eastAsia="Arial" w:hAnsi="Arial"/>
                <w:sz w:val="17"/>
                <w:szCs w:val="17"/>
                <w:b w:val="1"/>
                <w:bCs w:val="1"/>
                <w:color w:val="auto"/>
              </w:rPr>
              <w:t>$</w:t>
            </w:r>
          </w:p>
        </w:tc>
        <w:tc>
          <w:tcPr>
            <w:tcW w:w="74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1.52</w:t>
            </w:r>
          </w:p>
        </w:tc>
        <w:tc>
          <w:tcPr>
            <w:tcW w:w="740" w:type="dxa"/>
            <w:vAlign w:val="bottom"/>
          </w:tcPr>
          <w:p>
            <w:pPr>
              <w:jc w:val="right"/>
              <w:ind w:right="355"/>
              <w:spacing w:after="0" w:line="189" w:lineRule="exact"/>
              <w:rPr>
                <w:sz w:val="20"/>
                <w:szCs w:val="20"/>
                <w:color w:val="auto"/>
              </w:rPr>
            </w:pPr>
            <w:r>
              <w:rPr>
                <w:rFonts w:ascii="Arial" w:cs="Arial" w:eastAsia="Arial" w:hAnsi="Arial"/>
                <w:sz w:val="17"/>
                <w:szCs w:val="17"/>
                <w:color w:val="auto"/>
              </w:rPr>
              <w:t>$</w:t>
            </w:r>
          </w:p>
        </w:tc>
        <w:tc>
          <w:tcPr>
            <w:tcW w:w="1500" w:type="dxa"/>
            <w:vAlign w:val="bottom"/>
          </w:tcPr>
          <w:p>
            <w:pPr>
              <w:jc w:val="right"/>
              <w:spacing w:after="0" w:line="189" w:lineRule="exact"/>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Diluted EPS amounts excluded from GAAP:</w:t>
            </w:r>
          </w:p>
        </w:tc>
        <w:tc>
          <w:tcPr>
            <w:tcW w:w="16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Pension litigation charge</w:t>
            </w:r>
          </w:p>
        </w:tc>
        <w:tc>
          <w:tcPr>
            <w:tcW w:w="16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b w:val="1"/>
                <w:bCs w:val="1"/>
                <w:color w:val="auto"/>
              </w:rPr>
              <w:t>0.01</w:t>
            </w:r>
          </w:p>
        </w:tc>
        <w:tc>
          <w:tcPr>
            <w:tcW w:w="7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190"/>
        </w:trPr>
        <w:tc>
          <w:tcPr>
            <w:tcW w:w="44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Adjusted diluted EPS (non-GAAP)</w:t>
            </w:r>
          </w:p>
        </w:tc>
        <w:tc>
          <w:tcPr>
            <w:tcW w:w="1660" w:type="dxa"/>
            <w:vAlign w:val="bottom"/>
            <w:tcBorders>
              <w:bottom w:val="single" w:sz="8" w:color="auto"/>
            </w:tcBorders>
            <w:shd w:val="clear" w:color="auto" w:fill="CCEEFF"/>
          </w:tcPr>
          <w:p>
            <w:pPr>
              <w:jc w:val="right"/>
              <w:ind w:right="1315"/>
              <w:spacing w:after="0" w:line="183" w:lineRule="exact"/>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b w:val="1"/>
                <w:bCs w:val="1"/>
                <w:color w:val="auto"/>
              </w:rPr>
              <w:t>1.53</w:t>
            </w:r>
          </w:p>
        </w:tc>
        <w:tc>
          <w:tcPr>
            <w:tcW w:w="740" w:type="dxa"/>
            <w:vAlign w:val="bottom"/>
            <w:tcBorders>
              <w:bottom w:val="single" w:sz="8" w:color="auto"/>
            </w:tcBorders>
            <w:shd w:val="clear" w:color="auto" w:fill="CCEEFF"/>
          </w:tcPr>
          <w:p>
            <w:pPr>
              <w:jc w:val="right"/>
              <w:ind w:right="355"/>
              <w:spacing w:after="0" w:line="183" w:lineRule="exact"/>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thirteen weeks ended May 4, 2019, the Company recorded pre-tax charges of $1 million in connection with its U.S. retirement plan litigation and required plan reformation. These charges represented professional fees. During the thirteen weeks ended May 5, 2018, the Company recorded a charge related to the same litigation of $12 million, $9 million after-tax or $0.07 per share. The prior year charge represented $11 million related to the estimated cost of the reformation, related interest, and $1 million in professional fees.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identify our operating segments according to how our business activities are managed and evaluated by our chief operating decision maker, our CEO.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Beginning in 2018, the Company changed its organizational and internal reporting structure in order to execute our omni-channel strategy. This change resulted in the combination of our stores and direct-to-customer financial results.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Effective as of 2019, the Company has determined that it has three operating segments, North America, EMEA, and Asia Pacific. Our North America operating segment includes the results of the following banners operating in the U.S. and Canada: Foot Locker, Kids Foot Locker, Lady Foot Locker, Champs Sports, Footaction, and SIX:02, including each of their related e-commerce businesses, as well as our Eastbay business that includes internet, catalog, and team sales. Our EMEA operating segment includes the results of the following banners operating in Europe: Foot Locker, Runners Point, Sidestep, and Kids Foot Locker, including each of their related e-commerce businesses. Our Asia Pacific operating segment includes the results of Foot Locker and Kids Foot Locker and the related e-commerce businesses operating in Australia, New Zealand, and Asia. We have further aggregated these operating segments into one reportable segment based upon their shared customer base and similar economic characteristics. Please see Item 1. “Financial Statements,” Note 3,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for further information on this change.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evaluate performance based on several factors, of which the primary financial measure is the banner’s financial results referred to as division profit. Division profit reflects income before income taxes, pension litigation charge, corporate expense, non-operating income, and net interest income. The following table summarizes our results:</w:t>
      </w:r>
    </w:p>
    <w:p>
      <w:pPr>
        <w:spacing w:after="0" w:line="190" w:lineRule="exact"/>
        <w:rPr>
          <w:sz w:val="20"/>
          <w:szCs w:val="20"/>
          <w:color w:val="auto"/>
        </w:rPr>
      </w:pPr>
    </w:p>
    <w:p>
      <w:pPr>
        <w:ind w:left="694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3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295"/>
              <w:spacing w:after="0" w:line="157" w:lineRule="exact"/>
              <w:rPr>
                <w:sz w:val="20"/>
                <w:szCs w:val="20"/>
                <w:color w:val="auto"/>
              </w:rPr>
            </w:pPr>
            <w:r>
              <w:rPr>
                <w:rFonts w:ascii="Arial" w:cs="Arial" w:eastAsia="Arial" w:hAnsi="Arial"/>
                <w:sz w:val="17"/>
                <w:szCs w:val="17"/>
                <w:b w:val="1"/>
                <w:bCs w:val="1"/>
                <w:color w:val="auto"/>
              </w:rPr>
              <w:t>May 4,</w:t>
            </w:r>
          </w:p>
        </w:tc>
        <w:tc>
          <w:tcPr>
            <w:tcW w:w="3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5"/>
              <w:spacing w:after="0" w:line="157" w:lineRule="exact"/>
              <w:rPr>
                <w:sz w:val="20"/>
                <w:szCs w:val="20"/>
                <w:color w:val="auto"/>
              </w:rPr>
            </w:pPr>
            <w:r>
              <w:rPr>
                <w:rFonts w:ascii="Arial" w:cs="Arial" w:eastAsia="Arial" w:hAnsi="Arial"/>
                <w:sz w:val="17"/>
                <w:szCs w:val="17"/>
                <w:b w:val="1"/>
                <w:bCs w:val="1"/>
                <w:color w:val="auto"/>
              </w:rPr>
              <w:t>May 5,</w:t>
            </w:r>
          </w:p>
        </w:tc>
      </w:tr>
      <w:tr>
        <w:trPr>
          <w:trHeight w:val="215"/>
        </w:trPr>
        <w:tc>
          <w:tcPr>
            <w:tcW w:w="5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2019</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2018</w:t>
            </w:r>
          </w:p>
        </w:tc>
      </w:tr>
      <w:tr>
        <w:trPr>
          <w:trHeight w:val="183"/>
        </w:trPr>
        <w:tc>
          <w:tcPr>
            <w:tcW w:w="5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60" w:type="dxa"/>
            <w:vAlign w:val="bottom"/>
            <w:gridSpan w:val="3"/>
          </w:tcPr>
          <w:p>
            <w:pPr>
              <w:jc w:val="right"/>
              <w:ind w:right="635"/>
              <w:spacing w:after="0" w:line="183" w:lineRule="exact"/>
              <w:rPr>
                <w:sz w:val="20"/>
                <w:szCs w:val="20"/>
                <w:color w:val="auto"/>
              </w:rPr>
            </w:pPr>
            <w:r>
              <w:rPr>
                <w:rFonts w:ascii="Arial" w:cs="Arial" w:eastAsia="Arial" w:hAnsi="Arial"/>
                <w:sz w:val="17"/>
                <w:szCs w:val="17"/>
                <w:color w:val="auto"/>
              </w:rPr>
              <w:t>($ in millions)</w:t>
            </w:r>
          </w:p>
        </w:tc>
      </w:tr>
      <w:tr>
        <w:trPr>
          <w:trHeight w:val="189"/>
        </w:trPr>
        <w:tc>
          <w:tcPr>
            <w:tcW w:w="53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Sales</w:t>
            </w:r>
          </w:p>
        </w:tc>
        <w:tc>
          <w:tcPr>
            <w:tcW w:w="148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2,078</w:t>
            </w:r>
          </w:p>
        </w:tc>
        <w:tc>
          <w:tcPr>
            <w:tcW w:w="3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2,025</w:t>
            </w:r>
          </w:p>
        </w:tc>
      </w:tr>
      <w:tr>
        <w:trPr>
          <w:trHeight w:val="189"/>
        </w:trPr>
        <w:tc>
          <w:tcPr>
            <w:tcW w:w="5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53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Operating Results</w:t>
            </w:r>
          </w:p>
        </w:tc>
        <w:tc>
          <w:tcPr>
            <w:tcW w:w="1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5320" w:type="dxa"/>
            <w:vAlign w:val="bottom"/>
          </w:tcPr>
          <w:p>
            <w:pPr>
              <w:spacing w:after="0" w:line="189" w:lineRule="exact"/>
              <w:rPr>
                <w:sz w:val="20"/>
                <w:szCs w:val="20"/>
                <w:color w:val="auto"/>
              </w:rPr>
            </w:pPr>
            <w:r>
              <w:rPr>
                <w:rFonts w:ascii="Arial" w:cs="Arial" w:eastAsia="Arial" w:hAnsi="Arial"/>
                <w:sz w:val="17"/>
                <w:szCs w:val="17"/>
                <w:color w:val="auto"/>
              </w:rPr>
              <w:t>Division profit</w:t>
            </w:r>
          </w:p>
        </w:tc>
        <w:tc>
          <w:tcPr>
            <w:tcW w:w="1480" w:type="dxa"/>
            <w:vAlign w:val="bottom"/>
          </w:tcPr>
          <w:p>
            <w:pPr>
              <w:spacing w:after="0"/>
              <w:rPr>
                <w:sz w:val="16"/>
                <w:szCs w:val="16"/>
                <w:color w:val="auto"/>
              </w:rPr>
            </w:pPr>
          </w:p>
        </w:tc>
        <w:tc>
          <w:tcPr>
            <w:tcW w:w="10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250</w:t>
            </w:r>
          </w:p>
        </w:tc>
        <w:tc>
          <w:tcPr>
            <w:tcW w:w="3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247</w:t>
            </w:r>
          </w:p>
        </w:tc>
      </w:tr>
      <w:tr>
        <w:trPr>
          <w:trHeight w:val="189"/>
        </w:trPr>
        <w:tc>
          <w:tcPr>
            <w:tcW w:w="5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Less: Pension litigation and reorganization charges </w:t>
            </w:r>
            <w:r>
              <w:rPr>
                <w:rFonts w:ascii="Arial" w:cs="Arial" w:eastAsia="Arial" w:hAnsi="Arial"/>
                <w:sz w:val="8"/>
                <w:szCs w:val="8"/>
                <w:color w:val="auto"/>
              </w:rPr>
              <w:t>(1)</w:t>
            </w:r>
          </w:p>
        </w:tc>
        <w:tc>
          <w:tcPr>
            <w:tcW w:w="1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w:t>
            </w:r>
          </w:p>
        </w:tc>
      </w:tr>
      <w:tr>
        <w:trPr>
          <w:trHeight w:val="189"/>
        </w:trPr>
        <w:tc>
          <w:tcPr>
            <w:tcW w:w="53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xml:space="preserve">Less: Corporate expense </w:t>
            </w:r>
            <w:r>
              <w:rPr>
                <w:rFonts w:ascii="Arial" w:cs="Arial" w:eastAsia="Arial" w:hAnsi="Arial"/>
                <w:sz w:val="8"/>
                <w:szCs w:val="8"/>
                <w:color w:val="auto"/>
              </w:rPr>
              <w:t>(2)</w:t>
            </w:r>
          </w:p>
        </w:tc>
        <w:tc>
          <w:tcPr>
            <w:tcW w:w="1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21</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w:t>
            </w:r>
          </w:p>
        </w:tc>
      </w:tr>
      <w:tr>
        <w:trPr>
          <w:trHeight w:val="183"/>
        </w:trPr>
        <w:tc>
          <w:tcPr>
            <w:tcW w:w="53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1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228</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224</w:t>
            </w:r>
          </w:p>
        </w:tc>
      </w:tr>
      <w:tr>
        <w:trPr>
          <w:trHeight w:val="189"/>
        </w:trPr>
        <w:tc>
          <w:tcPr>
            <w:tcW w:w="5320" w:type="dxa"/>
            <w:vAlign w:val="bottom"/>
          </w:tcPr>
          <w:p>
            <w:pPr>
              <w:spacing w:after="0" w:line="189" w:lineRule="exact"/>
              <w:rPr>
                <w:sz w:val="20"/>
                <w:szCs w:val="20"/>
                <w:color w:val="auto"/>
              </w:rPr>
            </w:pPr>
            <w:r>
              <w:rPr>
                <w:rFonts w:ascii="Arial" w:cs="Arial" w:eastAsia="Arial" w:hAnsi="Arial"/>
                <w:sz w:val="17"/>
                <w:szCs w:val="17"/>
                <w:color w:val="auto"/>
              </w:rPr>
              <w:t>Interest income, net</w:t>
            </w:r>
          </w:p>
        </w:tc>
        <w:tc>
          <w:tcPr>
            <w:tcW w:w="1480" w:type="dxa"/>
            <w:vAlign w:val="bottom"/>
          </w:tcPr>
          <w:p>
            <w:pPr>
              <w:spacing w:after="0"/>
              <w:rPr>
                <w:sz w:val="16"/>
                <w:szCs w:val="16"/>
                <w:color w:val="auto"/>
              </w:rPr>
            </w:pPr>
          </w:p>
        </w:tc>
        <w:tc>
          <w:tcPr>
            <w:tcW w:w="100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4</w:t>
            </w:r>
          </w:p>
        </w:tc>
        <w:tc>
          <w:tcPr>
            <w:tcW w:w="3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53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 xml:space="preserve">Other income </w:t>
            </w:r>
            <w:r>
              <w:rPr>
                <w:rFonts w:ascii="Arial" w:cs="Arial" w:eastAsia="Arial" w:hAnsi="Arial"/>
                <w:sz w:val="8"/>
                <w:szCs w:val="8"/>
                <w:color w:val="auto"/>
              </w:rPr>
              <w:t>(3)</w:t>
            </w:r>
          </w:p>
        </w:tc>
        <w:tc>
          <w:tcPr>
            <w:tcW w:w="14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w:t>
            </w:r>
          </w:p>
        </w:tc>
        <w:tc>
          <w:tcPr>
            <w:tcW w:w="3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r>
      <w:tr>
        <w:trPr>
          <w:trHeight w:val="190"/>
        </w:trPr>
        <w:tc>
          <w:tcPr>
            <w:tcW w:w="53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Income before income taxes</w:t>
            </w:r>
          </w:p>
        </w:tc>
        <w:tc>
          <w:tcPr>
            <w:tcW w:w="148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234</w:t>
            </w:r>
          </w:p>
        </w:tc>
        <w:tc>
          <w:tcPr>
            <w:tcW w:w="3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229</w:t>
            </w:r>
          </w:p>
        </w:tc>
      </w:tr>
    </w:tbl>
    <w:p>
      <w:pPr>
        <w:spacing w:after="0" w:line="207" w:lineRule="exact"/>
        <w:rPr>
          <w:sz w:val="20"/>
          <w:szCs w:val="20"/>
          <w:color w:val="auto"/>
        </w:rPr>
      </w:pPr>
    </w:p>
    <w:p>
      <w:pPr>
        <w:ind w:left="320" w:hanging="317"/>
        <w:spacing w:after="0" w:line="258" w:lineRule="auto"/>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the thirteen weeks ended May 4, 2019 are pre-tax charges of $1 million relating to pension litigation. Included in the thirteen weeks ended May 5, 2018 is a pre-tax charge of $12 million relating to the same matter.</w:t>
      </w:r>
    </w:p>
    <w:p>
      <w:pPr>
        <w:spacing w:after="0" w:line="194" w:lineRule="exact"/>
        <w:rPr>
          <w:rFonts w:ascii="Arial" w:cs="Arial" w:eastAsia="Arial" w:hAnsi="Arial"/>
          <w:sz w:val="14"/>
          <w:szCs w:val="14"/>
          <w:color w:val="auto"/>
        </w:rPr>
      </w:pPr>
    </w:p>
    <w:p>
      <w:pPr>
        <w:jc w:val="both"/>
        <w:ind w:left="320" w:hanging="317"/>
        <w:spacing w:after="0" w:line="250" w:lineRule="auto"/>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w:t>
      </w:r>
    </w:p>
    <w:p>
      <w:pPr>
        <w:spacing w:after="0" w:line="199" w:lineRule="exact"/>
        <w:rPr>
          <w:rFonts w:ascii="Arial" w:cs="Arial" w:eastAsia="Arial" w:hAnsi="Arial"/>
          <w:sz w:val="14"/>
          <w:szCs w:val="14"/>
          <w:color w:val="auto"/>
        </w:rPr>
      </w:pPr>
    </w:p>
    <w:p>
      <w:pPr>
        <w:jc w:val="both"/>
        <w:ind w:left="320" w:hanging="317"/>
        <w:spacing w:after="0" w:line="250" w:lineRule="auto"/>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income includes non-operating items, franchise royalty income, changes in fair value, premiums paid, realized gains and losses associated with foreign currency option contracts, changes in the market value of our available-for-sale, and net benefit expense related to our pension and postretirement programs excluding the service cost component.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references to comparable-store sales for a given period relate to sales of stores that were open at the period-end and had been open for more than one year. The computation of consolidated comparable sales also includes our direct-to-customer channel. Stores opened or closed during the period are not included in the comparable-store base; however, stores closed temporarily for relocation or remodeling are included. Computations exclude the effect of foreign currency fluctuations.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shown below represents certain sales metrics by sales channel:</w:t>
      </w:r>
    </w:p>
    <w:p>
      <w:pPr>
        <w:spacing w:after="0" w:line="200" w:lineRule="exact"/>
        <w:rPr>
          <w:sz w:val="20"/>
          <w:szCs w:val="20"/>
          <w:color w:val="auto"/>
        </w:rPr>
      </w:pPr>
    </w:p>
    <w:p>
      <w:pPr>
        <w:ind w:left="668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64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95"/>
              <w:spacing w:after="0" w:line="157" w:lineRule="exact"/>
              <w:rPr>
                <w:sz w:val="20"/>
                <w:szCs w:val="20"/>
                <w:color w:val="auto"/>
              </w:rPr>
            </w:pPr>
            <w:r>
              <w:rPr>
                <w:rFonts w:ascii="Arial" w:cs="Arial" w:eastAsia="Arial" w:hAnsi="Arial"/>
                <w:sz w:val="17"/>
                <w:szCs w:val="17"/>
                <w:b w:val="1"/>
                <w:bCs w:val="1"/>
                <w:color w:val="auto"/>
              </w:rPr>
              <w:t>May 4,</w:t>
            </w:r>
          </w:p>
        </w:tc>
        <w:tc>
          <w:tcPr>
            <w:tcW w:w="2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55"/>
              <w:spacing w:after="0" w:line="157" w:lineRule="exact"/>
              <w:rPr>
                <w:sz w:val="20"/>
                <w:szCs w:val="20"/>
                <w:color w:val="auto"/>
              </w:rPr>
            </w:pPr>
            <w:r>
              <w:rPr>
                <w:rFonts w:ascii="Arial" w:cs="Arial" w:eastAsia="Arial" w:hAnsi="Arial"/>
                <w:sz w:val="17"/>
                <w:szCs w:val="17"/>
                <w:b w:val="1"/>
                <w:bCs w:val="1"/>
                <w:color w:val="auto"/>
              </w:rPr>
              <w:t>May 5,</w:t>
            </w:r>
          </w:p>
        </w:tc>
      </w:tr>
      <w:tr>
        <w:trPr>
          <w:trHeight w:val="215"/>
        </w:trPr>
        <w:tc>
          <w:tcPr>
            <w:tcW w:w="46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2019</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2018</w:t>
            </w:r>
          </w:p>
        </w:tc>
      </w:tr>
      <w:tr>
        <w:trPr>
          <w:trHeight w:val="183"/>
        </w:trPr>
        <w:tc>
          <w:tcPr>
            <w:tcW w:w="4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520" w:type="dxa"/>
            <w:vAlign w:val="bottom"/>
            <w:gridSpan w:val="3"/>
          </w:tcPr>
          <w:p>
            <w:pPr>
              <w:jc w:val="right"/>
              <w:ind w:right="775"/>
              <w:spacing w:after="0" w:line="183" w:lineRule="exact"/>
              <w:rPr>
                <w:sz w:val="20"/>
                <w:szCs w:val="20"/>
                <w:color w:val="auto"/>
              </w:rPr>
            </w:pPr>
            <w:r>
              <w:rPr>
                <w:rFonts w:ascii="Arial" w:cs="Arial" w:eastAsia="Arial" w:hAnsi="Arial"/>
                <w:sz w:val="17"/>
                <w:szCs w:val="17"/>
                <w:color w:val="auto"/>
              </w:rPr>
              <w:t>($ in millions)</w:t>
            </w:r>
          </w:p>
        </w:tc>
      </w:tr>
      <w:tr>
        <w:trPr>
          <w:trHeight w:val="189"/>
        </w:trPr>
        <w:tc>
          <w:tcPr>
            <w:tcW w:w="46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Stores</w:t>
            </w:r>
          </w:p>
        </w:tc>
        <w:tc>
          <w:tcPr>
            <w:tcW w:w="19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9"/>
        </w:trPr>
        <w:tc>
          <w:tcPr>
            <w:tcW w:w="4640" w:type="dxa"/>
            <w:vAlign w:val="bottom"/>
          </w:tcPr>
          <w:p>
            <w:pPr>
              <w:spacing w:after="0" w:line="189" w:lineRule="exact"/>
              <w:rPr>
                <w:sz w:val="20"/>
                <w:szCs w:val="20"/>
                <w:color w:val="auto"/>
              </w:rPr>
            </w:pPr>
            <w:r>
              <w:rPr>
                <w:rFonts w:ascii="Arial" w:cs="Arial" w:eastAsia="Arial" w:hAnsi="Arial"/>
                <w:sz w:val="17"/>
                <w:szCs w:val="17"/>
                <w:color w:val="auto"/>
              </w:rPr>
              <w:t>Sales</w:t>
            </w:r>
          </w:p>
        </w:tc>
        <w:tc>
          <w:tcPr>
            <w:tcW w:w="190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1,758</w:t>
            </w:r>
          </w:p>
        </w:tc>
        <w:tc>
          <w:tcPr>
            <w:tcW w:w="26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16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1,743</w:t>
            </w:r>
          </w:p>
        </w:tc>
      </w:tr>
      <w:tr>
        <w:trPr>
          <w:trHeight w:val="189"/>
        </w:trPr>
        <w:tc>
          <w:tcPr>
            <w:tcW w:w="4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19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15</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9"/>
        </w:trPr>
        <w:tc>
          <w:tcPr>
            <w:tcW w:w="4640" w:type="dxa"/>
            <w:vAlign w:val="bottom"/>
          </w:tcPr>
          <w:p>
            <w:pPr>
              <w:spacing w:after="0" w:line="189" w:lineRule="exact"/>
              <w:rPr>
                <w:sz w:val="20"/>
                <w:szCs w:val="20"/>
                <w:color w:val="auto"/>
              </w:rPr>
            </w:pPr>
            <w:r>
              <w:rPr>
                <w:rFonts w:ascii="Arial" w:cs="Arial" w:eastAsia="Arial" w:hAnsi="Arial"/>
                <w:sz w:val="17"/>
                <w:szCs w:val="17"/>
                <w:color w:val="auto"/>
              </w:rPr>
              <w:t>% Change</w:t>
            </w:r>
          </w:p>
        </w:tc>
        <w:tc>
          <w:tcPr>
            <w:tcW w:w="19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0.9 %</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4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of total sales</w:t>
            </w:r>
          </w:p>
        </w:tc>
        <w:tc>
          <w:tcPr>
            <w:tcW w:w="19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84.6 %</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86.1 %</w:t>
            </w:r>
          </w:p>
        </w:tc>
      </w:tr>
      <w:tr>
        <w:trPr>
          <w:trHeight w:val="189"/>
        </w:trPr>
        <w:tc>
          <w:tcPr>
            <w:tcW w:w="4640" w:type="dxa"/>
            <w:vAlign w:val="bottom"/>
          </w:tcPr>
          <w:p>
            <w:pPr>
              <w:spacing w:after="0" w:line="189" w:lineRule="exact"/>
              <w:rPr>
                <w:sz w:val="20"/>
                <w:szCs w:val="20"/>
                <w:color w:val="auto"/>
              </w:rPr>
            </w:pPr>
            <w:r>
              <w:rPr>
                <w:rFonts w:ascii="Arial" w:cs="Arial" w:eastAsia="Arial" w:hAnsi="Arial"/>
                <w:sz w:val="17"/>
                <w:szCs w:val="17"/>
                <w:color w:val="auto"/>
              </w:rPr>
              <w:t>Comparable sales increase (decrease)</w:t>
            </w:r>
          </w:p>
        </w:tc>
        <w:tc>
          <w:tcPr>
            <w:tcW w:w="19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2.9 %</w:t>
            </w:r>
          </w:p>
        </w:tc>
        <w:tc>
          <w:tcPr>
            <w:tcW w:w="260" w:type="dxa"/>
            <w:vAlign w:val="bottom"/>
          </w:tcPr>
          <w:p>
            <w:pPr>
              <w:spacing w:after="0"/>
              <w:rPr>
                <w:sz w:val="16"/>
                <w:szCs w:val="16"/>
                <w:color w:val="auto"/>
              </w:rPr>
            </w:pPr>
          </w:p>
        </w:tc>
        <w:tc>
          <w:tcPr>
            <w:tcW w:w="1160" w:type="dxa"/>
            <w:vAlign w:val="bottom"/>
          </w:tcPr>
          <w:p>
            <w:pPr>
              <w:jc w:val="right"/>
              <w:ind w:right="15"/>
              <w:spacing w:after="0" w:line="189" w:lineRule="exact"/>
              <w:rPr>
                <w:sz w:val="20"/>
                <w:szCs w:val="20"/>
                <w:color w:val="auto"/>
              </w:rPr>
            </w:pPr>
            <w:r>
              <w:rPr>
                <w:rFonts w:ascii="Arial" w:cs="Arial" w:eastAsia="Arial" w:hAnsi="Arial"/>
                <w:sz w:val="17"/>
                <w:szCs w:val="17"/>
                <w:color w:val="auto"/>
              </w:rPr>
              <w:t>(3.1)%</w:t>
            </w:r>
          </w:p>
        </w:tc>
      </w:tr>
      <w:tr>
        <w:trPr>
          <w:trHeight w:val="189"/>
        </w:trPr>
        <w:tc>
          <w:tcPr>
            <w:tcW w:w="464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9"/>
        </w:trPr>
        <w:tc>
          <w:tcPr>
            <w:tcW w:w="4640" w:type="dxa"/>
            <w:vAlign w:val="bottom"/>
          </w:tcPr>
          <w:p>
            <w:pPr>
              <w:spacing w:after="0" w:line="189" w:lineRule="exact"/>
              <w:rPr>
                <w:sz w:val="20"/>
                <w:szCs w:val="20"/>
                <w:color w:val="auto"/>
              </w:rPr>
            </w:pPr>
            <w:r>
              <w:rPr>
                <w:rFonts w:ascii="Arial" w:cs="Arial" w:eastAsia="Arial" w:hAnsi="Arial"/>
                <w:sz w:val="17"/>
                <w:szCs w:val="17"/>
                <w:b w:val="1"/>
                <w:bCs w:val="1"/>
                <w:color w:val="auto"/>
              </w:rPr>
              <w:t>Direct-to-customers</w:t>
            </w:r>
          </w:p>
        </w:tc>
        <w:tc>
          <w:tcPr>
            <w:tcW w:w="1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4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Sales</w:t>
            </w:r>
          </w:p>
        </w:tc>
        <w:tc>
          <w:tcPr>
            <w:tcW w:w="19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320</w:t>
            </w:r>
          </w:p>
        </w:tc>
        <w:tc>
          <w:tcPr>
            <w:tcW w:w="2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282</w:t>
            </w:r>
          </w:p>
        </w:tc>
      </w:tr>
      <w:tr>
        <w:trPr>
          <w:trHeight w:val="189"/>
        </w:trPr>
        <w:tc>
          <w:tcPr>
            <w:tcW w:w="4640" w:type="dxa"/>
            <w:vAlign w:val="bottom"/>
          </w:tcPr>
          <w:p>
            <w:pPr>
              <w:spacing w:after="0" w:line="189" w:lineRule="exact"/>
              <w:rPr>
                <w:sz w:val="20"/>
                <w:szCs w:val="20"/>
                <w:color w:val="auto"/>
              </w:rPr>
            </w:pPr>
            <w:r>
              <w:rPr>
                <w:rFonts w:ascii="Arial" w:cs="Arial" w:eastAsia="Arial" w:hAnsi="Arial"/>
                <w:sz w:val="17"/>
                <w:szCs w:val="17"/>
                <w:color w:val="auto"/>
              </w:rPr>
              <w:t>$ Change</w:t>
            </w:r>
          </w:p>
        </w:tc>
        <w:tc>
          <w:tcPr>
            <w:tcW w:w="190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10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38</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4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19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13.5 %</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9"/>
        </w:trPr>
        <w:tc>
          <w:tcPr>
            <w:tcW w:w="4640" w:type="dxa"/>
            <w:vAlign w:val="bottom"/>
          </w:tcPr>
          <w:p>
            <w:pPr>
              <w:spacing w:after="0" w:line="189" w:lineRule="exact"/>
              <w:rPr>
                <w:sz w:val="20"/>
                <w:szCs w:val="20"/>
                <w:color w:val="auto"/>
              </w:rPr>
            </w:pPr>
            <w:r>
              <w:rPr>
                <w:rFonts w:ascii="Arial" w:cs="Arial" w:eastAsia="Arial" w:hAnsi="Arial"/>
                <w:sz w:val="17"/>
                <w:szCs w:val="17"/>
                <w:color w:val="auto"/>
              </w:rPr>
              <w:t>% of total sales</w:t>
            </w:r>
          </w:p>
        </w:tc>
        <w:tc>
          <w:tcPr>
            <w:tcW w:w="19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15.4 %</w:t>
            </w:r>
          </w:p>
        </w:tc>
        <w:tc>
          <w:tcPr>
            <w:tcW w:w="260" w:type="dxa"/>
            <w:vAlign w:val="bottom"/>
          </w:tcPr>
          <w:p>
            <w:pPr>
              <w:spacing w:after="0"/>
              <w:rPr>
                <w:sz w:val="16"/>
                <w:szCs w:val="16"/>
                <w:color w:val="auto"/>
              </w:rPr>
            </w:pPr>
          </w:p>
        </w:tc>
        <w:tc>
          <w:tcPr>
            <w:tcW w:w="1160" w:type="dxa"/>
            <w:vAlign w:val="bottom"/>
          </w:tcPr>
          <w:p>
            <w:pPr>
              <w:jc w:val="right"/>
              <w:ind w:right="15"/>
              <w:spacing w:after="0" w:line="189" w:lineRule="exact"/>
              <w:rPr>
                <w:sz w:val="20"/>
                <w:szCs w:val="20"/>
                <w:color w:val="auto"/>
              </w:rPr>
            </w:pPr>
            <w:r>
              <w:rPr>
                <w:rFonts w:ascii="Arial" w:cs="Arial" w:eastAsia="Arial" w:hAnsi="Arial"/>
                <w:sz w:val="17"/>
                <w:szCs w:val="17"/>
                <w:color w:val="auto"/>
              </w:rPr>
              <w:t>13.9 %</w:t>
            </w:r>
          </w:p>
        </w:tc>
      </w:tr>
      <w:tr>
        <w:trPr>
          <w:trHeight w:val="189"/>
        </w:trPr>
        <w:tc>
          <w:tcPr>
            <w:tcW w:w="46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Comparable sales increase (decrease)</w:t>
            </w:r>
          </w:p>
        </w:tc>
        <w:tc>
          <w:tcPr>
            <w:tcW w:w="19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14.8 %</w:t>
            </w:r>
          </w:p>
        </w:tc>
        <w:tc>
          <w:tcPr>
            <w:tcW w:w="2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(0.5)%</w:t>
            </w: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Sales increased by $53 million, or 2.6 percent, to $2,078 million for the thirteen weeks ended May 4, 2019, from $2,025 million for the thirteen weeks ended May 5, 2018. Excluding the effect of foreign currency fluctuations, total sales increased by 4.7 percent for the thirteen weeks ended May 4, 2019.</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Total comparable sales increased by 4.6 percent for the thirteen weeks ended May 4, 2019. Overall, both channels generated a comparable sales gain for the period. This result was led by the growth in our direct-to-customers channel, which increased by 14.8 percent for the quarter. The improvement in our direct-to-customers channel reflecting continued positive customer sentiment as a result of our various e-commerce enhancements. Our stores channel sales also performed well and increased by 2.9 percent for the thirteen weeks ended May 4, 2019.</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comparable sales result for the first quarter was led by our EMEA operating segment, where both stores and e-commerce garnered sales gains. Europe’s sales increase was primarily related to growth in our stores, coupled with growth in e-commerce penetration. In North America, Champs Sports drove the increase. Footaction and Kids Foot Locker experienced lower sales in the first quarter of 2019, as compared with the corresponding prior-year period. The decline in Footaction’s sales primarily reflected the lack of product availability of certain key men’s footwear styles. Kids Foot Locker’s decline was primarily related to declines in sales of apparel. Asia Pacific continued to increase both from the store expansion in Asia and increased sales from our operations in Australia which was primarily the result of growth in our e-commerce business.</w:t>
      </w:r>
    </w:p>
    <w:p>
      <w:pPr>
        <w:spacing w:after="0" w:line="2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From a product perspective for the combined channels, the increase in comparable sales was across both our footwear and apparel categories. The increase was mainly the result of increased sales of footwear, which reflected increases in all wearer segments. Footwear sales were led by sales of women’s court and casual footwear styles. Kids footwear sales increased and primarily reflected strength in running styles. Men’s footwear sales reflected increases in casual and running styles, while sales of basketball styles were relatively flat. The increase in apparel sales was primarily related to the men’s business as both women’s and kid’s apparel sales declined for the quarter.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Margin</w:t>
      </w:r>
    </w:p>
    <w:p>
      <w:pPr>
        <w:spacing w:after="0" w:line="218" w:lineRule="exact"/>
        <w:rPr>
          <w:sz w:val="20"/>
          <w:szCs w:val="20"/>
          <w:color w:val="auto"/>
        </w:rPr>
      </w:pPr>
    </w:p>
    <w:p>
      <w:pPr>
        <w:ind w:left="626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80" w:type="dxa"/>
            <w:vAlign w:val="bottom"/>
            <w:tcBorders>
              <w:top w:val="single" w:sz="8" w:color="auto"/>
            </w:tcBorders>
          </w:tcPr>
          <w:p>
            <w:pPr>
              <w:ind w:left="6000"/>
              <w:spacing w:after="0" w:line="157" w:lineRule="exact"/>
              <w:rPr>
                <w:sz w:val="20"/>
                <w:szCs w:val="20"/>
                <w:color w:val="auto"/>
              </w:rPr>
            </w:pPr>
            <w:r>
              <w:rPr>
                <w:rFonts w:ascii="Arial" w:cs="Arial" w:eastAsia="Arial" w:hAnsi="Arial"/>
                <w:sz w:val="17"/>
                <w:szCs w:val="17"/>
                <w:b w:val="1"/>
                <w:bCs w:val="1"/>
                <w:color w:val="auto"/>
              </w:rPr>
              <w:t>May 4,</w:t>
            </w:r>
          </w:p>
        </w:tc>
        <w:tc>
          <w:tcPr>
            <w:tcW w:w="8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ind w:right="395"/>
              <w:spacing w:after="0" w:line="157" w:lineRule="exact"/>
              <w:rPr>
                <w:sz w:val="20"/>
                <w:szCs w:val="20"/>
                <w:color w:val="auto"/>
              </w:rPr>
            </w:pPr>
            <w:r>
              <w:rPr>
                <w:rFonts w:ascii="Arial" w:cs="Arial" w:eastAsia="Arial" w:hAnsi="Arial"/>
                <w:sz w:val="17"/>
                <w:szCs w:val="17"/>
                <w:b w:val="1"/>
                <w:bCs w:val="1"/>
                <w:color w:val="auto"/>
                <w:w w:val="99"/>
              </w:rPr>
              <w:t>May 5,</w:t>
            </w:r>
          </w:p>
        </w:tc>
      </w:tr>
      <w:tr>
        <w:trPr>
          <w:trHeight w:val="215"/>
        </w:trPr>
        <w:tc>
          <w:tcPr>
            <w:tcW w:w="6580" w:type="dxa"/>
            <w:vAlign w:val="bottom"/>
            <w:tcBorders>
              <w:bottom w:val="single" w:sz="8" w:color="auto"/>
            </w:tcBorders>
          </w:tcPr>
          <w:p>
            <w:pPr>
              <w:ind w:left="6080"/>
              <w:spacing w:after="0"/>
              <w:rPr>
                <w:sz w:val="20"/>
                <w:szCs w:val="20"/>
                <w:color w:val="auto"/>
              </w:rPr>
            </w:pPr>
            <w:r>
              <w:rPr>
                <w:rFonts w:ascii="Arial" w:cs="Arial" w:eastAsia="Arial" w:hAnsi="Arial"/>
                <w:sz w:val="17"/>
                <w:szCs w:val="17"/>
                <w:b w:val="1"/>
                <w:bCs w:val="1"/>
                <w:color w:val="auto"/>
              </w:rPr>
              <w:t>2019</w:t>
            </w:r>
          </w:p>
        </w:tc>
        <w:tc>
          <w:tcPr>
            <w:tcW w:w="8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55"/>
              <w:spacing w:after="0"/>
              <w:rPr>
                <w:sz w:val="20"/>
                <w:szCs w:val="20"/>
                <w:color w:val="auto"/>
              </w:rPr>
            </w:pPr>
            <w:r>
              <w:rPr>
                <w:rFonts w:ascii="Arial" w:cs="Arial" w:eastAsia="Arial" w:hAnsi="Arial"/>
                <w:sz w:val="17"/>
                <w:szCs w:val="17"/>
                <w:b w:val="1"/>
                <w:bCs w:val="1"/>
                <w:color w:val="auto"/>
              </w:rPr>
              <w:t>2018</w:t>
            </w:r>
          </w:p>
        </w:tc>
      </w:tr>
      <w:tr>
        <w:trPr>
          <w:trHeight w:val="183"/>
        </w:trPr>
        <w:tc>
          <w:tcPr>
            <w:tcW w:w="65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Gross margin rate</w:t>
            </w:r>
          </w:p>
        </w:tc>
        <w:tc>
          <w:tcPr>
            <w:tcW w:w="880" w:type="dxa"/>
            <w:vAlign w:val="bottom"/>
            <w:shd w:val="clear" w:color="auto" w:fill="CCEEFF"/>
          </w:tcPr>
          <w:p>
            <w:pPr>
              <w:jc w:val="right"/>
              <w:ind w:right="215"/>
              <w:spacing w:after="0" w:line="183" w:lineRule="exact"/>
              <w:rPr>
                <w:sz w:val="20"/>
                <w:szCs w:val="20"/>
                <w:color w:val="auto"/>
              </w:rPr>
            </w:pPr>
            <w:r>
              <w:rPr>
                <w:rFonts w:ascii="Arial" w:cs="Arial" w:eastAsia="Arial" w:hAnsi="Arial"/>
                <w:sz w:val="17"/>
                <w:szCs w:val="17"/>
                <w:b w:val="1"/>
                <w:bCs w:val="1"/>
                <w:color w:val="auto"/>
              </w:rPr>
              <w:t>33.2 %</w:t>
            </w:r>
          </w:p>
        </w:tc>
        <w:tc>
          <w:tcPr>
            <w:tcW w:w="16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32.9 %</w:t>
            </w:r>
          </w:p>
        </w:tc>
      </w:tr>
      <w:tr>
        <w:trPr>
          <w:trHeight w:val="189"/>
        </w:trPr>
        <w:tc>
          <w:tcPr>
            <w:tcW w:w="6580" w:type="dxa"/>
            <w:vAlign w:val="bottom"/>
          </w:tcPr>
          <w:p>
            <w:pPr>
              <w:spacing w:after="0" w:line="189" w:lineRule="exact"/>
              <w:rPr>
                <w:sz w:val="20"/>
                <w:szCs w:val="20"/>
                <w:color w:val="auto"/>
              </w:rPr>
            </w:pPr>
            <w:r>
              <w:rPr>
                <w:rFonts w:ascii="Arial" w:cs="Arial" w:eastAsia="Arial" w:hAnsi="Arial"/>
                <w:sz w:val="17"/>
                <w:szCs w:val="17"/>
                <w:color w:val="auto"/>
              </w:rPr>
              <w:t>Basis point increase in the gross margin rate</w:t>
            </w:r>
          </w:p>
        </w:tc>
        <w:tc>
          <w:tcPr>
            <w:tcW w:w="880" w:type="dxa"/>
            <w:vAlign w:val="bottom"/>
          </w:tcPr>
          <w:p>
            <w:pPr>
              <w:jc w:val="right"/>
              <w:ind w:right="435"/>
              <w:spacing w:after="0" w:line="189" w:lineRule="exact"/>
              <w:rPr>
                <w:sz w:val="20"/>
                <w:szCs w:val="20"/>
                <w:color w:val="auto"/>
              </w:rPr>
            </w:pPr>
            <w:r>
              <w:rPr>
                <w:rFonts w:ascii="Arial" w:cs="Arial" w:eastAsia="Arial" w:hAnsi="Arial"/>
                <w:sz w:val="17"/>
                <w:szCs w:val="17"/>
                <w:b w:val="1"/>
                <w:bCs w:val="1"/>
                <w:color w:val="auto"/>
              </w:rPr>
              <w:t>30</w:t>
            </w:r>
          </w:p>
        </w:tc>
        <w:tc>
          <w:tcPr>
            <w:tcW w:w="1600" w:type="dxa"/>
            <w:vAlign w:val="bottom"/>
          </w:tcPr>
          <w:p>
            <w:pPr>
              <w:spacing w:after="0"/>
              <w:rPr>
                <w:sz w:val="16"/>
                <w:szCs w:val="16"/>
                <w:color w:val="auto"/>
              </w:rPr>
            </w:pPr>
          </w:p>
        </w:tc>
      </w:tr>
      <w:tr>
        <w:trPr>
          <w:trHeight w:val="189"/>
        </w:trPr>
        <w:tc>
          <w:tcPr>
            <w:tcW w:w="658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Components of the change-</w:t>
            </w:r>
          </w:p>
        </w:tc>
        <w:tc>
          <w:tcPr>
            <w:tcW w:w="8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189"/>
        </w:trPr>
        <w:tc>
          <w:tcPr>
            <w:tcW w:w="6580" w:type="dxa"/>
            <w:vAlign w:val="bottom"/>
          </w:tcPr>
          <w:p>
            <w:pPr>
              <w:ind w:left="220"/>
              <w:spacing w:after="0" w:line="189" w:lineRule="exact"/>
              <w:rPr>
                <w:sz w:val="20"/>
                <w:szCs w:val="20"/>
                <w:color w:val="auto"/>
              </w:rPr>
            </w:pPr>
            <w:r>
              <w:rPr>
                <w:rFonts w:ascii="Arial" w:cs="Arial" w:eastAsia="Arial" w:hAnsi="Arial"/>
                <w:sz w:val="17"/>
                <w:szCs w:val="17"/>
                <w:color w:val="auto"/>
              </w:rPr>
              <w:t>Merchandise margin rate decline</w:t>
            </w:r>
          </w:p>
        </w:tc>
        <w:tc>
          <w:tcPr>
            <w:tcW w:w="880" w:type="dxa"/>
            <w:vAlign w:val="bottom"/>
          </w:tcPr>
          <w:p>
            <w:pPr>
              <w:jc w:val="right"/>
              <w:ind w:right="375"/>
              <w:spacing w:after="0" w:line="189" w:lineRule="exact"/>
              <w:rPr>
                <w:sz w:val="20"/>
                <w:szCs w:val="20"/>
                <w:color w:val="auto"/>
              </w:rPr>
            </w:pPr>
            <w:r>
              <w:rPr>
                <w:rFonts w:ascii="Arial" w:cs="Arial" w:eastAsia="Arial" w:hAnsi="Arial"/>
                <w:sz w:val="17"/>
                <w:szCs w:val="17"/>
                <w:b w:val="1"/>
                <w:bCs w:val="1"/>
                <w:color w:val="auto"/>
              </w:rPr>
              <w:t>(20)</w:t>
            </w:r>
          </w:p>
        </w:tc>
        <w:tc>
          <w:tcPr>
            <w:tcW w:w="1600" w:type="dxa"/>
            <w:vAlign w:val="bottom"/>
          </w:tcPr>
          <w:p>
            <w:pPr>
              <w:spacing w:after="0"/>
              <w:rPr>
                <w:sz w:val="16"/>
                <w:szCs w:val="16"/>
                <w:color w:val="auto"/>
              </w:rPr>
            </w:pPr>
          </w:p>
        </w:tc>
      </w:tr>
      <w:tr>
        <w:trPr>
          <w:trHeight w:val="189"/>
        </w:trPr>
        <w:tc>
          <w:tcPr>
            <w:tcW w:w="6580" w:type="dxa"/>
            <w:vAlign w:val="bottom"/>
            <w:tcBorders>
              <w:bottom w:val="single" w:sz="8" w:color="auto"/>
            </w:tcBorders>
            <w:shd w:val="clear" w:color="auto" w:fill="CCEEFF"/>
          </w:tcPr>
          <w:p>
            <w:pPr>
              <w:ind w:left="220"/>
              <w:spacing w:after="0" w:line="189" w:lineRule="exact"/>
              <w:rPr>
                <w:sz w:val="20"/>
                <w:szCs w:val="20"/>
                <w:color w:val="auto"/>
              </w:rPr>
            </w:pPr>
            <w:r>
              <w:rPr>
                <w:rFonts w:ascii="Arial" w:cs="Arial" w:eastAsia="Arial" w:hAnsi="Arial"/>
                <w:sz w:val="17"/>
                <w:szCs w:val="17"/>
                <w:color w:val="auto"/>
              </w:rPr>
              <w:t>Lower occupancy and buyers’ compensation expense rate</w:t>
            </w:r>
          </w:p>
        </w:tc>
        <w:tc>
          <w:tcPr>
            <w:tcW w:w="880" w:type="dxa"/>
            <w:vAlign w:val="bottom"/>
            <w:tcBorders>
              <w:bottom w:val="single" w:sz="8" w:color="auto"/>
            </w:tcBorders>
            <w:shd w:val="clear" w:color="auto" w:fill="CCEEFF"/>
          </w:tcPr>
          <w:p>
            <w:pPr>
              <w:jc w:val="right"/>
              <w:ind w:right="435"/>
              <w:spacing w:after="0" w:line="189" w:lineRule="exact"/>
              <w:rPr>
                <w:sz w:val="20"/>
                <w:szCs w:val="20"/>
                <w:color w:val="auto"/>
              </w:rPr>
            </w:pPr>
            <w:r>
              <w:rPr>
                <w:rFonts w:ascii="Arial" w:cs="Arial" w:eastAsia="Arial" w:hAnsi="Arial"/>
                <w:sz w:val="17"/>
                <w:szCs w:val="17"/>
                <w:b w:val="1"/>
                <w:bCs w:val="1"/>
                <w:color w:val="auto"/>
              </w:rPr>
              <w:t>50</w:t>
            </w:r>
          </w:p>
        </w:tc>
        <w:tc>
          <w:tcPr>
            <w:tcW w:w="1600" w:type="dxa"/>
            <w:vAlign w:val="bottom"/>
            <w:tcBorders>
              <w:bottom w:val="single" w:sz="8" w:color="auto"/>
            </w:tcBorders>
            <w:shd w:val="clear" w:color="auto" w:fill="CCEEFF"/>
          </w:tcPr>
          <w:p>
            <w:pPr>
              <w:spacing w:after="0"/>
              <w:rPr>
                <w:sz w:val="16"/>
                <w:szCs w:val="16"/>
                <w:color w:val="auto"/>
              </w:rPr>
            </w:pPr>
          </w:p>
        </w:tc>
      </w:tr>
    </w:tbl>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Gross margin is calculated as sales minus cost of sales. Cost of sales includes: the cost of merchandise, freight, distribution costs including related depreciation expense, shipping and handling, occupancy and buyers’ compensation. Occupancy costs include rent, common area maintenance charges, real estate taxes, general maintenance, and utilities.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gross margin rate increased by 30 basis points for the thirteen weeks ended May 4, 2019 as compared with the corresponding prior-year period. The merchandise margin rate decline reflected a higher proportion of direct-to-customer sales, which bear a higher freight cost. The occupancy and buyers’ compensation expense rate decreased for the thirteen weeks ended May 4, 2019, which was primarily the result of higher sales during the quarter as compared with a relatively fixed rent cost.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 (SG&amp;A)</w:t>
      </w:r>
    </w:p>
    <w:p>
      <w:pPr>
        <w:spacing w:after="0" w:line="218" w:lineRule="exact"/>
        <w:rPr>
          <w:sz w:val="20"/>
          <w:szCs w:val="20"/>
          <w:color w:val="auto"/>
        </w:rPr>
      </w:pPr>
    </w:p>
    <w:p>
      <w:pPr>
        <w:ind w:left="644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80" w:type="dxa"/>
            <w:vAlign w:val="bottom"/>
            <w:tcBorders>
              <w:top w:val="single" w:sz="8" w:color="auto"/>
              <w:bottom w:val="single" w:sz="8" w:color="auto"/>
            </w:tcBorders>
          </w:tcPr>
          <w:p>
            <w:pPr>
              <w:spacing w:after="0"/>
              <w:rPr>
                <w:sz w:val="15"/>
                <w:szCs w:val="15"/>
                <w:color w:val="auto"/>
              </w:rPr>
            </w:pPr>
          </w:p>
        </w:tc>
        <w:tc>
          <w:tcPr>
            <w:tcW w:w="1820" w:type="dxa"/>
            <w:vAlign w:val="bottom"/>
            <w:tcBorders>
              <w:top w:val="single" w:sz="8" w:color="auto"/>
              <w:bottom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ind w:right="475"/>
              <w:spacing w:after="0" w:line="183" w:lineRule="exact"/>
              <w:rPr>
                <w:sz w:val="20"/>
                <w:szCs w:val="20"/>
                <w:color w:val="auto"/>
              </w:rPr>
            </w:pPr>
            <w:r>
              <w:rPr>
                <w:rFonts w:ascii="Arial" w:cs="Arial" w:eastAsia="Arial" w:hAnsi="Arial"/>
                <w:sz w:val="17"/>
                <w:szCs w:val="17"/>
                <w:b w:val="1"/>
                <w:bCs w:val="1"/>
                <w:color w:val="auto"/>
              </w:rPr>
              <w:t>May 4, 2019</w:t>
            </w:r>
          </w:p>
        </w:tc>
        <w:tc>
          <w:tcPr>
            <w:tcW w:w="26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235"/>
              <w:spacing w:after="0" w:line="183" w:lineRule="exact"/>
              <w:rPr>
                <w:sz w:val="20"/>
                <w:szCs w:val="20"/>
                <w:color w:val="auto"/>
              </w:rPr>
            </w:pPr>
            <w:r>
              <w:rPr>
                <w:rFonts w:ascii="Arial" w:cs="Arial" w:eastAsia="Arial" w:hAnsi="Arial"/>
                <w:sz w:val="17"/>
                <w:szCs w:val="17"/>
                <w:b w:val="1"/>
                <w:bCs w:val="1"/>
                <w:color w:val="auto"/>
              </w:rPr>
              <w:t>May 5, 2018</w:t>
            </w:r>
          </w:p>
        </w:tc>
      </w:tr>
      <w:tr>
        <w:trPr>
          <w:trHeight w:val="183"/>
        </w:trPr>
        <w:tc>
          <w:tcPr>
            <w:tcW w:w="39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260" w:type="dxa"/>
            <w:vAlign w:val="bottom"/>
            <w:gridSpan w:val="3"/>
          </w:tcPr>
          <w:p>
            <w:pPr>
              <w:jc w:val="right"/>
              <w:ind w:right="1155"/>
              <w:spacing w:after="0" w:line="183" w:lineRule="exact"/>
              <w:rPr>
                <w:sz w:val="20"/>
                <w:szCs w:val="20"/>
                <w:color w:val="auto"/>
              </w:rPr>
            </w:pPr>
            <w:r>
              <w:rPr>
                <w:rFonts w:ascii="Arial" w:cs="Arial" w:eastAsia="Arial" w:hAnsi="Arial"/>
                <w:sz w:val="17"/>
                <w:szCs w:val="17"/>
                <w:color w:val="auto"/>
              </w:rPr>
              <w:t>($ in millions)</w:t>
            </w:r>
          </w:p>
        </w:tc>
      </w:tr>
      <w:tr>
        <w:trPr>
          <w:trHeight w:val="189"/>
        </w:trPr>
        <w:tc>
          <w:tcPr>
            <w:tcW w:w="3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SG&amp;A</w:t>
            </w:r>
          </w:p>
        </w:tc>
        <w:tc>
          <w:tcPr>
            <w:tcW w:w="18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62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b w:val="1"/>
                <w:bCs w:val="1"/>
                <w:color w:val="auto"/>
              </w:rPr>
              <w:t>416</w:t>
            </w:r>
          </w:p>
        </w:tc>
        <w:tc>
          <w:tcPr>
            <w:tcW w:w="2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385</w:t>
            </w:r>
          </w:p>
        </w:tc>
      </w:tr>
      <w:tr>
        <w:trPr>
          <w:trHeight w:val="189"/>
        </w:trPr>
        <w:tc>
          <w:tcPr>
            <w:tcW w:w="3980" w:type="dxa"/>
            <w:vAlign w:val="bottom"/>
          </w:tcPr>
          <w:p>
            <w:pPr>
              <w:spacing w:after="0" w:line="189" w:lineRule="exact"/>
              <w:rPr>
                <w:sz w:val="20"/>
                <w:szCs w:val="20"/>
                <w:color w:val="auto"/>
              </w:rPr>
            </w:pPr>
            <w:r>
              <w:rPr>
                <w:rFonts w:ascii="Arial" w:cs="Arial" w:eastAsia="Arial" w:hAnsi="Arial"/>
                <w:sz w:val="17"/>
                <w:szCs w:val="17"/>
                <w:color w:val="auto"/>
              </w:rPr>
              <w:t>$ Change</w:t>
            </w:r>
          </w:p>
        </w:tc>
        <w:tc>
          <w:tcPr>
            <w:tcW w:w="182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162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31</w:t>
            </w:r>
          </w:p>
        </w:tc>
        <w:tc>
          <w:tcPr>
            <w:tcW w:w="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1380" w:type="dxa"/>
            <w:vAlign w:val="bottom"/>
          </w:tcPr>
          <w:p>
            <w:pPr>
              <w:spacing w:after="0"/>
              <w:rPr>
                <w:sz w:val="16"/>
                <w:szCs w:val="16"/>
                <w:color w:val="auto"/>
              </w:rPr>
            </w:pPr>
          </w:p>
        </w:tc>
      </w:tr>
      <w:tr>
        <w:trPr>
          <w:trHeight w:val="189"/>
        </w:trPr>
        <w:tc>
          <w:tcPr>
            <w:tcW w:w="3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182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8.1 %</w:t>
            </w: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9"/>
        </w:trPr>
        <w:tc>
          <w:tcPr>
            <w:tcW w:w="39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SG&amp;A as a percentage of sales</w:t>
            </w:r>
          </w:p>
        </w:tc>
        <w:tc>
          <w:tcPr>
            <w:tcW w:w="18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20.0 %</w:t>
            </w: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19.0</w:t>
            </w: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SG&amp;A increased by $ 31 million, or by 100 basis points, to $416 million for the thirteen weeks ended May 4, 2019, as compared with the corresponding prior-year period. Excluding the effect of foreign currency fluctuations, SG&amp;A increased by $42 million.</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higher SG&amp;A expense rate for the quarter reflected higher wages, higher incentive compensation expense, and an increase in costs incurred in connection with our ongoing investment in various technology and infrastructure projects. Corporate expense (a component of SG&amp;A) increased during the quarter, also reflecting the same factors noted previously and higher share-based compensation that is tied to the Company’s performance.</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benefit of $5 million was recorded in the first quarter of 2018 relating to insurance recoveries for damaged inventory and fixed assets for losses incurred during Hurricane Maria in 2017.</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Depreciation and Amortization</w:t>
      </w:r>
    </w:p>
    <w:p>
      <w:pPr>
        <w:spacing w:after="0" w:line="218" w:lineRule="exact"/>
        <w:rPr>
          <w:sz w:val="20"/>
          <w:szCs w:val="20"/>
          <w:color w:val="auto"/>
        </w:rPr>
      </w:pPr>
    </w:p>
    <w:p>
      <w:pPr>
        <w:ind w:left="634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84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tcPr>
          <w:p>
            <w:pPr>
              <w:jc w:val="right"/>
              <w:ind w:right="15"/>
              <w:spacing w:after="0" w:line="157" w:lineRule="exact"/>
              <w:rPr>
                <w:sz w:val="20"/>
                <w:szCs w:val="20"/>
                <w:color w:val="auto"/>
              </w:rPr>
            </w:pPr>
            <w:r>
              <w:rPr>
                <w:rFonts w:ascii="Arial" w:cs="Arial" w:eastAsia="Arial" w:hAnsi="Arial"/>
                <w:sz w:val="17"/>
                <w:szCs w:val="17"/>
                <w:b w:val="1"/>
                <w:bCs w:val="1"/>
                <w:color w:val="auto"/>
              </w:rPr>
              <w:t>May 4,</w:t>
            </w:r>
          </w:p>
        </w:tc>
        <w:tc>
          <w:tcPr>
            <w:tcW w:w="7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395"/>
              <w:spacing w:after="0" w:line="157" w:lineRule="exact"/>
              <w:rPr>
                <w:sz w:val="20"/>
                <w:szCs w:val="20"/>
                <w:color w:val="auto"/>
              </w:rPr>
            </w:pPr>
            <w:r>
              <w:rPr>
                <w:rFonts w:ascii="Arial" w:cs="Arial" w:eastAsia="Arial" w:hAnsi="Arial"/>
                <w:sz w:val="17"/>
                <w:szCs w:val="17"/>
                <w:b w:val="1"/>
                <w:bCs w:val="1"/>
                <w:color w:val="auto"/>
                <w:w w:val="99"/>
              </w:rPr>
              <w:t>May 5,</w:t>
            </w:r>
          </w:p>
        </w:tc>
      </w:tr>
      <w:tr>
        <w:trPr>
          <w:trHeight w:val="215"/>
        </w:trPr>
        <w:tc>
          <w:tcPr>
            <w:tcW w:w="38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2019</w:t>
            </w: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2018</w:t>
            </w:r>
          </w:p>
        </w:tc>
      </w:tr>
      <w:tr>
        <w:trPr>
          <w:trHeight w:val="183"/>
        </w:trPr>
        <w:tc>
          <w:tcPr>
            <w:tcW w:w="38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240" w:type="dxa"/>
            <w:vAlign w:val="bottom"/>
            <w:gridSpan w:val="2"/>
          </w:tcPr>
          <w:p>
            <w:pPr>
              <w:jc w:val="right"/>
              <w:ind w:right="35"/>
              <w:spacing w:after="0" w:line="183" w:lineRule="exact"/>
              <w:rPr>
                <w:sz w:val="20"/>
                <w:szCs w:val="20"/>
                <w:color w:val="auto"/>
              </w:rPr>
            </w:pPr>
            <w:r>
              <w:rPr>
                <w:rFonts w:ascii="Arial" w:cs="Arial" w:eastAsia="Arial" w:hAnsi="Arial"/>
                <w:sz w:val="17"/>
                <w:szCs w:val="17"/>
                <w:color w:val="auto"/>
              </w:rPr>
              <w:t>($ in millions)</w:t>
            </w:r>
          </w:p>
        </w:tc>
        <w:tc>
          <w:tcPr>
            <w:tcW w:w="1200" w:type="dxa"/>
            <w:vAlign w:val="bottom"/>
          </w:tcPr>
          <w:p>
            <w:pPr>
              <w:spacing w:after="0"/>
              <w:rPr>
                <w:sz w:val="15"/>
                <w:szCs w:val="15"/>
                <w:color w:val="auto"/>
              </w:rPr>
            </w:pPr>
          </w:p>
        </w:tc>
      </w:tr>
      <w:tr>
        <w:trPr>
          <w:trHeight w:val="189"/>
        </w:trPr>
        <w:tc>
          <w:tcPr>
            <w:tcW w:w="3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2780" w:type="dxa"/>
            <w:vAlign w:val="bottom"/>
            <w:shd w:val="clear" w:color="auto" w:fill="CCEEFF"/>
          </w:tcPr>
          <w:p>
            <w:pPr>
              <w:jc w:val="right"/>
              <w:ind w:right="1015"/>
              <w:spacing w:after="0" w:line="189" w:lineRule="exact"/>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95"/>
              <w:spacing w:after="0" w:line="189" w:lineRule="exact"/>
              <w:rPr>
                <w:sz w:val="20"/>
                <w:szCs w:val="20"/>
                <w:color w:val="auto"/>
              </w:rPr>
            </w:pPr>
            <w:r>
              <w:rPr>
                <w:rFonts w:ascii="Arial" w:cs="Arial" w:eastAsia="Arial" w:hAnsi="Arial"/>
                <w:sz w:val="17"/>
                <w:szCs w:val="17"/>
                <w:b w:val="1"/>
                <w:bCs w:val="1"/>
                <w:color w:val="auto"/>
              </w:rPr>
              <w:t>44</w:t>
            </w:r>
          </w:p>
        </w:tc>
        <w:tc>
          <w:tcPr>
            <w:tcW w:w="540" w:type="dxa"/>
            <w:vAlign w:val="bottom"/>
            <w:shd w:val="clear" w:color="auto" w:fill="CCEEFF"/>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45</w:t>
            </w:r>
          </w:p>
        </w:tc>
      </w:tr>
      <w:tr>
        <w:trPr>
          <w:trHeight w:val="189"/>
        </w:trPr>
        <w:tc>
          <w:tcPr>
            <w:tcW w:w="3840" w:type="dxa"/>
            <w:vAlign w:val="bottom"/>
          </w:tcPr>
          <w:p>
            <w:pPr>
              <w:spacing w:after="0" w:line="189" w:lineRule="exact"/>
              <w:rPr>
                <w:sz w:val="20"/>
                <w:szCs w:val="20"/>
                <w:color w:val="auto"/>
              </w:rPr>
            </w:pPr>
            <w:r>
              <w:rPr>
                <w:rFonts w:ascii="Arial" w:cs="Arial" w:eastAsia="Arial" w:hAnsi="Arial"/>
                <w:sz w:val="17"/>
                <w:szCs w:val="17"/>
                <w:color w:val="auto"/>
              </w:rPr>
              <w:t>$ Change</w:t>
            </w:r>
          </w:p>
        </w:tc>
        <w:tc>
          <w:tcPr>
            <w:tcW w:w="2780" w:type="dxa"/>
            <w:vAlign w:val="bottom"/>
          </w:tcPr>
          <w:p>
            <w:pPr>
              <w:jc w:val="right"/>
              <w:ind w:right="1015"/>
              <w:spacing w:after="0" w:line="189" w:lineRule="exact"/>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(1)</w:t>
            </w:r>
          </w:p>
        </w:tc>
        <w:tc>
          <w:tcPr>
            <w:tcW w:w="540" w:type="dxa"/>
            <w:vAlign w:val="bottom"/>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tcPr>
          <w:p>
            <w:pPr>
              <w:spacing w:after="0"/>
              <w:rPr>
                <w:sz w:val="16"/>
                <w:szCs w:val="16"/>
                <w:color w:val="auto"/>
              </w:rPr>
            </w:pPr>
          </w:p>
        </w:tc>
      </w:tr>
      <w:tr>
        <w:trPr>
          <w:trHeight w:val="189"/>
        </w:trPr>
        <w:tc>
          <w:tcPr>
            <w:tcW w:w="38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27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(2.2)%</w:t>
            </w:r>
          </w:p>
        </w:tc>
        <w:tc>
          <w:tcPr>
            <w:tcW w:w="5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Excluding the effect of foreign currency fluctuations, depreciation and amortization was unchanged for the thirteen weeks ended May 4, 2019 as compared to prior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Division Profit</w:t>
      </w:r>
    </w:p>
    <w:p>
      <w:pPr>
        <w:spacing w:after="0" w:line="218" w:lineRule="exact"/>
        <w:rPr>
          <w:sz w:val="20"/>
          <w:szCs w:val="20"/>
          <w:color w:val="auto"/>
        </w:rPr>
      </w:pPr>
    </w:p>
    <w:p>
      <w:pPr>
        <w:ind w:left="620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80" w:type="dxa"/>
            <w:vAlign w:val="bottom"/>
            <w:tcBorders>
              <w:top w:val="single" w:sz="8" w:color="auto"/>
            </w:tcBorders>
          </w:tcPr>
          <w:p>
            <w:pPr>
              <w:spacing w:after="0"/>
              <w:rPr>
                <w:sz w:val="13"/>
                <w:szCs w:val="13"/>
                <w:color w:val="auto"/>
              </w:rPr>
            </w:pPr>
          </w:p>
        </w:tc>
        <w:tc>
          <w:tcPr>
            <w:tcW w:w="3020" w:type="dxa"/>
            <w:vAlign w:val="bottom"/>
            <w:tcBorders>
              <w:top w:val="single" w:sz="8" w:color="auto"/>
            </w:tcBorders>
          </w:tcPr>
          <w:p>
            <w:pPr>
              <w:jc w:val="center"/>
              <w:ind w:left="2255"/>
              <w:spacing w:after="0" w:line="157" w:lineRule="exact"/>
              <w:rPr>
                <w:sz w:val="20"/>
                <w:szCs w:val="20"/>
                <w:color w:val="auto"/>
              </w:rPr>
            </w:pPr>
            <w:r>
              <w:rPr>
                <w:rFonts w:ascii="Arial" w:cs="Arial" w:eastAsia="Arial" w:hAnsi="Arial"/>
                <w:sz w:val="17"/>
                <w:szCs w:val="17"/>
                <w:b w:val="1"/>
                <w:bCs w:val="1"/>
                <w:color w:val="auto"/>
                <w:w w:val="99"/>
              </w:rPr>
              <w:t>May 4,</w:t>
            </w:r>
          </w:p>
        </w:tc>
        <w:tc>
          <w:tcPr>
            <w:tcW w:w="6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735"/>
              <w:spacing w:after="0" w:line="157" w:lineRule="exact"/>
              <w:rPr>
                <w:sz w:val="20"/>
                <w:szCs w:val="20"/>
                <w:color w:val="auto"/>
              </w:rPr>
            </w:pPr>
            <w:r>
              <w:rPr>
                <w:rFonts w:ascii="Arial" w:cs="Arial" w:eastAsia="Arial" w:hAnsi="Arial"/>
                <w:sz w:val="17"/>
                <w:szCs w:val="17"/>
                <w:b w:val="1"/>
                <w:bCs w:val="1"/>
                <w:color w:val="auto"/>
                <w:w w:val="96"/>
              </w:rPr>
              <w:t>May 5,</w:t>
            </w:r>
          </w:p>
        </w:tc>
      </w:tr>
      <w:tr>
        <w:trPr>
          <w:trHeight w:val="215"/>
        </w:trPr>
        <w:tc>
          <w:tcPr>
            <w:tcW w:w="34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2019</w:t>
            </w:r>
          </w:p>
        </w:tc>
        <w:tc>
          <w:tcPr>
            <w:tcW w:w="6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95"/>
              <w:spacing w:after="0"/>
              <w:rPr>
                <w:sz w:val="20"/>
                <w:szCs w:val="20"/>
                <w:color w:val="auto"/>
              </w:rPr>
            </w:pPr>
            <w:r>
              <w:rPr>
                <w:rFonts w:ascii="Arial" w:cs="Arial" w:eastAsia="Arial" w:hAnsi="Arial"/>
                <w:sz w:val="17"/>
                <w:szCs w:val="17"/>
                <w:b w:val="1"/>
                <w:bCs w:val="1"/>
                <w:color w:val="auto"/>
              </w:rPr>
              <w:t>2018</w:t>
            </w:r>
          </w:p>
        </w:tc>
      </w:tr>
      <w:tr>
        <w:trPr>
          <w:trHeight w:val="183"/>
        </w:trPr>
        <w:tc>
          <w:tcPr>
            <w:tcW w:w="34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in millions)</w:t>
            </w:r>
          </w:p>
        </w:tc>
        <w:tc>
          <w:tcPr>
            <w:tcW w:w="1340" w:type="dxa"/>
            <w:vAlign w:val="bottom"/>
          </w:tcPr>
          <w:p>
            <w:pPr>
              <w:spacing w:after="0"/>
              <w:rPr>
                <w:sz w:val="15"/>
                <w:szCs w:val="15"/>
                <w:color w:val="auto"/>
              </w:rPr>
            </w:pPr>
          </w:p>
        </w:tc>
      </w:tr>
      <w:tr>
        <w:trPr>
          <w:trHeight w:val="189"/>
        </w:trPr>
        <w:tc>
          <w:tcPr>
            <w:tcW w:w="3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Division profit</w:t>
            </w:r>
          </w:p>
        </w:tc>
        <w:tc>
          <w:tcPr>
            <w:tcW w:w="3020" w:type="dxa"/>
            <w:vAlign w:val="bottom"/>
            <w:shd w:val="clear" w:color="auto" w:fill="CCEEFF"/>
          </w:tcPr>
          <w:p>
            <w:pPr>
              <w:jc w:val="right"/>
              <w:ind w:right="935"/>
              <w:spacing w:after="0" w:line="189" w:lineRule="exact"/>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250</w:t>
            </w:r>
          </w:p>
        </w:tc>
        <w:tc>
          <w:tcPr>
            <w:tcW w:w="580" w:type="dxa"/>
            <w:vAlign w:val="bottom"/>
            <w:shd w:val="clear" w:color="auto" w:fill="CCEEFF"/>
          </w:tcPr>
          <w:p>
            <w:pPr>
              <w:jc w:val="right"/>
              <w:ind w:right="355"/>
              <w:spacing w:after="0" w:line="189"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247</w:t>
            </w:r>
          </w:p>
        </w:tc>
      </w:tr>
      <w:tr>
        <w:trPr>
          <w:trHeight w:val="189"/>
        </w:trPr>
        <w:tc>
          <w:tcPr>
            <w:tcW w:w="34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Division profit margin</w:t>
            </w:r>
          </w:p>
        </w:tc>
        <w:tc>
          <w:tcPr>
            <w:tcW w:w="3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12.0 %</w:t>
            </w:r>
          </w:p>
        </w:tc>
        <w:tc>
          <w:tcPr>
            <w:tcW w:w="5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12.2 %</w:t>
            </w:r>
          </w:p>
        </w:tc>
      </w:tr>
    </w:tbl>
    <w:p>
      <w:pPr>
        <w:spacing w:after="0" w:line="20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Division profit margin decreased by 20 basis points for the thirteen weeks ended May 4, 2019, as compared with the corresponding prior-year period. The decrease in division profit for the thirteen weeks ended May 4, 2019 reflected an increase in the gross margin rate offset by higher SG&amp;A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 Net</w:t>
      </w:r>
    </w:p>
    <w:p>
      <w:pPr>
        <w:spacing w:after="0" w:line="218" w:lineRule="exact"/>
        <w:rPr>
          <w:sz w:val="20"/>
          <w:szCs w:val="20"/>
          <w:color w:val="auto"/>
        </w:rPr>
      </w:pPr>
    </w:p>
    <w:p>
      <w:pPr>
        <w:ind w:left="634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60" w:type="dxa"/>
            <w:vAlign w:val="bottom"/>
            <w:tcBorders>
              <w:top w:val="single" w:sz="8" w:color="auto"/>
            </w:tcBorders>
          </w:tcPr>
          <w:p>
            <w:pPr>
              <w:spacing w:after="0"/>
              <w:rPr>
                <w:sz w:val="13"/>
                <w:szCs w:val="13"/>
                <w:color w:val="auto"/>
              </w:rPr>
            </w:pPr>
          </w:p>
        </w:tc>
        <w:tc>
          <w:tcPr>
            <w:tcW w:w="3160" w:type="dxa"/>
            <w:vAlign w:val="bottom"/>
            <w:tcBorders>
              <w:top w:val="single" w:sz="8" w:color="auto"/>
            </w:tcBorders>
          </w:tcPr>
          <w:p>
            <w:pPr>
              <w:jc w:val="right"/>
              <w:ind w:right="15"/>
              <w:spacing w:after="0" w:line="157" w:lineRule="exact"/>
              <w:rPr>
                <w:sz w:val="20"/>
                <w:szCs w:val="20"/>
                <w:color w:val="auto"/>
              </w:rPr>
            </w:pPr>
            <w:r>
              <w:rPr>
                <w:rFonts w:ascii="Arial" w:cs="Arial" w:eastAsia="Arial" w:hAnsi="Arial"/>
                <w:sz w:val="17"/>
                <w:szCs w:val="17"/>
                <w:b w:val="1"/>
                <w:bCs w:val="1"/>
                <w:color w:val="auto"/>
              </w:rPr>
              <w:t>May 4,</w:t>
            </w:r>
          </w:p>
        </w:tc>
        <w:tc>
          <w:tcPr>
            <w:tcW w:w="6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95"/>
              <w:spacing w:after="0" w:line="157" w:lineRule="exact"/>
              <w:rPr>
                <w:sz w:val="20"/>
                <w:szCs w:val="20"/>
                <w:color w:val="auto"/>
              </w:rPr>
            </w:pPr>
            <w:r>
              <w:rPr>
                <w:rFonts w:ascii="Arial" w:cs="Arial" w:eastAsia="Arial" w:hAnsi="Arial"/>
                <w:sz w:val="17"/>
                <w:szCs w:val="17"/>
                <w:b w:val="1"/>
                <w:bCs w:val="1"/>
                <w:color w:val="auto"/>
              </w:rPr>
              <w:t>May 5,</w:t>
            </w:r>
          </w:p>
        </w:tc>
        <w:tc>
          <w:tcPr>
            <w:tcW w:w="20" w:type="dxa"/>
            <w:vAlign w:val="bottom"/>
          </w:tcPr>
          <w:p>
            <w:pPr>
              <w:spacing w:after="0"/>
              <w:rPr>
                <w:sz w:val="13"/>
                <w:szCs w:val="13"/>
                <w:color w:val="auto"/>
              </w:rPr>
            </w:pPr>
          </w:p>
        </w:tc>
      </w:tr>
      <w:tr>
        <w:trPr>
          <w:trHeight w:val="215"/>
        </w:trPr>
        <w:tc>
          <w:tcPr>
            <w:tcW w:w="34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2019</w:t>
            </w: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2018</w:t>
            </w:r>
          </w:p>
        </w:tc>
        <w:tc>
          <w:tcPr>
            <w:tcW w:w="20" w:type="dxa"/>
            <w:vAlign w:val="bottom"/>
          </w:tcPr>
          <w:p>
            <w:pPr>
              <w:spacing w:after="0"/>
              <w:rPr>
                <w:sz w:val="18"/>
                <w:szCs w:val="18"/>
                <w:color w:val="auto"/>
              </w:rPr>
            </w:pPr>
          </w:p>
        </w:tc>
      </w:tr>
      <w:tr>
        <w:trPr>
          <w:trHeight w:val="183"/>
        </w:trPr>
        <w:tc>
          <w:tcPr>
            <w:tcW w:w="34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240" w:type="dxa"/>
            <w:vAlign w:val="bottom"/>
            <w:gridSpan w:val="2"/>
          </w:tcPr>
          <w:p>
            <w:pPr>
              <w:jc w:val="right"/>
              <w:ind w:right="35"/>
              <w:spacing w:after="0" w:line="183" w:lineRule="exact"/>
              <w:rPr>
                <w:sz w:val="20"/>
                <w:szCs w:val="20"/>
                <w:color w:val="auto"/>
              </w:rPr>
            </w:pPr>
            <w:r>
              <w:rPr>
                <w:rFonts w:ascii="Arial" w:cs="Arial" w:eastAsia="Arial" w:hAnsi="Arial"/>
                <w:sz w:val="17"/>
                <w:szCs w:val="17"/>
                <w:color w:val="auto"/>
              </w:rPr>
              <w:t>($ in millions)</w:t>
            </w: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3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expense</w:t>
            </w:r>
          </w:p>
        </w:tc>
        <w:tc>
          <w:tcPr>
            <w:tcW w:w="3160" w:type="dxa"/>
            <w:vAlign w:val="bottom"/>
            <w:shd w:val="clear" w:color="auto" w:fill="CCEEFF"/>
          </w:tcPr>
          <w:p>
            <w:pPr>
              <w:jc w:val="right"/>
              <w:ind w:right="1015"/>
              <w:spacing w:after="0" w:line="189" w:lineRule="exact"/>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w:t>
            </w:r>
          </w:p>
        </w:tc>
        <w:tc>
          <w:tcPr>
            <w:tcW w:w="620" w:type="dxa"/>
            <w:vAlign w:val="bottom"/>
            <w:shd w:val="clear" w:color="auto" w:fill="CCEEFF"/>
          </w:tcPr>
          <w:p>
            <w:pPr>
              <w:jc w:val="right"/>
              <w:ind w:right="295"/>
              <w:spacing w:after="0" w:line="189"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c>
          <w:tcPr>
            <w:tcW w:w="20" w:type="dxa"/>
            <w:vAlign w:val="bottom"/>
          </w:tcPr>
          <w:p>
            <w:pPr>
              <w:spacing w:after="0"/>
              <w:rPr>
                <w:sz w:val="16"/>
                <w:szCs w:val="16"/>
                <w:color w:val="auto"/>
              </w:rPr>
            </w:pPr>
          </w:p>
        </w:tc>
      </w:tr>
      <w:tr>
        <w:trPr>
          <w:trHeight w:val="189"/>
        </w:trPr>
        <w:tc>
          <w:tcPr>
            <w:tcW w:w="34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Interest income</w:t>
            </w:r>
          </w:p>
        </w:tc>
        <w:tc>
          <w:tcPr>
            <w:tcW w:w="3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6</w:t>
            </w:r>
          </w:p>
        </w:tc>
        <w:tc>
          <w:tcPr>
            <w:tcW w:w="6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w:t>
            </w:r>
          </w:p>
        </w:tc>
        <w:tc>
          <w:tcPr>
            <w:tcW w:w="20" w:type="dxa"/>
            <w:vAlign w:val="bottom"/>
          </w:tcPr>
          <w:p>
            <w:pPr>
              <w:spacing w:after="0"/>
              <w:rPr>
                <w:sz w:val="16"/>
                <w:szCs w:val="16"/>
                <w:color w:val="auto"/>
              </w:rPr>
            </w:pPr>
          </w:p>
        </w:tc>
      </w:tr>
      <w:tr>
        <w:trPr>
          <w:trHeight w:val="190"/>
        </w:trPr>
        <w:tc>
          <w:tcPr>
            <w:tcW w:w="34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Interest income, net</w:t>
            </w:r>
          </w:p>
        </w:tc>
        <w:tc>
          <w:tcPr>
            <w:tcW w:w="3160" w:type="dxa"/>
            <w:vAlign w:val="bottom"/>
            <w:tcBorders>
              <w:bottom w:val="single" w:sz="8" w:color="auto"/>
            </w:tcBorders>
            <w:shd w:val="clear" w:color="auto" w:fill="CCEEFF"/>
          </w:tcPr>
          <w:p>
            <w:pPr>
              <w:jc w:val="right"/>
              <w:ind w:right="1015"/>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4</w:t>
            </w:r>
          </w:p>
        </w:tc>
        <w:tc>
          <w:tcPr>
            <w:tcW w:w="620" w:type="dxa"/>
            <w:vAlign w:val="bottom"/>
            <w:tcBorders>
              <w:bottom w:val="single" w:sz="8" w:color="auto"/>
            </w:tcBorders>
            <w:shd w:val="clear" w:color="auto" w:fill="CCEEFF"/>
          </w:tcPr>
          <w:p>
            <w:pPr>
              <w:jc w:val="right"/>
              <w:ind w:right="295"/>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w:t>
            </w:r>
          </w:p>
        </w:tc>
        <w:tc>
          <w:tcPr>
            <w:tcW w:w="20" w:type="dxa"/>
            <w:vAlign w:val="bottom"/>
          </w:tcPr>
          <w:p>
            <w:pPr>
              <w:spacing w:after="0"/>
              <w:rPr>
                <w:sz w:val="16"/>
                <w:szCs w:val="16"/>
                <w:color w:val="auto"/>
              </w:rPr>
            </w:pPr>
          </w:p>
        </w:tc>
      </w:tr>
    </w:tbl>
    <w:p>
      <w:pPr>
        <w:spacing w:after="0" w:line="20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Net interest income increased by $2 million for the thirteen ended May 4, 2019, as compared with the corresponding prior-year period. Interest income increased primarily as a result of cash repatriation to the U.S., where we earned a higher average interest 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4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gridSpan w:val="3"/>
          </w:tcPr>
          <w:p>
            <w:pPr>
              <w:ind w:left="2500"/>
              <w:spacing w:after="0"/>
              <w:rPr>
                <w:sz w:val="20"/>
                <w:szCs w:val="20"/>
                <w:color w:val="auto"/>
              </w:rPr>
            </w:pPr>
            <w:r>
              <w:rPr>
                <w:rFonts w:ascii="Arial" w:cs="Arial" w:eastAsia="Arial" w:hAnsi="Arial"/>
                <w:sz w:val="17"/>
                <w:szCs w:val="17"/>
                <w:b w:val="1"/>
                <w:bCs w:val="1"/>
                <w:color w:val="auto"/>
              </w:rPr>
              <w:t>Thirteen weeks ended</w:t>
            </w:r>
          </w:p>
        </w:tc>
        <w:tc>
          <w:tcPr>
            <w:tcW w:w="740" w:type="dxa"/>
            <w:vAlign w:val="bottom"/>
            <w:tcBorders>
              <w:bottom w:val="single" w:sz="8" w:color="auto"/>
            </w:tcBorders>
          </w:tcPr>
          <w:p>
            <w:pPr>
              <w:spacing w:after="0"/>
              <w:rPr>
                <w:sz w:val="18"/>
                <w:szCs w:val="18"/>
                <w:color w:val="auto"/>
              </w:rPr>
            </w:pPr>
          </w:p>
        </w:tc>
      </w:tr>
      <w:tr>
        <w:trPr>
          <w:trHeight w:val="156"/>
        </w:trPr>
        <w:tc>
          <w:tcPr>
            <w:tcW w:w="3740" w:type="dxa"/>
            <w:vAlign w:val="bottom"/>
          </w:tcPr>
          <w:p>
            <w:pPr>
              <w:spacing w:after="0"/>
              <w:rPr>
                <w:sz w:val="13"/>
                <w:szCs w:val="13"/>
                <w:color w:val="auto"/>
              </w:rPr>
            </w:pPr>
          </w:p>
        </w:tc>
        <w:tc>
          <w:tcPr>
            <w:tcW w:w="2760" w:type="dxa"/>
            <w:vAlign w:val="bottom"/>
          </w:tcPr>
          <w:p>
            <w:pPr>
              <w:jc w:val="center"/>
              <w:ind w:left="2075"/>
              <w:spacing w:after="0" w:line="157" w:lineRule="exact"/>
              <w:rPr>
                <w:sz w:val="20"/>
                <w:szCs w:val="20"/>
                <w:color w:val="auto"/>
              </w:rPr>
            </w:pPr>
            <w:r>
              <w:rPr>
                <w:rFonts w:ascii="Arial" w:cs="Arial" w:eastAsia="Arial" w:hAnsi="Arial"/>
                <w:sz w:val="17"/>
                <w:szCs w:val="17"/>
                <w:b w:val="1"/>
                <w:bCs w:val="1"/>
                <w:color w:val="auto"/>
                <w:w w:val="99"/>
              </w:rPr>
              <w:t>May 4,</w:t>
            </w:r>
          </w:p>
        </w:tc>
        <w:tc>
          <w:tcPr>
            <w:tcW w:w="640" w:type="dxa"/>
            <w:vAlign w:val="bottom"/>
          </w:tcPr>
          <w:p>
            <w:pPr>
              <w:spacing w:after="0"/>
              <w:rPr>
                <w:sz w:val="13"/>
                <w:szCs w:val="13"/>
                <w:color w:val="auto"/>
              </w:rPr>
            </w:pPr>
          </w:p>
        </w:tc>
        <w:tc>
          <w:tcPr>
            <w:tcW w:w="1180" w:type="dxa"/>
            <w:vAlign w:val="bottom"/>
          </w:tcPr>
          <w:p>
            <w:pPr>
              <w:jc w:val="center"/>
              <w:ind w:left="455"/>
              <w:spacing w:after="0" w:line="157" w:lineRule="exact"/>
              <w:rPr>
                <w:sz w:val="20"/>
                <w:szCs w:val="20"/>
                <w:color w:val="auto"/>
              </w:rPr>
            </w:pPr>
            <w:r>
              <w:rPr>
                <w:rFonts w:ascii="Arial" w:cs="Arial" w:eastAsia="Arial" w:hAnsi="Arial"/>
                <w:sz w:val="17"/>
                <w:szCs w:val="17"/>
                <w:b w:val="1"/>
                <w:bCs w:val="1"/>
                <w:color w:val="auto"/>
                <w:w w:val="99"/>
              </w:rPr>
              <w:t>May 5,</w:t>
            </w:r>
          </w:p>
        </w:tc>
        <w:tc>
          <w:tcPr>
            <w:tcW w:w="740" w:type="dxa"/>
            <w:vAlign w:val="bottom"/>
          </w:tcPr>
          <w:p>
            <w:pPr>
              <w:spacing w:after="0"/>
              <w:rPr>
                <w:sz w:val="13"/>
                <w:szCs w:val="13"/>
                <w:color w:val="auto"/>
              </w:rPr>
            </w:pPr>
          </w:p>
        </w:tc>
      </w:tr>
      <w:tr>
        <w:trPr>
          <w:trHeight w:val="215"/>
        </w:trPr>
        <w:tc>
          <w:tcPr>
            <w:tcW w:w="37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2019</w:t>
            </w: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2018</w:t>
            </w:r>
          </w:p>
        </w:tc>
        <w:tc>
          <w:tcPr>
            <w:tcW w:w="740" w:type="dxa"/>
            <w:vAlign w:val="bottom"/>
            <w:tcBorders>
              <w:bottom w:val="single" w:sz="8" w:color="auto"/>
            </w:tcBorders>
          </w:tcPr>
          <w:p>
            <w:pPr>
              <w:spacing w:after="0"/>
              <w:rPr>
                <w:sz w:val="18"/>
                <w:szCs w:val="18"/>
                <w:color w:val="auto"/>
              </w:rPr>
            </w:pPr>
          </w:p>
        </w:tc>
      </w:tr>
      <w:tr>
        <w:trPr>
          <w:trHeight w:val="183"/>
        </w:trPr>
        <w:tc>
          <w:tcPr>
            <w:tcW w:w="37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820" w:type="dxa"/>
            <w:vAlign w:val="bottom"/>
            <w:gridSpan w:val="2"/>
          </w:tcPr>
          <w:p>
            <w:pPr>
              <w:jc w:val="center"/>
              <w:ind w:right="195"/>
              <w:spacing w:after="0" w:line="183" w:lineRule="exact"/>
              <w:rPr>
                <w:sz w:val="20"/>
                <w:szCs w:val="20"/>
                <w:color w:val="auto"/>
              </w:rPr>
            </w:pPr>
            <w:r>
              <w:rPr>
                <w:rFonts w:ascii="Arial" w:cs="Arial" w:eastAsia="Arial" w:hAnsi="Arial"/>
                <w:sz w:val="17"/>
                <w:szCs w:val="17"/>
                <w:color w:val="auto"/>
              </w:rPr>
              <w:t>($ in millions)</w:t>
            </w:r>
          </w:p>
        </w:tc>
        <w:tc>
          <w:tcPr>
            <w:tcW w:w="740" w:type="dxa"/>
            <w:vAlign w:val="bottom"/>
          </w:tcPr>
          <w:p>
            <w:pPr>
              <w:spacing w:after="0"/>
              <w:rPr>
                <w:sz w:val="15"/>
                <w:szCs w:val="15"/>
                <w:color w:val="auto"/>
              </w:rPr>
            </w:pPr>
          </w:p>
        </w:tc>
      </w:tr>
      <w:tr>
        <w:trPr>
          <w:trHeight w:val="189"/>
        </w:trPr>
        <w:tc>
          <w:tcPr>
            <w:tcW w:w="3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Provision for income taxes</w:t>
            </w:r>
          </w:p>
        </w:tc>
        <w:tc>
          <w:tcPr>
            <w:tcW w:w="2760" w:type="dxa"/>
            <w:vAlign w:val="bottom"/>
            <w:shd w:val="clear" w:color="auto" w:fill="CCEEFF"/>
          </w:tcPr>
          <w:p>
            <w:pPr>
              <w:jc w:val="right"/>
              <w:ind w:right="855"/>
              <w:spacing w:after="0" w:line="189" w:lineRule="exact"/>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62</w:t>
            </w:r>
          </w:p>
        </w:tc>
        <w:tc>
          <w:tcPr>
            <w:tcW w:w="1180" w:type="dxa"/>
            <w:vAlign w:val="bottom"/>
            <w:shd w:val="clear" w:color="auto" w:fill="CCEEFF"/>
          </w:tcPr>
          <w:p>
            <w:pPr>
              <w:jc w:val="right"/>
              <w:ind w:right="935"/>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255"/>
              <w:spacing w:after="0" w:line="189" w:lineRule="exact"/>
              <w:rPr>
                <w:sz w:val="20"/>
                <w:szCs w:val="20"/>
                <w:color w:val="auto"/>
              </w:rPr>
            </w:pPr>
            <w:r>
              <w:rPr>
                <w:rFonts w:ascii="Arial" w:cs="Arial" w:eastAsia="Arial" w:hAnsi="Arial"/>
                <w:sz w:val="17"/>
                <w:szCs w:val="17"/>
                <w:color w:val="auto"/>
              </w:rPr>
              <w:t>64</w:t>
            </w:r>
          </w:p>
        </w:tc>
      </w:tr>
      <w:tr>
        <w:trPr>
          <w:trHeight w:val="189"/>
        </w:trPr>
        <w:tc>
          <w:tcPr>
            <w:tcW w:w="37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Effective tax rate</w:t>
            </w:r>
          </w:p>
        </w:tc>
        <w:tc>
          <w:tcPr>
            <w:tcW w:w="27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26.4 %</w:t>
            </w:r>
          </w:p>
        </w:tc>
        <w:tc>
          <w:tcPr>
            <w:tcW w:w="1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27.9 %</w:t>
            </w: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Company’s interim provision for income taxes is measured using an annual effective tax rate, adjusted for discrete items that occur within the periods presented.</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Company regularly assesses the adequacy of the Company’s provisions for income tax contingencies in accordance with applicable authoritative guidance on accounting for income taxes. As a result, the Company</w:t>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may adjust the reserves for unrecognized tax benefits considering new facts and developments, such as changes to interpretations of relevant tax law, assessments from taxing authorities, settlements with taxing authorities, and lapses of statutes of limitation. The changes in the tax reserves were not significant for any of the periods presented.</w:t>
      </w:r>
    </w:p>
    <w:p>
      <w:pPr>
        <w:spacing w:after="0" w:line="2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the thirteen weeks ended May 4, 2019, the Company recognized a tax benefit of $3 million due to an adjustment to a foreign tax credit valuation allowance. Excluding the valuation allowance adjustment, the effective tax rate for the thirteen weeks ended May 4, 2019 increased as compared with the corresponding prior-year period, due primarily to higher taxes on foreign earnings.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currently expects its full-year tax rate to approximate 27.5 percent excluding the effect of any nonrecurring items that may occur. The actual tax rate will vary depending on the level and mix of income earned in the various jurisdictions in which we operate.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Income</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thirteen weeks ended May 4, 2019, net income increased by $7 million, or 4.2 percent, and diluted earnings per share increased by 10.1 percent to $ 1.52 per share, as compared with the corresponding prior-year period. The increase in diluted earnings per share reflected an increase in net income coupled with a reduction in the number of shares outstanding due to the shares repurchased under the Company’s share repurchase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primary source of liquidity continues to be cash flow from operations, while the principal uses of cash are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our short-term and long-term operating strategies. We generally finance real estate with operating leases. We believe our cash, cash equivalents, and future cash flow from operations will be adequate to fund these requirements.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may also from time to time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strategic considerations, and other factors. The amounts involved may be material. As of May 4, 2019, all of $1.2 billion remained available under the Company’s current 3-year share repurchase program. Through June 11, 2019, the Company has repurchased $112 million or 2.7 million shares after the end of the first quarter.</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our merchandise mix and retail locations, uncertainties related to the effect of competitive products and pricing, our reliance on a few key vendors for a significant portion of our merchandise purchases and risks associated with global product sourcing, economic conditions worldwide, the effects of currency fluctuations, as well as other factors listed under the heading “Disclosure Regarding Forward-Looking Statements,” could affect our ability to continue to fund our needs from business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18" w:lineRule="exact"/>
        <w:rPr>
          <w:sz w:val="20"/>
          <w:szCs w:val="20"/>
          <w:color w:val="auto"/>
        </w:rPr>
      </w:pPr>
    </w:p>
    <w:p>
      <w:pPr>
        <w:ind w:left="638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28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tcPr>
          <w:p>
            <w:pPr>
              <w:jc w:val="right"/>
              <w:ind w:right="15"/>
              <w:spacing w:after="0" w:line="157" w:lineRule="exact"/>
              <w:rPr>
                <w:sz w:val="20"/>
                <w:szCs w:val="20"/>
                <w:color w:val="auto"/>
              </w:rPr>
            </w:pPr>
            <w:r>
              <w:rPr>
                <w:rFonts w:ascii="Arial" w:cs="Arial" w:eastAsia="Arial" w:hAnsi="Arial"/>
                <w:sz w:val="17"/>
                <w:szCs w:val="17"/>
                <w:b w:val="1"/>
                <w:bCs w:val="1"/>
                <w:color w:val="auto"/>
              </w:rPr>
              <w:t>May 4,</w:t>
            </w:r>
          </w:p>
        </w:tc>
        <w:tc>
          <w:tcPr>
            <w:tcW w:w="6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375"/>
              <w:spacing w:after="0" w:line="157" w:lineRule="exact"/>
              <w:rPr>
                <w:sz w:val="20"/>
                <w:szCs w:val="20"/>
                <w:color w:val="auto"/>
              </w:rPr>
            </w:pPr>
            <w:r>
              <w:rPr>
                <w:rFonts w:ascii="Arial" w:cs="Arial" w:eastAsia="Arial" w:hAnsi="Arial"/>
                <w:sz w:val="17"/>
                <w:szCs w:val="17"/>
                <w:b w:val="1"/>
                <w:bCs w:val="1"/>
                <w:color w:val="auto"/>
                <w:w w:val="99"/>
              </w:rPr>
              <w:t>May 5,</w:t>
            </w:r>
          </w:p>
        </w:tc>
      </w:tr>
      <w:tr>
        <w:trPr>
          <w:trHeight w:val="215"/>
        </w:trPr>
        <w:tc>
          <w:tcPr>
            <w:tcW w:w="42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2019</w:t>
            </w: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2018</w:t>
            </w:r>
          </w:p>
        </w:tc>
      </w:tr>
      <w:tr>
        <w:trPr>
          <w:trHeight w:val="183"/>
        </w:trPr>
        <w:tc>
          <w:tcPr>
            <w:tcW w:w="42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20" w:type="dxa"/>
            <w:vAlign w:val="bottom"/>
            <w:gridSpan w:val="2"/>
          </w:tcPr>
          <w:p>
            <w:pPr>
              <w:jc w:val="right"/>
              <w:ind w:right="15"/>
              <w:spacing w:after="0" w:line="183" w:lineRule="exact"/>
              <w:rPr>
                <w:sz w:val="20"/>
                <w:szCs w:val="20"/>
                <w:color w:val="auto"/>
              </w:rPr>
            </w:pPr>
            <w:r>
              <w:rPr>
                <w:rFonts w:ascii="Arial" w:cs="Arial" w:eastAsia="Arial" w:hAnsi="Arial"/>
                <w:sz w:val="17"/>
                <w:szCs w:val="17"/>
                <w:color w:val="auto"/>
              </w:rPr>
              <w:t>($ in millions)</w:t>
            </w:r>
          </w:p>
        </w:tc>
        <w:tc>
          <w:tcPr>
            <w:tcW w:w="1180" w:type="dxa"/>
            <w:vAlign w:val="bottom"/>
          </w:tcPr>
          <w:p>
            <w:pPr>
              <w:spacing w:after="0"/>
              <w:rPr>
                <w:sz w:val="15"/>
                <w:szCs w:val="15"/>
                <w:color w:val="auto"/>
              </w:rPr>
            </w:pPr>
          </w:p>
        </w:tc>
      </w:tr>
      <w:tr>
        <w:trPr>
          <w:trHeight w:val="189"/>
        </w:trPr>
        <w:tc>
          <w:tcPr>
            <w:tcW w:w="4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operating activities</w:t>
            </w:r>
          </w:p>
        </w:tc>
        <w:tc>
          <w:tcPr>
            <w:tcW w:w="2380" w:type="dxa"/>
            <w:vAlign w:val="bottom"/>
            <w:shd w:val="clear" w:color="auto" w:fill="CCEEFF"/>
          </w:tcPr>
          <w:p>
            <w:pPr>
              <w:jc w:val="right"/>
              <w:ind w:right="1015"/>
              <w:spacing w:after="0" w:line="189" w:lineRule="exact"/>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318</w:t>
            </w:r>
          </w:p>
        </w:tc>
        <w:tc>
          <w:tcPr>
            <w:tcW w:w="600" w:type="dxa"/>
            <w:vAlign w:val="bottom"/>
            <w:shd w:val="clear" w:color="auto" w:fill="CCEEFF"/>
          </w:tcPr>
          <w:p>
            <w:pPr>
              <w:jc w:val="right"/>
              <w:ind w:right="275"/>
              <w:spacing w:after="0" w:line="189"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415</w:t>
            </w:r>
          </w:p>
        </w:tc>
      </w:tr>
      <w:tr>
        <w:trPr>
          <w:trHeight w:val="189"/>
        </w:trPr>
        <w:tc>
          <w:tcPr>
            <w:tcW w:w="42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380" w:type="dxa"/>
            <w:vAlign w:val="bottom"/>
            <w:tcBorders>
              <w:bottom w:val="single" w:sz="8" w:color="auto"/>
            </w:tcBorders>
          </w:tcPr>
          <w:p>
            <w:pPr>
              <w:jc w:val="right"/>
              <w:ind w:right="1015"/>
              <w:spacing w:after="0" w:line="189" w:lineRule="exact"/>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(97)</w:t>
            </w:r>
          </w:p>
        </w:tc>
        <w:tc>
          <w:tcPr>
            <w:tcW w:w="600" w:type="dxa"/>
            <w:vAlign w:val="bottom"/>
            <w:tcBorders>
              <w:bottom w:val="single" w:sz="8" w:color="auto"/>
            </w:tcBorders>
          </w:tcPr>
          <w:p>
            <w:pPr>
              <w:jc w:val="right"/>
              <w:ind w:right="275"/>
              <w:spacing w:after="0" w:line="189"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spacing w:after="0"/>
              <w:rPr>
                <w:sz w:val="16"/>
                <w:szCs w:val="16"/>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amount provided by operating activities reflects net income adjusted for non-cash items and working capital changes. Adjustments to net income for non-cash items include depreciation and amortization, and share-based compensation expense.</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decrease in cash provided by operating activities, compared with the same period of last year, reflected an increase in net income offset by lower net inflows associated with changes in working capital and a pension contribution. During the thirteen weeks ended May 4, 2019, we contributed $55 million to our U.S. qualified pension plan primarily representing the funds available in the qualified settlement fund established in connection with our pension litigation matter.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18" w:lineRule="exact"/>
        <w:rPr>
          <w:sz w:val="20"/>
          <w:szCs w:val="20"/>
          <w:color w:val="auto"/>
        </w:rPr>
      </w:pPr>
    </w:p>
    <w:p>
      <w:pPr>
        <w:ind w:left="638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08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tcPr>
          <w:p>
            <w:pPr>
              <w:jc w:val="right"/>
              <w:ind w:right="15"/>
              <w:spacing w:after="0" w:line="157" w:lineRule="exact"/>
              <w:rPr>
                <w:sz w:val="20"/>
                <w:szCs w:val="20"/>
                <w:color w:val="auto"/>
              </w:rPr>
            </w:pPr>
            <w:r>
              <w:rPr>
                <w:rFonts w:ascii="Arial" w:cs="Arial" w:eastAsia="Arial" w:hAnsi="Arial"/>
                <w:sz w:val="17"/>
                <w:szCs w:val="17"/>
                <w:b w:val="1"/>
                <w:bCs w:val="1"/>
                <w:color w:val="auto"/>
              </w:rPr>
              <w:t>May 4,</w:t>
            </w:r>
          </w:p>
        </w:tc>
        <w:tc>
          <w:tcPr>
            <w:tcW w:w="5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375"/>
              <w:spacing w:after="0" w:line="157" w:lineRule="exact"/>
              <w:rPr>
                <w:sz w:val="20"/>
                <w:szCs w:val="20"/>
                <w:color w:val="auto"/>
              </w:rPr>
            </w:pPr>
            <w:r>
              <w:rPr>
                <w:rFonts w:ascii="Arial" w:cs="Arial" w:eastAsia="Arial" w:hAnsi="Arial"/>
                <w:sz w:val="17"/>
                <w:szCs w:val="17"/>
                <w:b w:val="1"/>
                <w:bCs w:val="1"/>
                <w:color w:val="auto"/>
                <w:w w:val="99"/>
              </w:rPr>
              <w:t>May 5,</w:t>
            </w:r>
          </w:p>
        </w:tc>
      </w:tr>
      <w:tr>
        <w:trPr>
          <w:trHeight w:val="215"/>
        </w:trPr>
        <w:tc>
          <w:tcPr>
            <w:tcW w:w="40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2019</w:t>
            </w:r>
          </w:p>
        </w:tc>
        <w:tc>
          <w:tcPr>
            <w:tcW w:w="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2018</w:t>
            </w:r>
          </w:p>
        </w:tc>
      </w:tr>
      <w:tr>
        <w:trPr>
          <w:trHeight w:val="183"/>
        </w:trPr>
        <w:tc>
          <w:tcPr>
            <w:tcW w:w="40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20" w:type="dxa"/>
            <w:vAlign w:val="bottom"/>
            <w:gridSpan w:val="2"/>
          </w:tcPr>
          <w:p>
            <w:pPr>
              <w:jc w:val="right"/>
              <w:ind w:right="15"/>
              <w:spacing w:after="0" w:line="183" w:lineRule="exact"/>
              <w:rPr>
                <w:sz w:val="20"/>
                <w:szCs w:val="20"/>
                <w:color w:val="auto"/>
              </w:rPr>
            </w:pPr>
            <w:r>
              <w:rPr>
                <w:rFonts w:ascii="Arial" w:cs="Arial" w:eastAsia="Arial" w:hAnsi="Arial"/>
                <w:sz w:val="17"/>
                <w:szCs w:val="17"/>
                <w:color w:val="auto"/>
              </w:rPr>
              <w:t>($ in millions)</w:t>
            </w:r>
          </w:p>
        </w:tc>
        <w:tc>
          <w:tcPr>
            <w:tcW w:w="1180" w:type="dxa"/>
            <w:vAlign w:val="bottom"/>
          </w:tcPr>
          <w:p>
            <w:pPr>
              <w:spacing w:after="0"/>
              <w:rPr>
                <w:sz w:val="15"/>
                <w:szCs w:val="15"/>
                <w:color w:val="auto"/>
              </w:rPr>
            </w:pPr>
          </w:p>
        </w:tc>
      </w:tr>
      <w:tr>
        <w:trPr>
          <w:trHeight w:val="189"/>
        </w:trPr>
        <w:tc>
          <w:tcPr>
            <w:tcW w:w="4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2580" w:type="dxa"/>
            <w:vAlign w:val="bottom"/>
            <w:shd w:val="clear" w:color="auto" w:fill="CCEEFF"/>
          </w:tcPr>
          <w:p>
            <w:pPr>
              <w:jc w:val="right"/>
              <w:ind w:right="1015"/>
              <w:spacing w:after="0" w:line="189" w:lineRule="exact"/>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90</w:t>
            </w:r>
          </w:p>
        </w:tc>
        <w:tc>
          <w:tcPr>
            <w:tcW w:w="640" w:type="dxa"/>
            <w:vAlign w:val="bottom"/>
            <w:shd w:val="clear" w:color="auto" w:fill="CCEEFF"/>
          </w:tcPr>
          <w:p>
            <w:pPr>
              <w:jc w:val="right"/>
              <w:ind w:right="275"/>
              <w:spacing w:after="0" w:line="189"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63</w:t>
            </w:r>
          </w:p>
        </w:tc>
      </w:tr>
      <w:tr>
        <w:trPr>
          <w:trHeight w:val="189"/>
        </w:trPr>
        <w:tc>
          <w:tcPr>
            <w:tcW w:w="40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580" w:type="dxa"/>
            <w:vAlign w:val="bottom"/>
            <w:tcBorders>
              <w:bottom w:val="single" w:sz="8" w:color="auto"/>
            </w:tcBorders>
          </w:tcPr>
          <w:p>
            <w:pPr>
              <w:jc w:val="right"/>
              <w:ind w:right="1015"/>
              <w:spacing w:after="0" w:line="189"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27</w:t>
            </w:r>
          </w:p>
        </w:tc>
        <w:tc>
          <w:tcPr>
            <w:tcW w:w="640" w:type="dxa"/>
            <w:vAlign w:val="bottom"/>
            <w:tcBorders>
              <w:bottom w:val="single" w:sz="8" w:color="auto"/>
            </w:tcBorders>
          </w:tcPr>
          <w:p>
            <w:pPr>
              <w:jc w:val="right"/>
              <w:ind w:right="275"/>
              <w:spacing w:after="0" w:line="189"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spacing w:after="0"/>
              <w:rPr>
                <w:sz w:val="16"/>
                <w:szCs w:val="16"/>
                <w:color w:val="auto"/>
              </w:rPr>
            </w:pPr>
          </w:p>
        </w:tc>
      </w:tr>
    </w:tbl>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Capital expenditures decreased for the thirteen weeks ended May 4, 2019 by $19 million as compared with the corresponding prior-year period. This represented a decrease in spending on store projects partially offset by an increase related to technology projects. The Company’s full-year capital spending is expected to be approximately $272 million, which includes $172 million related to the remodeling or relocation of approximately 180 existing stores and the opening of approximately 80 new stores, as well as $100 million for the development of information systems, websites, and infrastructure, including supply chain initiatives.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Additionally, investing activities for the thirteen weeks ended May 4, 2019 included $45 million in minority investments. Investing outflows for the thirteen weeks ended May 5, 2018 were partially offset by the receipt of insurance proceeds of $1 million for fixed assets from an insurance claim relating to Hurricane Maria.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18" w:lineRule="exact"/>
        <w:rPr>
          <w:sz w:val="20"/>
          <w:szCs w:val="20"/>
          <w:color w:val="auto"/>
        </w:rPr>
      </w:pPr>
    </w:p>
    <w:p>
      <w:pPr>
        <w:ind w:left="6380"/>
        <w:spacing w:after="0"/>
        <w:rPr>
          <w:sz w:val="20"/>
          <w:szCs w:val="20"/>
          <w:color w:val="auto"/>
        </w:rPr>
      </w:pPr>
      <w:r>
        <w:rPr>
          <w:rFonts w:ascii="Arial" w:cs="Arial" w:eastAsia="Arial" w:hAnsi="Arial"/>
          <w:sz w:val="17"/>
          <w:szCs w:val="17"/>
          <w:b w:val="1"/>
          <w:bCs w:val="1"/>
          <w:color w:val="auto"/>
        </w:rPr>
        <w:t>Thirteen weeks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10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7"/>
                <w:szCs w:val="17"/>
                <w:b w:val="1"/>
                <w:bCs w:val="1"/>
                <w:color w:val="auto"/>
              </w:rPr>
              <w:t>May 4,</w:t>
            </w:r>
          </w:p>
        </w:tc>
        <w:tc>
          <w:tcPr>
            <w:tcW w:w="6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375"/>
              <w:spacing w:after="0" w:line="157" w:lineRule="exact"/>
              <w:rPr>
                <w:sz w:val="20"/>
                <w:szCs w:val="20"/>
                <w:color w:val="auto"/>
              </w:rPr>
            </w:pPr>
            <w:r>
              <w:rPr>
                <w:rFonts w:ascii="Arial" w:cs="Arial" w:eastAsia="Arial" w:hAnsi="Arial"/>
                <w:sz w:val="17"/>
                <w:szCs w:val="17"/>
                <w:b w:val="1"/>
                <w:bCs w:val="1"/>
                <w:color w:val="auto"/>
                <w:w w:val="99"/>
              </w:rPr>
              <w:t>May 5,</w:t>
            </w:r>
          </w:p>
        </w:tc>
      </w:tr>
      <w:tr>
        <w:trPr>
          <w:trHeight w:val="215"/>
        </w:trPr>
        <w:tc>
          <w:tcPr>
            <w:tcW w:w="41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2019</w:t>
            </w:r>
          </w:p>
        </w:tc>
        <w:tc>
          <w:tcPr>
            <w:tcW w:w="6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2018</w:t>
            </w:r>
          </w:p>
        </w:tc>
      </w:tr>
      <w:tr>
        <w:trPr>
          <w:trHeight w:val="183"/>
        </w:trPr>
        <w:tc>
          <w:tcPr>
            <w:tcW w:w="4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40" w:type="dxa"/>
            <w:vAlign w:val="bottom"/>
            <w:gridSpan w:val="2"/>
          </w:tcPr>
          <w:p>
            <w:pPr>
              <w:jc w:val="right"/>
              <w:ind w:right="15"/>
              <w:spacing w:after="0" w:line="183" w:lineRule="exact"/>
              <w:rPr>
                <w:sz w:val="20"/>
                <w:szCs w:val="20"/>
                <w:color w:val="auto"/>
              </w:rPr>
            </w:pPr>
            <w:r>
              <w:rPr>
                <w:rFonts w:ascii="Arial" w:cs="Arial" w:eastAsia="Arial" w:hAnsi="Arial"/>
                <w:sz w:val="17"/>
                <w:szCs w:val="17"/>
                <w:color w:val="auto"/>
              </w:rPr>
              <w:t>($ in millions)</w:t>
            </w:r>
          </w:p>
        </w:tc>
        <w:tc>
          <w:tcPr>
            <w:tcW w:w="1180" w:type="dxa"/>
            <w:vAlign w:val="bottom"/>
          </w:tcPr>
          <w:p>
            <w:pPr>
              <w:spacing w:after="0"/>
              <w:rPr>
                <w:sz w:val="15"/>
                <w:szCs w:val="15"/>
                <w:color w:val="auto"/>
              </w:rPr>
            </w:pPr>
          </w:p>
        </w:tc>
      </w:tr>
      <w:tr>
        <w:trPr>
          <w:trHeight w:val="189"/>
        </w:trPr>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financing activities</w:t>
            </w:r>
          </w:p>
        </w:tc>
        <w:tc>
          <w:tcPr>
            <w:tcW w:w="2540" w:type="dxa"/>
            <w:vAlign w:val="bottom"/>
            <w:shd w:val="clear" w:color="auto" w:fill="CCEEFF"/>
          </w:tcPr>
          <w:p>
            <w:pPr>
              <w:jc w:val="right"/>
              <w:ind w:right="995"/>
              <w:spacing w:after="0" w:line="189" w:lineRule="exact"/>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43</w:t>
            </w:r>
          </w:p>
        </w:tc>
        <w:tc>
          <w:tcPr>
            <w:tcW w:w="600" w:type="dxa"/>
            <w:vAlign w:val="bottom"/>
            <w:shd w:val="clear" w:color="auto" w:fill="CCEEFF"/>
          </w:tcPr>
          <w:p>
            <w:pPr>
              <w:jc w:val="right"/>
              <w:ind w:right="275"/>
              <w:spacing w:after="0" w:line="189"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154</w:t>
            </w:r>
          </w:p>
        </w:tc>
      </w:tr>
      <w:tr>
        <w:trPr>
          <w:trHeight w:val="189"/>
        </w:trPr>
        <w:tc>
          <w:tcPr>
            <w:tcW w:w="41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 Change</w:t>
            </w:r>
          </w:p>
        </w:tc>
        <w:tc>
          <w:tcPr>
            <w:tcW w:w="2540" w:type="dxa"/>
            <w:vAlign w:val="bottom"/>
            <w:tcBorders>
              <w:bottom w:val="single" w:sz="8" w:color="auto"/>
            </w:tcBorders>
          </w:tcPr>
          <w:p>
            <w:pPr>
              <w:jc w:val="right"/>
              <w:ind w:right="995"/>
              <w:spacing w:after="0" w:line="189" w:lineRule="exact"/>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(111)</w:t>
            </w:r>
          </w:p>
        </w:tc>
        <w:tc>
          <w:tcPr>
            <w:tcW w:w="600" w:type="dxa"/>
            <w:vAlign w:val="bottom"/>
            <w:tcBorders>
              <w:bottom w:val="single" w:sz="8" w:color="auto"/>
            </w:tcBorders>
          </w:tcPr>
          <w:p>
            <w:pPr>
              <w:jc w:val="right"/>
              <w:ind w:right="275"/>
              <w:spacing w:after="0" w:line="189"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spacing w:after="0"/>
              <w:rPr>
                <w:sz w:val="16"/>
                <w:szCs w:val="16"/>
                <w:color w:val="auto"/>
              </w:rPr>
            </w:pPr>
          </w:p>
        </w:tc>
      </w:tr>
    </w:tbl>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the thirteen weeks ended May 4, 2019, we repurchased 32,100 shares of our common stock for $2 million, as compared with 2,616,805 shares repurchased for $112 million in the corresponding prior-year period. The Company also declared and paid dividends of $ 43 million and $ 41 million during the first quarters of 2019 and 2018, respectively. This represented quarterly rates of $ 0.38 and $0.345 per share for 2019 and 2018, respectively. Also, during the thirteen weeks ended May 4, 2019 and May 5, 2018, we paid $2 million and $1 million, respectively, to satisfy tax withholding obligations relating to the vesting of share-based equity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awards. Offsetting the amounts above were proceeds received from the issuance of common stock in connection with employee stock programs of $4 million for the thirteen weeks ended May 4,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February 2,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Descriptions of the recently issued and adopted accounting principles are included in Item 1. “Financial Statements” in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34" w:lineRule="exact"/>
        <w:rPr>
          <w:sz w:val="20"/>
          <w:szCs w:val="20"/>
          <w:color w:val="auto"/>
        </w:rPr>
      </w:pPr>
    </w:p>
    <w:p>
      <w:pPr>
        <w:jc w:val="both"/>
        <w:spacing w:after="0" w:line="204" w:lineRule="exact"/>
        <w:rPr>
          <w:sz w:val="20"/>
          <w:szCs w:val="20"/>
          <w:color w:val="auto"/>
        </w:rPr>
      </w:pPr>
      <w:r>
        <w:rPr>
          <w:rFonts w:ascii="Arial" w:cs="Arial" w:eastAsia="Arial" w:hAnsi="Arial"/>
          <w:sz w:val="18"/>
          <w:szCs w:val="18"/>
          <w:color w:val="auto"/>
        </w:rPr>
        <w:t>During the quarter, 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currently migrating our point-of-sale software to a new platform. Approximately 2,300 stores have been converted to the new software platform as of May 4, 2019, and we currently expect to complete the implementation during the second half of 2019. In connection with this implementation and resulting business process changes, we may make changes to the design and operation of our internal control over financial reporting.</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Additionally, during the fourth quarter of 2018 the Company implemented a new lease accounting system in advance of the adoption of the new leasing standard that was effective the first quarter of 2019. We revised our controls in connection with this adoption and will further refine business processes and make changes to the design and implementation of our internal control in connection with the new standard.</w:t>
      </w:r>
    </w:p>
    <w:p>
      <w:pPr>
        <w:spacing w:after="0" w:line="202"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During the quarter ended May 4, 2019, there were no changes in the Company’s internal control over financial reporting, other than the implementation of new point-of-sale software and lease accounting system noted above,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15(f) of the Exchange Act) that materially affected or are reasonably likely to affect the Company’s internal control over financial reporting.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regarding the Company’s legal proceedings is contained in the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note under Item 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in Part I.</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34" w:lineRule="exact"/>
        <w:rPr>
          <w:sz w:val="20"/>
          <w:szCs w:val="20"/>
          <w:color w:val="auto"/>
        </w:rPr>
      </w:pPr>
    </w:p>
    <w:p>
      <w:pPr>
        <w:jc w:val="both"/>
        <w:ind w:right="20"/>
        <w:spacing w:after="0" w:line="207" w:lineRule="exact"/>
        <w:rPr>
          <w:sz w:val="20"/>
          <w:szCs w:val="20"/>
          <w:color w:val="auto"/>
        </w:rPr>
      </w:pPr>
      <w:r>
        <w:rPr>
          <w:rFonts w:ascii="Arial" w:cs="Arial" w:eastAsia="Arial" w:hAnsi="Arial"/>
          <w:sz w:val="18"/>
          <w:szCs w:val="18"/>
          <w:color w:val="auto"/>
        </w:rPr>
        <w:t>In addition to the other information discussed in this report, the factors described in Part I, Item 1A. “Risk Factors” in our 2018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with the SEC on April 2, 2019 should be considered as they could materially affect our business, financial condition, or future results.</w:t>
      </w:r>
    </w:p>
    <w:p>
      <w:pPr>
        <w:spacing w:after="0" w:line="203" w:lineRule="exact"/>
        <w:rPr>
          <w:sz w:val="20"/>
          <w:szCs w:val="20"/>
          <w:color w:val="auto"/>
        </w:rPr>
      </w:pPr>
    </w:p>
    <w:p>
      <w:pPr>
        <w:jc w:val="both"/>
        <w:ind w:right="20"/>
        <w:spacing w:after="0" w:line="207" w:lineRule="exact"/>
        <w:rPr>
          <w:sz w:val="20"/>
          <w:szCs w:val="20"/>
          <w:color w:val="auto"/>
        </w:rPr>
      </w:pPr>
      <w:r>
        <w:rPr>
          <w:rFonts w:ascii="Arial" w:cs="Arial" w:eastAsia="Arial" w:hAnsi="Arial"/>
          <w:sz w:val="18"/>
          <w:szCs w:val="18"/>
          <w:color w:val="auto"/>
        </w:rPr>
        <w:t>There have not been any significant changes with respect to the risks described in our 2018 Form 10</w:t>
      </w:r>
      <w:r>
        <w:rPr>
          <w:rFonts w:ascii="MS PGothic" w:cs="MS PGothic" w:eastAsia="MS PGothic" w:hAnsi="MS PGothic"/>
          <w:sz w:val="18"/>
          <w:szCs w:val="18"/>
          <w:color w:val="auto"/>
        </w:rPr>
        <w:t>‑</w:t>
      </w:r>
      <w:r>
        <w:rPr>
          <w:rFonts w:ascii="Arial" w:cs="Arial" w:eastAsia="Arial" w:hAnsi="Arial"/>
          <w:sz w:val="18"/>
          <w:szCs w:val="18"/>
          <w:color w:val="auto"/>
        </w:rPr>
        <w:t>K. Additional risks and uncertainties not currently known to us or that we currently deem to be immaterial also may adversely affect our business, financial condition or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shares of the Company’s common stock that the</w:t>
      </w:r>
    </w:p>
    <w:p>
      <w:pPr>
        <w:spacing w:after="0"/>
        <w:rPr>
          <w:sz w:val="20"/>
          <w:szCs w:val="20"/>
          <w:color w:val="auto"/>
        </w:rPr>
      </w:pPr>
      <w:r>
        <w:rPr>
          <w:rFonts w:ascii="Arial" w:cs="Arial" w:eastAsia="Arial" w:hAnsi="Arial"/>
          <w:sz w:val="18"/>
          <w:szCs w:val="18"/>
          <w:color w:val="auto"/>
        </w:rPr>
        <w:t>Company repurchased during the thirteen weeks ended May 4,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Approximate</w:t>
            </w:r>
          </w:p>
        </w:tc>
      </w:tr>
      <w:tr>
        <w:trPr>
          <w:trHeight w:val="189"/>
        </w:trPr>
        <w:tc>
          <w:tcPr>
            <w:tcW w:w="26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Total Number of</w:t>
            </w:r>
          </w:p>
        </w:tc>
        <w:tc>
          <w:tcPr>
            <w:tcW w:w="200" w:type="dxa"/>
            <w:vAlign w:val="bottom"/>
          </w:tcPr>
          <w:p>
            <w:pPr>
              <w:spacing w:after="0"/>
              <w:rPr>
                <w:sz w:val="16"/>
                <w:szCs w:val="16"/>
                <w:color w:val="auto"/>
              </w:rPr>
            </w:pPr>
          </w:p>
        </w:tc>
        <w:tc>
          <w:tcPr>
            <w:tcW w:w="1320" w:type="dxa"/>
            <w:vAlign w:val="bottom"/>
            <w:gridSpan w:val="2"/>
          </w:tcPr>
          <w:p>
            <w:pPr>
              <w:jc w:val="center"/>
              <w:ind w:right="120"/>
              <w:spacing w:after="0" w:line="189" w:lineRule="exact"/>
              <w:rPr>
                <w:sz w:val="20"/>
                <w:szCs w:val="20"/>
                <w:color w:val="auto"/>
              </w:rPr>
            </w:pPr>
            <w:r>
              <w:rPr>
                <w:rFonts w:ascii="Arial" w:cs="Arial" w:eastAsia="Arial" w:hAnsi="Arial"/>
                <w:sz w:val="17"/>
                <w:szCs w:val="17"/>
                <w:b w:val="1"/>
                <w:bCs w:val="1"/>
                <w:color w:val="auto"/>
              </w:rPr>
              <w:t>Dollar Value of</w:t>
            </w:r>
          </w:p>
        </w:tc>
      </w:tr>
      <w:tr>
        <w:trPr>
          <w:trHeight w:val="189"/>
        </w:trPr>
        <w:tc>
          <w:tcPr>
            <w:tcW w:w="2680" w:type="dxa"/>
            <w:vAlign w:val="bottom"/>
          </w:tcPr>
          <w:p>
            <w:pPr>
              <w:spacing w:after="0"/>
              <w:rPr>
                <w:sz w:val="16"/>
                <w:szCs w:val="16"/>
                <w:color w:val="auto"/>
              </w:rPr>
            </w:pPr>
          </w:p>
        </w:tc>
        <w:tc>
          <w:tcPr>
            <w:tcW w:w="1640" w:type="dxa"/>
            <w:vAlign w:val="bottom"/>
          </w:tcPr>
          <w:p>
            <w:pPr>
              <w:jc w:val="center"/>
              <w:ind w:left="335"/>
              <w:spacing w:after="0" w:line="189" w:lineRule="exact"/>
              <w:rPr>
                <w:sz w:val="20"/>
                <w:szCs w:val="20"/>
                <w:color w:val="auto"/>
              </w:rPr>
            </w:pPr>
            <w:r>
              <w:rPr>
                <w:rFonts w:ascii="Arial" w:cs="Arial" w:eastAsia="Arial" w:hAnsi="Arial"/>
                <w:sz w:val="17"/>
                <w:szCs w:val="17"/>
                <w:b w:val="1"/>
                <w:bCs w:val="1"/>
                <w:color w:val="auto"/>
                <w:w w:val="93"/>
              </w:rPr>
              <w:t>Total</w:t>
            </w:r>
          </w:p>
        </w:tc>
        <w:tc>
          <w:tcPr>
            <w:tcW w:w="260" w:type="dxa"/>
            <w:vAlign w:val="bottom"/>
          </w:tcPr>
          <w:p>
            <w:pPr>
              <w:spacing w:after="0"/>
              <w:rPr>
                <w:sz w:val="16"/>
                <w:szCs w:val="16"/>
                <w:color w:val="auto"/>
              </w:rPr>
            </w:pPr>
          </w:p>
        </w:tc>
        <w:tc>
          <w:tcPr>
            <w:tcW w:w="1020" w:type="dxa"/>
            <w:vAlign w:val="bottom"/>
          </w:tcPr>
          <w:p>
            <w:pPr>
              <w:jc w:val="center"/>
              <w:ind w:right="155"/>
              <w:spacing w:after="0" w:line="189" w:lineRule="exact"/>
              <w:rPr>
                <w:sz w:val="20"/>
                <w:szCs w:val="20"/>
                <w:color w:val="auto"/>
              </w:rPr>
            </w:pPr>
            <w:r>
              <w:rPr>
                <w:rFonts w:ascii="Arial" w:cs="Arial" w:eastAsia="Arial" w:hAnsi="Arial"/>
                <w:sz w:val="17"/>
                <w:szCs w:val="17"/>
                <w:b w:val="1"/>
                <w:bCs w:val="1"/>
                <w:color w:val="auto"/>
                <w:w w:val="98"/>
              </w:rPr>
              <w:t>Average</w:t>
            </w:r>
          </w:p>
        </w:tc>
        <w:tc>
          <w:tcPr>
            <w:tcW w:w="19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Shares Purchased as</w:t>
            </w:r>
          </w:p>
        </w:tc>
        <w:tc>
          <w:tcPr>
            <w:tcW w:w="1520" w:type="dxa"/>
            <w:vAlign w:val="bottom"/>
            <w:gridSpan w:val="3"/>
          </w:tcPr>
          <w:p>
            <w:pPr>
              <w:jc w:val="center"/>
              <w:spacing w:after="0" w:line="189" w:lineRule="exact"/>
              <w:rPr>
                <w:sz w:val="20"/>
                <w:szCs w:val="20"/>
                <w:color w:val="auto"/>
              </w:rPr>
            </w:pPr>
            <w:r>
              <w:rPr>
                <w:rFonts w:ascii="Arial" w:cs="Arial" w:eastAsia="Arial" w:hAnsi="Arial"/>
                <w:sz w:val="17"/>
                <w:szCs w:val="17"/>
                <w:b w:val="1"/>
                <w:bCs w:val="1"/>
                <w:color w:val="auto"/>
              </w:rPr>
              <w:t>Shares that may</w:t>
            </w:r>
          </w:p>
        </w:tc>
      </w:tr>
      <w:tr>
        <w:trPr>
          <w:trHeight w:val="189"/>
        </w:trPr>
        <w:tc>
          <w:tcPr>
            <w:tcW w:w="2680" w:type="dxa"/>
            <w:vAlign w:val="bottom"/>
          </w:tcPr>
          <w:p>
            <w:pPr>
              <w:spacing w:after="0"/>
              <w:rPr>
                <w:sz w:val="16"/>
                <w:szCs w:val="16"/>
                <w:color w:val="auto"/>
              </w:rPr>
            </w:pPr>
          </w:p>
        </w:tc>
        <w:tc>
          <w:tcPr>
            <w:tcW w:w="1640" w:type="dxa"/>
            <w:vAlign w:val="bottom"/>
          </w:tcPr>
          <w:p>
            <w:pPr>
              <w:jc w:val="center"/>
              <w:ind w:left="335"/>
              <w:spacing w:after="0" w:line="189" w:lineRule="exact"/>
              <w:rPr>
                <w:sz w:val="20"/>
                <w:szCs w:val="20"/>
                <w:color w:val="auto"/>
              </w:rPr>
            </w:pPr>
            <w:r>
              <w:rPr>
                <w:rFonts w:ascii="Arial" w:cs="Arial" w:eastAsia="Arial" w:hAnsi="Arial"/>
                <w:sz w:val="17"/>
                <w:szCs w:val="17"/>
                <w:b w:val="1"/>
                <w:bCs w:val="1"/>
                <w:color w:val="auto"/>
              </w:rPr>
              <w:t>Number</w:t>
            </w:r>
          </w:p>
        </w:tc>
        <w:tc>
          <w:tcPr>
            <w:tcW w:w="260" w:type="dxa"/>
            <w:vAlign w:val="bottom"/>
          </w:tcPr>
          <w:p>
            <w:pPr>
              <w:spacing w:after="0"/>
              <w:rPr>
                <w:sz w:val="16"/>
                <w:szCs w:val="16"/>
                <w:color w:val="auto"/>
              </w:rPr>
            </w:pPr>
          </w:p>
        </w:tc>
        <w:tc>
          <w:tcPr>
            <w:tcW w:w="1020" w:type="dxa"/>
            <w:vAlign w:val="bottom"/>
          </w:tcPr>
          <w:p>
            <w:pPr>
              <w:jc w:val="center"/>
              <w:ind w:right="155"/>
              <w:spacing w:after="0" w:line="189" w:lineRule="exact"/>
              <w:rPr>
                <w:sz w:val="20"/>
                <w:szCs w:val="20"/>
                <w:color w:val="auto"/>
              </w:rPr>
            </w:pPr>
            <w:r>
              <w:rPr>
                <w:rFonts w:ascii="Arial" w:cs="Arial" w:eastAsia="Arial" w:hAnsi="Arial"/>
                <w:sz w:val="17"/>
                <w:szCs w:val="17"/>
                <w:b w:val="1"/>
                <w:bCs w:val="1"/>
                <w:color w:val="auto"/>
              </w:rPr>
              <w:t>Price</w:t>
            </w:r>
          </w:p>
        </w:tc>
        <w:tc>
          <w:tcPr>
            <w:tcW w:w="19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Part of Publicly</w:t>
            </w:r>
          </w:p>
        </w:tc>
        <w:tc>
          <w:tcPr>
            <w:tcW w:w="1520" w:type="dxa"/>
            <w:vAlign w:val="bottom"/>
            <w:gridSpan w:val="3"/>
          </w:tcPr>
          <w:p>
            <w:pPr>
              <w:jc w:val="center"/>
              <w:ind w:left="15"/>
              <w:spacing w:after="0" w:line="189" w:lineRule="exact"/>
              <w:rPr>
                <w:sz w:val="20"/>
                <w:szCs w:val="20"/>
                <w:color w:val="auto"/>
              </w:rPr>
            </w:pPr>
            <w:r>
              <w:rPr>
                <w:rFonts w:ascii="Arial" w:cs="Arial" w:eastAsia="Arial" w:hAnsi="Arial"/>
                <w:sz w:val="17"/>
                <w:szCs w:val="17"/>
                <w:b w:val="1"/>
                <w:bCs w:val="1"/>
                <w:color w:val="auto"/>
              </w:rPr>
              <w:t>yet be Purchased</w:t>
            </w:r>
          </w:p>
        </w:tc>
      </w:tr>
      <w:tr>
        <w:trPr>
          <w:trHeight w:val="189"/>
        </w:trPr>
        <w:tc>
          <w:tcPr>
            <w:tcW w:w="2680" w:type="dxa"/>
            <w:vAlign w:val="bottom"/>
          </w:tcPr>
          <w:p>
            <w:pPr>
              <w:spacing w:after="0"/>
              <w:rPr>
                <w:sz w:val="16"/>
                <w:szCs w:val="16"/>
                <w:color w:val="auto"/>
              </w:rPr>
            </w:pPr>
          </w:p>
        </w:tc>
        <w:tc>
          <w:tcPr>
            <w:tcW w:w="1640" w:type="dxa"/>
            <w:vAlign w:val="bottom"/>
          </w:tcPr>
          <w:p>
            <w:pPr>
              <w:jc w:val="center"/>
              <w:ind w:left="335"/>
              <w:spacing w:after="0" w:line="189" w:lineRule="exact"/>
              <w:rPr>
                <w:sz w:val="20"/>
                <w:szCs w:val="20"/>
                <w:color w:val="auto"/>
              </w:rPr>
            </w:pPr>
            <w:r>
              <w:rPr>
                <w:rFonts w:ascii="Arial" w:cs="Arial" w:eastAsia="Arial" w:hAnsi="Arial"/>
                <w:sz w:val="17"/>
                <w:szCs w:val="17"/>
                <w:b w:val="1"/>
                <w:bCs w:val="1"/>
                <w:color w:val="auto"/>
              </w:rPr>
              <w:t>of Shares</w:t>
            </w:r>
          </w:p>
        </w:tc>
        <w:tc>
          <w:tcPr>
            <w:tcW w:w="260" w:type="dxa"/>
            <w:vAlign w:val="bottom"/>
          </w:tcPr>
          <w:p>
            <w:pPr>
              <w:spacing w:after="0"/>
              <w:rPr>
                <w:sz w:val="16"/>
                <w:szCs w:val="16"/>
                <w:color w:val="auto"/>
              </w:rPr>
            </w:pPr>
          </w:p>
        </w:tc>
        <w:tc>
          <w:tcPr>
            <w:tcW w:w="1020" w:type="dxa"/>
            <w:vAlign w:val="bottom"/>
          </w:tcPr>
          <w:p>
            <w:pPr>
              <w:jc w:val="center"/>
              <w:ind w:right="135"/>
              <w:spacing w:after="0" w:line="189" w:lineRule="exact"/>
              <w:rPr>
                <w:sz w:val="20"/>
                <w:szCs w:val="20"/>
                <w:color w:val="auto"/>
              </w:rPr>
            </w:pPr>
            <w:r>
              <w:rPr>
                <w:rFonts w:ascii="Arial" w:cs="Arial" w:eastAsia="Arial" w:hAnsi="Arial"/>
                <w:sz w:val="17"/>
                <w:szCs w:val="17"/>
                <w:b w:val="1"/>
                <w:bCs w:val="1"/>
                <w:color w:val="auto"/>
                <w:w w:val="99"/>
              </w:rPr>
              <w:t>Paid Per</w:t>
            </w:r>
          </w:p>
        </w:tc>
        <w:tc>
          <w:tcPr>
            <w:tcW w:w="19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Announced</w:t>
            </w:r>
          </w:p>
        </w:tc>
        <w:tc>
          <w:tcPr>
            <w:tcW w:w="200" w:type="dxa"/>
            <w:vAlign w:val="bottom"/>
          </w:tcPr>
          <w:p>
            <w:pPr>
              <w:spacing w:after="0"/>
              <w:rPr>
                <w:sz w:val="16"/>
                <w:szCs w:val="16"/>
                <w:color w:val="auto"/>
              </w:rPr>
            </w:pPr>
          </w:p>
        </w:tc>
        <w:tc>
          <w:tcPr>
            <w:tcW w:w="1320" w:type="dxa"/>
            <w:vAlign w:val="bottom"/>
            <w:gridSpan w:val="2"/>
          </w:tcPr>
          <w:p>
            <w:pPr>
              <w:jc w:val="center"/>
              <w:ind w:right="120"/>
              <w:spacing w:after="0" w:line="189" w:lineRule="exact"/>
              <w:rPr>
                <w:sz w:val="20"/>
                <w:szCs w:val="20"/>
                <w:color w:val="auto"/>
              </w:rPr>
            </w:pPr>
            <w:r>
              <w:rPr>
                <w:rFonts w:ascii="Arial" w:cs="Arial" w:eastAsia="Arial" w:hAnsi="Arial"/>
                <w:sz w:val="17"/>
                <w:szCs w:val="17"/>
                <w:b w:val="1"/>
                <w:bCs w:val="1"/>
                <w:color w:val="auto"/>
              </w:rPr>
              <w:t>Under the</w:t>
            </w:r>
          </w:p>
        </w:tc>
      </w:tr>
      <w:tr>
        <w:trPr>
          <w:trHeight w:val="215"/>
        </w:trPr>
        <w:tc>
          <w:tcPr>
            <w:tcW w:w="2680" w:type="dxa"/>
            <w:vAlign w:val="bottom"/>
          </w:tcPr>
          <w:p>
            <w:pPr>
              <w:spacing w:after="0"/>
              <w:rPr>
                <w:sz w:val="20"/>
                <w:szCs w:val="20"/>
                <w:color w:val="auto"/>
              </w:rPr>
            </w:pPr>
            <w:r>
              <w:rPr>
                <w:rFonts w:ascii="Arial" w:cs="Arial" w:eastAsia="Arial" w:hAnsi="Arial"/>
                <w:sz w:val="17"/>
                <w:szCs w:val="17"/>
                <w:b w:val="1"/>
                <w:bCs w:val="1"/>
                <w:color w:val="auto"/>
              </w:rPr>
              <w:t>Date Purchased</w:t>
            </w:r>
          </w:p>
        </w:tc>
        <w:tc>
          <w:tcPr>
            <w:tcW w:w="1640" w:type="dxa"/>
            <w:vAlign w:val="bottom"/>
          </w:tcPr>
          <w:p>
            <w:pPr>
              <w:jc w:val="center"/>
              <w:ind w:left="335"/>
              <w:spacing w:after="0"/>
              <w:rPr>
                <w:sz w:val="20"/>
                <w:szCs w:val="20"/>
                <w:color w:val="auto"/>
              </w:rPr>
            </w:pPr>
            <w:r>
              <w:rPr>
                <w:rFonts w:ascii="Arial" w:cs="Arial" w:eastAsia="Arial" w:hAnsi="Arial"/>
                <w:sz w:val="17"/>
                <w:szCs w:val="17"/>
                <w:b w:val="1"/>
                <w:bCs w:val="1"/>
                <w:color w:val="auto"/>
              </w:rPr>
              <w:t xml:space="preserve">Purchased </w:t>
            </w:r>
            <w:r>
              <w:rPr>
                <w:rFonts w:ascii="Arial" w:cs="Arial" w:eastAsia="Arial" w:hAnsi="Arial"/>
                <w:sz w:val="8"/>
                <w:szCs w:val="8"/>
                <w:color w:val="auto"/>
              </w:rPr>
              <w:t>(1)</w:t>
            </w:r>
          </w:p>
        </w:tc>
        <w:tc>
          <w:tcPr>
            <w:tcW w:w="260" w:type="dxa"/>
            <w:vAlign w:val="bottom"/>
          </w:tcPr>
          <w:p>
            <w:pPr>
              <w:spacing w:after="0"/>
              <w:rPr>
                <w:sz w:val="18"/>
                <w:szCs w:val="18"/>
                <w:color w:val="auto"/>
              </w:rPr>
            </w:pPr>
          </w:p>
        </w:tc>
        <w:tc>
          <w:tcPr>
            <w:tcW w:w="1020" w:type="dxa"/>
            <w:vAlign w:val="bottom"/>
          </w:tcPr>
          <w:p>
            <w:pPr>
              <w:jc w:val="center"/>
              <w:ind w:right="175"/>
              <w:spacing w:after="0"/>
              <w:rPr>
                <w:sz w:val="20"/>
                <w:szCs w:val="20"/>
                <w:color w:val="auto"/>
              </w:rPr>
            </w:pPr>
            <w:r>
              <w:rPr>
                <w:rFonts w:ascii="Arial" w:cs="Arial" w:eastAsia="Arial" w:hAnsi="Arial"/>
                <w:sz w:val="17"/>
                <w:szCs w:val="17"/>
                <w:b w:val="1"/>
                <w:bCs w:val="1"/>
                <w:color w:val="auto"/>
              </w:rPr>
              <w:t xml:space="preserve">Share </w:t>
            </w:r>
            <w:r>
              <w:rPr>
                <w:rFonts w:ascii="Arial" w:cs="Arial" w:eastAsia="Arial" w:hAnsi="Arial"/>
                <w:sz w:val="8"/>
                <w:szCs w:val="8"/>
                <w:color w:val="auto"/>
              </w:rPr>
              <w:t>(1)</w:t>
            </w:r>
          </w:p>
        </w:tc>
        <w:tc>
          <w:tcPr>
            <w:tcW w:w="1960" w:type="dxa"/>
            <w:vAlign w:val="bottom"/>
          </w:tcPr>
          <w:p>
            <w:pPr>
              <w:jc w:val="center"/>
              <w:spacing w:after="0"/>
              <w:rPr>
                <w:sz w:val="20"/>
                <w:szCs w:val="20"/>
                <w:color w:val="auto"/>
              </w:rPr>
            </w:pPr>
            <w:r>
              <w:rPr>
                <w:rFonts w:ascii="Arial" w:cs="Arial" w:eastAsia="Arial" w:hAnsi="Arial"/>
                <w:sz w:val="17"/>
                <w:szCs w:val="17"/>
                <w:b w:val="1"/>
                <w:bCs w:val="1"/>
                <w:color w:val="auto"/>
              </w:rPr>
              <w:t xml:space="preserve">Program </w:t>
            </w:r>
            <w:r>
              <w:rPr>
                <w:rFonts w:ascii="Arial" w:cs="Arial" w:eastAsia="Arial" w:hAnsi="Arial"/>
                <w:sz w:val="8"/>
                <w:szCs w:val="8"/>
                <w:color w:val="auto"/>
              </w:rPr>
              <w:t>(2)</w:t>
            </w:r>
          </w:p>
        </w:tc>
        <w:tc>
          <w:tcPr>
            <w:tcW w:w="2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 xml:space="preserve">Program </w:t>
            </w:r>
            <w:r>
              <w:rPr>
                <w:rFonts w:ascii="Arial" w:cs="Arial" w:eastAsia="Arial" w:hAnsi="Arial"/>
                <w:sz w:val="8"/>
                <w:szCs w:val="8"/>
                <w:color w:val="auto"/>
              </w:rPr>
              <w:t>(2)</w:t>
            </w:r>
          </w:p>
        </w:tc>
      </w:tr>
      <w:tr>
        <w:trPr>
          <w:trHeight w:val="183"/>
        </w:trPr>
        <w:tc>
          <w:tcPr>
            <w:tcW w:w="26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February 3 to March 2, 2019</w:t>
            </w:r>
          </w:p>
        </w:tc>
        <w:tc>
          <w:tcPr>
            <w:tcW w:w="164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32,100</w:t>
            </w:r>
          </w:p>
        </w:tc>
        <w:tc>
          <w:tcPr>
            <w:tcW w:w="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55.68</w:t>
            </w:r>
          </w:p>
        </w:tc>
        <w:tc>
          <w:tcPr>
            <w:tcW w:w="196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32,100</w:t>
            </w:r>
          </w:p>
        </w:tc>
        <w:tc>
          <w:tcPr>
            <w:tcW w:w="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1,200,000,000</w:t>
            </w:r>
          </w:p>
        </w:tc>
        <w:tc>
          <w:tcPr>
            <w:tcW w:w="20" w:type="dxa"/>
            <w:vAlign w:val="bottom"/>
          </w:tcPr>
          <w:p>
            <w:pPr>
              <w:spacing w:after="0"/>
              <w:rPr>
                <w:sz w:val="15"/>
                <w:szCs w:val="15"/>
                <w:color w:val="auto"/>
              </w:rPr>
            </w:pPr>
          </w:p>
        </w:tc>
      </w:tr>
      <w:tr>
        <w:trPr>
          <w:trHeight w:val="189"/>
        </w:trPr>
        <w:tc>
          <w:tcPr>
            <w:tcW w:w="2680" w:type="dxa"/>
            <w:vAlign w:val="bottom"/>
          </w:tcPr>
          <w:p>
            <w:pPr>
              <w:spacing w:after="0" w:line="189" w:lineRule="exact"/>
              <w:rPr>
                <w:sz w:val="20"/>
                <w:szCs w:val="20"/>
                <w:color w:val="auto"/>
              </w:rPr>
            </w:pPr>
            <w:r>
              <w:rPr>
                <w:rFonts w:ascii="Arial" w:cs="Arial" w:eastAsia="Arial" w:hAnsi="Arial"/>
                <w:sz w:val="17"/>
                <w:szCs w:val="17"/>
                <w:color w:val="auto"/>
              </w:rPr>
              <w:t>March 3 to April 6, 2019</w:t>
            </w:r>
          </w:p>
        </w:tc>
        <w:tc>
          <w:tcPr>
            <w:tcW w:w="16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30,691</w:t>
            </w:r>
          </w:p>
        </w:tc>
        <w:tc>
          <w:tcPr>
            <w:tcW w:w="260" w:type="dxa"/>
            <w:vAlign w:val="bottom"/>
          </w:tcPr>
          <w:p>
            <w:pPr>
              <w:spacing w:after="0"/>
              <w:rPr>
                <w:sz w:val="16"/>
                <w:szCs w:val="16"/>
                <w:color w:val="auto"/>
              </w:rPr>
            </w:pPr>
          </w:p>
        </w:tc>
        <w:tc>
          <w:tcPr>
            <w:tcW w:w="10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56.93</w:t>
            </w:r>
          </w:p>
        </w:tc>
        <w:tc>
          <w:tcPr>
            <w:tcW w:w="19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7"/>
                <w:szCs w:val="17"/>
                <w:color w:val="auto"/>
              </w:rPr>
              <w:t>1,200,000,000</w:t>
            </w:r>
          </w:p>
        </w:tc>
        <w:tc>
          <w:tcPr>
            <w:tcW w:w="20" w:type="dxa"/>
            <w:vAlign w:val="bottom"/>
          </w:tcPr>
          <w:p>
            <w:pPr>
              <w:spacing w:after="0"/>
              <w:rPr>
                <w:sz w:val="16"/>
                <w:szCs w:val="16"/>
                <w:color w:val="auto"/>
              </w:rPr>
            </w:pPr>
          </w:p>
        </w:tc>
      </w:tr>
      <w:tr>
        <w:trPr>
          <w:trHeight w:val="189"/>
        </w:trPr>
        <w:tc>
          <w:tcPr>
            <w:tcW w:w="26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April 7 to May 4, 2019</w:t>
            </w:r>
          </w:p>
        </w:tc>
        <w:tc>
          <w:tcPr>
            <w:tcW w:w="16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540</w:t>
            </w: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59.09</w:t>
            </w:r>
          </w:p>
        </w:tc>
        <w:tc>
          <w:tcPr>
            <w:tcW w:w="19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1,200,000,000</w:t>
            </w:r>
          </w:p>
        </w:tc>
        <w:tc>
          <w:tcPr>
            <w:tcW w:w="20" w:type="dxa"/>
            <w:vAlign w:val="bottom"/>
          </w:tcPr>
          <w:p>
            <w:pPr>
              <w:spacing w:after="0"/>
              <w:rPr>
                <w:sz w:val="16"/>
                <w:szCs w:val="16"/>
                <w:color w:val="auto"/>
              </w:rPr>
            </w:pPr>
          </w:p>
        </w:tc>
      </w:tr>
      <w:tr>
        <w:trPr>
          <w:trHeight w:val="183"/>
        </w:trPr>
        <w:tc>
          <w:tcPr>
            <w:tcW w:w="26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63,331</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56.31</w:t>
            </w:r>
          </w:p>
        </w:tc>
        <w:tc>
          <w:tcPr>
            <w:tcW w:w="19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32,100</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bl>
    <w:p>
      <w:pPr>
        <w:spacing w:after="0" w:line="207" w:lineRule="exact"/>
        <w:rPr>
          <w:sz w:val="20"/>
          <w:szCs w:val="20"/>
          <w:color w:val="auto"/>
        </w:rPr>
      </w:pPr>
    </w:p>
    <w:p>
      <w:pPr>
        <w:jc w:val="both"/>
        <w:ind w:left="320" w:right="20" w:hanging="317"/>
        <w:spacing w:after="0" w:line="167" w:lineRule="exact"/>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columns also reflect shares acquired in satisfaction of the tax withholding obligations of holders of restricted stock unit awards, which vested during the quarter, and shares repurchased pursuant to Rule 10b5</w:t>
      </w:r>
      <w:r>
        <w:rPr>
          <w:rFonts w:ascii="MS PGothic" w:cs="MS PGothic" w:eastAsia="MS PGothic" w:hAnsi="MS PGothic"/>
          <w:sz w:val="14"/>
          <w:szCs w:val="14"/>
          <w:color w:val="auto"/>
        </w:rPr>
        <w:t>‑</w:t>
      </w:r>
      <w:r>
        <w:rPr>
          <w:rFonts w:ascii="Arial" w:cs="Arial" w:eastAsia="Arial" w:hAnsi="Arial"/>
          <w:sz w:val="14"/>
          <w:szCs w:val="14"/>
          <w:color w:val="auto"/>
        </w:rPr>
        <w:t>1 under the Securities Exchange Act of 1934. The calculation of the average price paid per share includes all fees, commissions, and other costs associated with the repurchase of such shares.</w:t>
      </w:r>
    </w:p>
    <w:p>
      <w:pPr>
        <w:spacing w:after="0" w:line="365" w:lineRule="exact"/>
        <w:rPr>
          <w:rFonts w:ascii="Arial" w:cs="Arial" w:eastAsia="Arial" w:hAnsi="Arial"/>
          <w:sz w:val="14"/>
          <w:szCs w:val="14"/>
          <w:color w:val="auto"/>
        </w:rPr>
      </w:pPr>
    </w:p>
    <w:p>
      <w:pPr>
        <w:ind w:left="320" w:right="20" w:hanging="317"/>
        <w:spacing w:after="0" w:line="168" w:lineRule="exact"/>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shares repurchased during the first quarter of 2019 were under the Company’s previous share repurchase program. On February 20, 2019, the Board of Directors approved a new 3</w:t>
      </w:r>
      <w:r>
        <w:rPr>
          <w:rFonts w:ascii="MS PGothic" w:cs="MS PGothic" w:eastAsia="MS PGothic" w:hAnsi="MS PGothic"/>
          <w:sz w:val="14"/>
          <w:szCs w:val="14"/>
          <w:color w:val="auto"/>
        </w:rPr>
        <w:t>‑</w:t>
      </w:r>
      <w:r>
        <w:rPr>
          <w:rFonts w:ascii="Arial" w:cs="Arial" w:eastAsia="Arial" w:hAnsi="Arial"/>
          <w:sz w:val="14"/>
          <w:szCs w:val="14"/>
          <w:color w:val="auto"/>
        </w:rPr>
        <w:t>year, $1.2 billion share repurchase program extending through January 2022.</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31" w:name="page32"/>
    <w:bookmarkEnd w:id="31"/>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6. Exhibits</w:t>
      </w:r>
    </w:p>
    <w:p>
      <w:pPr>
        <w:sectPr>
          <w:pgSz w:w="11900" w:h="16838" w:orient="portrait"/>
          <w:cols w:equalWidth="0" w:num="1">
            <w:col w:w="9060"/>
          </w:cols>
          <w:pgMar w:left="1420" w:top="125" w:right="1419" w:bottom="1440" w:gutter="0" w:footer="0" w:header="0"/>
        </w:sectPr>
      </w:pPr>
    </w:p>
    <w:p>
      <w:pPr>
        <w:spacing w:after="0" w:line="237" w:lineRule="exact"/>
        <w:rPr>
          <w:sz w:val="20"/>
          <w:szCs w:val="20"/>
          <w:color w:val="auto"/>
        </w:rPr>
      </w:pPr>
    </w:p>
    <w:p>
      <w:pPr>
        <w:jc w:val="center"/>
        <w:ind w:left="20"/>
        <w:spacing w:after="0"/>
        <w:rPr>
          <w:sz w:val="20"/>
          <w:szCs w:val="20"/>
          <w:color w:val="auto"/>
        </w:rPr>
      </w:pPr>
      <w:r>
        <w:rPr>
          <w:rFonts w:ascii="Arial" w:cs="Arial" w:eastAsia="Arial" w:hAnsi="Arial"/>
          <w:sz w:val="17"/>
          <w:szCs w:val="17"/>
          <w:b w:val="1"/>
          <w:bCs w:val="1"/>
          <w:u w:val="single" w:color="auto"/>
          <w:color w:val="auto"/>
        </w:rPr>
        <w:t>Exhibit No.</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15*</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31.1*</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31.2*</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32**</w:t>
      </w:r>
    </w:p>
    <w:p>
      <w:pPr>
        <w:spacing w:after="0" w:line="99"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99*</w:t>
      </w:r>
    </w:p>
    <w:p>
      <w:pPr>
        <w:jc w:val="center"/>
        <w:ind w:left="20"/>
        <w:spacing w:after="0" w:line="234" w:lineRule="auto"/>
        <w:rPr>
          <w:sz w:val="20"/>
          <w:szCs w:val="20"/>
          <w:color w:val="auto"/>
        </w:rPr>
      </w:pPr>
      <w:r>
        <w:rPr>
          <w:rFonts w:ascii="Arial" w:cs="Arial" w:eastAsia="Arial" w:hAnsi="Arial"/>
          <w:sz w:val="18"/>
          <w:szCs w:val="18"/>
          <w:color w:val="auto"/>
        </w:rPr>
        <w:t>101.INS*</w:t>
      </w:r>
    </w:p>
    <w:p>
      <w:pPr>
        <w:jc w:val="center"/>
        <w:ind w:left="20"/>
        <w:spacing w:after="0" w:line="235" w:lineRule="auto"/>
        <w:rPr>
          <w:sz w:val="20"/>
          <w:szCs w:val="20"/>
          <w:color w:val="auto"/>
        </w:rPr>
      </w:pPr>
      <w:r>
        <w:rPr>
          <w:rFonts w:ascii="Arial" w:cs="Arial" w:eastAsia="Arial" w:hAnsi="Arial"/>
          <w:sz w:val="18"/>
          <w:szCs w:val="18"/>
          <w:color w:val="auto"/>
        </w:rPr>
        <w:t>101.SCH*</w:t>
      </w:r>
    </w:p>
    <w:p>
      <w:pPr>
        <w:jc w:val="center"/>
        <w:ind w:left="20"/>
        <w:spacing w:after="0" w:line="235" w:lineRule="auto"/>
        <w:rPr>
          <w:sz w:val="20"/>
          <w:szCs w:val="20"/>
          <w:color w:val="auto"/>
        </w:rPr>
      </w:pPr>
      <w:r>
        <w:rPr>
          <w:rFonts w:ascii="Arial" w:cs="Arial" w:eastAsia="Arial" w:hAnsi="Arial"/>
          <w:sz w:val="18"/>
          <w:szCs w:val="18"/>
          <w:color w:val="auto"/>
        </w:rPr>
        <w:t>101.CAL*</w:t>
      </w:r>
    </w:p>
    <w:p>
      <w:pPr>
        <w:jc w:val="center"/>
        <w:ind w:left="20"/>
        <w:spacing w:after="0" w:line="235" w:lineRule="auto"/>
        <w:rPr>
          <w:sz w:val="20"/>
          <w:szCs w:val="20"/>
          <w:color w:val="auto"/>
        </w:rPr>
      </w:pPr>
      <w:r>
        <w:rPr>
          <w:rFonts w:ascii="Arial" w:cs="Arial" w:eastAsia="Arial" w:hAnsi="Arial"/>
          <w:sz w:val="18"/>
          <w:szCs w:val="18"/>
          <w:color w:val="auto"/>
        </w:rPr>
        <w:t>101.DEF*</w:t>
      </w:r>
    </w:p>
    <w:p>
      <w:pPr>
        <w:jc w:val="center"/>
        <w:ind w:left="20"/>
        <w:spacing w:after="0" w:line="235" w:lineRule="auto"/>
        <w:rPr>
          <w:sz w:val="20"/>
          <w:szCs w:val="20"/>
          <w:color w:val="auto"/>
        </w:rPr>
      </w:pPr>
      <w:r>
        <w:rPr>
          <w:rFonts w:ascii="Arial" w:cs="Arial" w:eastAsia="Arial" w:hAnsi="Arial"/>
          <w:sz w:val="18"/>
          <w:szCs w:val="18"/>
          <w:color w:val="auto"/>
        </w:rPr>
        <w:t>101.LAB*</w:t>
      </w:r>
    </w:p>
    <w:p>
      <w:pPr>
        <w:jc w:val="center"/>
        <w:ind w:left="20"/>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11430</wp:posOffset>
            </wp:positionV>
            <wp:extent cx="5754370" cy="394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394335"/>
                    </a:xfrm>
                    <a:prstGeom prst="rect">
                      <a:avLst/>
                    </a:prstGeom>
                    <a:noFill/>
                  </pic:spPr>
                </pic:pic>
              </a:graphicData>
            </a:graphic>
          </wp:anchor>
        </w:drawing>
      </w:r>
    </w:p>
    <w:p>
      <w:pPr>
        <w:spacing w:after="0" w:line="7" w:lineRule="exact"/>
        <w:rPr>
          <w:sz w:val="20"/>
          <w:szCs w:val="20"/>
          <w:color w:val="auto"/>
        </w:rPr>
      </w:pPr>
    </w:p>
    <w:p>
      <w:pPr>
        <w:spacing w:after="0"/>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Amendment  Number  Three  to  the  Foot  Locker  Supplemental  Executive  Retirement  Plan</w:t>
        </w:r>
      </w:hyperlink>
    </w:p>
    <w:p>
      <w:pPr>
        <w:spacing w:after="0" w:line="234" w:lineRule="auto"/>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(incorporated herein by reference to Exhibit 10.1 to the Current Report on Form 8-K dated May 22,</w:t>
        </w:r>
      </w:hyperlink>
    </w:p>
    <w:p>
      <w:pPr>
        <w:spacing w:after="0" w:line="235" w:lineRule="auto"/>
        <w:rPr>
          <w:rFonts w:ascii="Arial" w:cs="Arial" w:eastAsia="Arial" w:hAnsi="Arial"/>
          <w:sz w:val="18"/>
          <w:szCs w:val="18"/>
          <w:u w:val="single" w:color="auto"/>
          <w:color w:val="0000EE"/>
        </w:rPr>
      </w:pPr>
      <w:hyperlink r:id="rId51">
        <w:r>
          <w:rPr>
            <w:rFonts w:ascii="Arial" w:cs="Arial" w:eastAsia="Arial" w:hAnsi="Arial"/>
            <w:sz w:val="18"/>
            <w:szCs w:val="18"/>
            <w:u w:val="single" w:color="auto"/>
            <w:color w:val="0000EE"/>
          </w:rPr>
          <w:t>2019 filed on May 28, 2019).</w:t>
        </w:r>
      </w:hyperlink>
    </w:p>
    <w:p>
      <w:pPr>
        <w:spacing w:after="0" w:line="235" w:lineRule="auto"/>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Accountants’ Acknowledgement.</w:t>
        </w:r>
      </w:hyperlink>
    </w:p>
    <w:p>
      <w:pPr>
        <w:spacing w:after="0" w:line="1" w:lineRule="exact"/>
        <w:rPr>
          <w:sz w:val="20"/>
          <w:szCs w:val="20"/>
          <w:color w:val="auto"/>
        </w:rPr>
      </w:pPr>
    </w:p>
    <w:p>
      <w:pPr>
        <w:jc w:val="both"/>
        <w:spacing w:after="0" w:line="202" w:lineRule="exact"/>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Certification of Chief Executive Officer Pursuant to Rule 13a</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14(a) or 15d</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14(a), as adopted</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pursuant to 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-255270</wp:posOffset>
            </wp:positionV>
            <wp:extent cx="5754370" cy="257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754370" cy="257175"/>
                    </a:xfrm>
                    <a:prstGeom prst="rect">
                      <a:avLst/>
                    </a:prstGeom>
                    <a:noFill/>
                  </pic:spPr>
                </pic:pic>
              </a:graphicData>
            </a:graphic>
          </wp:anchor>
        </w:drawing>
      </w:r>
    </w:p>
    <w:p>
      <w:pPr>
        <w:jc w:val="both"/>
        <w:spacing w:after="0" w:line="184" w:lineRule="exact"/>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Certification of Chief Financial Officer Pursuant to Rule 13a</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14(a) or 15d</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14(a), as adopted</w:t>
        </w:r>
      </w:hyperlink>
      <w:r>
        <w:rPr>
          <w:rFonts w:ascii="Arial" w:cs="Arial" w:eastAsia="Arial" w:hAnsi="Arial"/>
          <w:sz w:val="18"/>
          <w:szCs w:val="18"/>
          <w:u w:val="single" w:color="auto"/>
          <w:color w:val="0000EE"/>
        </w:rPr>
        <w:t xml:space="preserve"> </w:t>
      </w:r>
      <w:hyperlink w:anchor="page36">
        <w:r>
          <w:rPr>
            <w:rFonts w:ascii="Arial" w:cs="Arial" w:eastAsia="Arial" w:hAnsi="Arial"/>
            <w:sz w:val="18"/>
            <w:szCs w:val="18"/>
            <w:u w:val="single" w:color="auto"/>
            <w:color w:val="0000EE"/>
          </w:rPr>
          <w:t>pursuant to Section 302 of the Sarbanes-Oxley Act of 2002.</w:t>
        </w:r>
      </w:hyperlink>
    </w:p>
    <w:p>
      <w:pPr>
        <w:spacing w:after="0" w:line="236" w:lineRule="auto"/>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Certification  of  Chief  Executive  Officer  and  Chief  Financial  Officer  Pursuant  to  18  U.S.C.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-127000</wp:posOffset>
            </wp:positionV>
            <wp:extent cx="5754370" cy="257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754370" cy="257175"/>
                    </a:xfrm>
                    <a:prstGeom prst="rect">
                      <a:avLst/>
                    </a:prstGeom>
                    <a:noFill/>
                  </pic:spPr>
                </pic:pic>
              </a:graphicData>
            </a:graphic>
          </wp:anchor>
        </w:drawing>
      </w:r>
    </w:p>
    <w:p>
      <w:pPr>
        <w:spacing w:after="0" w:line="235" w:lineRule="auto"/>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Section 1350, as adopted pursuant to Section 906 of the Sarbanes-Oxley Act of 2002.</w:t>
        </w:r>
      </w:hyperlink>
    </w:p>
    <w:p>
      <w:pPr>
        <w:spacing w:after="0" w:line="235" w:lineRule="auto"/>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Report of Independent Registered Public Accounting Firm.</w:t>
        </w:r>
      </w:hyperlink>
    </w:p>
    <w:p>
      <w:pPr>
        <w:spacing w:after="0" w:line="235" w:lineRule="auto"/>
        <w:rPr>
          <w:sz w:val="20"/>
          <w:szCs w:val="20"/>
          <w:color w:val="auto"/>
        </w:rPr>
      </w:pPr>
      <w:r>
        <w:rPr>
          <w:rFonts w:ascii="Arial" w:cs="Arial" w:eastAsia="Arial" w:hAnsi="Arial"/>
          <w:sz w:val="18"/>
          <w:szCs w:val="18"/>
          <w:color w:val="auto"/>
        </w:rPr>
        <w:t>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-127000</wp:posOffset>
            </wp:positionV>
            <wp:extent cx="575437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75437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XBRL Taxonomy Extension Schema.</w:t>
      </w:r>
    </w:p>
    <w:p>
      <w:pPr>
        <w:spacing w:after="0" w:line="235" w:lineRule="auto"/>
        <w:rPr>
          <w:sz w:val="20"/>
          <w:szCs w:val="20"/>
          <w:color w:val="auto"/>
        </w:rPr>
      </w:pPr>
      <w:r>
        <w:rPr>
          <w:rFonts w:ascii="Arial" w:cs="Arial" w:eastAsia="Arial" w:hAnsi="Arial"/>
          <w:sz w:val="18"/>
          <w:szCs w:val="18"/>
          <w:color w:val="auto"/>
        </w:rPr>
        <w:t>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-127635</wp:posOffset>
            </wp:positionV>
            <wp:extent cx="575437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754370" cy="12890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XBRL Taxonomy Extension Definition Linkbase.</w:t>
      </w:r>
    </w:p>
    <w:p>
      <w:pPr>
        <w:spacing w:after="0" w:line="234" w:lineRule="auto"/>
        <w:rPr>
          <w:sz w:val="20"/>
          <w:szCs w:val="20"/>
          <w:color w:val="auto"/>
        </w:rPr>
      </w:pPr>
      <w:r>
        <w:rPr>
          <w:rFonts w:ascii="Arial" w:cs="Arial" w:eastAsia="Arial" w:hAnsi="Arial"/>
          <w:sz w:val="18"/>
          <w:szCs w:val="18"/>
          <w:color w:val="auto"/>
        </w:rPr>
        <w:t>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-127000</wp:posOffset>
            </wp:positionV>
            <wp:extent cx="575437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754370" cy="1289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XBRL Taxonomy Extension Presentation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-1905</wp:posOffset>
            </wp:positionV>
            <wp:extent cx="57543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0" w:space="240"/>
            <w:col w:w="7860"/>
          </w:cols>
          <w:pgMar w:left="1420" w:top="125" w:right="1419" w:bottom="1440" w:gutter="0" w:footer="0" w:header="0"/>
          <w:type w:val="continuous"/>
        </w:sectPr>
      </w:pPr>
    </w:p>
    <w:p>
      <w:pPr>
        <w:spacing w:after="0" w:line="17" w:lineRule="exact"/>
        <w:rPr>
          <w:sz w:val="20"/>
          <w:szCs w:val="20"/>
          <w:color w:val="auto"/>
        </w:rPr>
      </w:pPr>
    </w:p>
    <w:p>
      <w:pPr>
        <w:ind w:left="220" w:hanging="217"/>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205" w:lineRule="exact"/>
        <w:rPr>
          <w:sz w:val="20"/>
          <w:szCs w:val="20"/>
          <w:color w:val="auto"/>
        </w:rPr>
      </w:pPr>
    </w:p>
    <w:p>
      <w:pPr>
        <w:spacing w:after="0"/>
        <w:tabs>
          <w:tab w:leader="none" w:pos="4520" w:val="left"/>
        </w:tabs>
        <w:rPr>
          <w:sz w:val="20"/>
          <w:szCs w:val="20"/>
          <w:color w:val="auto"/>
        </w:rPr>
      </w:pPr>
      <w:r>
        <w:rPr>
          <w:rFonts w:ascii="Arial" w:cs="Arial" w:eastAsia="Arial" w:hAnsi="Arial"/>
          <w:sz w:val="17"/>
          <w:szCs w:val="17"/>
          <w:color w:val="auto"/>
        </w:rPr>
        <w:t>Date: June 12, 2019</w:t>
      </w:r>
      <w:r>
        <w:rPr>
          <w:sz w:val="20"/>
          <w:szCs w:val="20"/>
          <w:color w:val="auto"/>
        </w:rPr>
        <w:tab/>
      </w:r>
      <w:r>
        <w:rPr>
          <w:rFonts w:ascii="Arial" w:cs="Arial" w:eastAsia="Arial" w:hAnsi="Arial"/>
          <w:sz w:val="17"/>
          <w:szCs w:val="17"/>
          <w:color w:val="auto"/>
        </w:rPr>
        <w:t>FOOT LOCKER, INC.</w:t>
      </w:r>
    </w:p>
    <w:p>
      <w:pPr>
        <w:spacing w:after="0" w:line="372"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0</wp:posOffset>
            </wp:positionV>
            <wp:extent cx="28727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7"/>
          <w:szCs w:val="17"/>
          <w:color w:val="auto"/>
        </w:rPr>
        <w:t>LAUREN B. PETERS</w:t>
      </w:r>
    </w:p>
    <w:p>
      <w:pPr>
        <w:ind w:left="4540"/>
        <w:spacing w:after="0"/>
        <w:rPr>
          <w:sz w:val="20"/>
          <w:szCs w:val="20"/>
          <w:color w:val="auto"/>
        </w:rPr>
      </w:pPr>
      <w:r>
        <w:rPr>
          <w:rFonts w:ascii="Arial" w:cs="Arial" w:eastAsia="Arial" w:hAnsi="Arial"/>
          <w:sz w:val="17"/>
          <w:szCs w:val="17"/>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rPr>
          <w:sz w:val="20"/>
          <w:szCs w:val="20"/>
          <w:color w:val="auto"/>
        </w:rPr>
      </w:pPr>
      <w:r>
        <w:rPr>
          <w:rFonts w:ascii="Arial" w:cs="Arial" w:eastAsia="Arial" w:hAnsi="Arial"/>
          <w:sz w:val="18"/>
          <w:szCs w:val="18"/>
          <w:color w:val="auto"/>
        </w:rPr>
        <w:t>Foot Locker, Inc.:</w:t>
      </w:r>
    </w:p>
    <w:p>
      <w:pPr>
        <w:spacing w:after="0" w:line="22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hereby acknowledge our awareness of the use of our report dated June 12, 2019 related to our review of interim financial information in the following Registration Statements:</w:t>
      </w:r>
    </w:p>
    <w:p>
      <w:pPr>
        <w:spacing w:after="0" w:line="224" w:lineRule="exact"/>
        <w:rPr>
          <w:sz w:val="20"/>
          <w:szCs w:val="20"/>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33-10783</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33-91888</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33-91886</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33-97832</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333-07215</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333-21131</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333-62425</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333-33120</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333-41056</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333-41058</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333-74688</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333-99829</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333-111222</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333-121515</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333-144044</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333-149803</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S-3 No. 33-43334</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S-3 No. 33-86300</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S-3 No. 333-64930</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333-167066</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333-171523</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333-190680</w:t>
      </w:r>
    </w:p>
    <w:p>
      <w:pPr>
        <w:spacing w:after="0" w:line="9" w:lineRule="exact"/>
        <w:rPr>
          <w:rFonts w:ascii="Arial" w:cs="Arial" w:eastAsia="Arial" w:hAnsi="Arial"/>
          <w:sz w:val="18"/>
          <w:szCs w:val="18"/>
          <w:color w:val="auto"/>
        </w:rPr>
      </w:pPr>
    </w:p>
    <w:p>
      <w:pPr>
        <w:ind w:left="460" w:hanging="266"/>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S-8 No. 333-196899</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Rule 436(c) under the Securities Act of 1933 (the Act), such report is not considered a part of the registration statement prepared or certified by an independent registered public accounting firm or a report prepared or certified by an independent registered public accounting firm within the meaning of Sections 7 and 11 of the Act.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638873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Richard A. Johnson, certify that:</w:t>
      </w:r>
    </w:p>
    <w:p>
      <w:pPr>
        <w:spacing w:after="0" w:line="198" w:lineRule="exact"/>
        <w:rPr>
          <w:sz w:val="20"/>
          <w:szCs w:val="20"/>
          <w:color w:val="auto"/>
        </w:rPr>
      </w:pPr>
    </w:p>
    <w:p>
      <w:pPr>
        <w:ind w:left="641" w:hanging="641"/>
        <w:spacing w:after="0"/>
        <w:tabs>
          <w:tab w:leader="none" w:pos="6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41" w:hanging="641"/>
        <w:spacing w:after="0"/>
        <w:tabs>
          <w:tab w:leader="none" w:pos="8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41" w:hanging="641"/>
        <w:spacing w:after="0"/>
        <w:tabs>
          <w:tab w:leader="none" w:pos="6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641" w:hanging="641"/>
        <w:spacing w:after="0"/>
        <w:tabs>
          <w:tab w:leader="none" w:pos="6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1" w:hanging="652"/>
        <w:spacing w:after="0" w:line="239" w:lineRule="auto"/>
        <w:tabs>
          <w:tab w:leader="none" w:pos="133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1301" w:hanging="652"/>
        <w:spacing w:after="0" w:line="239" w:lineRule="auto"/>
        <w:tabs>
          <w:tab w:leader="none" w:pos="134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1301" w:hanging="652"/>
        <w:spacing w:after="0"/>
        <w:tabs>
          <w:tab w:leader="none" w:pos="1303"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1" w:hanging="652"/>
        <w:spacing w:after="0" w:line="239" w:lineRule="auto"/>
        <w:tabs>
          <w:tab w:leader="none" w:pos="1432"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jc w:val="both"/>
        <w:ind w:left="641" w:hanging="641"/>
        <w:spacing w:after="0"/>
        <w:tabs>
          <w:tab w:leader="none" w:pos="6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1" w:hanging="652"/>
        <w:spacing w:after="0"/>
        <w:tabs>
          <w:tab w:leader="none" w:pos="1293"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1" w:hanging="652"/>
        <w:spacing w:after="0" w:line="246" w:lineRule="auto"/>
        <w:tabs>
          <w:tab w:leader="none" w:pos="131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8"/>
          <w:szCs w:val="18"/>
          <w:color w:val="auto"/>
        </w:rPr>
        <w:t>June 12, 2019</w:t>
      </w:r>
    </w:p>
    <w:p>
      <w:pPr>
        <w:ind w:left="5041"/>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-1905</wp:posOffset>
            </wp:positionV>
            <wp:extent cx="31902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5041"/>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469265</wp:posOffset>
            </wp:positionV>
            <wp:extent cx="6388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ind w:left="1"/>
        <w:spacing w:after="0"/>
        <w:rPr>
          <w:sz w:val="20"/>
          <w:szCs w:val="20"/>
          <w:color w:val="auto"/>
        </w:rPr>
      </w:pPr>
      <w:r>
        <w:rPr>
          <w:rFonts w:ascii="Arial" w:cs="Arial" w:eastAsia="Arial" w:hAnsi="Arial"/>
          <w:sz w:val="18"/>
          <w:szCs w:val="18"/>
          <w:color w:val="auto"/>
        </w:rPr>
        <w:t>I, Lauren B. Peters, certify that:</w:t>
      </w:r>
    </w:p>
    <w:p>
      <w:pPr>
        <w:spacing w:after="0" w:line="198" w:lineRule="exact"/>
        <w:rPr>
          <w:sz w:val="20"/>
          <w:szCs w:val="20"/>
          <w:color w:val="auto"/>
        </w:rPr>
      </w:pPr>
    </w:p>
    <w:p>
      <w:pPr>
        <w:ind w:left="641" w:hanging="641"/>
        <w:spacing w:after="0"/>
        <w:tabs>
          <w:tab w:leader="none" w:pos="64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198" w:lineRule="exact"/>
        <w:rPr>
          <w:rFonts w:ascii="Arial" w:cs="Arial" w:eastAsia="Arial" w:hAnsi="Arial"/>
          <w:sz w:val="18"/>
          <w:szCs w:val="18"/>
          <w:color w:val="auto"/>
        </w:rPr>
      </w:pPr>
    </w:p>
    <w:p>
      <w:pPr>
        <w:jc w:val="both"/>
        <w:ind w:left="641" w:hanging="641"/>
        <w:spacing w:after="0"/>
        <w:tabs>
          <w:tab w:leader="none" w:pos="8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41" w:hanging="641"/>
        <w:spacing w:after="0"/>
        <w:tabs>
          <w:tab w:leader="none" w:pos="663"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641" w:hanging="641"/>
        <w:spacing w:after="0"/>
        <w:tabs>
          <w:tab w:leader="none" w:pos="6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1" w:hanging="652"/>
        <w:spacing w:after="0" w:line="239" w:lineRule="auto"/>
        <w:tabs>
          <w:tab w:leader="none" w:pos="136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1301" w:hanging="652"/>
        <w:spacing w:after="0" w:line="239" w:lineRule="auto"/>
        <w:tabs>
          <w:tab w:leader="none" w:pos="134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jc w:val="both"/>
        <w:ind w:left="1301" w:hanging="652"/>
        <w:spacing w:after="0"/>
        <w:tabs>
          <w:tab w:leader="none" w:pos="1303"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1" w:hanging="652"/>
        <w:spacing w:after="0" w:line="239" w:lineRule="auto"/>
        <w:tabs>
          <w:tab w:leader="none" w:pos="143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jc w:val="both"/>
        <w:ind w:left="641" w:hanging="641"/>
        <w:spacing w:after="0"/>
        <w:tabs>
          <w:tab w:leader="none" w:pos="6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1" w:hanging="652"/>
        <w:spacing w:after="0"/>
        <w:tabs>
          <w:tab w:leader="none" w:pos="132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1" w:hanging="652"/>
        <w:spacing w:after="0" w:line="246" w:lineRule="auto"/>
        <w:tabs>
          <w:tab w:leader="none" w:pos="134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8"/>
          <w:szCs w:val="18"/>
          <w:color w:val="auto"/>
        </w:rPr>
        <w:t>June 12, 2019</w:t>
      </w:r>
    </w:p>
    <w:p>
      <w:pPr>
        <w:ind w:left="5041"/>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-1905</wp:posOffset>
            </wp:positionV>
            <wp:extent cx="31902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5041"/>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469265</wp:posOffset>
            </wp:positionV>
            <wp:extent cx="63887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w:t>
      </w:r>
    </w:p>
    <w:p>
      <w:pPr>
        <w:spacing w:after="0" w:line="19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FOOT LOCKER, INC.</w:t>
      </w:r>
    </w:p>
    <w:p>
      <w:pPr>
        <w:spacing w:after="0" w:line="19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May 4, 2019, as filed with the Securities and Exchange Commission on the date hereof (the “Report”), Richard A. Johnson, as Chief Executive Officer of the Registrant and Lauren B. Peters, as Chief Financial Officer of the Registrant, each hereby certifies, pursuant to 18 U.S.C. Section 1350, as adopted pursuant to Section 906 of the Sarbanes-Oxley Act of 2002, that:</w:t>
      </w:r>
    </w:p>
    <w:p>
      <w:pPr>
        <w:spacing w:after="0" w:line="188" w:lineRule="exact"/>
        <w:rPr>
          <w:sz w:val="20"/>
          <w:szCs w:val="20"/>
          <w:color w:val="auto"/>
        </w:rPr>
      </w:pPr>
    </w:p>
    <w:p>
      <w:pPr>
        <w:ind w:left="520" w:hanging="326"/>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520" w:hanging="326"/>
        <w:spacing w:after="0" w:line="246" w:lineRule="auto"/>
        <w:tabs>
          <w:tab w:leader="none" w:pos="55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Dated: June 12, 2019</w:t>
      </w:r>
    </w:p>
    <w:p>
      <w:pPr>
        <w:ind w:left="5040"/>
        <w:spacing w:after="0"/>
        <w:rPr>
          <w:sz w:val="20"/>
          <w:szCs w:val="20"/>
          <w:color w:val="auto"/>
        </w:rPr>
      </w:pPr>
      <w:r>
        <w:rPr>
          <w:rFonts w:ascii="Arial" w:cs="Arial" w:eastAsia="Arial" w:hAnsi="Arial"/>
          <w:sz w:val="18"/>
          <w:szCs w:val="18"/>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-1905</wp:posOffset>
            </wp:positionV>
            <wp:extent cx="31902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Richard A. Johnson</w:t>
      </w:r>
    </w:p>
    <w:p>
      <w:pPr>
        <w:ind w:left="504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-1905</wp:posOffset>
            </wp:positionV>
            <wp:extent cx="31902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Lauren B. Peters</w:t>
      </w:r>
    </w:p>
    <w:p>
      <w:pPr>
        <w:ind w:left="504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63887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99</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rPr>
          <w:sz w:val="20"/>
          <w:szCs w:val="20"/>
          <w:color w:val="auto"/>
        </w:rPr>
      </w:pPr>
      <w:r>
        <w:rPr>
          <w:rFonts w:ascii="Arial" w:cs="Arial" w:eastAsia="Arial" w:hAnsi="Arial"/>
          <w:sz w:val="18"/>
          <w:szCs w:val="18"/>
          <w:color w:val="auto"/>
        </w:rPr>
        <w:t>Foot Locker, Inc.:</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reviewed the condensed consolidated balance sheets of Foot Locker, Inc. and subsidiaries (the Company) as of May 4, 2019 and May 5, 2018, the related condensed consolidated statements of operations and comprehensive income for the thirteen week periods ended May 4, 2019 and May 5, 2018, the related condensed consolidated statements of changes in shareholders’ equity and cash flows for the thirteen week periods ended May 4, 2019 and May 5, 2018,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February 2, 2019, and the related consolidated statements of operations, comprehensive income, shareholders’ equity, and cash flows for the year then ended (not presented herein); and in our report dated April 2, 2019, we expressed an unqualified opinion on those consolidated financial statements. In our opinion, the information set forth in the accompanying condensed consolidated balance sheet as of February 2, 2019, is fairly stated, in all material respects, in relation to the consolidated balance sheet from which it has been derived.</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discussed in Note 1 to the consolidated interim financial information, the Company changed its method of accounting for leases in 2019 due to the adoption of ASU No. 2016-02, Leases (Topic 842), as amended, effective February 3, 2019, using the optional transition method.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6388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51" Type="http://schemas.openxmlformats.org/officeDocument/2006/relationships/hyperlink" Target="http://www.sec.gov/Archives/edgar/data/850209/000153949719000850/exh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2019-12-28T11:15:03Z</dcterms:created>
  <dcterms:modified xsi:type="dcterms:W3CDTF">2019-12-28T11:15:03Z</dcterms:modified>
</cp:coreProperties>
</file>