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loc20230429c_10q.htm"/>
      <w:bookmarkStart w:id="1" w:name="ksfloc20230429c_10q"/>
      <w:bookmarkEnd w:id="0"/>
      <w:bookmarkEnd w:id="1"/>
      <w:r>
        <w:rPr/>
        <w:t xml:space="preserve">  </w:t>
      </w:r>
    </w:p>
    <w:p>
      <w:pPr>
        <w:pStyle w:val="TextBody"/>
        <w:bidi w:val="0"/>
        <w:spacing w:before="0" w:after="0"/>
        <w:ind w:left="0" w:right="0" w:hanging="0"/>
        <w:jc w:val="left"/>
        <w:rPr/>
      </w:pPr>
      <w:hyperlink w:anchor="toc">
        <w:r>
          <w:rPr>
            <w:rStyle w:val="InternetLink"/>
            <w:rFonts w:ascii="Arial;Helvetica;sans-serif" w:hAnsi="Arial;Helvetica;sans-serif"/>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UNITED STATES</w:t>
      </w:r>
    </w:p>
    <w:p>
      <w:pPr>
        <w:pStyle w:val="TextBody"/>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SECURITIES AND EXCHANGE COMMISSION</w:t>
      </w:r>
    </w:p>
    <w:p>
      <w:pPr>
        <w:pStyle w:val="TextBody"/>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24"/>
        </w:rPr>
      </w:pPr>
      <w:r>
        <w:rPr>
          <w:rFonts w:ascii="Arial;Helvetica;sans-serif" w:hAnsi="Arial;Helvetica;sans-serif"/>
          <w:b/>
          <w:caps w:val="false"/>
          <w:smallCaps w:val="false"/>
          <w:sz w:val="24"/>
        </w:rPr>
        <w:t>FORM</w:t>
      </w:r>
      <w:r>
        <w:rPr>
          <w:rFonts w:ascii="Arial;Helvetica;sans-serif" w:hAnsi="Arial;Helvetica;sans-serif"/>
          <w:caps w:val="false"/>
          <w:smallCaps w:val="false"/>
          <w:sz w:val="24"/>
        </w:rPr>
        <w:t> </w:t>
      </w:r>
      <w:r>
        <w:rPr>
          <w:rFonts w:ascii="Arial;Helvetica;sans-serif" w:hAnsi="Arial;Helvetica;sans-serif"/>
          <w:b/>
          <w:caps w:val="false"/>
          <w:smallCaps w:val="false"/>
          <w:sz w:val="24"/>
        </w:rPr>
        <w:t>10-Q</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(Mark One)</w:t>
      </w:r>
    </w:p>
    <w:p>
      <w:pPr>
        <w:pStyle w:val="TextBody"/>
        <w:bidi w:val="0"/>
        <w:spacing w:before="0" w:after="0"/>
        <w:ind w:left="0" w:right="0" w:hanging="0"/>
        <w:jc w:val="both"/>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60"/>
        <w:gridCol w:w="230"/>
        <w:gridCol w:w="924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45" w:type="dxa"/>
            <w:tcBorders/>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b/>
                <w:caps w:val="false"/>
                <w:smallCaps w:val="false"/>
                <w:sz w:val="18"/>
              </w:rPr>
              <w:t>QUARTERLY REPORT PURSUANT TO SECTION</w:t>
            </w:r>
            <w:r>
              <w:rPr>
                <w:rFonts w:ascii="Arial;Helvetica;sans-serif" w:hAnsi="Arial;Helvetica;sans-serif"/>
                <w:caps w:val="false"/>
                <w:smallCaps w:val="false"/>
                <w:sz w:val="18"/>
              </w:rPr>
              <w:t> </w:t>
            </w:r>
            <w:r>
              <w:rPr>
                <w:rFonts w:ascii="Arial;Helvetica;sans-serif" w:hAnsi="Arial;Helvetica;sans-serif"/>
                <w:b/>
                <w:caps w:val="false"/>
                <w:smallCaps w:val="false"/>
                <w:sz w:val="18"/>
              </w:rPr>
              <w:t>13 OR 15(d)</w:t>
            </w:r>
            <w:r>
              <w:rPr>
                <w:rFonts w:ascii="Arial;Helvetica;sans-serif" w:hAnsi="Arial;Helvetica;sans-serif"/>
                <w:caps w:val="false"/>
                <w:smallCaps w:val="false"/>
                <w:sz w:val="18"/>
              </w:rPr>
              <w:t> </w:t>
            </w:r>
            <w:r>
              <w:rPr>
                <w:rFonts w:ascii="Arial;Helvetica;sans-serif" w:hAnsi="Arial;Helvetica;sans-serif"/>
                <w:b/>
                <w:caps w:val="false"/>
                <w:smallCaps w:val="false"/>
                <w:sz w:val="18"/>
              </w:rPr>
              <w:t>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For the quarterly period ended: April 29,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OR</w:t>
      </w:r>
    </w:p>
    <w:p>
      <w:pPr>
        <w:pStyle w:val="TextBody"/>
        <w:bidi w:val="0"/>
        <w:spacing w:before="0" w:after="0"/>
        <w:ind w:left="0" w:right="0" w:hanging="0"/>
        <w:jc w:val="left"/>
        <w:rPr>
          <w:caps w:val="false"/>
          <w:smallCaps w:val="false"/>
        </w:rPr>
      </w:pPr>
      <w:r>
        <w:rPr>
          <w:caps w:val="false"/>
          <w:smallCaps w:val="false"/>
        </w:rPr>
        <w:t> </w:t>
      </w:r>
    </w:p>
    <w:tbl>
      <w:tblPr>
        <w:tblW w:w="9505" w:type="dxa"/>
        <w:jc w:val="left"/>
        <w:tblInd w:w="0" w:type="dxa"/>
        <w:tblLayout w:type="fixed"/>
        <w:tblCellMar>
          <w:top w:w="0" w:type="dxa"/>
          <w:left w:w="0" w:type="dxa"/>
          <w:bottom w:w="0" w:type="dxa"/>
          <w:right w:w="0" w:type="dxa"/>
        </w:tblCellMar>
      </w:tblPr>
      <w:tblGrid>
        <w:gridCol w:w="60"/>
        <w:gridCol w:w="230"/>
        <w:gridCol w:w="92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15" w:type="dxa"/>
            <w:tcBorders/>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b/>
                <w:caps w:val="false"/>
                <w:smallCaps w:val="false"/>
                <w:sz w:val="18"/>
              </w:rPr>
              <w:t>TRANSITION REPORT PURSUANT TO SECTION</w:t>
            </w:r>
            <w:r>
              <w:rPr>
                <w:rFonts w:ascii="Arial;Helvetica;sans-serif" w:hAnsi="Arial;Helvetica;sans-serif"/>
                <w:caps w:val="false"/>
                <w:smallCaps w:val="false"/>
                <w:sz w:val="18"/>
              </w:rPr>
              <w:t> </w:t>
            </w:r>
            <w:r>
              <w:rPr>
                <w:rFonts w:ascii="Arial;Helvetica;sans-serif" w:hAnsi="Arial;Helvetica;sans-serif"/>
                <w:b/>
                <w:caps w:val="false"/>
                <w:smallCaps w:val="false"/>
                <w:sz w:val="18"/>
              </w:rPr>
              <w:t>13 OR 15(d)</w:t>
            </w:r>
            <w:r>
              <w:rPr>
                <w:rFonts w:ascii="Arial;Helvetica;sans-serif" w:hAnsi="Arial;Helvetica;sans-serif"/>
                <w:caps w:val="false"/>
                <w:smallCaps w:val="false"/>
                <w:sz w:val="18"/>
              </w:rPr>
              <w:t> </w:t>
            </w:r>
            <w:r>
              <w:rPr>
                <w:rFonts w:ascii="Arial;Helvetica;sans-serif" w:hAnsi="Arial;Helvetica;sans-serif"/>
                <w:b/>
                <w:caps w:val="false"/>
                <w:smallCaps w:val="false"/>
                <w:sz w:val="18"/>
              </w:rPr>
              <w:t>OF THE SECURITIES</w:t>
            </w:r>
            <w:r>
              <w:rPr>
                <w:rFonts w:ascii="Arial;Helvetica;sans-serif" w:hAnsi="Arial;Helvetica;sans-serif"/>
                <w:caps w:val="false"/>
                <w:smallCaps w:val="false"/>
                <w:sz w:val="18"/>
              </w:rPr>
              <w:t> </w:t>
            </w:r>
            <w:r>
              <w:rPr>
                <w:rFonts w:ascii="Arial;Helvetica;sans-serif" w:hAnsi="Arial;Helvetica;sans-serif"/>
                <w:b/>
                <w:caps w:val="false"/>
                <w:smallCaps w:val="false"/>
                <w:sz w:val="18"/>
              </w:rPr>
              <w:t>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For the transition period from __________ to 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Commission File Number: 1-10299</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pPr>
      <w:r>
        <w:rPr/>
        <w:drawing>
          <wp:inline distT="0" distB="0" distL="0" distR="0">
            <wp:extent cx="2695575" cy="314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95575" cy="314325"/>
                    </a:xfrm>
                    <a:prstGeom prst="rect">
                      <a:avLst/>
                    </a:prstGeom>
                  </pic:spPr>
                </pic:pic>
              </a:graphicData>
            </a:graphic>
          </wp:inline>
        </w:drawing>
      </w:r>
      <w:r>
        <w:rPr/>
        <w:t xml:space="preserve"> </w:t>
      </w:r>
    </w:p>
    <w:p>
      <w:pPr>
        <w:pStyle w:val="TextBody"/>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4760"/>
        <w:gridCol w:w="2810"/>
      </w:tblGrid>
      <w:tr>
        <w:trPr/>
        <w:tc>
          <w:tcPr>
            <w:tcW w:w="4760" w:type="dxa"/>
            <w:tcBorders/>
            <w:vAlign w:val="center"/>
          </w:tcPr>
          <w:p>
            <w:pPr>
              <w:pStyle w:val="TableContents"/>
              <w:bidi w:val="0"/>
              <w:spacing w:before="0" w:after="0"/>
              <w:ind w:left="18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New York</w:t>
            </w:r>
          </w:p>
        </w:tc>
        <w:tc>
          <w:tcPr>
            <w:tcW w:w="2810" w:type="dxa"/>
            <w:tcBorders/>
            <w:vAlign w:val="center"/>
          </w:tcPr>
          <w:p>
            <w:pPr>
              <w:pStyle w:val="TableContents"/>
              <w:bidi w:val="0"/>
              <w:spacing w:before="0" w:after="0"/>
              <w:ind w:left="18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13-3513936</w:t>
            </w:r>
          </w:p>
        </w:tc>
      </w:tr>
      <w:tr>
        <w:trPr/>
        <w:tc>
          <w:tcPr>
            <w:tcW w:w="4760" w:type="dxa"/>
            <w:tcBorders/>
            <w:vAlign w:val="center"/>
          </w:tcPr>
          <w:p>
            <w:pPr>
              <w:pStyle w:val="TableContents"/>
              <w:bidi w:val="0"/>
              <w:spacing w:before="0" w:after="0"/>
              <w:ind w:left="18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(State or other jurisdiction of incorporation or organization)</w:t>
            </w:r>
          </w:p>
        </w:tc>
        <w:tc>
          <w:tcPr>
            <w:tcW w:w="2810" w:type="dxa"/>
            <w:tcBorders/>
            <w:vAlign w:val="center"/>
          </w:tcPr>
          <w:p>
            <w:pPr>
              <w:pStyle w:val="TableContents"/>
              <w:bidi w:val="0"/>
              <w:spacing w:before="0" w:after="0"/>
              <w:ind w:left="18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center"/>
        <w:rPr>
          <w:rFonts w:ascii="Arial;Helvetica;sans-serif" w:hAnsi="Arial;Helvetica;sans-serif"/>
          <w:caps w:val="false"/>
          <w:smallCaps w:val="false"/>
          <w:sz w:val="18"/>
        </w:rPr>
      </w:pPr>
      <w:r>
        <w:rPr>
          <w:rFonts w:ascii="Arial;Helvetica;sans-serif" w:hAnsi="Arial;Helvetica;sans-serif"/>
          <w:b/>
          <w:caps w:val="false"/>
          <w:smallCaps w:val="false"/>
          <w:sz w:val="18"/>
        </w:rPr>
        <w:t>330 West 34th</w:t>
      </w:r>
      <w:r>
        <w:rPr>
          <w:rFonts w:ascii="Arial;Helvetica;sans-serif" w:hAnsi="Arial;Helvetica;sans-serif"/>
          <w:caps w:val="false"/>
          <w:smallCaps w:val="false"/>
          <w:sz w:val="18"/>
        </w:rPr>
        <w:t xml:space="preserve"> </w:t>
      </w:r>
      <w:r>
        <w:rPr>
          <w:rFonts w:ascii="Arial;Helvetica;sans-serif" w:hAnsi="Arial;Helvetica;sans-serif"/>
          <w:b/>
          <w:caps w:val="false"/>
          <w:smallCaps w:val="false"/>
          <w:sz w:val="18"/>
        </w:rPr>
        <w:t>Street, New York, New York 10001</w:t>
      </w:r>
    </w:p>
    <w:p>
      <w:pPr>
        <w:pStyle w:val="TextBody"/>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(Address of principal executive offices, Zip Code)</w:t>
      </w:r>
    </w:p>
    <w:p>
      <w:pPr>
        <w:pStyle w:val="TextBody"/>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(212-720-3700)</w:t>
      </w:r>
    </w:p>
    <w:p>
      <w:pPr>
        <w:pStyle w:val="TextBody"/>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tbl>
      <w:tblPr>
        <w:tblW w:w="8055" w:type="dxa"/>
        <w:jc w:val="left"/>
        <w:tblInd w:w="-7" w:type="dxa"/>
        <w:tblLayout w:type="fixed"/>
        <w:tblCellMar>
          <w:top w:w="28" w:type="dxa"/>
          <w:left w:w="28" w:type="dxa"/>
          <w:bottom w:w="28" w:type="dxa"/>
          <w:right w:w="28" w:type="dxa"/>
        </w:tblCellMar>
      </w:tblPr>
      <w:tblGrid>
        <w:gridCol w:w="2645"/>
        <w:gridCol w:w="1580"/>
        <w:gridCol w:w="3830"/>
      </w:tblGrid>
      <w:tr>
        <w:trPr/>
        <w:tc>
          <w:tcPr>
            <w:tcW w:w="26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18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Title of each class</w:t>
            </w:r>
          </w:p>
        </w:tc>
        <w:tc>
          <w:tcPr>
            <w:tcW w:w="158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18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Trading Symbol(s)</w:t>
            </w:r>
          </w:p>
        </w:tc>
        <w:tc>
          <w:tcPr>
            <w:tcW w:w="383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18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Name of each exchange on which registered</w:t>
            </w:r>
          </w:p>
        </w:tc>
      </w:tr>
      <w:tr>
        <w:trPr/>
        <w:tc>
          <w:tcPr>
            <w:tcW w:w="26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Common Stock, par value $0.01</w:t>
            </w:r>
          </w:p>
        </w:tc>
        <w:tc>
          <w:tcPr>
            <w:tcW w:w="158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center"/>
              <w:rPr>
                <w:caps w:val="false"/>
                <w:smallCaps w:val="false"/>
              </w:rPr>
            </w:pPr>
            <w:r>
              <w:rPr>
                <w:caps w:val="false"/>
                <w:smallCaps w:val="false"/>
              </w:rPr>
              <w:t>​</w:t>
            </w:r>
            <w:r>
              <w:rPr>
                <w:rFonts w:ascii="Arial;Helvetica;sans-serif" w:hAnsi="Arial;Helvetica;sans-serif"/>
                <w:caps w:val="false"/>
                <w:smallCaps w:val="false"/>
                <w:sz w:val="18"/>
              </w:rPr>
              <w:t>FL</w:t>
            </w:r>
          </w:p>
        </w:tc>
        <w:tc>
          <w:tcPr>
            <w:tcW w:w="38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8"/>
        </w:rPr>
      </w:pPr>
      <w:r>
        <w:rPr>
          <w:rFonts w:ascii="Arial;Helvetica;sans-serif" w:hAnsi="Arial;Helvetica;sans-serif"/>
          <w:caps w:val="false"/>
          <w:smallCaps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8"/>
        </w:rPr>
      </w:pPr>
      <w:r>
        <w:rPr>
          <w:rFonts w:ascii="Arial;Helvetica;sans-serif" w:hAnsi="Arial;Helvetica;sans-serif"/>
          <w:caps w:val="false"/>
          <w:smallCaps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8"/>
        </w:rPr>
      </w:pPr>
      <w:r>
        <w:rPr>
          <w:rFonts w:ascii="Arial;Helvetica;sans-serif" w:hAnsi="Arial;Helvetica;sans-serif"/>
          <w:caps w:val="false"/>
          <w:smallCaps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8390" w:type="dxa"/>
        <w:jc w:val="left"/>
        <w:tblInd w:w="0" w:type="dxa"/>
        <w:tblLayout w:type="fixed"/>
        <w:tblCellMar>
          <w:top w:w="0" w:type="dxa"/>
          <w:left w:w="0" w:type="dxa"/>
          <w:bottom w:w="0" w:type="dxa"/>
          <w:right w:w="0" w:type="dxa"/>
        </w:tblCellMar>
      </w:tblPr>
      <w:tblGrid>
        <w:gridCol w:w="2420"/>
        <w:gridCol w:w="1550"/>
        <w:gridCol w:w="1985"/>
        <w:gridCol w:w="2435"/>
      </w:tblGrid>
      <w:tr>
        <w:trPr/>
        <w:tc>
          <w:tcPr>
            <w:tcW w:w="242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Large accelerated filer ☒</w:t>
            </w:r>
          </w:p>
        </w:tc>
        <w:tc>
          <w:tcPr>
            <w:tcW w:w="155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Accelerated filer ☐</w:t>
            </w:r>
          </w:p>
        </w:tc>
        <w:tc>
          <w:tcPr>
            <w:tcW w:w="198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Non-accelerated filer  ☐</w:t>
            </w:r>
          </w:p>
        </w:tc>
        <w:tc>
          <w:tcPr>
            <w:tcW w:w="24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Smaller reporting company ☐</w:t>
            </w:r>
          </w:p>
        </w:tc>
      </w:tr>
      <w:tr>
        <w:trPr/>
        <w:tc>
          <w:tcPr>
            <w:tcW w:w="242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8"/>
              </w:rPr>
            </w:pPr>
            <w:r>
              <w:rPr>
                <w:rFonts w:ascii="Arial;Helvetica;sans-serif" w:hAnsi="Arial;Helvetica;sans-serif"/>
                <w:caps w:val="false"/>
                <w:smallCaps w:val="false"/>
                <w:sz w:val="18"/>
              </w:rPr>
              <w:t>Emerging growth company ☐</w:t>
            </w:r>
          </w:p>
        </w:tc>
        <w:tc>
          <w:tcPr>
            <w:tcW w:w="155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4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8"/>
        </w:rPr>
      </w:pPr>
      <w:r>
        <w:rPr>
          <w:rFonts w:ascii="Arial;Helvetica;sans-serif" w:hAnsi="Arial;Helvetica;sans-serif"/>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8"/>
        </w:rPr>
      </w:pPr>
      <w:r>
        <w:rPr>
          <w:rFonts w:ascii="Arial;Helvetica;sans-serif" w:hAnsi="Arial;Helvetica;sans-serif"/>
          <w:caps w:val="false"/>
          <w:smallCaps w:val="false"/>
          <w:sz w:val="18"/>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8"/>
        </w:rPr>
      </w:pPr>
      <w:r>
        <w:rPr>
          <w:rFonts w:ascii="Arial;Helvetica;sans-serif" w:hAnsi="Arial;Helvetica;sans-serif"/>
          <w:caps w:val="false"/>
          <w:smallCaps w:val="false"/>
          <w:sz w:val="18"/>
        </w:rPr>
        <w:t>Number of shares of Common Stock outstanding as of May 26, 2023: 93,923,900</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center"/>
        <w:rPr/>
      </w:pPr>
      <w:r>
        <w:rPr/>
        <w:t xml:space="preserve">  </w:t>
      </w:r>
    </w:p>
    <w:p>
      <w:pPr>
        <w:pStyle w:val="TextBody"/>
        <w:bidi w:val="0"/>
        <w:spacing w:before="0" w:after="0"/>
        <w:jc w:val="left"/>
        <w:rPr/>
      </w:pPr>
      <w:r>
        <w:rPr/>
        <w:t xml:space="preserve">  </w:t>
      </w:r>
    </w:p>
    <w:p>
      <w:pPr>
        <w:pStyle w:val="TextBody"/>
        <w:bidi w:val="0"/>
        <w:jc w:val="center"/>
        <w:rPr/>
      </w:pPr>
      <w:r>
        <w:rPr/>
        <w:drawing>
          <wp:inline distT="0" distB="0" distL="0" distR="0">
            <wp:extent cx="2695575" cy="314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695575" cy="3143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bookmarkStart w:id="2" w:name="toc"/>
      <w:bookmarkEnd w:id="2"/>
      <w:r>
        <w:rPr>
          <w:rFonts w:ascii="Arial;Helvetica;sans-serif" w:hAnsi="Arial;Helvetica;sans-serif"/>
          <w:b/>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755" w:type="dxa"/>
        <w:jc w:val="left"/>
        <w:tblInd w:w="0" w:type="dxa"/>
        <w:tblLayout w:type="fixed"/>
        <w:tblCellMar>
          <w:top w:w="0" w:type="dxa"/>
          <w:left w:w="0" w:type="dxa"/>
          <w:bottom w:w="28" w:type="dxa"/>
          <w:right w:w="0" w:type="dxa"/>
        </w:tblCellMar>
      </w:tblPr>
      <w:tblGrid>
        <w:gridCol w:w="740"/>
        <w:gridCol w:w="770"/>
        <w:gridCol w:w="7760"/>
        <w:gridCol w:w="485"/>
      </w:tblGrid>
      <w:tr>
        <w:trPr/>
        <w:tc>
          <w:tcPr>
            <w:tcW w:w="740" w:type="dxa"/>
            <w:tcBorders>
              <w:bottom w:val="single" w:sz="2" w:space="0" w:color="000000"/>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0" w:type="dxa"/>
            <w:tcBorders>
              <w:bottom w:val="single" w:sz="2" w:space="0" w:color="000000"/>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60" w:type="dxa"/>
            <w:tcBorders>
              <w:bottom w:val="single" w:sz="2" w:space="0" w:color="000000"/>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5"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Page</w:t>
            </w:r>
          </w:p>
        </w:tc>
      </w:tr>
      <w:tr>
        <w:trPr/>
        <w:tc>
          <w:tcPr>
            <w:tcW w:w="740" w:type="dxa"/>
            <w:tcBorders/>
            <w:shd w:fill="CCEEFF" w:val="clear"/>
            <w:tcMar>
              <w:bottom w:w="0" w:type="dxa"/>
            </w:tcMar>
            <w:vAlign w:val="center"/>
          </w:tcPr>
          <w:p>
            <w:pPr>
              <w:pStyle w:val="TableContents"/>
              <w:bidi w:val="0"/>
              <w:spacing w:before="0" w:after="0"/>
              <w:ind w:left="0" w:right="0" w:hanging="0"/>
              <w:jc w:val="both"/>
              <w:rPr/>
            </w:pPr>
            <w:hyperlink w:anchor="part_one">
              <w:r>
                <w:rPr>
                  <w:rStyle w:val="InternetLink"/>
                  <w:rFonts w:ascii="Arial;Helvetica;sans-serif" w:hAnsi="Arial;Helvetica;sans-serif"/>
                  <w:caps w:val="false"/>
                  <w:smallCaps w:val="false"/>
                  <w:sz w:val="20"/>
                </w:rPr>
                <w:t>PART I</w:t>
              </w:r>
            </w:hyperlink>
          </w:p>
        </w:tc>
        <w:tc>
          <w:tcPr>
            <w:tcW w:w="8530" w:type="dxa"/>
            <w:gridSpan w:val="2"/>
            <w:tcBorders/>
            <w:shd w:fill="CCEEFF" w:val="clear"/>
            <w:tcMar>
              <w:bottom w:w="0" w:type="dxa"/>
            </w:tcMar>
            <w:vAlign w:val="center"/>
          </w:tcPr>
          <w:p>
            <w:pPr>
              <w:pStyle w:val="TableContents"/>
              <w:bidi w:val="0"/>
              <w:spacing w:before="0" w:after="0"/>
              <w:ind w:left="0" w:right="0" w:hanging="0"/>
              <w:jc w:val="left"/>
              <w:rPr/>
            </w:pPr>
            <w:hyperlink w:anchor="part_one">
              <w:r>
                <w:rPr>
                  <w:rStyle w:val="InternetLink"/>
                  <w:rFonts w:ascii="Arial;Helvetica;sans-serif" w:hAnsi="Arial;Helvetica;sans-serif"/>
                  <w:caps w:val="false"/>
                  <w:smallCaps w:val="false"/>
                  <w:sz w:val="20"/>
                </w:rPr>
                <w:t>FINANCIAL INFORMATION</w:t>
              </w:r>
            </w:hyperlink>
          </w:p>
        </w:tc>
        <w:tc>
          <w:tcPr>
            <w:tcW w:w="485" w:type="dxa"/>
            <w:tcBorders/>
            <w:shd w:fill="CCEEFF" w:val="clear"/>
            <w:tcMar>
              <w:bottom w:w="0" w:type="dxa"/>
            </w:tcMar>
            <w:vAlign w:val="center"/>
          </w:tcPr>
          <w:p>
            <w:pPr>
              <w:pStyle w:val="TableContents"/>
              <w:bidi w:val="0"/>
              <w:spacing w:before="0" w:after="0"/>
              <w:ind w:left="0" w:right="0" w:hanging="0"/>
              <w:jc w:val="center"/>
              <w:rPr/>
            </w:pPr>
            <w:hyperlink w:anchor="part_one">
              <w:r>
                <w:rPr>
                  <w:rStyle w:val="InternetLink"/>
                  <w:rFonts w:ascii="Arial;Helvetica;sans-serif" w:hAnsi="Arial;Helvetica;sans-serif"/>
                  <w:caps w:val="false"/>
                  <w:smallCaps w:val="false"/>
                  <w:sz w:val="20"/>
                </w:rPr>
                <w:t>1</w:t>
              </w:r>
            </w:hyperlink>
          </w:p>
        </w:tc>
      </w:tr>
      <w:tr>
        <w:trPr/>
        <w:tc>
          <w:tcPr>
            <w:tcW w:w="74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0" w:type="dxa"/>
            <w:tcBorders/>
            <w:shd w:fill="FFFFFF" w:val="clear"/>
            <w:tcMar>
              <w:bottom w:w="0" w:type="dxa"/>
            </w:tcMar>
            <w:vAlign w:val="center"/>
          </w:tcPr>
          <w:p>
            <w:pPr>
              <w:pStyle w:val="TableContents"/>
              <w:bidi w:val="0"/>
              <w:spacing w:before="0" w:after="0"/>
              <w:ind w:left="0" w:right="0" w:hanging="0"/>
              <w:jc w:val="left"/>
              <w:rPr/>
            </w:pPr>
            <w:hyperlink w:anchor="part_one">
              <w:r>
                <w:rPr>
                  <w:rStyle w:val="InternetLink"/>
                  <w:rFonts w:ascii="Arial;Helvetica;sans-serif" w:hAnsi="Arial;Helvetica;sans-serif"/>
                  <w:caps w:val="false"/>
                  <w:smallCaps w:val="false"/>
                  <w:sz w:val="20"/>
                </w:rPr>
                <w:t>Item 1.</w:t>
              </w:r>
            </w:hyperlink>
          </w:p>
        </w:tc>
        <w:tc>
          <w:tcPr>
            <w:tcW w:w="7760" w:type="dxa"/>
            <w:tcBorders/>
            <w:shd w:fill="FFFFFF" w:val="clear"/>
            <w:tcMar>
              <w:bottom w:w="0" w:type="dxa"/>
            </w:tcMar>
            <w:vAlign w:val="center"/>
          </w:tcPr>
          <w:p>
            <w:pPr>
              <w:pStyle w:val="TableContents"/>
              <w:bidi w:val="0"/>
              <w:spacing w:before="0" w:after="0"/>
              <w:ind w:left="20" w:right="0" w:hanging="20"/>
              <w:jc w:val="left"/>
              <w:rPr/>
            </w:pPr>
            <w:hyperlink w:anchor="part_one">
              <w:r>
                <w:rPr>
                  <w:rStyle w:val="InternetLink"/>
                  <w:rFonts w:ascii="Arial;Helvetica;sans-serif" w:hAnsi="Arial;Helvetica;sans-serif"/>
                  <w:caps w:val="false"/>
                  <w:smallCaps w:val="false"/>
                  <w:sz w:val="20"/>
                </w:rPr>
                <w:t>Financial Statements</w:t>
              </w:r>
            </w:hyperlink>
            <w:r>
              <w:rPr>
                <w:rFonts w:ascii="Arial;Helvetica;sans-serif" w:hAnsi="Arial;Helvetica;sans-serif"/>
                <w:caps w:val="false"/>
                <w:smallCaps w:val="false"/>
                <w:sz w:val="20"/>
              </w:rPr>
              <w:t xml:space="preserve"> (Unaudited)</w:t>
            </w:r>
          </w:p>
        </w:tc>
        <w:tc>
          <w:tcPr>
            <w:tcW w:w="485" w:type="dxa"/>
            <w:tcBorders/>
            <w:shd w:fill="FFFFFF" w:val="clear"/>
            <w:tcMar>
              <w:bottom w:w="0" w:type="dxa"/>
            </w:tcMar>
            <w:vAlign w:val="center"/>
          </w:tcPr>
          <w:p>
            <w:pPr>
              <w:pStyle w:val="TableContents"/>
              <w:bidi w:val="0"/>
              <w:spacing w:before="0" w:after="0"/>
              <w:ind w:left="0" w:right="0" w:hanging="0"/>
              <w:jc w:val="center"/>
              <w:rPr/>
            </w:pPr>
            <w:hyperlink w:anchor="part_one">
              <w:r>
                <w:rPr>
                  <w:rStyle w:val="InternetLink"/>
                  <w:rFonts w:ascii="Arial;Helvetica;sans-serif" w:hAnsi="Arial;Helvetica;sans-serif"/>
                  <w:caps w:val="false"/>
                  <w:smallCaps w:val="false"/>
                  <w:sz w:val="20"/>
                </w:rPr>
                <w:t>1</w:t>
              </w:r>
            </w:hyperlink>
          </w:p>
        </w:tc>
      </w:tr>
      <w:tr>
        <w:trPr/>
        <w:tc>
          <w:tcPr>
            <w:tcW w:w="74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60" w:type="dxa"/>
            <w:tcBorders/>
            <w:shd w:fill="CCEEFF" w:val="clear"/>
            <w:tcMar>
              <w:bottom w:w="0" w:type="dxa"/>
            </w:tcMar>
            <w:vAlign w:val="center"/>
          </w:tcPr>
          <w:p>
            <w:pPr>
              <w:pStyle w:val="TableContents"/>
              <w:bidi w:val="0"/>
              <w:spacing w:before="0" w:after="0"/>
              <w:ind w:left="20" w:right="0" w:hanging="20"/>
              <w:jc w:val="left"/>
              <w:rPr/>
            </w:pPr>
            <w:hyperlink w:anchor="bs">
              <w:r>
                <w:rPr>
                  <w:rStyle w:val="InternetLink"/>
                  <w:rFonts w:ascii="Arial;Helvetica;sans-serif" w:hAnsi="Arial;Helvetica;sans-serif"/>
                  <w:caps w:val="false"/>
                  <w:smallCaps w:val="false"/>
                  <w:sz w:val="20"/>
                </w:rPr>
                <w:t>Condensed Consolidated Balance Sheets</w:t>
              </w:r>
            </w:hyperlink>
            <w:r>
              <w:rPr>
                <w:rFonts w:ascii="Arial;Helvetica;sans-serif" w:hAnsi="Arial;Helvetica;sans-serif"/>
                <w:caps w:val="false"/>
                <w:smallCaps w:val="false"/>
                <w:sz w:val="20"/>
              </w:rPr>
              <w:t xml:space="preserve"> (Unaudited)</w:t>
            </w:r>
          </w:p>
        </w:tc>
        <w:tc>
          <w:tcPr>
            <w:tcW w:w="485" w:type="dxa"/>
            <w:tcBorders/>
            <w:shd w:fill="CCEEFF" w:val="clear"/>
            <w:tcMar>
              <w:bottom w:w="0" w:type="dxa"/>
            </w:tcMar>
            <w:vAlign w:val="center"/>
          </w:tcPr>
          <w:p>
            <w:pPr>
              <w:pStyle w:val="TableContents"/>
              <w:bidi w:val="0"/>
              <w:spacing w:before="0" w:after="0"/>
              <w:ind w:left="0" w:right="0" w:hanging="0"/>
              <w:jc w:val="center"/>
              <w:rPr/>
            </w:pPr>
            <w:hyperlink w:anchor="part_one">
              <w:r>
                <w:rPr>
                  <w:rStyle w:val="InternetLink"/>
                  <w:rFonts w:ascii="Arial;Helvetica;sans-serif" w:hAnsi="Arial;Helvetica;sans-serif"/>
                  <w:caps w:val="false"/>
                  <w:smallCaps w:val="false"/>
                  <w:sz w:val="20"/>
                </w:rPr>
                <w:t>1</w:t>
              </w:r>
            </w:hyperlink>
          </w:p>
        </w:tc>
      </w:tr>
      <w:tr>
        <w:trPr/>
        <w:tc>
          <w:tcPr>
            <w:tcW w:w="74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60" w:type="dxa"/>
            <w:tcBorders/>
            <w:shd w:fill="FFFFFF" w:val="clear"/>
            <w:tcMar>
              <w:bottom w:w="0" w:type="dxa"/>
            </w:tcMar>
            <w:vAlign w:val="center"/>
          </w:tcPr>
          <w:p>
            <w:pPr>
              <w:pStyle w:val="TableContents"/>
              <w:bidi w:val="0"/>
              <w:spacing w:before="0" w:after="0"/>
              <w:ind w:left="20" w:right="0" w:hanging="20"/>
              <w:jc w:val="left"/>
              <w:rPr/>
            </w:pPr>
            <w:hyperlink w:anchor="sop">
              <w:r>
                <w:rPr>
                  <w:rStyle w:val="InternetLink"/>
                  <w:rFonts w:ascii="Arial;Helvetica;sans-serif" w:hAnsi="Arial;Helvetica;sans-serif"/>
                  <w:caps w:val="false"/>
                  <w:smallCaps w:val="false"/>
                  <w:sz w:val="20"/>
                </w:rPr>
                <w:t>Condensed Consolidated Statements of Operations</w:t>
              </w:r>
            </w:hyperlink>
            <w:r>
              <w:rPr>
                <w:rFonts w:ascii="Arial;Helvetica;sans-serif" w:hAnsi="Arial;Helvetica;sans-serif"/>
                <w:caps w:val="false"/>
                <w:smallCaps w:val="false"/>
                <w:sz w:val="20"/>
              </w:rPr>
              <w:t xml:space="preserve"> (Unaudited)</w:t>
            </w:r>
          </w:p>
        </w:tc>
        <w:tc>
          <w:tcPr>
            <w:tcW w:w="485" w:type="dxa"/>
            <w:tcBorders/>
            <w:shd w:fill="FFFFFF" w:val="clear"/>
            <w:tcMar>
              <w:bottom w:w="0" w:type="dxa"/>
            </w:tcMar>
            <w:vAlign w:val="center"/>
          </w:tcPr>
          <w:p>
            <w:pPr>
              <w:pStyle w:val="TableContents"/>
              <w:bidi w:val="0"/>
              <w:spacing w:before="0" w:after="0"/>
              <w:ind w:left="0" w:right="0" w:hanging="0"/>
              <w:jc w:val="center"/>
              <w:rPr/>
            </w:pPr>
            <w:hyperlink w:anchor="sop">
              <w:r>
                <w:rPr>
                  <w:rStyle w:val="InternetLink"/>
                  <w:rFonts w:ascii="Arial;Helvetica;sans-serif" w:hAnsi="Arial;Helvetica;sans-serif"/>
                  <w:caps w:val="false"/>
                  <w:smallCaps w:val="false"/>
                  <w:sz w:val="20"/>
                </w:rPr>
                <w:t>2</w:t>
              </w:r>
            </w:hyperlink>
          </w:p>
        </w:tc>
      </w:tr>
      <w:tr>
        <w:trPr/>
        <w:tc>
          <w:tcPr>
            <w:tcW w:w="74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60" w:type="dxa"/>
            <w:tcBorders/>
            <w:shd w:fill="CCEEFF" w:val="clear"/>
            <w:tcMar>
              <w:bottom w:w="0" w:type="dxa"/>
            </w:tcMar>
            <w:vAlign w:val="center"/>
          </w:tcPr>
          <w:p>
            <w:pPr>
              <w:pStyle w:val="TableContents"/>
              <w:bidi w:val="0"/>
              <w:spacing w:before="0" w:after="0"/>
              <w:ind w:left="20" w:right="0" w:hanging="20"/>
              <w:jc w:val="left"/>
              <w:rPr/>
            </w:pPr>
            <w:hyperlink w:anchor="soci">
              <w:r>
                <w:rPr>
                  <w:rStyle w:val="InternetLink"/>
                  <w:rFonts w:ascii="Arial;Helvetica;sans-serif" w:hAnsi="Arial;Helvetica;sans-serif"/>
                  <w:caps w:val="false"/>
                  <w:smallCaps w:val="false"/>
                  <w:sz w:val="20"/>
                </w:rPr>
                <w:t>Condensed Consolidated Statements of Comprehensive Income</w:t>
              </w:r>
            </w:hyperlink>
            <w:r>
              <w:rPr>
                <w:rFonts w:ascii="Arial;Helvetica;sans-serif" w:hAnsi="Arial;Helvetica;sans-serif"/>
                <w:caps w:val="false"/>
                <w:smallCaps w:val="false"/>
                <w:sz w:val="20"/>
              </w:rPr>
              <w:t xml:space="preserve"> (Unaudited)</w:t>
            </w:r>
          </w:p>
        </w:tc>
        <w:tc>
          <w:tcPr>
            <w:tcW w:w="485" w:type="dxa"/>
            <w:tcBorders/>
            <w:shd w:fill="CCEEFF" w:val="clear"/>
            <w:tcMar>
              <w:bottom w:w="0" w:type="dxa"/>
            </w:tcMar>
            <w:vAlign w:val="center"/>
          </w:tcPr>
          <w:p>
            <w:pPr>
              <w:pStyle w:val="TableContents"/>
              <w:bidi w:val="0"/>
              <w:spacing w:before="0" w:after="0"/>
              <w:ind w:left="0" w:right="0" w:hanging="0"/>
              <w:jc w:val="center"/>
              <w:rPr/>
            </w:pPr>
            <w:hyperlink w:anchor="soci">
              <w:r>
                <w:rPr>
                  <w:rStyle w:val="InternetLink"/>
                  <w:rFonts w:ascii="Arial;Helvetica;sans-serif" w:hAnsi="Arial;Helvetica;sans-serif"/>
                  <w:caps w:val="false"/>
                  <w:smallCaps w:val="false"/>
                  <w:sz w:val="20"/>
                </w:rPr>
                <w:t>3</w:t>
              </w:r>
            </w:hyperlink>
          </w:p>
        </w:tc>
      </w:tr>
      <w:tr>
        <w:trPr/>
        <w:tc>
          <w:tcPr>
            <w:tcW w:w="74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60" w:type="dxa"/>
            <w:tcBorders/>
            <w:shd w:fill="FFFFFF" w:val="clear"/>
            <w:tcMar>
              <w:bottom w:w="0" w:type="dxa"/>
            </w:tcMar>
            <w:vAlign w:val="center"/>
          </w:tcPr>
          <w:p>
            <w:pPr>
              <w:pStyle w:val="TableContents"/>
              <w:bidi w:val="0"/>
              <w:spacing w:before="0" w:after="0"/>
              <w:ind w:left="20" w:right="0" w:hanging="20"/>
              <w:jc w:val="left"/>
              <w:rPr/>
            </w:pPr>
            <w:hyperlink w:anchor="se">
              <w:r>
                <w:rPr>
                  <w:rStyle w:val="InternetLink"/>
                  <w:rFonts w:ascii="Arial;Helvetica;sans-serif" w:hAnsi="Arial;Helvetica;sans-serif"/>
                  <w:caps w:val="false"/>
                  <w:smallCaps w:val="false"/>
                  <w:sz w:val="20"/>
                </w:rPr>
                <w:t>Condensed Consolidated Statements of Changes in Shareholders’ Equity</w:t>
              </w:r>
            </w:hyperlink>
            <w:r>
              <w:rPr>
                <w:rFonts w:ascii="Arial;Helvetica;sans-serif" w:hAnsi="Arial;Helvetica;sans-serif"/>
                <w:caps w:val="false"/>
                <w:smallCaps w:val="false"/>
                <w:sz w:val="20"/>
              </w:rPr>
              <w:t xml:space="preserve"> (Unaudited)</w:t>
            </w:r>
          </w:p>
        </w:tc>
        <w:tc>
          <w:tcPr>
            <w:tcW w:w="485" w:type="dxa"/>
            <w:tcBorders/>
            <w:shd w:fill="FFFFFF" w:val="clear"/>
            <w:tcMar>
              <w:bottom w:w="0" w:type="dxa"/>
            </w:tcMar>
            <w:vAlign w:val="center"/>
          </w:tcPr>
          <w:p>
            <w:pPr>
              <w:pStyle w:val="TableContents"/>
              <w:bidi w:val="0"/>
              <w:spacing w:before="0" w:after="0"/>
              <w:ind w:left="0" w:right="0" w:hanging="0"/>
              <w:jc w:val="center"/>
              <w:rPr/>
            </w:pPr>
            <w:hyperlink w:anchor="se">
              <w:r>
                <w:rPr>
                  <w:rStyle w:val="InternetLink"/>
                  <w:rFonts w:ascii="Arial;Helvetica;sans-serif" w:hAnsi="Arial;Helvetica;sans-serif"/>
                  <w:caps w:val="false"/>
                  <w:smallCaps w:val="false"/>
                  <w:sz w:val="20"/>
                </w:rPr>
                <w:t>4</w:t>
              </w:r>
            </w:hyperlink>
          </w:p>
        </w:tc>
      </w:tr>
      <w:tr>
        <w:trPr/>
        <w:tc>
          <w:tcPr>
            <w:tcW w:w="74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60" w:type="dxa"/>
            <w:tcBorders/>
            <w:shd w:fill="CCEEFF" w:val="clear"/>
            <w:tcMar>
              <w:bottom w:w="0" w:type="dxa"/>
            </w:tcMar>
            <w:vAlign w:val="center"/>
          </w:tcPr>
          <w:p>
            <w:pPr>
              <w:pStyle w:val="TableContents"/>
              <w:bidi w:val="0"/>
              <w:spacing w:before="0" w:after="0"/>
              <w:ind w:left="20" w:right="0" w:hanging="20"/>
              <w:jc w:val="left"/>
              <w:rPr/>
            </w:pPr>
            <w:hyperlink w:anchor="cf">
              <w:r>
                <w:rPr>
                  <w:rStyle w:val="InternetLink"/>
                  <w:rFonts w:ascii="Arial;Helvetica;sans-serif" w:hAnsi="Arial;Helvetica;sans-serif"/>
                  <w:caps w:val="false"/>
                  <w:smallCaps w:val="false"/>
                  <w:sz w:val="20"/>
                </w:rPr>
                <w:t>Condensed Consolidated Statements of Cash Flows</w:t>
              </w:r>
            </w:hyperlink>
            <w:r>
              <w:rPr>
                <w:rFonts w:ascii="Arial;Helvetica;sans-serif" w:hAnsi="Arial;Helvetica;sans-serif"/>
                <w:caps w:val="false"/>
                <w:smallCaps w:val="false"/>
                <w:sz w:val="20"/>
              </w:rPr>
              <w:t xml:space="preserve"> (Unaudited)</w:t>
            </w:r>
          </w:p>
        </w:tc>
        <w:tc>
          <w:tcPr>
            <w:tcW w:w="485" w:type="dxa"/>
            <w:tcBorders/>
            <w:shd w:fill="CCEEFF" w:val="clear"/>
            <w:tcMar>
              <w:bottom w:w="0" w:type="dxa"/>
            </w:tcMar>
            <w:vAlign w:val="center"/>
          </w:tcPr>
          <w:p>
            <w:pPr>
              <w:pStyle w:val="TableContents"/>
              <w:bidi w:val="0"/>
              <w:spacing w:before="0" w:after="0"/>
              <w:ind w:left="0" w:right="0" w:hanging="0"/>
              <w:jc w:val="center"/>
              <w:rPr/>
            </w:pPr>
            <w:hyperlink w:anchor="cf">
              <w:r>
                <w:rPr>
                  <w:rStyle w:val="InternetLink"/>
                  <w:rFonts w:ascii="Arial;Helvetica;sans-serif" w:hAnsi="Arial;Helvetica;sans-serif"/>
                  <w:caps w:val="false"/>
                  <w:smallCaps w:val="false"/>
                  <w:sz w:val="20"/>
                </w:rPr>
                <w:t>5</w:t>
              </w:r>
            </w:hyperlink>
          </w:p>
        </w:tc>
      </w:tr>
      <w:tr>
        <w:trPr/>
        <w:tc>
          <w:tcPr>
            <w:tcW w:w="74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60" w:type="dxa"/>
            <w:tcBorders/>
            <w:shd w:fill="FFFFFF" w:val="clear"/>
            <w:tcMar>
              <w:bottom w:w="0" w:type="dxa"/>
            </w:tcMar>
            <w:vAlign w:val="center"/>
          </w:tcPr>
          <w:p>
            <w:pPr>
              <w:pStyle w:val="TableContents"/>
              <w:bidi w:val="0"/>
              <w:spacing w:before="0" w:after="0"/>
              <w:ind w:left="20" w:right="0" w:hanging="20"/>
              <w:jc w:val="left"/>
              <w:rPr/>
            </w:pPr>
            <w:hyperlink w:anchor="notes">
              <w:r>
                <w:rPr>
                  <w:rStyle w:val="InternetLink"/>
                  <w:rFonts w:ascii="Arial;Helvetica;sans-serif" w:hAnsi="Arial;Helvetica;sans-serif"/>
                  <w:caps w:val="false"/>
                  <w:smallCaps w:val="false"/>
                  <w:sz w:val="20"/>
                </w:rPr>
                <w:t>Notes to the Unaudited Condensed Consolidated Financial Statements</w:t>
              </w:r>
            </w:hyperlink>
            <w:r>
              <w:rPr>
                <w:rFonts w:ascii="Arial;Helvetica;sans-serif" w:hAnsi="Arial;Helvetica;sans-serif"/>
                <w:caps w:val="false"/>
                <w:smallCaps w:val="false"/>
                <w:sz w:val="20"/>
              </w:rPr>
              <w:t xml:space="preserve"> (Unaudited)</w:t>
            </w:r>
          </w:p>
        </w:tc>
        <w:tc>
          <w:tcPr>
            <w:tcW w:w="485" w:type="dxa"/>
            <w:tcBorders/>
            <w:shd w:fill="FFFFFF" w:val="clear"/>
            <w:tcMar>
              <w:bottom w:w="0" w:type="dxa"/>
            </w:tcMar>
            <w:vAlign w:val="center"/>
          </w:tcPr>
          <w:p>
            <w:pPr>
              <w:pStyle w:val="TableContents"/>
              <w:bidi w:val="0"/>
              <w:spacing w:before="0" w:after="0"/>
              <w:ind w:left="0" w:right="0" w:hanging="0"/>
              <w:jc w:val="center"/>
              <w:rPr/>
            </w:pPr>
            <w:hyperlink w:anchor="notes">
              <w:r>
                <w:rPr>
                  <w:rStyle w:val="InternetLink"/>
                  <w:rFonts w:ascii="Arial;Helvetica;sans-serif" w:hAnsi="Arial;Helvetica;sans-serif"/>
                  <w:caps w:val="false"/>
                  <w:smallCaps w:val="false"/>
                  <w:sz w:val="20"/>
                </w:rPr>
                <w:t>6</w:t>
              </w:r>
            </w:hyperlink>
          </w:p>
        </w:tc>
      </w:tr>
      <w:tr>
        <w:trPr/>
        <w:tc>
          <w:tcPr>
            <w:tcW w:w="74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0" w:type="dxa"/>
            <w:tcBorders/>
            <w:shd w:fill="CCEEFF" w:val="clear"/>
            <w:tcMar>
              <w:bottom w:w="0" w:type="dxa"/>
            </w:tcMar>
            <w:vAlign w:val="center"/>
          </w:tcPr>
          <w:p>
            <w:pPr>
              <w:pStyle w:val="TableContents"/>
              <w:bidi w:val="0"/>
              <w:spacing w:before="0" w:after="0"/>
              <w:ind w:left="0" w:right="0" w:hanging="0"/>
              <w:jc w:val="left"/>
              <w:rPr/>
            </w:pPr>
            <w:hyperlink w:anchor="item_two">
              <w:r>
                <w:rPr>
                  <w:rStyle w:val="InternetLink"/>
                  <w:rFonts w:ascii="Arial;Helvetica;sans-serif" w:hAnsi="Arial;Helvetica;sans-serif"/>
                  <w:caps w:val="false"/>
                  <w:smallCaps w:val="false"/>
                  <w:sz w:val="20"/>
                </w:rPr>
                <w:t>Item 2.</w:t>
              </w:r>
            </w:hyperlink>
          </w:p>
        </w:tc>
        <w:tc>
          <w:tcPr>
            <w:tcW w:w="7760" w:type="dxa"/>
            <w:tcBorders/>
            <w:shd w:fill="CCEEFF" w:val="clear"/>
            <w:tcMar>
              <w:bottom w:w="0" w:type="dxa"/>
            </w:tcMar>
            <w:vAlign w:val="center"/>
          </w:tcPr>
          <w:p>
            <w:pPr>
              <w:pStyle w:val="TableContents"/>
              <w:bidi w:val="0"/>
              <w:spacing w:before="0" w:after="0"/>
              <w:ind w:left="0" w:right="0" w:hanging="0"/>
              <w:jc w:val="left"/>
              <w:rPr/>
            </w:pPr>
            <w:hyperlink w:anchor="item_two">
              <w:r>
                <w:rPr>
                  <w:rStyle w:val="InternetLink"/>
                  <w:rFonts w:ascii="Arial;Helvetica;sans-serif" w:hAnsi="Arial;Helvetica;sans-serif"/>
                  <w:caps w:val="false"/>
                  <w:smallCaps w:val="false"/>
                  <w:sz w:val="20"/>
                </w:rPr>
                <w:t>Management’s Discussion and Analysis of Financial Condition and Results of Operations</w:t>
              </w:r>
            </w:hyperlink>
          </w:p>
        </w:tc>
        <w:tc>
          <w:tcPr>
            <w:tcW w:w="485" w:type="dxa"/>
            <w:tcBorders/>
            <w:shd w:fill="CCEEFF" w:val="clear"/>
            <w:tcMar>
              <w:bottom w:w="0" w:type="dxa"/>
            </w:tcMar>
            <w:vAlign w:val="center"/>
          </w:tcPr>
          <w:p>
            <w:pPr>
              <w:pStyle w:val="TableContents"/>
              <w:bidi w:val="0"/>
              <w:spacing w:before="0" w:after="0"/>
              <w:ind w:left="0" w:right="0" w:hanging="0"/>
              <w:jc w:val="center"/>
              <w:rPr/>
            </w:pPr>
            <w:hyperlink w:anchor="item_two">
              <w:r>
                <w:rPr>
                  <w:rStyle w:val="InternetLink"/>
                  <w:rFonts w:ascii="Arial;Helvetica;sans-serif" w:hAnsi="Arial;Helvetica;sans-serif"/>
                  <w:caps w:val="false"/>
                  <w:smallCaps w:val="false"/>
                  <w:sz w:val="20"/>
                </w:rPr>
                <w:t>15</w:t>
              </w:r>
            </w:hyperlink>
          </w:p>
        </w:tc>
      </w:tr>
      <w:tr>
        <w:trPr/>
        <w:tc>
          <w:tcPr>
            <w:tcW w:w="740" w:type="dxa"/>
            <w:tcBorders/>
            <w:shd w:fill="FFFFFF" w:val="clear"/>
            <w:tcMar>
              <w:bottom w:w="0" w:type="dxa"/>
            </w:tcMar>
            <w:vAlign w:val="center"/>
          </w:tcPr>
          <w:p>
            <w:pPr>
              <w:pStyle w:val="TableContents"/>
              <w:bidi w:val="0"/>
              <w:spacing w:before="0" w:after="283"/>
              <w:jc w:val="left"/>
              <w:rPr/>
            </w:pPr>
            <w:r>
              <w:rPr/>
              <w:t> </w:t>
            </w:r>
          </w:p>
        </w:tc>
        <w:tc>
          <w:tcPr>
            <w:tcW w:w="770" w:type="dxa"/>
            <w:tcBorders/>
            <w:shd w:fill="FFFFFF" w:val="clear"/>
            <w:tcMar>
              <w:bottom w:w="0" w:type="dxa"/>
            </w:tcMar>
            <w:vAlign w:val="center"/>
          </w:tcPr>
          <w:p>
            <w:pPr>
              <w:pStyle w:val="TableContents"/>
              <w:bidi w:val="0"/>
              <w:spacing w:before="0" w:after="283"/>
              <w:jc w:val="left"/>
              <w:rPr/>
            </w:pPr>
            <w:hyperlink w:anchor="Item_3_Quant">
              <w:r>
                <w:rPr>
                  <w:rStyle w:val="InternetLink"/>
                  <w:rFonts w:ascii="Arial;Helvetica;sans-serif" w:hAnsi="Arial;Helvetica;sans-serif"/>
                  <w:sz w:val="20"/>
                </w:rPr>
                <w:t>Item 3.</w:t>
              </w:r>
            </w:hyperlink>
          </w:p>
        </w:tc>
        <w:tc>
          <w:tcPr>
            <w:tcW w:w="7760" w:type="dxa"/>
            <w:tcBorders/>
            <w:shd w:fill="FFFFFF" w:val="clear"/>
            <w:tcMar>
              <w:bottom w:w="0" w:type="dxa"/>
            </w:tcMar>
            <w:vAlign w:val="center"/>
          </w:tcPr>
          <w:p>
            <w:pPr>
              <w:pStyle w:val="TableContents"/>
              <w:bidi w:val="0"/>
              <w:spacing w:before="0" w:after="283"/>
              <w:jc w:val="left"/>
              <w:rPr/>
            </w:pPr>
            <w:hyperlink w:anchor="Item_3_Quant">
              <w:r>
                <w:rPr>
                  <w:rStyle w:val="InternetLink"/>
                  <w:rFonts w:ascii="Arial;Helvetica;sans-serif" w:hAnsi="Arial;Helvetica;sans-serif"/>
                  <w:sz w:val="20"/>
                </w:rPr>
                <w:t>Quantitative and Qualitative Disclosures About Market Risk</w:t>
              </w:r>
            </w:hyperlink>
          </w:p>
        </w:tc>
        <w:tc>
          <w:tcPr>
            <w:tcW w:w="485" w:type="dxa"/>
            <w:tcBorders/>
            <w:shd w:fill="FFFFFF" w:val="clear"/>
            <w:tcMar>
              <w:bottom w:w="0" w:type="dxa"/>
            </w:tcMar>
            <w:vAlign w:val="center"/>
          </w:tcPr>
          <w:p>
            <w:pPr>
              <w:pStyle w:val="TableContents"/>
              <w:bidi w:val="0"/>
              <w:spacing w:before="0" w:after="283"/>
              <w:jc w:val="center"/>
              <w:rPr/>
            </w:pPr>
            <w:hyperlink w:anchor="Item_3_Quant">
              <w:r>
                <w:rPr>
                  <w:rStyle w:val="InternetLink"/>
                  <w:rFonts w:ascii="Arial;Helvetica;sans-serif" w:hAnsi="Arial;Helvetica;sans-serif"/>
                  <w:sz w:val="20"/>
                </w:rPr>
                <w:t>23</w:t>
              </w:r>
            </w:hyperlink>
          </w:p>
        </w:tc>
      </w:tr>
      <w:tr>
        <w:trPr/>
        <w:tc>
          <w:tcPr>
            <w:tcW w:w="74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0" w:type="dxa"/>
            <w:tcBorders/>
            <w:shd w:fill="CCEEFF" w:val="clear"/>
            <w:tcMar>
              <w:bottom w:w="0" w:type="dxa"/>
            </w:tcMar>
            <w:vAlign w:val="center"/>
          </w:tcPr>
          <w:p>
            <w:pPr>
              <w:pStyle w:val="TableContents"/>
              <w:bidi w:val="0"/>
              <w:spacing w:before="0" w:after="0"/>
              <w:ind w:left="0" w:right="0" w:hanging="0"/>
              <w:jc w:val="left"/>
              <w:rPr/>
            </w:pPr>
            <w:hyperlink w:anchor="item_four">
              <w:r>
                <w:rPr>
                  <w:rStyle w:val="InternetLink"/>
                  <w:rFonts w:ascii="Arial;Helvetica;sans-serif" w:hAnsi="Arial;Helvetica;sans-serif"/>
                  <w:caps w:val="false"/>
                  <w:smallCaps w:val="false"/>
                  <w:sz w:val="20"/>
                </w:rPr>
                <w:t>Item 4.</w:t>
              </w:r>
            </w:hyperlink>
          </w:p>
        </w:tc>
        <w:tc>
          <w:tcPr>
            <w:tcW w:w="7760" w:type="dxa"/>
            <w:tcBorders/>
            <w:shd w:fill="CCEEFF" w:val="clear"/>
            <w:tcMar>
              <w:bottom w:w="0" w:type="dxa"/>
            </w:tcMar>
            <w:vAlign w:val="center"/>
          </w:tcPr>
          <w:p>
            <w:pPr>
              <w:pStyle w:val="TableContents"/>
              <w:bidi w:val="0"/>
              <w:spacing w:before="0" w:after="0"/>
              <w:ind w:left="0" w:right="0" w:hanging="0"/>
              <w:jc w:val="left"/>
              <w:rPr/>
            </w:pPr>
            <w:hyperlink w:anchor="item_four">
              <w:r>
                <w:rPr>
                  <w:rStyle w:val="InternetLink"/>
                  <w:rFonts w:ascii="Arial;Helvetica;sans-serif" w:hAnsi="Arial;Helvetica;sans-serif"/>
                  <w:caps w:val="false"/>
                  <w:smallCaps w:val="false"/>
                  <w:sz w:val="20"/>
                </w:rPr>
                <w:t>Controls and Procedures</w:t>
              </w:r>
            </w:hyperlink>
          </w:p>
        </w:tc>
        <w:tc>
          <w:tcPr>
            <w:tcW w:w="485" w:type="dxa"/>
            <w:tcBorders/>
            <w:shd w:fill="CCEEFF" w:val="clear"/>
            <w:tcMar>
              <w:bottom w:w="0" w:type="dxa"/>
            </w:tcMar>
            <w:vAlign w:val="center"/>
          </w:tcPr>
          <w:p>
            <w:pPr>
              <w:pStyle w:val="TableContents"/>
              <w:bidi w:val="0"/>
              <w:spacing w:before="0" w:after="0"/>
              <w:ind w:left="0" w:right="0" w:hanging="0"/>
              <w:jc w:val="center"/>
              <w:rPr/>
            </w:pPr>
            <w:hyperlink w:anchor="item_four">
              <w:r>
                <w:rPr>
                  <w:rStyle w:val="InternetLink"/>
                  <w:rFonts w:ascii="Arial;Helvetica;sans-serif" w:hAnsi="Arial;Helvetica;sans-serif"/>
                  <w:caps w:val="false"/>
                  <w:smallCaps w:val="false"/>
                  <w:sz w:val="20"/>
                </w:rPr>
                <w:t>23</w:t>
              </w:r>
            </w:hyperlink>
          </w:p>
        </w:tc>
      </w:tr>
      <w:tr>
        <w:trPr/>
        <w:tc>
          <w:tcPr>
            <w:tcW w:w="74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48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40" w:type="dxa"/>
            <w:tcBorders/>
            <w:shd w:fill="CCEEFF" w:val="clear"/>
            <w:tcMar>
              <w:bottom w:w="0" w:type="dxa"/>
            </w:tcMar>
            <w:vAlign w:val="center"/>
          </w:tcPr>
          <w:p>
            <w:pPr>
              <w:pStyle w:val="TableContents"/>
              <w:bidi w:val="0"/>
              <w:spacing w:before="0" w:after="0"/>
              <w:ind w:left="0" w:right="0" w:hanging="0"/>
              <w:jc w:val="both"/>
              <w:rPr/>
            </w:pPr>
            <w:hyperlink w:anchor="part_ii">
              <w:r>
                <w:rPr>
                  <w:rStyle w:val="InternetLink"/>
                  <w:rFonts w:ascii="Arial;Helvetica;sans-serif" w:hAnsi="Arial;Helvetica;sans-serif"/>
                  <w:caps w:val="false"/>
                  <w:smallCaps w:val="false"/>
                  <w:sz w:val="20"/>
                </w:rPr>
                <w:t>PART II</w:t>
              </w:r>
            </w:hyperlink>
          </w:p>
        </w:tc>
        <w:tc>
          <w:tcPr>
            <w:tcW w:w="8530" w:type="dxa"/>
            <w:gridSpan w:val="2"/>
            <w:tcBorders/>
            <w:shd w:fill="CCEEFF" w:val="clear"/>
            <w:tcMar>
              <w:bottom w:w="0" w:type="dxa"/>
            </w:tcMar>
            <w:vAlign w:val="center"/>
          </w:tcPr>
          <w:p>
            <w:pPr>
              <w:pStyle w:val="TableContents"/>
              <w:bidi w:val="0"/>
              <w:spacing w:before="0" w:after="0"/>
              <w:ind w:left="0" w:right="0" w:hanging="0"/>
              <w:jc w:val="left"/>
              <w:rPr/>
            </w:pPr>
            <w:hyperlink w:anchor="part_ii">
              <w:r>
                <w:rPr>
                  <w:rStyle w:val="InternetLink"/>
                  <w:rFonts w:ascii="Arial;Helvetica;sans-serif" w:hAnsi="Arial;Helvetica;sans-serif"/>
                  <w:caps w:val="false"/>
                  <w:smallCaps w:val="false"/>
                  <w:sz w:val="20"/>
                </w:rPr>
                <w:t>OTHER INFORMATION</w:t>
              </w:r>
            </w:hyperlink>
          </w:p>
        </w:tc>
        <w:tc>
          <w:tcPr>
            <w:tcW w:w="485" w:type="dxa"/>
            <w:tcBorders/>
            <w:shd w:fill="CCEEFF" w:val="clear"/>
            <w:tcMar>
              <w:bottom w:w="0" w:type="dxa"/>
            </w:tcMar>
            <w:vAlign w:val="center"/>
          </w:tcPr>
          <w:p>
            <w:pPr>
              <w:pStyle w:val="TableContents"/>
              <w:bidi w:val="0"/>
              <w:spacing w:before="0" w:after="0"/>
              <w:ind w:left="0" w:right="0" w:hanging="0"/>
              <w:jc w:val="center"/>
              <w:rPr/>
            </w:pPr>
            <w:hyperlink w:anchor="part_ii">
              <w:r>
                <w:rPr>
                  <w:rStyle w:val="InternetLink"/>
                  <w:rFonts w:ascii="Arial;Helvetica;sans-serif" w:hAnsi="Arial;Helvetica;sans-serif"/>
                  <w:caps w:val="false"/>
                  <w:smallCaps w:val="false"/>
                  <w:sz w:val="20"/>
                </w:rPr>
                <w:t>24</w:t>
              </w:r>
            </w:hyperlink>
          </w:p>
        </w:tc>
      </w:tr>
      <w:tr>
        <w:trPr/>
        <w:tc>
          <w:tcPr>
            <w:tcW w:w="74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0" w:type="dxa"/>
            <w:tcBorders/>
            <w:shd w:fill="FFFFFF" w:val="clear"/>
            <w:tcMar>
              <w:bottom w:w="0" w:type="dxa"/>
            </w:tcMar>
            <w:vAlign w:val="center"/>
          </w:tcPr>
          <w:p>
            <w:pPr>
              <w:pStyle w:val="TableContents"/>
              <w:bidi w:val="0"/>
              <w:spacing w:before="0" w:after="0"/>
              <w:ind w:left="0" w:right="0" w:hanging="0"/>
              <w:jc w:val="left"/>
              <w:rPr/>
            </w:pPr>
            <w:hyperlink w:anchor="legal">
              <w:r>
                <w:rPr>
                  <w:rStyle w:val="InternetLink"/>
                  <w:rFonts w:ascii="Arial;Helvetica;sans-serif" w:hAnsi="Arial;Helvetica;sans-serif"/>
                  <w:caps w:val="false"/>
                  <w:smallCaps w:val="false"/>
                  <w:sz w:val="20"/>
                </w:rPr>
                <w:t>Item 1.</w:t>
              </w:r>
            </w:hyperlink>
          </w:p>
        </w:tc>
        <w:tc>
          <w:tcPr>
            <w:tcW w:w="7760" w:type="dxa"/>
            <w:tcBorders/>
            <w:shd w:fill="FFFFFF" w:val="clear"/>
            <w:tcMar>
              <w:bottom w:w="0" w:type="dxa"/>
            </w:tcMar>
            <w:vAlign w:val="center"/>
          </w:tcPr>
          <w:p>
            <w:pPr>
              <w:pStyle w:val="TableContents"/>
              <w:bidi w:val="0"/>
              <w:spacing w:before="0" w:after="0"/>
              <w:ind w:left="0" w:right="0" w:hanging="0"/>
              <w:jc w:val="left"/>
              <w:rPr/>
            </w:pPr>
            <w:hyperlink w:anchor="legal">
              <w:r>
                <w:rPr>
                  <w:rStyle w:val="InternetLink"/>
                  <w:rFonts w:ascii="Arial;Helvetica;sans-serif" w:hAnsi="Arial;Helvetica;sans-serif"/>
                  <w:caps w:val="false"/>
                  <w:smallCaps w:val="false"/>
                  <w:sz w:val="20"/>
                </w:rPr>
                <w:t>Legal Proceedings</w:t>
              </w:r>
            </w:hyperlink>
          </w:p>
        </w:tc>
        <w:tc>
          <w:tcPr>
            <w:tcW w:w="485" w:type="dxa"/>
            <w:tcBorders/>
            <w:shd w:fill="FFFFFF" w:val="clear"/>
            <w:tcMar>
              <w:bottom w:w="0" w:type="dxa"/>
            </w:tcMar>
            <w:vAlign w:val="center"/>
          </w:tcPr>
          <w:p>
            <w:pPr>
              <w:pStyle w:val="TableContents"/>
              <w:bidi w:val="0"/>
              <w:spacing w:before="0" w:after="0"/>
              <w:ind w:left="0" w:right="0" w:hanging="0"/>
              <w:jc w:val="center"/>
              <w:rPr/>
            </w:pPr>
            <w:hyperlink w:anchor="legal">
              <w:r>
                <w:rPr>
                  <w:rStyle w:val="InternetLink"/>
                  <w:rFonts w:ascii="Arial;Helvetica;sans-serif" w:hAnsi="Arial;Helvetica;sans-serif"/>
                  <w:caps w:val="false"/>
                  <w:smallCaps w:val="false"/>
                  <w:sz w:val="20"/>
                </w:rPr>
                <w:t>24</w:t>
              </w:r>
            </w:hyperlink>
          </w:p>
        </w:tc>
      </w:tr>
      <w:tr>
        <w:trPr/>
        <w:tc>
          <w:tcPr>
            <w:tcW w:w="74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0" w:type="dxa"/>
            <w:tcBorders/>
            <w:shd w:fill="CCEEFF" w:val="clear"/>
            <w:tcMar>
              <w:bottom w:w="0" w:type="dxa"/>
            </w:tcMar>
            <w:vAlign w:val="center"/>
          </w:tcPr>
          <w:p>
            <w:pPr>
              <w:pStyle w:val="TableContents"/>
              <w:bidi w:val="0"/>
              <w:spacing w:before="0" w:after="0"/>
              <w:ind w:left="0" w:right="0" w:hanging="0"/>
              <w:jc w:val="left"/>
              <w:rPr/>
            </w:pPr>
            <w:hyperlink w:anchor="risk">
              <w:r>
                <w:rPr>
                  <w:rStyle w:val="InternetLink"/>
                  <w:rFonts w:ascii="Arial;Helvetica;sans-serif" w:hAnsi="Arial;Helvetica;sans-serif"/>
                  <w:caps w:val="false"/>
                  <w:smallCaps w:val="false"/>
                  <w:sz w:val="20"/>
                </w:rPr>
                <w:t>Item 1A.</w:t>
              </w:r>
            </w:hyperlink>
          </w:p>
        </w:tc>
        <w:tc>
          <w:tcPr>
            <w:tcW w:w="7760" w:type="dxa"/>
            <w:tcBorders/>
            <w:shd w:fill="CCEEFF" w:val="clear"/>
            <w:tcMar>
              <w:bottom w:w="0" w:type="dxa"/>
            </w:tcMar>
            <w:vAlign w:val="center"/>
          </w:tcPr>
          <w:p>
            <w:pPr>
              <w:pStyle w:val="TableContents"/>
              <w:bidi w:val="0"/>
              <w:spacing w:before="0" w:after="0"/>
              <w:ind w:left="0" w:right="0" w:hanging="0"/>
              <w:jc w:val="left"/>
              <w:rPr/>
            </w:pPr>
            <w:hyperlink w:anchor="risk">
              <w:r>
                <w:rPr>
                  <w:rStyle w:val="InternetLink"/>
                  <w:rFonts w:ascii="Arial;Helvetica;sans-serif" w:hAnsi="Arial;Helvetica;sans-serif"/>
                  <w:caps w:val="false"/>
                  <w:smallCaps w:val="false"/>
                  <w:sz w:val="20"/>
                </w:rPr>
                <w:t>Risk Factors</w:t>
              </w:r>
            </w:hyperlink>
          </w:p>
        </w:tc>
        <w:tc>
          <w:tcPr>
            <w:tcW w:w="485" w:type="dxa"/>
            <w:tcBorders/>
            <w:shd w:fill="CCEEFF" w:val="clear"/>
            <w:tcMar>
              <w:bottom w:w="0" w:type="dxa"/>
            </w:tcMar>
            <w:vAlign w:val="center"/>
          </w:tcPr>
          <w:p>
            <w:pPr>
              <w:pStyle w:val="TableContents"/>
              <w:bidi w:val="0"/>
              <w:spacing w:before="0" w:after="0"/>
              <w:ind w:left="0" w:right="0" w:hanging="0"/>
              <w:jc w:val="center"/>
              <w:rPr/>
            </w:pPr>
            <w:hyperlink w:anchor="risk">
              <w:r>
                <w:rPr>
                  <w:rStyle w:val="InternetLink"/>
                  <w:rFonts w:ascii="Arial;Helvetica;sans-serif" w:hAnsi="Arial;Helvetica;sans-serif"/>
                  <w:caps w:val="false"/>
                  <w:smallCaps w:val="false"/>
                  <w:sz w:val="20"/>
                </w:rPr>
                <w:t>24</w:t>
              </w:r>
            </w:hyperlink>
          </w:p>
        </w:tc>
      </w:tr>
      <w:tr>
        <w:trPr/>
        <w:tc>
          <w:tcPr>
            <w:tcW w:w="74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0" w:type="dxa"/>
            <w:tcBorders/>
            <w:shd w:fill="FFFFFF" w:val="clear"/>
            <w:tcMar>
              <w:bottom w:w="0" w:type="dxa"/>
            </w:tcMar>
            <w:vAlign w:val="center"/>
          </w:tcPr>
          <w:p>
            <w:pPr>
              <w:pStyle w:val="TableContents"/>
              <w:bidi w:val="0"/>
              <w:spacing w:before="0" w:after="0"/>
              <w:ind w:left="0" w:right="0" w:hanging="0"/>
              <w:jc w:val="left"/>
              <w:rPr/>
            </w:pPr>
            <w:hyperlink w:anchor="unregistered">
              <w:r>
                <w:rPr>
                  <w:rStyle w:val="InternetLink"/>
                  <w:rFonts w:ascii="Arial;Helvetica;sans-serif" w:hAnsi="Arial;Helvetica;sans-serif"/>
                  <w:caps w:val="false"/>
                  <w:smallCaps w:val="false"/>
                  <w:sz w:val="20"/>
                </w:rPr>
                <w:t>Item 2.</w:t>
              </w:r>
            </w:hyperlink>
          </w:p>
        </w:tc>
        <w:tc>
          <w:tcPr>
            <w:tcW w:w="7760" w:type="dxa"/>
            <w:tcBorders/>
            <w:shd w:fill="FFFFFF" w:val="clear"/>
            <w:tcMar>
              <w:bottom w:w="0" w:type="dxa"/>
            </w:tcMar>
            <w:vAlign w:val="center"/>
          </w:tcPr>
          <w:p>
            <w:pPr>
              <w:pStyle w:val="TableContents"/>
              <w:bidi w:val="0"/>
              <w:spacing w:before="0" w:after="0"/>
              <w:ind w:left="0" w:right="0" w:hanging="0"/>
              <w:jc w:val="left"/>
              <w:rPr/>
            </w:pPr>
            <w:hyperlink w:anchor="unregistered">
              <w:r>
                <w:rPr>
                  <w:rStyle w:val="InternetLink"/>
                  <w:rFonts w:ascii="Arial;Helvetica;sans-serif" w:hAnsi="Arial;Helvetica;sans-serif"/>
                  <w:caps w:val="false"/>
                  <w:smallCaps w:val="false"/>
                  <w:sz w:val="20"/>
                </w:rPr>
                <w:t>Unregistered Sales of Equity Securities and Use of Proceeds</w:t>
              </w:r>
            </w:hyperlink>
          </w:p>
        </w:tc>
        <w:tc>
          <w:tcPr>
            <w:tcW w:w="485" w:type="dxa"/>
            <w:tcBorders/>
            <w:shd w:fill="FFFFFF" w:val="clear"/>
            <w:tcMar>
              <w:bottom w:w="0" w:type="dxa"/>
            </w:tcMar>
            <w:vAlign w:val="center"/>
          </w:tcPr>
          <w:p>
            <w:pPr>
              <w:pStyle w:val="TableContents"/>
              <w:bidi w:val="0"/>
              <w:spacing w:before="0" w:after="0"/>
              <w:ind w:left="0" w:right="0" w:hanging="0"/>
              <w:jc w:val="center"/>
              <w:rPr/>
            </w:pPr>
            <w:hyperlink w:anchor="unregistered">
              <w:r>
                <w:rPr>
                  <w:rStyle w:val="InternetLink"/>
                  <w:rFonts w:ascii="Arial;Helvetica;sans-serif" w:hAnsi="Arial;Helvetica;sans-serif"/>
                  <w:caps w:val="false"/>
                  <w:smallCaps w:val="false"/>
                  <w:sz w:val="20"/>
                </w:rPr>
                <w:t>24</w:t>
              </w:r>
            </w:hyperlink>
          </w:p>
        </w:tc>
      </w:tr>
      <w:tr>
        <w:trPr/>
        <w:tc>
          <w:tcPr>
            <w:tcW w:w="74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left"/>
              <w:rPr/>
            </w:pPr>
            <w:hyperlink w:anchor="defaults">
              <w:r>
                <w:rPr>
                  <w:rStyle w:val="InternetLink"/>
                  <w:rFonts w:ascii="Arial;Helvetica;sans-serif" w:hAnsi="Arial;Helvetica;sans-serif"/>
                  <w:sz w:val="20"/>
                </w:rPr>
                <w:t>Item 3.</w:t>
              </w:r>
            </w:hyperlink>
          </w:p>
        </w:tc>
        <w:tc>
          <w:tcPr>
            <w:tcW w:w="7760" w:type="dxa"/>
            <w:tcBorders/>
            <w:shd w:fill="CCEEFF" w:val="clear"/>
            <w:tcMar>
              <w:bottom w:w="0" w:type="dxa"/>
            </w:tcMar>
            <w:vAlign w:val="center"/>
          </w:tcPr>
          <w:p>
            <w:pPr>
              <w:pStyle w:val="TableContents"/>
              <w:bidi w:val="0"/>
              <w:spacing w:before="0" w:after="283"/>
              <w:jc w:val="left"/>
              <w:rPr/>
            </w:pPr>
            <w:hyperlink w:anchor="defaults">
              <w:r>
                <w:rPr>
                  <w:rStyle w:val="InternetLink"/>
                  <w:rFonts w:ascii="Arial;Helvetica;sans-serif" w:hAnsi="Arial;Helvetica;sans-serif"/>
                  <w:sz w:val="20"/>
                </w:rPr>
                <w:t>Defaults Upon Senior Securities</w:t>
              </w:r>
            </w:hyperlink>
          </w:p>
        </w:tc>
        <w:tc>
          <w:tcPr>
            <w:tcW w:w="485" w:type="dxa"/>
            <w:tcBorders/>
            <w:shd w:fill="CCEEFF" w:val="clear"/>
            <w:tcMar>
              <w:bottom w:w="0" w:type="dxa"/>
            </w:tcMar>
            <w:vAlign w:val="center"/>
          </w:tcPr>
          <w:p>
            <w:pPr>
              <w:pStyle w:val="TableContents"/>
              <w:bidi w:val="0"/>
              <w:spacing w:before="0" w:after="283"/>
              <w:jc w:val="center"/>
              <w:rPr/>
            </w:pPr>
            <w:hyperlink w:anchor="defaults">
              <w:r>
                <w:rPr>
                  <w:rStyle w:val="InternetLink"/>
                  <w:rFonts w:ascii="Arial;Helvetica;sans-serif" w:hAnsi="Arial;Helvetica;sans-serif"/>
                  <w:sz w:val="20"/>
                </w:rPr>
                <w:t>24</w:t>
              </w:r>
            </w:hyperlink>
          </w:p>
        </w:tc>
      </w:tr>
      <w:tr>
        <w:trPr/>
        <w:tc>
          <w:tcPr>
            <w:tcW w:w="740" w:type="dxa"/>
            <w:tcBorders/>
            <w:shd w:fill="FFFFFF" w:val="clear"/>
            <w:tcMar>
              <w:bottom w:w="0" w:type="dxa"/>
            </w:tcMar>
            <w:vAlign w:val="center"/>
          </w:tcPr>
          <w:p>
            <w:pPr>
              <w:pStyle w:val="TableContents"/>
              <w:bidi w:val="0"/>
              <w:spacing w:before="0" w:after="283"/>
              <w:jc w:val="left"/>
              <w:rPr/>
            </w:pPr>
            <w:r>
              <w:rPr/>
              <w:t> </w:t>
            </w:r>
          </w:p>
        </w:tc>
        <w:tc>
          <w:tcPr>
            <w:tcW w:w="770" w:type="dxa"/>
            <w:tcBorders/>
            <w:shd w:fill="FFFFFF" w:val="clear"/>
            <w:tcMar>
              <w:bottom w:w="0" w:type="dxa"/>
            </w:tcMar>
            <w:vAlign w:val="center"/>
          </w:tcPr>
          <w:p>
            <w:pPr>
              <w:pStyle w:val="TableContents"/>
              <w:bidi w:val="0"/>
              <w:spacing w:before="0" w:after="283"/>
              <w:jc w:val="left"/>
              <w:rPr/>
            </w:pPr>
            <w:hyperlink w:anchor="mine">
              <w:r>
                <w:rPr>
                  <w:rStyle w:val="InternetLink"/>
                  <w:rFonts w:ascii="Arial;Helvetica;sans-serif" w:hAnsi="Arial;Helvetica;sans-serif"/>
                  <w:sz w:val="20"/>
                </w:rPr>
                <w:t>Item 4.</w:t>
              </w:r>
            </w:hyperlink>
          </w:p>
        </w:tc>
        <w:tc>
          <w:tcPr>
            <w:tcW w:w="7760" w:type="dxa"/>
            <w:tcBorders/>
            <w:shd w:fill="FFFFFF" w:val="clear"/>
            <w:tcMar>
              <w:bottom w:w="0" w:type="dxa"/>
            </w:tcMar>
            <w:vAlign w:val="center"/>
          </w:tcPr>
          <w:p>
            <w:pPr>
              <w:pStyle w:val="TableContents"/>
              <w:bidi w:val="0"/>
              <w:spacing w:before="0" w:after="283"/>
              <w:jc w:val="left"/>
              <w:rPr/>
            </w:pPr>
            <w:hyperlink w:anchor="mine">
              <w:r>
                <w:rPr>
                  <w:rStyle w:val="InternetLink"/>
                  <w:rFonts w:ascii="Arial;Helvetica;sans-serif" w:hAnsi="Arial;Helvetica;sans-serif"/>
                  <w:sz w:val="20"/>
                </w:rPr>
                <w:t>Mine Safety Disclosures</w:t>
              </w:r>
            </w:hyperlink>
          </w:p>
        </w:tc>
        <w:tc>
          <w:tcPr>
            <w:tcW w:w="485" w:type="dxa"/>
            <w:tcBorders/>
            <w:shd w:fill="FFFFFF" w:val="clear"/>
            <w:tcMar>
              <w:bottom w:w="0" w:type="dxa"/>
            </w:tcMar>
            <w:vAlign w:val="center"/>
          </w:tcPr>
          <w:p>
            <w:pPr>
              <w:pStyle w:val="TableContents"/>
              <w:bidi w:val="0"/>
              <w:spacing w:before="0" w:after="283"/>
              <w:jc w:val="center"/>
              <w:rPr/>
            </w:pPr>
            <w:hyperlink w:anchor="mine">
              <w:r>
                <w:rPr>
                  <w:rStyle w:val="InternetLink"/>
                  <w:rFonts w:ascii="Arial;Helvetica;sans-serif" w:hAnsi="Arial;Helvetica;sans-serif"/>
                  <w:sz w:val="20"/>
                </w:rPr>
                <w:t>24</w:t>
              </w:r>
            </w:hyperlink>
          </w:p>
        </w:tc>
      </w:tr>
      <w:tr>
        <w:trPr/>
        <w:tc>
          <w:tcPr>
            <w:tcW w:w="74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left"/>
              <w:rPr/>
            </w:pPr>
            <w:hyperlink w:anchor="other">
              <w:r>
                <w:rPr>
                  <w:rStyle w:val="InternetLink"/>
                  <w:rFonts w:ascii="Arial;Helvetica;sans-serif" w:hAnsi="Arial;Helvetica;sans-serif"/>
                  <w:sz w:val="20"/>
                </w:rPr>
                <w:t>Item 5.</w:t>
              </w:r>
            </w:hyperlink>
          </w:p>
        </w:tc>
        <w:tc>
          <w:tcPr>
            <w:tcW w:w="7760" w:type="dxa"/>
            <w:tcBorders/>
            <w:shd w:fill="CCEEFF" w:val="clear"/>
            <w:tcMar>
              <w:bottom w:w="0" w:type="dxa"/>
            </w:tcMar>
            <w:vAlign w:val="center"/>
          </w:tcPr>
          <w:p>
            <w:pPr>
              <w:pStyle w:val="TableContents"/>
              <w:bidi w:val="0"/>
              <w:spacing w:before="0" w:after="283"/>
              <w:jc w:val="left"/>
              <w:rPr/>
            </w:pPr>
            <w:hyperlink w:anchor="other">
              <w:r>
                <w:rPr>
                  <w:rStyle w:val="InternetLink"/>
                  <w:rFonts w:ascii="Arial;Helvetica;sans-serif" w:hAnsi="Arial;Helvetica;sans-serif"/>
                  <w:sz w:val="20"/>
                </w:rPr>
                <w:t>Other Information</w:t>
              </w:r>
            </w:hyperlink>
          </w:p>
        </w:tc>
        <w:tc>
          <w:tcPr>
            <w:tcW w:w="485" w:type="dxa"/>
            <w:tcBorders/>
            <w:shd w:fill="CCEEFF" w:val="clear"/>
            <w:tcMar>
              <w:bottom w:w="0" w:type="dxa"/>
            </w:tcMar>
            <w:vAlign w:val="center"/>
          </w:tcPr>
          <w:p>
            <w:pPr>
              <w:pStyle w:val="TableContents"/>
              <w:bidi w:val="0"/>
              <w:spacing w:before="0" w:after="283"/>
              <w:jc w:val="center"/>
              <w:rPr/>
            </w:pPr>
            <w:hyperlink w:anchor="other">
              <w:r>
                <w:rPr>
                  <w:rStyle w:val="InternetLink"/>
                  <w:rFonts w:ascii="Arial;Helvetica;sans-serif" w:hAnsi="Arial;Helvetica;sans-serif"/>
                  <w:sz w:val="20"/>
                </w:rPr>
                <w:t>24</w:t>
              </w:r>
            </w:hyperlink>
          </w:p>
        </w:tc>
      </w:tr>
      <w:tr>
        <w:trPr/>
        <w:tc>
          <w:tcPr>
            <w:tcW w:w="74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0" w:type="dxa"/>
            <w:tcBorders/>
            <w:shd w:fill="FFFFFF" w:val="clear"/>
            <w:tcMar>
              <w:bottom w:w="0" w:type="dxa"/>
            </w:tcMar>
            <w:vAlign w:val="center"/>
          </w:tcPr>
          <w:p>
            <w:pPr>
              <w:pStyle w:val="TableContents"/>
              <w:bidi w:val="0"/>
              <w:spacing w:before="0" w:after="0"/>
              <w:ind w:left="0" w:right="0" w:hanging="0"/>
              <w:jc w:val="left"/>
              <w:rPr/>
            </w:pPr>
            <w:hyperlink w:anchor="exhibits">
              <w:r>
                <w:rPr>
                  <w:rStyle w:val="InternetLink"/>
                  <w:rFonts w:ascii="Arial;Helvetica;sans-serif" w:hAnsi="Arial;Helvetica;sans-serif"/>
                  <w:caps w:val="false"/>
                  <w:smallCaps w:val="false"/>
                  <w:sz w:val="20"/>
                </w:rPr>
                <w:t>Item 6.</w:t>
              </w:r>
            </w:hyperlink>
          </w:p>
        </w:tc>
        <w:tc>
          <w:tcPr>
            <w:tcW w:w="7760" w:type="dxa"/>
            <w:tcBorders/>
            <w:shd w:fill="FFFFFF" w:val="clear"/>
            <w:tcMar>
              <w:bottom w:w="0" w:type="dxa"/>
            </w:tcMar>
            <w:vAlign w:val="center"/>
          </w:tcPr>
          <w:p>
            <w:pPr>
              <w:pStyle w:val="TableContents"/>
              <w:bidi w:val="0"/>
              <w:spacing w:before="0" w:after="0"/>
              <w:ind w:left="0" w:right="0" w:hanging="0"/>
              <w:jc w:val="left"/>
              <w:rPr/>
            </w:pPr>
            <w:hyperlink w:anchor="exhibits">
              <w:r>
                <w:rPr>
                  <w:rStyle w:val="InternetLink"/>
                  <w:rFonts w:ascii="Arial;Helvetica;sans-serif" w:hAnsi="Arial;Helvetica;sans-serif"/>
                  <w:caps w:val="false"/>
                  <w:smallCaps w:val="false"/>
                  <w:sz w:val="20"/>
                </w:rPr>
                <w:t>Exhibits</w:t>
              </w:r>
            </w:hyperlink>
          </w:p>
        </w:tc>
        <w:tc>
          <w:tcPr>
            <w:tcW w:w="485" w:type="dxa"/>
            <w:tcBorders/>
            <w:shd w:fill="FFFFFF" w:val="clear"/>
            <w:tcMar>
              <w:bottom w:w="0" w:type="dxa"/>
            </w:tcMar>
            <w:vAlign w:val="center"/>
          </w:tcPr>
          <w:p>
            <w:pPr>
              <w:pStyle w:val="TableContents"/>
              <w:bidi w:val="0"/>
              <w:spacing w:before="0" w:after="0"/>
              <w:ind w:left="0" w:right="0" w:hanging="0"/>
              <w:jc w:val="center"/>
              <w:rPr/>
            </w:pPr>
            <w:hyperlink w:anchor="exhibits">
              <w:r>
                <w:rPr>
                  <w:rStyle w:val="InternetLink"/>
                  <w:rFonts w:ascii="Arial;Helvetica;sans-serif" w:hAnsi="Arial;Helvetica;sans-serif"/>
                  <w:caps w:val="false"/>
                  <w:smallCaps w:val="false"/>
                  <w:sz w:val="20"/>
                </w:rPr>
                <w:t>25</w:t>
              </w:r>
            </w:hyperlink>
          </w:p>
        </w:tc>
      </w:tr>
      <w:tr>
        <w:trPr/>
        <w:tc>
          <w:tcPr>
            <w:tcW w:w="74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6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485"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9270" w:type="dxa"/>
            <w:gridSpan w:val="3"/>
            <w:tcBorders>
              <w:bottom w:val="single" w:sz="2" w:space="0" w:color="000000"/>
            </w:tcBorders>
            <w:shd w:fill="FFFFFF" w:val="clear"/>
            <w:vAlign w:val="center"/>
          </w:tcPr>
          <w:p>
            <w:pPr>
              <w:pStyle w:val="TableContents"/>
              <w:bidi w:val="0"/>
              <w:spacing w:before="0" w:after="0"/>
              <w:ind w:left="0" w:right="0" w:hanging="0"/>
              <w:jc w:val="left"/>
              <w:rPr/>
            </w:pPr>
            <w:hyperlink w:anchor="sig">
              <w:r>
                <w:rPr>
                  <w:rStyle w:val="InternetLink"/>
                  <w:rFonts w:ascii="Arial;Helvetica;sans-serif" w:hAnsi="Arial;Helvetica;sans-serif"/>
                  <w:caps w:val="false"/>
                  <w:smallCaps w:val="false"/>
                  <w:sz w:val="20"/>
                </w:rPr>
                <w:t>SIGNATURE</w:t>
              </w:r>
            </w:hyperlink>
          </w:p>
        </w:tc>
        <w:tc>
          <w:tcPr>
            <w:tcW w:w="485" w:type="dxa"/>
            <w:tcBorders>
              <w:bottom w:val="single" w:sz="2" w:space="0" w:color="000000"/>
            </w:tcBorders>
            <w:shd w:fill="FFFFFF" w:val="clear"/>
            <w:vAlign w:val="center"/>
          </w:tcPr>
          <w:p>
            <w:pPr>
              <w:pStyle w:val="TableContents"/>
              <w:bidi w:val="0"/>
              <w:spacing w:before="0" w:after="0"/>
              <w:ind w:left="0" w:right="0" w:hanging="0"/>
              <w:jc w:val="center"/>
              <w:rPr/>
            </w:pPr>
            <w:hyperlink w:anchor="sig">
              <w:r>
                <w:rPr>
                  <w:rStyle w:val="InternetLink"/>
                  <w:rFonts w:ascii="Arial;Helvetica;sans-serif" w:hAnsi="Arial;Helvetica;sans-serif"/>
                  <w:caps w:val="false"/>
                  <w:smallCaps w:val="false"/>
                  <w:sz w:val="20"/>
                </w:rPr>
                <w:t>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8"/>
        </w:rPr>
      </w:pPr>
      <w:r>
        <w:rPr>
          <w:rFonts w:ascii="Arial;Helvetica;sans-serif" w:hAnsi="Arial;Helvetica;sans-serif"/>
          <w:caps w:val="false"/>
          <w:smallCaps w:val="false"/>
          <w:sz w:val="18"/>
        </w:rPr>
        <w:t>This Quarterly Report on Form 10-Q includes “forward-looking” statements within the meaning of the Private Securities Litigation Reform Act of 1995. Forward-looking statements can be identified by the fact that they do not relate strictly to historical or current facts. They often include words such as “believes,” “expects,” “anticipates,” “estimates,” “intends,” “plans,” “seeks,” “continues,” “feels,” “forecasts,” or words of similar meaning, or future or conditional verbs, such as “will,” “should,” “could,” “may,” “aims,” “intends,” or “projects.” Statements may be forward looking even in the absence of these particular words.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8"/>
        </w:rPr>
      </w:pPr>
      <w:r>
        <w:rPr>
          <w:rFonts w:ascii="Arial;Helvetica;sans-serif" w:hAnsi="Arial;Helvetica;sans-serif"/>
          <w:caps w:val="false"/>
          <w:smallCaps w:val="false"/>
          <w:sz w:val="18"/>
        </w:rPr>
        <w:t>Examples of forward-looking statements include, but are not limited to, statements regarding our financial position, business strategy, and other plans and objectives for our future operations, and generation of free cash flow. These forward-looking statements are based on our current expectations and beliefs concerning future developments and their potential effect on us. The forward-looking statements contained herein are largely based on our expectations for the future, which reflect certain estimates and assumptions made by our management. These estimates and assumptions reflect our best judgment based on currently known market conditions, operating trends, and other factors. Although we believe such estimates and assumptions to be reasonable, they are inherently uncertain and involve a number of risks and uncertainties that are beyond our control. As such, management’s assumptions about future events may prove to be inaccurate.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8"/>
        </w:rPr>
      </w:pPr>
      <w:r>
        <w:rPr>
          <w:rFonts w:ascii="Arial;Helvetica;sans-serif" w:hAnsi="Arial;Helvetica;sans-serif"/>
          <w:caps w:val="false"/>
          <w:smallCaps w:val="false"/>
          <w:sz w:val="18"/>
        </w:rPr>
        <w:t>We do not intend to publicly update or revise any forward-looking statements as a result of new information, future events, changes in circumstances, or otherwise. These cautionary statements qualify all forward-looking statements attributable to us, or persons acting on our behalf. Management cautions you that the forward-looking statements contained herein are not guarantees of future performance, and we cannot assure you that such statements will be realized or that the events and circumstances they describe will occur. Factors that could cause actual results to differ materially from those anticipated or implied in the forward-looking statements herein include, but are not limited to, a change in the relationship with any of our key suppliers, including access to premium products, volume discounts, cooperative advertising, markdown allowances, or the ability to cancel orders and return merchandise; our ability to fund our planned capital investments; a recession, volatility in the financial markets, and other global economic factors; our ability to access the credit markets at competitive terms; difficulties in appropriately allocating capital and resources among our strategic opportunities; our ability to realize the expected benefits from acquisitions; business opportunities and expansion; investments; expenses; dividends; share repurchases; cash management; liquidity; cash flow from operations; borrowing capacity under our credit facility; repatriation of cash to the United States; supply chain issues; labor shortages and wage pressures; expectations regarding increased wages; inflation; consumer spending levels; the effect of governmental assistance programs; expectations regarding increasing global taxes; the effect of increased government regulation, compliance, and changes in law; the effect of the adverse outcome of any material litigation against us or judicial decisions that affect us or our industry generally; the effects of weather; climate change; ESG risks; increased competition; geopolitical events; the financial effect of accounting regulations and critical accounting policies; credit risk relating to the risk of loss as a result of non-performance by our counterparties; and any other factors set forth in the section entitled “Risk Factors” of our most recent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8"/>
        </w:rPr>
      </w:pPr>
      <w:r>
        <w:rPr>
          <w:rFonts w:ascii="Arial;Helvetica;sans-serif" w:hAnsi="Arial;Helvetica;sans-serif"/>
          <w:caps w:val="false"/>
          <w:smallCaps w:val="false"/>
          <w:sz w:val="18"/>
        </w:rPr>
        <w:t>All written and oral forward-looking statements attributable to us are expressly qualified in their entirety by this cautionary statement. A forward-looking statement is neither a prediction nor a guarantee of future events or circumstances, and those future events or circumstances may not occur. You should not place undue reliance on forward-looking statements, which speak to our views only as of the date of this filing. Additional risks and uncertainties that we do not presently know about or that we currently consider to be insignificant may also affect our business operations and financial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8"/>
        </w:rPr>
      </w:pPr>
      <w:r>
        <w:rPr>
          <w:rFonts w:ascii="Arial;Helvetica;sans-serif" w:hAnsi="Arial;Helvetica;sans-serif"/>
          <w:caps w:val="false"/>
          <w:smallCaps w:val="false"/>
          <w:sz w:val="18"/>
        </w:rPr>
        <w:t>Please refer to “Item 1A. Risk Factors” of our most recent Annual Report on Form 10-K filed with the U.S. Securities and Exchange Commission for a discussion of certain risks relating to our business and any investment in our securities. Given these risks and uncertainties, you should not rely on forward-looking statements as predictions of actual results. Any or all of the forward-looking statements contained in this report, or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We expressly disclaim any obligation to update or revise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Arial;Helvetica;sans-serif" w:hAnsi="Arial;Helvetica;sans-serif"/>
          <w:b/>
          <w:sz w:val="18"/>
        </w:rPr>
      </w:pPr>
      <w:bookmarkStart w:id="3" w:name="part_one"/>
      <w:bookmarkEnd w:id="3"/>
      <w:r>
        <w:rPr>
          <w:rFonts w:ascii="Arial;Helvetica;sans-serif" w:hAnsi="Arial;Helvetica;sans-serif"/>
          <w:b/>
          <w:sz w:val="18"/>
        </w:rPr>
        <w:t>PART I -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Item 1. Financial Statements</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695575" cy="3143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695575" cy="3143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bookmarkStart w:id="4" w:name="bs"/>
      <w:bookmarkEnd w:id="4"/>
      <w:r>
        <w:rPr>
          <w:rFonts w:ascii="Arial;Helvetica;sans-serif" w:hAnsi="Arial;Helvetica;sans-serif"/>
          <w:b/>
          <w:caps w:val="false"/>
          <w:smallCaps w:val="false"/>
          <w:sz w:val="20"/>
        </w:rPr>
        <w:t>CONDENSED CONSOLIDATED BALANCE SHEETS</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2"/>
        <w:gridCol w:w="120"/>
        <w:gridCol w:w="143"/>
        <w:gridCol w:w="559"/>
        <w:gridCol w:w="120"/>
        <w:gridCol w:w="60"/>
        <w:gridCol w:w="143"/>
        <w:gridCol w:w="559"/>
        <w:gridCol w:w="120"/>
        <w:gridCol w:w="60"/>
        <w:gridCol w:w="198"/>
        <w:gridCol w:w="772"/>
        <w:gridCol w:w="99"/>
      </w:tblGrid>
      <w:tr>
        <w:trPr/>
        <w:tc>
          <w:tcPr>
            <w:tcW w:w="7252"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0" w:type="dxa"/>
            <w:tcBorders/>
            <w:shd w:fill="FFFFFF" w:val="clear"/>
            <w:vAlign w:val="center"/>
          </w:tcPr>
          <w:p>
            <w:pPr>
              <w:pStyle w:val="TableContents"/>
              <w:bidi w:val="0"/>
              <w:spacing w:before="0" w:after="283"/>
              <w:ind w:left="0" w:right="0" w:hanging="0"/>
              <w:jc w:val="left"/>
              <w:rPr/>
            </w:pPr>
            <w:r>
              <w:rPr/>
              <w:t> </w:t>
            </w:r>
          </w:p>
        </w:tc>
        <w:tc>
          <w:tcPr>
            <w:tcW w:w="702"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April 29,</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2"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April 30,</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January 28,</w:t>
            </w:r>
          </w:p>
        </w:tc>
        <w:tc>
          <w:tcPr>
            <w:tcW w:w="99" w:type="dxa"/>
            <w:tcBorders/>
            <w:shd w:fill="FFFFFF" w:val="clear"/>
            <w:vAlign w:val="center"/>
          </w:tcPr>
          <w:p>
            <w:pPr>
              <w:pStyle w:val="TableContents"/>
              <w:bidi w:val="0"/>
              <w:spacing w:before="0" w:after="283"/>
              <w:jc w:val="left"/>
              <w:rPr/>
            </w:pPr>
            <w:r>
              <w:rPr/>
              <w:t> </w:t>
            </w:r>
          </w:p>
        </w:tc>
      </w:tr>
      <w:tr>
        <w:trPr/>
        <w:tc>
          <w:tcPr>
            <w:tcW w:w="72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 except share amounts)</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1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1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9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252"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ASSETS</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7252"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0" w:type="dxa"/>
            <w:tcBorders/>
            <w:shd w:fill="FFFFFF" w:val="clear"/>
            <w:vAlign w:val="center"/>
          </w:tcPr>
          <w:p>
            <w:pPr>
              <w:pStyle w:val="TableContents"/>
              <w:bidi w:val="0"/>
              <w:spacing w:before="0" w:after="283"/>
              <w:ind w:left="0" w:right="0" w:hanging="0"/>
              <w:jc w:val="left"/>
              <w:rPr/>
            </w:pPr>
            <w:r>
              <w:rPr/>
              <w:t> </w:t>
            </w:r>
          </w:p>
        </w:tc>
        <w:tc>
          <w:tcPr>
            <w:tcW w:w="702"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2"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9" w:type="dxa"/>
            <w:tcBorders/>
            <w:shd w:fill="FFFFFF" w:val="clear"/>
            <w:vAlign w:val="center"/>
          </w:tcPr>
          <w:p>
            <w:pPr>
              <w:pStyle w:val="TableContents"/>
              <w:bidi w:val="0"/>
              <w:spacing w:before="0" w:after="283"/>
              <w:jc w:val="left"/>
              <w:rPr/>
            </w:pPr>
            <w:r>
              <w:rPr/>
              <w:t> </w:t>
            </w:r>
          </w:p>
        </w:tc>
      </w:tr>
      <w:tr>
        <w:trPr/>
        <w:tc>
          <w:tcPr>
            <w:tcW w:w="7252"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Current assets:</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7252"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Cash and cash equivalents</w:t>
            </w:r>
          </w:p>
        </w:tc>
        <w:tc>
          <w:tcPr>
            <w:tcW w:w="120"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59" w:type="dxa"/>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313</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59"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551</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7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536</w:t>
            </w:r>
          </w:p>
        </w:tc>
        <w:tc>
          <w:tcPr>
            <w:tcW w:w="99" w:type="dxa"/>
            <w:tcBorders/>
            <w:shd w:fill="FFFFFF" w:val="clear"/>
            <w:vAlign w:val="center"/>
          </w:tcPr>
          <w:p>
            <w:pPr>
              <w:pStyle w:val="TableContents"/>
              <w:bidi w:val="0"/>
              <w:spacing w:before="0" w:after="283"/>
              <w:jc w:val="left"/>
              <w:rPr/>
            </w:pPr>
            <w:r>
              <w:rPr/>
              <w:t> </w:t>
            </w:r>
          </w:p>
        </w:tc>
      </w:tr>
      <w:tr>
        <w:trPr/>
        <w:tc>
          <w:tcPr>
            <w:tcW w:w="7252"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Merchandise inventories</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9" w:type="dxa"/>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1,758</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9"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1,401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1,643</w:t>
            </w:r>
          </w:p>
        </w:tc>
        <w:tc>
          <w:tcPr>
            <w:tcW w:w="99" w:type="dxa"/>
            <w:tcBorders/>
            <w:shd w:fill="CCEEFF" w:val="clear"/>
            <w:vAlign w:val="center"/>
          </w:tcPr>
          <w:p>
            <w:pPr>
              <w:pStyle w:val="TableContents"/>
              <w:bidi w:val="0"/>
              <w:spacing w:before="0" w:after="283"/>
              <w:jc w:val="left"/>
              <w:rPr/>
            </w:pPr>
            <w:r>
              <w:rPr/>
              <w:t> </w:t>
            </w:r>
          </w:p>
        </w:tc>
      </w:tr>
      <w:tr>
        <w:trPr/>
        <w:tc>
          <w:tcPr>
            <w:tcW w:w="7252" w:type="dxa"/>
            <w:tcBorders>
              <w:bottom w:val="single" w:sz="2" w:space="0" w:color="000000"/>
            </w:tcBorders>
            <w:shd w:fill="FFFFFF" w:val="clear"/>
            <w:tcMar>
              <w:bottom w:w="28" w:type="dxa"/>
            </w:tcM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current assets</w:t>
            </w:r>
          </w:p>
        </w:tc>
        <w:tc>
          <w:tcPr>
            <w:tcW w:w="1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326</w:t>
            </w:r>
          </w:p>
        </w:tc>
        <w:tc>
          <w:tcPr>
            <w:tcW w:w="1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281</w:t>
            </w:r>
          </w:p>
        </w:tc>
        <w:tc>
          <w:tcPr>
            <w:tcW w:w="1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342</w:t>
            </w:r>
          </w:p>
        </w:tc>
        <w:tc>
          <w:tcPr>
            <w:tcW w:w="9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252"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9" w:type="dxa"/>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2,397</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9"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2,233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2,521</w:t>
            </w:r>
          </w:p>
        </w:tc>
        <w:tc>
          <w:tcPr>
            <w:tcW w:w="99" w:type="dxa"/>
            <w:tcBorders/>
            <w:shd w:fill="CCEEFF" w:val="clear"/>
            <w:vAlign w:val="center"/>
          </w:tcPr>
          <w:p>
            <w:pPr>
              <w:pStyle w:val="TableContents"/>
              <w:bidi w:val="0"/>
              <w:spacing w:before="0" w:after="283"/>
              <w:jc w:val="left"/>
              <w:rPr/>
            </w:pPr>
            <w:r>
              <w:rPr/>
              <w:t> </w:t>
            </w:r>
          </w:p>
        </w:tc>
      </w:tr>
      <w:tr>
        <w:trPr/>
        <w:tc>
          <w:tcPr>
            <w:tcW w:w="7252"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Property and equipment, net</w:t>
            </w:r>
          </w:p>
        </w:tc>
        <w:tc>
          <w:tcPr>
            <w:tcW w:w="12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9" w:type="dxa"/>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901</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9"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899</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920</w:t>
            </w:r>
          </w:p>
        </w:tc>
        <w:tc>
          <w:tcPr>
            <w:tcW w:w="99" w:type="dxa"/>
            <w:tcBorders/>
            <w:shd w:fill="FFFFFF" w:val="clear"/>
            <w:vAlign w:val="center"/>
          </w:tcPr>
          <w:p>
            <w:pPr>
              <w:pStyle w:val="TableContents"/>
              <w:bidi w:val="0"/>
              <w:spacing w:before="0" w:after="283"/>
              <w:jc w:val="left"/>
              <w:rPr/>
            </w:pPr>
            <w:r>
              <w:rPr/>
              <w:t> </w:t>
            </w:r>
          </w:p>
        </w:tc>
      </w:tr>
      <w:tr>
        <w:trPr/>
        <w:tc>
          <w:tcPr>
            <w:tcW w:w="7252"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Operating lease right-of-use assets</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9" w:type="dxa"/>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2,331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9"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2,566</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2,443</w:t>
            </w:r>
          </w:p>
        </w:tc>
        <w:tc>
          <w:tcPr>
            <w:tcW w:w="99" w:type="dxa"/>
            <w:tcBorders/>
            <w:shd w:fill="CCEEFF" w:val="clear"/>
            <w:vAlign w:val="center"/>
          </w:tcPr>
          <w:p>
            <w:pPr>
              <w:pStyle w:val="TableContents"/>
              <w:bidi w:val="0"/>
              <w:spacing w:before="0" w:after="283"/>
              <w:jc w:val="left"/>
              <w:rPr/>
            </w:pPr>
            <w:r>
              <w:rPr/>
              <w:t> </w:t>
            </w:r>
          </w:p>
        </w:tc>
      </w:tr>
      <w:tr>
        <w:trPr/>
        <w:tc>
          <w:tcPr>
            <w:tcW w:w="7252"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Deferred taxes</w:t>
            </w:r>
          </w:p>
        </w:tc>
        <w:tc>
          <w:tcPr>
            <w:tcW w:w="12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9" w:type="dxa"/>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94</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9"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79</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90</w:t>
            </w:r>
          </w:p>
        </w:tc>
        <w:tc>
          <w:tcPr>
            <w:tcW w:w="99" w:type="dxa"/>
            <w:tcBorders/>
            <w:shd w:fill="FFFFFF" w:val="clear"/>
            <w:vAlign w:val="center"/>
          </w:tcPr>
          <w:p>
            <w:pPr>
              <w:pStyle w:val="TableContents"/>
              <w:bidi w:val="0"/>
              <w:spacing w:before="0" w:after="283"/>
              <w:jc w:val="left"/>
              <w:rPr/>
            </w:pPr>
            <w:r>
              <w:rPr/>
              <w:t> </w:t>
            </w:r>
          </w:p>
        </w:tc>
      </w:tr>
      <w:tr>
        <w:trPr/>
        <w:tc>
          <w:tcPr>
            <w:tcW w:w="7252"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Goodwill</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9" w:type="dxa"/>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781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9"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783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785</w:t>
            </w:r>
          </w:p>
        </w:tc>
        <w:tc>
          <w:tcPr>
            <w:tcW w:w="99" w:type="dxa"/>
            <w:tcBorders/>
            <w:shd w:fill="CCEEFF" w:val="clear"/>
            <w:vAlign w:val="center"/>
          </w:tcPr>
          <w:p>
            <w:pPr>
              <w:pStyle w:val="TableContents"/>
              <w:bidi w:val="0"/>
              <w:spacing w:before="0" w:after="283"/>
              <w:jc w:val="left"/>
              <w:rPr/>
            </w:pPr>
            <w:r>
              <w:rPr/>
              <w:t> </w:t>
            </w:r>
          </w:p>
        </w:tc>
      </w:tr>
      <w:tr>
        <w:trPr/>
        <w:tc>
          <w:tcPr>
            <w:tcW w:w="7252"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intangible assets, net</w:t>
            </w:r>
          </w:p>
        </w:tc>
        <w:tc>
          <w:tcPr>
            <w:tcW w:w="12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9" w:type="dxa"/>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421</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9"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441</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426</w:t>
            </w:r>
          </w:p>
        </w:tc>
        <w:tc>
          <w:tcPr>
            <w:tcW w:w="99" w:type="dxa"/>
            <w:tcBorders/>
            <w:shd w:fill="FFFFFF" w:val="clear"/>
            <w:vAlign w:val="center"/>
          </w:tcPr>
          <w:p>
            <w:pPr>
              <w:pStyle w:val="TableContents"/>
              <w:bidi w:val="0"/>
              <w:spacing w:before="0" w:after="283"/>
              <w:jc w:val="left"/>
              <w:rPr/>
            </w:pPr>
            <w:r>
              <w:rPr/>
              <w:t> </w:t>
            </w:r>
          </w:p>
        </w:tc>
      </w:tr>
      <w:tr>
        <w:trPr/>
        <w:tc>
          <w:tcPr>
            <w:tcW w:w="7252"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Minority investments</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9" w:type="dxa"/>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629</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9"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759</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630</w:t>
            </w:r>
          </w:p>
        </w:tc>
        <w:tc>
          <w:tcPr>
            <w:tcW w:w="99" w:type="dxa"/>
            <w:tcBorders/>
            <w:shd w:fill="CCEEFF" w:val="clear"/>
            <w:vAlign w:val="center"/>
          </w:tcPr>
          <w:p>
            <w:pPr>
              <w:pStyle w:val="TableContents"/>
              <w:bidi w:val="0"/>
              <w:spacing w:before="0" w:after="283"/>
              <w:jc w:val="left"/>
              <w:rPr/>
            </w:pPr>
            <w:r>
              <w:rPr/>
              <w:t> </w:t>
            </w:r>
          </w:p>
        </w:tc>
      </w:tr>
      <w:tr>
        <w:trPr/>
        <w:tc>
          <w:tcPr>
            <w:tcW w:w="72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assets</w:t>
            </w:r>
          </w:p>
        </w:tc>
        <w:tc>
          <w:tcPr>
            <w:tcW w:w="1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89</w:t>
            </w:r>
          </w:p>
        </w:tc>
        <w:tc>
          <w:tcPr>
            <w:tcW w:w="1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118</w:t>
            </w:r>
          </w:p>
        </w:tc>
        <w:tc>
          <w:tcPr>
            <w:tcW w:w="1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92</w:t>
            </w:r>
          </w:p>
        </w:tc>
        <w:tc>
          <w:tcPr>
            <w:tcW w:w="9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7,643</w:t>
            </w:r>
          </w:p>
        </w:tc>
        <w:tc>
          <w:tcPr>
            <w:tcW w:w="12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7,878</w:t>
            </w:r>
          </w:p>
        </w:tc>
        <w:tc>
          <w:tcPr>
            <w:tcW w:w="12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7,907</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7252"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0" w:type="dxa"/>
            <w:tcBorders/>
            <w:shd w:fill="FFFFFF" w:val="clear"/>
            <w:vAlign w:val="center"/>
          </w:tcPr>
          <w:p>
            <w:pPr>
              <w:pStyle w:val="TableContents"/>
              <w:bidi w:val="0"/>
              <w:spacing w:before="0" w:after="283"/>
              <w:ind w:left="0" w:right="0" w:hanging="0"/>
              <w:jc w:val="left"/>
              <w:rPr/>
            </w:pPr>
            <w:r>
              <w:rPr/>
              <w:t> </w:t>
            </w:r>
          </w:p>
        </w:tc>
        <w:tc>
          <w:tcPr>
            <w:tcW w:w="702"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2"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9" w:type="dxa"/>
            <w:tcBorders/>
            <w:shd w:fill="FFFFFF" w:val="clear"/>
            <w:vAlign w:val="center"/>
          </w:tcPr>
          <w:p>
            <w:pPr>
              <w:pStyle w:val="TableContents"/>
              <w:bidi w:val="0"/>
              <w:spacing w:before="0" w:after="283"/>
              <w:jc w:val="left"/>
              <w:rPr/>
            </w:pPr>
            <w:r>
              <w:rPr/>
              <w:t> </w:t>
            </w:r>
          </w:p>
        </w:tc>
      </w:tr>
      <w:tr>
        <w:trPr/>
        <w:tc>
          <w:tcPr>
            <w:tcW w:w="7252"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LIABILITIES AND SHAREHOLDERS’ EQUITY</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7252"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0" w:type="dxa"/>
            <w:tcBorders/>
            <w:shd w:fill="FFFFFF" w:val="clear"/>
            <w:vAlign w:val="center"/>
          </w:tcPr>
          <w:p>
            <w:pPr>
              <w:pStyle w:val="TableContents"/>
              <w:bidi w:val="0"/>
              <w:spacing w:before="0" w:after="283"/>
              <w:ind w:left="0" w:right="0" w:hanging="0"/>
              <w:jc w:val="left"/>
              <w:rPr/>
            </w:pPr>
            <w:r>
              <w:rPr/>
              <w:t> </w:t>
            </w:r>
          </w:p>
        </w:tc>
        <w:tc>
          <w:tcPr>
            <w:tcW w:w="702"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2"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9" w:type="dxa"/>
            <w:tcBorders/>
            <w:shd w:fill="FFFFFF" w:val="clear"/>
            <w:vAlign w:val="center"/>
          </w:tcPr>
          <w:p>
            <w:pPr>
              <w:pStyle w:val="TableContents"/>
              <w:bidi w:val="0"/>
              <w:spacing w:before="0" w:after="283"/>
              <w:jc w:val="left"/>
              <w:rPr/>
            </w:pPr>
            <w:r>
              <w:rPr/>
              <w:t> </w:t>
            </w:r>
          </w:p>
        </w:tc>
      </w:tr>
      <w:tr>
        <w:trPr/>
        <w:tc>
          <w:tcPr>
            <w:tcW w:w="7252"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Current liabilities:</w:t>
            </w:r>
          </w:p>
        </w:tc>
        <w:tc>
          <w:tcPr>
            <w:tcW w:w="120" w:type="dxa"/>
            <w:tcBorders/>
            <w:shd w:fill="CCEEFF" w:val="clear"/>
            <w:vAlign w:val="center"/>
          </w:tcPr>
          <w:p>
            <w:pPr>
              <w:pStyle w:val="TableContents"/>
              <w:bidi w:val="0"/>
              <w:spacing w:before="0" w:after="283"/>
              <w:ind w:left="0" w:right="0" w:hanging="0"/>
              <w:jc w:val="left"/>
              <w:rPr/>
            </w:pPr>
            <w:r>
              <w:rPr/>
              <w:t> </w:t>
            </w:r>
          </w:p>
        </w:tc>
        <w:tc>
          <w:tcPr>
            <w:tcW w:w="702"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7252"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Accounts payable</w:t>
            </w:r>
          </w:p>
        </w:tc>
        <w:tc>
          <w:tcPr>
            <w:tcW w:w="120"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59" w:type="dxa"/>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474</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59"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565</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7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492</w:t>
            </w:r>
          </w:p>
        </w:tc>
        <w:tc>
          <w:tcPr>
            <w:tcW w:w="99" w:type="dxa"/>
            <w:tcBorders/>
            <w:shd w:fill="FFFFFF" w:val="clear"/>
            <w:vAlign w:val="center"/>
          </w:tcPr>
          <w:p>
            <w:pPr>
              <w:pStyle w:val="TableContents"/>
              <w:bidi w:val="0"/>
              <w:spacing w:before="0" w:after="283"/>
              <w:jc w:val="left"/>
              <w:rPr/>
            </w:pPr>
            <w:r>
              <w:rPr/>
              <w:t> </w:t>
            </w:r>
          </w:p>
        </w:tc>
      </w:tr>
      <w:tr>
        <w:trPr/>
        <w:tc>
          <w:tcPr>
            <w:tcW w:w="7252"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Accrued and other liabilities</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9" w:type="dxa"/>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447</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9"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428</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568</w:t>
            </w:r>
          </w:p>
        </w:tc>
        <w:tc>
          <w:tcPr>
            <w:tcW w:w="99" w:type="dxa"/>
            <w:tcBorders/>
            <w:shd w:fill="CCEEFF" w:val="clear"/>
            <w:vAlign w:val="center"/>
          </w:tcPr>
          <w:p>
            <w:pPr>
              <w:pStyle w:val="TableContents"/>
              <w:bidi w:val="0"/>
              <w:spacing w:before="0" w:after="283"/>
              <w:jc w:val="left"/>
              <w:rPr/>
            </w:pPr>
            <w:r>
              <w:rPr/>
              <w:t> </w:t>
            </w:r>
          </w:p>
        </w:tc>
      </w:tr>
      <w:tr>
        <w:trPr/>
        <w:tc>
          <w:tcPr>
            <w:tcW w:w="7252"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Current portion of debt and obligations under finance leases</w:t>
            </w:r>
          </w:p>
        </w:tc>
        <w:tc>
          <w:tcPr>
            <w:tcW w:w="12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9" w:type="dxa"/>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6</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9"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w:t>
            </w:r>
          </w:p>
        </w:tc>
        <w:tc>
          <w:tcPr>
            <w:tcW w:w="99" w:type="dxa"/>
            <w:tcBorders/>
            <w:shd w:fill="FFFFFF" w:val="clear"/>
            <w:vAlign w:val="center"/>
          </w:tcPr>
          <w:p>
            <w:pPr>
              <w:pStyle w:val="TableContents"/>
              <w:bidi w:val="0"/>
              <w:spacing w:before="0" w:after="283"/>
              <w:jc w:val="left"/>
              <w:rPr/>
            </w:pPr>
            <w:r>
              <w:rPr/>
              <w:t> </w:t>
            </w:r>
          </w:p>
        </w:tc>
      </w:tr>
      <w:tr>
        <w:trPr/>
        <w:tc>
          <w:tcPr>
            <w:tcW w:w="7252" w:type="dxa"/>
            <w:tcBorders>
              <w:bottom w:val="single" w:sz="2" w:space="0" w:color="000000"/>
            </w:tcBorders>
            <w:shd w:fill="CCEEFF" w:val="clear"/>
            <w:tcMar>
              <w:bottom w:w="28" w:type="dxa"/>
            </w:tcM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Current portion of lease obligations</w:t>
            </w:r>
          </w:p>
        </w:tc>
        <w:tc>
          <w:tcPr>
            <w:tcW w:w="12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533</w:t>
            </w:r>
          </w:p>
        </w:tc>
        <w:tc>
          <w:tcPr>
            <w:tcW w:w="12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557</w:t>
            </w:r>
          </w:p>
        </w:tc>
        <w:tc>
          <w:tcPr>
            <w:tcW w:w="12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544</w:t>
            </w:r>
          </w:p>
        </w:tc>
        <w:tc>
          <w:tcPr>
            <w:tcW w:w="9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252"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9" w:type="dxa"/>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1,460</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9"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1,556</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1,610</w:t>
            </w:r>
          </w:p>
        </w:tc>
        <w:tc>
          <w:tcPr>
            <w:tcW w:w="99" w:type="dxa"/>
            <w:tcBorders/>
            <w:shd w:fill="FFFFFF" w:val="clear"/>
            <w:vAlign w:val="center"/>
          </w:tcPr>
          <w:p>
            <w:pPr>
              <w:pStyle w:val="TableContents"/>
              <w:bidi w:val="0"/>
              <w:spacing w:before="0" w:after="283"/>
              <w:jc w:val="left"/>
              <w:rPr/>
            </w:pPr>
            <w:r>
              <w:rPr/>
              <w:t> </w:t>
            </w:r>
          </w:p>
        </w:tc>
      </w:tr>
      <w:tr>
        <w:trPr/>
        <w:tc>
          <w:tcPr>
            <w:tcW w:w="7252"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Long-term debt and obligations under finance leases</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9" w:type="dxa"/>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445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9"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450</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446</w:t>
            </w:r>
          </w:p>
        </w:tc>
        <w:tc>
          <w:tcPr>
            <w:tcW w:w="99" w:type="dxa"/>
            <w:tcBorders/>
            <w:shd w:fill="CCEEFF" w:val="clear"/>
            <w:vAlign w:val="center"/>
          </w:tcPr>
          <w:p>
            <w:pPr>
              <w:pStyle w:val="TableContents"/>
              <w:bidi w:val="0"/>
              <w:spacing w:before="0" w:after="283"/>
              <w:jc w:val="left"/>
              <w:rPr/>
            </w:pPr>
            <w:r>
              <w:rPr/>
              <w:t> </w:t>
            </w:r>
          </w:p>
        </w:tc>
      </w:tr>
      <w:tr>
        <w:trPr/>
        <w:tc>
          <w:tcPr>
            <w:tcW w:w="7252"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Long-term lease obligations</w:t>
            </w:r>
          </w:p>
        </w:tc>
        <w:tc>
          <w:tcPr>
            <w:tcW w:w="12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9" w:type="dxa"/>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2,132</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9"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2,323</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2,230</w:t>
            </w:r>
          </w:p>
        </w:tc>
        <w:tc>
          <w:tcPr>
            <w:tcW w:w="99" w:type="dxa"/>
            <w:tcBorders/>
            <w:shd w:fill="FFFFFF" w:val="clear"/>
            <w:vAlign w:val="center"/>
          </w:tcPr>
          <w:p>
            <w:pPr>
              <w:pStyle w:val="TableContents"/>
              <w:bidi w:val="0"/>
              <w:spacing w:before="0" w:after="283"/>
              <w:jc w:val="left"/>
              <w:rPr/>
            </w:pPr>
            <w:r>
              <w:rPr/>
              <w:t> </w:t>
            </w:r>
          </w:p>
        </w:tc>
      </w:tr>
      <w:tr>
        <w:trPr/>
        <w:tc>
          <w:tcPr>
            <w:tcW w:w="7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liabilities</w:t>
            </w:r>
          </w:p>
        </w:tc>
        <w:tc>
          <w:tcPr>
            <w:tcW w:w="12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323</w:t>
            </w:r>
          </w:p>
        </w:tc>
        <w:tc>
          <w:tcPr>
            <w:tcW w:w="12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334</w:t>
            </w:r>
          </w:p>
        </w:tc>
        <w:tc>
          <w:tcPr>
            <w:tcW w:w="12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328</w:t>
            </w:r>
          </w:p>
        </w:tc>
        <w:tc>
          <w:tcPr>
            <w:tcW w:w="9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252"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liabilities</w:t>
            </w:r>
          </w:p>
        </w:tc>
        <w:tc>
          <w:tcPr>
            <w:tcW w:w="12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9" w:type="dxa"/>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4,360</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9"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4,663</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4,614</w:t>
            </w:r>
          </w:p>
        </w:tc>
        <w:tc>
          <w:tcPr>
            <w:tcW w:w="99" w:type="dxa"/>
            <w:tcBorders/>
            <w:shd w:fill="FFFFFF" w:val="clear"/>
            <w:vAlign w:val="center"/>
          </w:tcPr>
          <w:p>
            <w:pPr>
              <w:pStyle w:val="TableContents"/>
              <w:bidi w:val="0"/>
              <w:spacing w:before="0" w:after="283"/>
              <w:jc w:val="left"/>
              <w:rPr/>
            </w:pPr>
            <w:r>
              <w:rPr/>
              <w:t> </w:t>
            </w:r>
          </w:p>
        </w:tc>
      </w:tr>
      <w:tr>
        <w:trPr/>
        <w:tc>
          <w:tcPr>
            <w:tcW w:w="7252"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Commitments and contingencies</w:t>
            </w:r>
          </w:p>
        </w:tc>
        <w:tc>
          <w:tcPr>
            <w:tcW w:w="120" w:type="dxa"/>
            <w:tcBorders/>
            <w:shd w:fill="CCEEFF" w:val="clear"/>
            <w:vAlign w:val="center"/>
          </w:tcPr>
          <w:p>
            <w:pPr>
              <w:pStyle w:val="TableContents"/>
              <w:bidi w:val="0"/>
              <w:spacing w:before="0" w:after="283"/>
              <w:ind w:left="0" w:right="0" w:hanging="0"/>
              <w:jc w:val="left"/>
              <w:rPr/>
            </w:pPr>
            <w:r>
              <w:rPr/>
              <w:t>  </w:t>
            </w:r>
          </w:p>
        </w:tc>
        <w:tc>
          <w:tcPr>
            <w:tcW w:w="702"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02"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7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9" w:type="dxa"/>
            <w:tcBorders/>
            <w:shd w:fill="CCEEFF" w:val="clear"/>
            <w:vAlign w:val="center"/>
          </w:tcPr>
          <w:p>
            <w:pPr>
              <w:pStyle w:val="TableContents"/>
              <w:bidi w:val="0"/>
              <w:spacing w:before="0" w:after="283"/>
              <w:jc w:val="left"/>
              <w:rPr/>
            </w:pPr>
            <w:r>
              <w:rPr/>
              <w:t> </w:t>
            </w:r>
          </w:p>
        </w:tc>
      </w:tr>
      <w:tr>
        <w:trPr/>
        <w:tc>
          <w:tcPr>
            <w:tcW w:w="7252"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Shareholders’ equity:</w:t>
            </w:r>
          </w:p>
        </w:tc>
        <w:tc>
          <w:tcPr>
            <w:tcW w:w="120" w:type="dxa"/>
            <w:tcBorders/>
            <w:shd w:fill="FFFFFF" w:val="clear"/>
            <w:vAlign w:val="center"/>
          </w:tcPr>
          <w:p>
            <w:pPr>
              <w:pStyle w:val="TableContents"/>
              <w:bidi w:val="0"/>
              <w:spacing w:before="0" w:after="283"/>
              <w:ind w:left="0" w:right="0" w:hanging="0"/>
              <w:jc w:val="left"/>
              <w:rPr/>
            </w:pPr>
            <w:r>
              <w:rPr/>
              <w:t> </w:t>
            </w:r>
          </w:p>
        </w:tc>
        <w:tc>
          <w:tcPr>
            <w:tcW w:w="702"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2"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9" w:type="dxa"/>
            <w:tcBorders/>
            <w:shd w:fill="FFFFFF" w:val="clear"/>
            <w:vAlign w:val="center"/>
          </w:tcPr>
          <w:p>
            <w:pPr>
              <w:pStyle w:val="TableContents"/>
              <w:bidi w:val="0"/>
              <w:spacing w:before="0" w:after="283"/>
              <w:jc w:val="left"/>
              <w:rPr/>
            </w:pPr>
            <w:r>
              <w:rPr/>
              <w:t> </w:t>
            </w:r>
          </w:p>
        </w:tc>
      </w:tr>
      <w:tr>
        <w:trPr/>
        <w:tc>
          <w:tcPr>
            <w:tcW w:w="7252"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Common stock and paid-in capital: 94,175,714; 99,233,112; and 93,396,901 shares issued, respectively</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9" w:type="dxa"/>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766</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9"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779</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760</w:t>
            </w:r>
          </w:p>
        </w:tc>
        <w:tc>
          <w:tcPr>
            <w:tcW w:w="99" w:type="dxa"/>
            <w:tcBorders/>
            <w:shd w:fill="CCEEFF" w:val="clear"/>
            <w:vAlign w:val="center"/>
          </w:tcPr>
          <w:p>
            <w:pPr>
              <w:pStyle w:val="TableContents"/>
              <w:bidi w:val="0"/>
              <w:spacing w:before="0" w:after="283"/>
              <w:jc w:val="left"/>
              <w:rPr/>
            </w:pPr>
            <w:r>
              <w:rPr/>
              <w:t> </w:t>
            </w:r>
          </w:p>
        </w:tc>
      </w:tr>
      <w:tr>
        <w:trPr/>
        <w:tc>
          <w:tcPr>
            <w:tcW w:w="7252"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Retained earnings</w:t>
            </w:r>
          </w:p>
        </w:tc>
        <w:tc>
          <w:tcPr>
            <w:tcW w:w="12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9" w:type="dxa"/>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2,923</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9"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2,995</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2,925</w:t>
            </w:r>
          </w:p>
        </w:tc>
        <w:tc>
          <w:tcPr>
            <w:tcW w:w="99" w:type="dxa"/>
            <w:tcBorders/>
            <w:shd w:fill="FFFFFF" w:val="clear"/>
            <w:vAlign w:val="center"/>
          </w:tcPr>
          <w:p>
            <w:pPr>
              <w:pStyle w:val="TableContents"/>
              <w:bidi w:val="0"/>
              <w:spacing w:before="0" w:after="283"/>
              <w:jc w:val="left"/>
              <w:rPr/>
            </w:pPr>
            <w:r>
              <w:rPr/>
              <w:t> </w:t>
            </w:r>
          </w:p>
        </w:tc>
      </w:tr>
      <w:tr>
        <w:trPr/>
        <w:tc>
          <w:tcPr>
            <w:tcW w:w="7252"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9" w:type="dxa"/>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(396</w:t>
            </w:r>
          </w:p>
        </w:tc>
        <w:tc>
          <w:tcPr>
            <w:tcW w:w="120" w:type="dxa"/>
            <w:tcBorders/>
            <w:shd w:fill="CCEE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9"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(384</w:t>
            </w:r>
          </w:p>
        </w:tc>
        <w:tc>
          <w:tcPr>
            <w:tcW w:w="12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(392</w:t>
            </w:r>
          </w:p>
        </w:tc>
        <w:tc>
          <w:tcPr>
            <w:tcW w:w="99"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7252"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Less: Treasury stock at cost: 260,870; 4,731,931; and 1,489 shares, respectively</w:t>
            </w:r>
          </w:p>
        </w:tc>
        <w:tc>
          <w:tcPr>
            <w:tcW w:w="12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9" w:type="dxa"/>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(10</w:t>
            </w:r>
          </w:p>
        </w:tc>
        <w:tc>
          <w:tcPr>
            <w:tcW w:w="120" w:type="dxa"/>
            <w:tcBorders/>
            <w:shd w:fill="FFFF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9"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(178</w:t>
            </w:r>
          </w:p>
        </w:tc>
        <w:tc>
          <w:tcPr>
            <w:tcW w:w="12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pPr>
            <w:r>
              <w:rPr/>
              <w:t>—</w:t>
            </w:r>
          </w:p>
        </w:tc>
        <w:tc>
          <w:tcPr>
            <w:tcW w:w="99" w:type="dxa"/>
            <w:tcBorders/>
            <w:shd w:fill="FFFFFF" w:val="clear"/>
            <w:vAlign w:val="center"/>
          </w:tcPr>
          <w:p>
            <w:pPr>
              <w:pStyle w:val="TableContents"/>
              <w:bidi w:val="0"/>
              <w:spacing w:before="0" w:after="283"/>
              <w:jc w:val="left"/>
              <w:rPr/>
            </w:pPr>
            <w:r>
              <w:rPr/>
              <w:t> </w:t>
            </w:r>
          </w:p>
        </w:tc>
      </w:tr>
      <w:tr>
        <w:trPr/>
        <w:tc>
          <w:tcPr>
            <w:tcW w:w="7252" w:type="dxa"/>
            <w:tcBorders>
              <w:bottom w:val="single" w:sz="2" w:space="0" w:color="000000"/>
            </w:tcBorders>
            <w:shd w:fill="CCEEFF" w:val="clear"/>
            <w:tcMar>
              <w:bottom w:w="28" w:type="dxa"/>
            </w:tcM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Noncontrolling interest</w:t>
            </w:r>
          </w:p>
        </w:tc>
        <w:tc>
          <w:tcPr>
            <w:tcW w:w="12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2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w:t>
            </w:r>
          </w:p>
        </w:tc>
        <w:tc>
          <w:tcPr>
            <w:tcW w:w="12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2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shareholders' equity</w:t>
            </w:r>
          </w:p>
        </w:tc>
        <w:tc>
          <w:tcPr>
            <w:tcW w:w="1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3,283</w:t>
            </w:r>
          </w:p>
        </w:tc>
        <w:tc>
          <w:tcPr>
            <w:tcW w:w="1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3,215</w:t>
            </w:r>
          </w:p>
        </w:tc>
        <w:tc>
          <w:tcPr>
            <w:tcW w:w="1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3,293</w:t>
            </w:r>
          </w:p>
        </w:tc>
        <w:tc>
          <w:tcPr>
            <w:tcW w:w="9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7,643</w:t>
            </w:r>
          </w:p>
        </w:tc>
        <w:tc>
          <w:tcPr>
            <w:tcW w:w="12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7,878</w:t>
            </w:r>
          </w:p>
        </w:tc>
        <w:tc>
          <w:tcPr>
            <w:tcW w:w="12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7,907</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4"/>
              </w:rPr>
            </w:pPr>
            <w:r>
              <w:rPr>
                <w:rFonts w:ascii="Arial;Helvetica;sans-serif" w:hAnsi="Arial;Helvetica;sans-serif"/>
                <w:caps w:val="false"/>
                <w:smallCaps w:val="false"/>
                <w:sz w:val="14"/>
              </w:rPr>
              <w:t>*</w:t>
            </w:r>
          </w:p>
        </w:tc>
        <w:tc>
          <w:tcPr>
            <w:tcW w:w="1012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4"/>
              </w:rPr>
            </w:pPr>
            <w:r>
              <w:rPr>
                <w:rFonts w:ascii="Arial;Helvetica;sans-serif" w:hAnsi="Arial;Helvetica;sans-serif"/>
                <w:caps w:val="false"/>
                <w:smallCaps w:val="false"/>
                <w:sz w:val="14"/>
              </w:rPr>
              <w:t>The balance sheet at January 28, 2023 has been derived from the previously reported audited consolidated financial statements at that date, but does not include all of the information and footnotes required by U.S. generally accepted accounting principles for complete financial statements. For further information, refer to the consolidated financial statements and footnotes thereto included in Foot Locker, Inc.’s Annual Report on Form 10-K for the year ended January 28, 2023.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See Accompanying Notes to the Unaudited Condensed Consolidated Financial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First Quarter 2023 Form 10-Q Page 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180" w:right="0" w:hanging="180"/>
        <w:jc w:val="center"/>
        <w:rPr/>
      </w:pPr>
      <w:r>
        <w:rPr/>
        <w:drawing>
          <wp:inline distT="0" distB="0" distL="0" distR="0">
            <wp:extent cx="2695575" cy="314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695575" cy="3143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bookmarkStart w:id="5" w:name="sop"/>
      <w:bookmarkEnd w:id="5"/>
      <w:r>
        <w:rPr>
          <w:rFonts w:ascii="Arial;Helvetica;sans-serif" w:hAnsi="Arial;Helvetica;sans-serif"/>
          <w:b/>
          <w:caps w:val="false"/>
          <w:smallCaps w:val="false"/>
          <w:sz w:val="20"/>
        </w:rPr>
        <w:t>CONDENSED CONSOLIDATED STATEMENTS OF OPERATIONS</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6732" w:type="dxa"/>
        <w:jc w:val="left"/>
        <w:tblInd w:w="0" w:type="dxa"/>
        <w:tblLayout w:type="fixed"/>
        <w:tblCellMar>
          <w:top w:w="0" w:type="dxa"/>
          <w:left w:w="0" w:type="dxa"/>
          <w:bottom w:w="28" w:type="dxa"/>
          <w:right w:w="0" w:type="dxa"/>
        </w:tblCellMar>
      </w:tblPr>
      <w:tblGrid>
        <w:gridCol w:w="4685"/>
        <w:gridCol w:w="60"/>
        <w:gridCol w:w="174"/>
        <w:gridCol w:w="675"/>
        <w:gridCol w:w="111"/>
        <w:gridCol w:w="83"/>
        <w:gridCol w:w="174"/>
        <w:gridCol w:w="675"/>
        <w:gridCol w:w="95"/>
      </w:tblGrid>
      <w:tr>
        <w:trPr/>
        <w:tc>
          <w:tcPr>
            <w:tcW w:w="468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2"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Thirteen weeks ended</w:t>
            </w:r>
          </w:p>
        </w:tc>
        <w:tc>
          <w:tcPr>
            <w:tcW w:w="9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68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April 29,</w:t>
            </w:r>
          </w:p>
        </w:tc>
        <w:tc>
          <w:tcPr>
            <w:tcW w:w="111"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ind w:left="0" w:right="0" w:hanging="0"/>
              <w:jc w:val="left"/>
              <w:rPr/>
            </w:pPr>
            <w:r>
              <w:rPr/>
              <w:t> </w:t>
            </w:r>
          </w:p>
        </w:tc>
        <w:tc>
          <w:tcPr>
            <w:tcW w:w="84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April 30,</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468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 except per share amounts)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111" w:type="dxa"/>
            <w:tcBorders>
              <w:bottom w:val="single" w:sz="2" w:space="0" w:color="000000"/>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9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68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Sales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1,927</w:t>
            </w:r>
          </w:p>
        </w:tc>
        <w:tc>
          <w:tcPr>
            <w:tcW w:w="111"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ind w:left="0" w:right="0" w:hanging="0"/>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2,175</w:t>
            </w:r>
          </w:p>
        </w:tc>
        <w:tc>
          <w:tcPr>
            <w:tcW w:w="9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68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Licensing revenue</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7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75"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4</w:t>
            </w:r>
          </w:p>
        </w:tc>
        <w:tc>
          <w:tcPr>
            <w:tcW w:w="111"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3"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7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75"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w:t>
            </w:r>
          </w:p>
        </w:tc>
        <w:tc>
          <w:tcPr>
            <w:tcW w:w="9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r>
      <w:tr>
        <w:trPr/>
        <w:tc>
          <w:tcPr>
            <w:tcW w:w="468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Total revenue</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74" w:type="dxa"/>
            <w:tcBorders/>
            <w:shd w:fill="CCEEFF" w:val="clear"/>
            <w:tcMar>
              <w:bottom w:w="0" w:type="dxa"/>
            </w:tcMar>
            <w:vAlign w:val="center"/>
          </w:tcPr>
          <w:p>
            <w:pPr>
              <w:pStyle w:val="TableContents"/>
              <w:bidi w:val="0"/>
              <w:spacing w:before="0" w:after="0"/>
              <w:ind w:left="0" w:right="0" w:hanging="0"/>
              <w:jc w:val="left"/>
              <w:rPr/>
            </w:pPr>
            <w:r>
              <w:rPr/>
              <w:t> </w:t>
            </w:r>
          </w:p>
        </w:tc>
        <w:tc>
          <w:tcPr>
            <w:tcW w:w="675" w:type="dxa"/>
            <w:tcBorders/>
            <w:shd w:fill="CCEEFF" w:val="clear"/>
            <w:tcMar>
              <w:bottom w:w="0" w:type="dxa"/>
            </w:tcMar>
            <w:vAlign w:val="center"/>
          </w:tcPr>
          <w:p>
            <w:pPr>
              <w:pStyle w:val="TableContents"/>
              <w:bidi w:val="0"/>
              <w:spacing w:before="0" w:after="0"/>
              <w:jc w:val="right"/>
              <w:rPr>
                <w:rFonts w:ascii="Arial;Helvetica;sans-serif" w:hAnsi="Arial;Helvetica;sans-serif"/>
                <w:b/>
                <w:sz w:val="18"/>
              </w:rPr>
            </w:pPr>
            <w:r>
              <w:rPr>
                <w:rFonts w:ascii="Arial;Helvetica;sans-serif" w:hAnsi="Arial;Helvetica;sans-serif"/>
                <w:b/>
                <w:sz w:val="18"/>
              </w:rPr>
              <w:t>1,931</w:t>
            </w:r>
          </w:p>
        </w:tc>
        <w:tc>
          <w:tcPr>
            <w:tcW w:w="111"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0"/>
              <w:jc w:val="right"/>
              <w:rPr>
                <w:rFonts w:ascii="Arial;Helvetica;sans-serif" w:hAnsi="Arial;Helvetica;sans-serif"/>
                <w:sz w:val="18"/>
              </w:rPr>
            </w:pPr>
            <w:r>
              <w:rPr>
                <w:rFonts w:ascii="Arial;Helvetica;sans-serif" w:hAnsi="Arial;Helvetica;sans-serif"/>
                <w:sz w:val="18"/>
              </w:rPr>
              <w:t>2,178</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468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9"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11"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ind w:left="0" w:right="0" w:hanging="0"/>
              <w:jc w:val="left"/>
              <w:rPr/>
            </w:pPr>
            <w:r>
              <w:rPr/>
              <w:t> </w:t>
            </w:r>
          </w:p>
        </w:tc>
        <w:tc>
          <w:tcPr>
            <w:tcW w:w="849"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468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Cost of sales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1,349</w:t>
            </w:r>
          </w:p>
        </w:tc>
        <w:tc>
          <w:tcPr>
            <w:tcW w:w="111"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1,435</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468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Selling, general and administrative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67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431</w:t>
            </w:r>
          </w:p>
        </w:tc>
        <w:tc>
          <w:tcPr>
            <w:tcW w:w="111"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67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463</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468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Depreciation and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51</w:t>
            </w:r>
          </w:p>
        </w:tc>
        <w:tc>
          <w:tcPr>
            <w:tcW w:w="111"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54</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468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Impairment and other</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39</w:t>
            </w:r>
          </w:p>
        </w:tc>
        <w:tc>
          <w:tcPr>
            <w:tcW w:w="111" w:type="dxa"/>
            <w:tcBorders>
              <w:bottom w:val="single" w:sz="2" w:space="0" w:color="000000"/>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w:t>
            </w:r>
          </w:p>
        </w:tc>
        <w:tc>
          <w:tcPr>
            <w:tcW w:w="9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68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Income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61</w:t>
            </w:r>
          </w:p>
        </w:tc>
        <w:tc>
          <w:tcPr>
            <w:tcW w:w="111"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220</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468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9"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11"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ind w:left="0" w:right="0" w:hanging="0"/>
              <w:jc w:val="left"/>
              <w:rPr/>
            </w:pPr>
            <w:r>
              <w:rPr/>
              <w:t> </w:t>
            </w:r>
          </w:p>
        </w:tc>
        <w:tc>
          <w:tcPr>
            <w:tcW w:w="849"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468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Interest expense,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w:t>
            </w:r>
          </w:p>
        </w:tc>
        <w:tc>
          <w:tcPr>
            <w:tcW w:w="111"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3"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w:t>
            </w:r>
          </w:p>
        </w:tc>
        <w:tc>
          <w:tcPr>
            <w:tcW w:w="95"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468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income / (expense), net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w:t>
            </w:r>
          </w:p>
        </w:tc>
        <w:tc>
          <w:tcPr>
            <w:tcW w:w="111"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3"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w:t>
            </w:r>
          </w:p>
        </w:tc>
        <w:tc>
          <w:tcPr>
            <w:tcW w:w="95"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468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Income before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57</w:t>
            </w:r>
          </w:p>
        </w:tc>
        <w:tc>
          <w:tcPr>
            <w:tcW w:w="111"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190</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468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Income tax expense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21</w:t>
            </w:r>
          </w:p>
        </w:tc>
        <w:tc>
          <w:tcPr>
            <w:tcW w:w="111" w:type="dxa"/>
            <w:tcBorders>
              <w:bottom w:val="single" w:sz="2" w:space="0" w:color="000000"/>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58</w:t>
            </w:r>
          </w:p>
        </w:tc>
        <w:tc>
          <w:tcPr>
            <w:tcW w:w="9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68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36</w:t>
            </w:r>
          </w:p>
        </w:tc>
        <w:tc>
          <w:tcPr>
            <w:tcW w:w="111"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132</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468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loss attributable to noncontrolling interests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111" w:type="dxa"/>
            <w:tcBorders>
              <w:bottom w:val="single" w:sz="2" w:space="0" w:color="000000"/>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w:t>
            </w:r>
          </w:p>
        </w:tc>
        <w:tc>
          <w:tcPr>
            <w:tcW w:w="9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685"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Net income attributable to Foot Locker, Inc.</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36</w:t>
            </w:r>
          </w:p>
        </w:tc>
        <w:tc>
          <w:tcPr>
            <w:tcW w:w="111" w:type="dxa"/>
            <w:tcBorders>
              <w:bottom w:val="double" w:sz="6" w:space="0" w:color="000000"/>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133</w:t>
            </w:r>
          </w:p>
        </w:tc>
        <w:tc>
          <w:tcPr>
            <w:tcW w:w="95" w:type="dxa"/>
            <w:tcBorders>
              <w:bottom w:val="double" w:sz="6" w:space="0" w:color="000000"/>
            </w:tcBorders>
            <w:shd w:fill="CCEEFF" w:val="clear"/>
            <w:vAlign w:val="center"/>
          </w:tcPr>
          <w:p>
            <w:pPr>
              <w:pStyle w:val="TableContents"/>
              <w:bidi w:val="0"/>
              <w:spacing w:before="0" w:after="283"/>
              <w:jc w:val="left"/>
              <w:rPr/>
            </w:pPr>
            <w:r>
              <w:rPr/>
              <w:t> </w:t>
            </w:r>
          </w:p>
        </w:tc>
      </w:tr>
      <w:tr>
        <w:trPr/>
        <w:tc>
          <w:tcPr>
            <w:tcW w:w="468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9"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11"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ind w:left="0" w:right="0" w:hanging="0"/>
              <w:jc w:val="left"/>
              <w:rPr/>
            </w:pPr>
            <w:r>
              <w:rPr/>
              <w:t> </w:t>
            </w:r>
          </w:p>
        </w:tc>
        <w:tc>
          <w:tcPr>
            <w:tcW w:w="849"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468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Basic earnings per share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0.39</w:t>
            </w:r>
          </w:p>
        </w:tc>
        <w:tc>
          <w:tcPr>
            <w:tcW w:w="111"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ind w:left="0" w:right="0" w:hanging="0"/>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1.38</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468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Weighted-average shares outstanding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67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93.7</w:t>
            </w:r>
          </w:p>
        </w:tc>
        <w:tc>
          <w:tcPr>
            <w:tcW w:w="111"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67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96.1</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4685"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9"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11"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ind w:left="0" w:right="0" w:hanging="0"/>
              <w:jc w:val="left"/>
              <w:rPr/>
            </w:pPr>
            <w:r>
              <w:rPr/>
              <w:t> </w:t>
            </w:r>
          </w:p>
        </w:tc>
        <w:tc>
          <w:tcPr>
            <w:tcW w:w="849"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468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Diluted earnings per share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0.38</w:t>
            </w:r>
          </w:p>
        </w:tc>
        <w:tc>
          <w:tcPr>
            <w:tcW w:w="111"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ind w:left="0" w:right="0" w:hanging="0"/>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4685" w:type="dxa"/>
            <w:tcBorders>
              <w:bottom w:val="single" w:sz="2" w:space="0" w:color="000000"/>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Weighted-average shares outstanding, assuming dilution</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95.1</w:t>
            </w:r>
          </w:p>
        </w:tc>
        <w:tc>
          <w:tcPr>
            <w:tcW w:w="111" w:type="dxa"/>
            <w:tcBorders>
              <w:bottom w:val="single" w:sz="2" w:space="0" w:color="000000"/>
            </w:tcBorders>
            <w:shd w:fill="CCEEFF" w:val="clear"/>
            <w:vAlign w:val="center"/>
          </w:tcPr>
          <w:p>
            <w:pPr>
              <w:pStyle w:val="TableContents"/>
              <w:bidi w:val="0"/>
              <w:spacing w:before="0" w:after="283"/>
              <w:jc w:val="left"/>
              <w:rPr/>
            </w:pPr>
            <w:r>
              <w:rPr/>
              <w:t> </w:t>
            </w:r>
          </w:p>
        </w:tc>
        <w:tc>
          <w:tcPr>
            <w:tcW w:w="83" w:type="dxa"/>
            <w:tcBorders>
              <w:bottom w:val="single" w:sz="2" w:space="0" w:color="000000"/>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97.2</w:t>
            </w:r>
          </w:p>
        </w:tc>
        <w:tc>
          <w:tcPr>
            <w:tcW w:w="95"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See Accompanying Notes to the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First Quarter 2023 Form 10-Q Page 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2695575" cy="3143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695575" cy="3143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 w:hAnsi="arial"/>
          <w:b/>
          <w:caps w:val="false"/>
          <w:smallCaps w:val="false"/>
          <w:sz w:val="20"/>
        </w:rPr>
      </w:pPr>
      <w:bookmarkStart w:id="6" w:name="soci"/>
      <w:bookmarkEnd w:id="6"/>
      <w:r>
        <w:rPr>
          <w:rFonts w:ascii="arial" w:hAnsi="arial"/>
          <w:b/>
          <w:caps w:val="false"/>
          <w:smallCaps w:val="false"/>
          <w:sz w:val="20"/>
        </w:rPr>
        <w:t xml:space="preserve">CONDENSED CONSOLIDATED STATEMENTS OF COMPREHENSIVE INCOME </w:t>
      </w:r>
    </w:p>
    <w:p>
      <w:pPr>
        <w:pStyle w:val="TextBody"/>
        <w:bidi w:val="0"/>
        <w:spacing w:before="0" w:after="0"/>
        <w:ind w:left="0" w:right="0" w:hanging="0"/>
        <w:jc w:val="center"/>
        <w:rPr>
          <w:rFonts w:ascii="arial" w:hAnsi="arial"/>
          <w:caps w:val="false"/>
          <w:smallCaps w:val="false"/>
          <w:sz w:val="20"/>
        </w:rPr>
      </w:pPr>
      <w:r>
        <w:rPr>
          <w:rFonts w:ascii="arial" w:hAnsi="arial"/>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455"/>
        <w:gridCol w:w="60"/>
        <w:gridCol w:w="239"/>
        <w:gridCol w:w="386"/>
        <w:gridCol w:w="130"/>
        <w:gridCol w:w="98"/>
        <w:gridCol w:w="205"/>
        <w:gridCol w:w="549"/>
        <w:gridCol w:w="83"/>
      </w:tblGrid>
      <w:tr>
        <w:trPr/>
        <w:tc>
          <w:tcPr>
            <w:tcW w:w="845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607"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Thirteen weeks ended</w:t>
            </w:r>
          </w:p>
        </w:tc>
        <w:tc>
          <w:tcPr>
            <w:tcW w:w="83"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845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April 29,</w:t>
            </w:r>
          </w:p>
        </w:tc>
        <w:tc>
          <w:tcPr>
            <w:tcW w:w="13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ind w:left="0" w:right="0" w:hanging="0"/>
              <w:jc w:val="left"/>
              <w:rPr/>
            </w:pPr>
            <w:r>
              <w:rPr/>
              <w:t> </w:t>
            </w:r>
          </w:p>
        </w:tc>
        <w:tc>
          <w:tcPr>
            <w:tcW w:w="75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April 30,</w:t>
            </w:r>
          </w:p>
        </w:tc>
        <w:tc>
          <w:tcPr>
            <w:tcW w:w="83" w:type="dxa"/>
            <w:tcBorders/>
            <w:shd w:fill="FFFFFF" w:val="clear"/>
            <w:tcMar>
              <w:bottom w:w="0" w:type="dxa"/>
            </w:tcMar>
            <w:vAlign w:val="center"/>
          </w:tcPr>
          <w:p>
            <w:pPr>
              <w:pStyle w:val="TableContents"/>
              <w:bidi w:val="0"/>
              <w:spacing w:before="0" w:after="283"/>
              <w:jc w:val="left"/>
              <w:rPr/>
            </w:pPr>
            <w:r>
              <w:rPr/>
              <w:t> </w:t>
            </w:r>
          </w:p>
        </w:tc>
      </w:tr>
      <w:tr>
        <w:trPr/>
        <w:tc>
          <w:tcPr>
            <w:tcW w:w="845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130" w:type="dxa"/>
            <w:tcBorders>
              <w:bottom w:val="single" w:sz="2" w:space="0" w:color="000000"/>
            </w:tcBorders>
            <w:shd w:fill="FFFFFF" w:val="clear"/>
            <w:vAlign w:val="center"/>
          </w:tcPr>
          <w:p>
            <w:pPr>
              <w:pStyle w:val="TableContents"/>
              <w:bidi w:val="0"/>
              <w:spacing w:before="0" w:after="283"/>
              <w:jc w:val="left"/>
              <w:rPr/>
            </w:pPr>
            <w:r>
              <w:rPr/>
              <w:t> </w:t>
            </w:r>
          </w:p>
        </w:tc>
        <w:tc>
          <w:tcPr>
            <w:tcW w:w="9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83"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845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Net income attributable to Foot Locker, Inc.</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9"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38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36</w:t>
            </w:r>
          </w:p>
        </w:tc>
        <w:tc>
          <w:tcPr>
            <w:tcW w:w="13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ind w:left="0" w:right="0" w:hanging="0"/>
              <w:jc w:val="left"/>
              <w:rPr/>
            </w:pPr>
            <w:r>
              <w:rPr/>
              <w:t> </w:t>
            </w:r>
          </w:p>
        </w:tc>
        <w:tc>
          <w:tcPr>
            <w:tcW w:w="20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4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133</w:t>
            </w:r>
          </w:p>
        </w:tc>
        <w:tc>
          <w:tcPr>
            <w:tcW w:w="83" w:type="dxa"/>
            <w:tcBorders/>
            <w:shd w:fill="CCEEFF" w:val="clear"/>
            <w:tcMar>
              <w:bottom w:w="0" w:type="dxa"/>
            </w:tcMar>
            <w:vAlign w:val="center"/>
          </w:tcPr>
          <w:p>
            <w:pPr>
              <w:pStyle w:val="TableContents"/>
              <w:bidi w:val="0"/>
              <w:spacing w:before="0" w:after="283"/>
              <w:jc w:val="left"/>
              <w:rPr/>
            </w:pPr>
            <w:r>
              <w:rPr/>
              <w:t> </w:t>
            </w:r>
          </w:p>
        </w:tc>
      </w:tr>
      <w:tr>
        <w:trPr/>
        <w:tc>
          <w:tcPr>
            <w:tcW w:w="845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comprehensive income (loss), net of income tax</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9" w:type="dxa"/>
            <w:tcBorders/>
            <w:shd w:fill="FFFFFF" w:val="clear"/>
            <w:tcMar>
              <w:bottom w:w="0" w:type="dxa"/>
            </w:tcMar>
            <w:vAlign w:val="center"/>
          </w:tcPr>
          <w:p>
            <w:pPr>
              <w:pStyle w:val="TableContents"/>
              <w:bidi w:val="0"/>
              <w:spacing w:before="0" w:after="283"/>
              <w:jc w:val="left"/>
              <w:rPr/>
            </w:pPr>
            <w:r>
              <w:rPr/>
              <w:t> </w:t>
            </w:r>
          </w:p>
        </w:tc>
        <w:tc>
          <w:tcPr>
            <w:tcW w:w="386"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549"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8455" w:type="dxa"/>
            <w:tcBorders/>
            <w:shd w:fill="CCEEFF" w:val="clear"/>
            <w:tcMar>
              <w:bottom w:w="0" w:type="dxa"/>
            </w:tcMar>
            <w:vAlign w:val="center"/>
          </w:tcPr>
          <w:p>
            <w:pPr>
              <w:pStyle w:val="TableContents"/>
              <w:bidi w:val="0"/>
              <w:spacing w:before="0" w:after="0"/>
              <w:ind w:left="0" w:right="0" w:hanging="0"/>
              <w:jc w:val="left"/>
              <w:rPr/>
            </w:pPr>
            <w:r>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625" w:type="dxa"/>
            <w:gridSpan w:val="2"/>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754" w:type="dxa"/>
            <w:gridSpan w:val="2"/>
            <w:tcBorders/>
            <w:shd w:fill="CCEEFF" w:val="clear"/>
            <w:tcMar>
              <w:bottom w:w="0" w:type="dxa"/>
            </w:tcMar>
            <w:vAlign w:val="center"/>
          </w:tcPr>
          <w:p>
            <w:pPr>
              <w:pStyle w:val="TableContents"/>
              <w:bidi w:val="0"/>
              <w:spacing w:before="0" w:after="283"/>
              <w:jc w:val="left"/>
              <w:rPr/>
            </w:pPr>
            <w:r>
              <w:rPr/>
              <w:t>​</w:t>
            </w:r>
          </w:p>
        </w:tc>
        <w:tc>
          <w:tcPr>
            <w:tcW w:w="83" w:type="dxa"/>
            <w:tcBorders/>
            <w:shd w:fill="CCEEFF" w:val="clear"/>
            <w:tcMar>
              <w:bottom w:w="0" w:type="dxa"/>
            </w:tcMar>
            <w:vAlign w:val="center"/>
          </w:tcPr>
          <w:p>
            <w:pPr>
              <w:pStyle w:val="TableContents"/>
              <w:bidi w:val="0"/>
              <w:spacing w:before="0" w:after="283"/>
              <w:jc w:val="left"/>
              <w:rPr/>
            </w:pPr>
            <w:r>
              <w:rPr/>
              <w:t> </w:t>
            </w:r>
          </w:p>
        </w:tc>
      </w:tr>
      <w:tr>
        <w:trPr/>
        <w:tc>
          <w:tcPr>
            <w:tcW w:w="845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i/>
                <w:caps w:val="false"/>
                <w:smallCaps w:val="false"/>
                <w:sz w:val="18"/>
              </w:rPr>
            </w:pPr>
            <w:r>
              <w:rPr>
                <w:rFonts w:ascii="Arial;Helvetica;sans-serif" w:hAnsi="Arial;Helvetica;sans-serif"/>
                <w:i/>
                <w:caps w:val="false"/>
                <w:smallCaps w:val="false"/>
                <w:sz w:val="18"/>
              </w:rPr>
              <w:t>Foreign currency translation adjustment: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9" w:type="dxa"/>
            <w:tcBorders/>
            <w:shd w:fill="FFFFFF" w:val="clear"/>
            <w:tcMar>
              <w:bottom w:w="0" w:type="dxa"/>
            </w:tcMar>
            <w:vAlign w:val="center"/>
          </w:tcPr>
          <w:p>
            <w:pPr>
              <w:pStyle w:val="TableContents"/>
              <w:bidi w:val="0"/>
              <w:spacing w:before="0" w:after="283"/>
              <w:jc w:val="left"/>
              <w:rPr/>
            </w:pPr>
            <w:r>
              <w:rPr/>
              <w:t> </w:t>
            </w:r>
          </w:p>
        </w:tc>
        <w:tc>
          <w:tcPr>
            <w:tcW w:w="386"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549"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r>
      <w:tr>
        <w:trPr/>
        <w:tc>
          <w:tcPr>
            <w:tcW w:w="8455" w:type="dxa"/>
            <w:tcBorders/>
            <w:shd w:fill="CCEEFF" w:val="clear"/>
            <w:tcMar>
              <w:bottom w:w="0" w:type="dxa"/>
            </w:tcMar>
            <w:vAlign w:val="center"/>
          </w:tcPr>
          <w:p>
            <w:pPr>
              <w:pStyle w:val="TableContents"/>
              <w:bidi w:val="0"/>
              <w:spacing w:before="0" w:after="0"/>
              <w:ind w:left="0" w:right="0" w:hanging="180"/>
              <w:jc w:val="left"/>
              <w:rPr>
                <w:rFonts w:ascii="Arial;Helvetica;sans-serif" w:hAnsi="Arial;Helvetica;sans-serif"/>
                <w:caps w:val="false"/>
                <w:smallCaps w:val="false"/>
                <w:sz w:val="18"/>
              </w:rPr>
            </w:pPr>
            <w:r>
              <w:rPr>
                <w:rFonts w:ascii="Arial;Helvetica;sans-serif" w:hAnsi="Arial;Helvetica;sans-serif"/>
                <w:caps w:val="false"/>
                <w:smallCaps w:val="false"/>
                <w:sz w:val="18"/>
              </w:rPr>
              <w:t>Translation adjustment arising during the period, net of income tax (benefit)/expense of $- and $(1), respectively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 w:type="dxa"/>
            <w:tcBorders/>
            <w:shd w:fill="CCEEFF" w:val="clear"/>
            <w:tcMar>
              <w:bottom w:w="0" w:type="dxa"/>
            </w:tcMar>
            <w:vAlign w:val="center"/>
          </w:tcPr>
          <w:p>
            <w:pPr>
              <w:pStyle w:val="TableContents"/>
              <w:bidi w:val="0"/>
              <w:spacing w:before="0" w:after="283"/>
              <w:ind w:left="0" w:right="0" w:hanging="0"/>
              <w:jc w:val="left"/>
              <w:rPr/>
            </w:pPr>
            <w:r>
              <w:rPr/>
              <w:t> </w:t>
            </w:r>
          </w:p>
        </w:tc>
        <w:tc>
          <w:tcPr>
            <w:tcW w:w="38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(7</w:t>
            </w:r>
          </w:p>
        </w:tc>
        <w:tc>
          <w:tcPr>
            <w:tcW w:w="13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8"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ind w:left="0" w:right="0" w:hanging="0"/>
              <w:jc w:val="left"/>
              <w:rPr/>
            </w:pPr>
            <w:r>
              <w:rPr/>
              <w:t> </w:t>
            </w:r>
          </w:p>
        </w:tc>
        <w:tc>
          <w:tcPr>
            <w:tcW w:w="54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(44</w:t>
            </w:r>
          </w:p>
        </w:tc>
        <w:tc>
          <w:tcPr>
            <w:tcW w:w="83"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845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ind w:left="0" w:right="0" w:hanging="0"/>
              <w:jc w:val="left"/>
              <w:rPr/>
            </w:pPr>
            <w:r>
              <w:rPr/>
              <w:t> </w:t>
            </w:r>
          </w:p>
        </w:tc>
        <w:tc>
          <w:tcPr>
            <w:tcW w:w="754"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3" w:type="dxa"/>
            <w:tcBorders/>
            <w:shd w:fill="FFFFFF" w:val="clear"/>
            <w:tcMar>
              <w:bottom w:w="0" w:type="dxa"/>
            </w:tcMar>
            <w:vAlign w:val="center"/>
          </w:tcPr>
          <w:p>
            <w:pPr>
              <w:pStyle w:val="TableContents"/>
              <w:bidi w:val="0"/>
              <w:spacing w:before="0" w:after="283"/>
              <w:jc w:val="left"/>
              <w:rPr/>
            </w:pPr>
            <w:r>
              <w:rPr/>
              <w:t> </w:t>
            </w:r>
          </w:p>
        </w:tc>
      </w:tr>
      <w:tr>
        <w:trPr/>
        <w:tc>
          <w:tcPr>
            <w:tcW w:w="845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i/>
                <w:caps w:val="false"/>
                <w:smallCaps w:val="false"/>
                <w:sz w:val="18"/>
              </w:rPr>
            </w:pPr>
            <w:r>
              <w:rPr>
                <w:rFonts w:ascii="Arial;Helvetica;sans-serif" w:hAnsi="Arial;Helvetica;sans-serif"/>
                <w:i/>
                <w:caps w:val="false"/>
                <w:smallCaps w:val="false"/>
                <w:sz w:val="18"/>
              </w:rPr>
              <w:t>Hedges contracts: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 w:type="dxa"/>
            <w:tcBorders/>
            <w:shd w:fill="CCEEFF" w:val="clear"/>
            <w:tcMar>
              <w:bottom w:w="0" w:type="dxa"/>
            </w:tcMar>
            <w:vAlign w:val="center"/>
          </w:tcPr>
          <w:p>
            <w:pPr>
              <w:pStyle w:val="TableContents"/>
              <w:bidi w:val="0"/>
              <w:spacing w:before="0" w:after="283"/>
              <w:jc w:val="left"/>
              <w:rPr/>
            </w:pPr>
            <w:r>
              <w:rPr/>
              <w:t> </w:t>
            </w:r>
          </w:p>
        </w:tc>
        <w:tc>
          <w:tcPr>
            <w:tcW w:w="386"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549"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r>
      <w:tr>
        <w:trPr/>
        <w:tc>
          <w:tcPr>
            <w:tcW w:w="845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Change in fair value of derivatives, net of income tax benefit of $-, and $-, respectively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9" w:type="dxa"/>
            <w:tcBorders/>
            <w:shd w:fill="FFFFFF" w:val="clear"/>
            <w:tcMar>
              <w:bottom w:w="0" w:type="dxa"/>
            </w:tcMar>
            <w:vAlign w:val="center"/>
          </w:tcPr>
          <w:p>
            <w:pPr>
              <w:pStyle w:val="TableContents"/>
              <w:bidi w:val="0"/>
              <w:spacing w:before="0" w:after="283"/>
              <w:ind w:left="0" w:right="0" w:hanging="0"/>
              <w:jc w:val="left"/>
              <w:rPr/>
            </w:pPr>
            <w:r>
              <w:rP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w:t>
            </w:r>
          </w:p>
        </w:tc>
        <w:tc>
          <w:tcPr>
            <w:tcW w:w="13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205" w:type="dxa"/>
            <w:tcBorders/>
            <w:shd w:fill="FFFFFF" w:val="clear"/>
            <w:tcMar>
              <w:bottom w:w="0" w:type="dxa"/>
            </w:tcMar>
            <w:vAlign w:val="center"/>
          </w:tcPr>
          <w:p>
            <w:pPr>
              <w:pStyle w:val="TableContents"/>
              <w:bidi w:val="0"/>
              <w:spacing w:before="0" w:after="283"/>
              <w:ind w:left="0" w:right="0" w:hanging="0"/>
              <w:jc w:val="left"/>
              <w:rPr/>
            </w:pPr>
            <w:r>
              <w:rPr/>
              <w:t> </w:t>
            </w:r>
          </w:p>
        </w:tc>
        <w:tc>
          <w:tcPr>
            <w:tcW w:w="549"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w:t>
            </w:r>
          </w:p>
        </w:tc>
        <w:tc>
          <w:tcPr>
            <w:tcW w:w="83" w:type="dxa"/>
            <w:tcBorders/>
            <w:shd w:fill="FFFFFF" w:val="clear"/>
            <w:tcMar>
              <w:bottom w:w="0" w:type="dxa"/>
            </w:tcMar>
            <w:vAlign w:val="center"/>
          </w:tcPr>
          <w:p>
            <w:pPr>
              <w:pStyle w:val="TableContents"/>
              <w:bidi w:val="0"/>
              <w:spacing w:before="0" w:after="283"/>
              <w:jc w:val="left"/>
              <w:rPr/>
            </w:pPr>
            <w:r>
              <w:rPr/>
              <w:t> </w:t>
            </w:r>
          </w:p>
        </w:tc>
      </w:tr>
      <w:tr>
        <w:trPr/>
        <w:tc>
          <w:tcPr>
            <w:tcW w:w="8455"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3" w:type="dxa"/>
            <w:tcBorders/>
            <w:shd w:fill="CCEEFF" w:val="clear"/>
            <w:tcMar>
              <w:bottom w:w="0" w:type="dxa"/>
            </w:tcMar>
            <w:vAlign w:val="center"/>
          </w:tcPr>
          <w:p>
            <w:pPr>
              <w:pStyle w:val="TableContents"/>
              <w:bidi w:val="0"/>
              <w:spacing w:before="0" w:after="283"/>
              <w:jc w:val="left"/>
              <w:rPr/>
            </w:pPr>
            <w:r>
              <w:rPr/>
              <w:t> </w:t>
            </w:r>
          </w:p>
        </w:tc>
      </w:tr>
      <w:tr>
        <w:trPr/>
        <w:tc>
          <w:tcPr>
            <w:tcW w:w="845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i/>
                <w:caps w:val="false"/>
                <w:smallCaps w:val="false"/>
                <w:sz w:val="18"/>
              </w:rPr>
            </w:pPr>
            <w:r>
              <w:rPr>
                <w:rFonts w:ascii="Arial;Helvetica;sans-serif" w:hAnsi="Arial;Helvetica;sans-serif"/>
                <w:i/>
                <w:caps w:val="false"/>
                <w:smallCaps w:val="false"/>
                <w:sz w:val="18"/>
              </w:rPr>
              <w:t>Pension and postretirement adjustments: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9" w:type="dxa"/>
            <w:tcBorders/>
            <w:shd w:fill="FFFFFF" w:val="clear"/>
            <w:tcMar>
              <w:bottom w:w="0" w:type="dxa"/>
            </w:tcMar>
            <w:vAlign w:val="center"/>
          </w:tcPr>
          <w:p>
            <w:pPr>
              <w:pStyle w:val="TableContents"/>
              <w:bidi w:val="0"/>
              <w:spacing w:before="0" w:after="283"/>
              <w:jc w:val="left"/>
              <w:rPr/>
            </w:pPr>
            <w:r>
              <w:rPr/>
              <w:t> </w:t>
            </w:r>
          </w:p>
        </w:tc>
        <w:tc>
          <w:tcPr>
            <w:tcW w:w="386"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ind w:left="0" w:right="0" w:hanging="0"/>
              <w:jc w:val="left"/>
              <w:rPr/>
            </w:pPr>
            <w:r>
              <w:rPr/>
              <w:t> </w:t>
            </w:r>
          </w:p>
        </w:tc>
        <w:tc>
          <w:tcPr>
            <w:tcW w:w="754"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3" w:type="dxa"/>
            <w:tcBorders/>
            <w:shd w:fill="FFFFFF" w:val="clear"/>
            <w:tcMar>
              <w:bottom w:w="0" w:type="dxa"/>
            </w:tcMar>
            <w:vAlign w:val="center"/>
          </w:tcPr>
          <w:p>
            <w:pPr>
              <w:pStyle w:val="TableContents"/>
              <w:bidi w:val="0"/>
              <w:spacing w:before="0" w:after="283"/>
              <w:jc w:val="left"/>
              <w:rPr/>
            </w:pPr>
            <w:r>
              <w:rPr/>
              <w:t> </w:t>
            </w:r>
          </w:p>
        </w:tc>
      </w:tr>
      <w:tr>
        <w:trPr/>
        <w:tc>
          <w:tcPr>
            <w:tcW w:w="8455" w:type="dxa"/>
            <w:tcBorders>
              <w:bottom w:val="single" w:sz="2" w:space="0" w:color="000000"/>
            </w:tcBorders>
            <w:shd w:fill="CCEEFF" w:val="clear"/>
            <w:vAlign w:val="center"/>
          </w:tcPr>
          <w:p>
            <w:pPr>
              <w:pStyle w:val="TableContents"/>
              <w:bidi w:val="0"/>
              <w:spacing w:before="0" w:after="0"/>
              <w:ind w:left="360" w:right="0" w:hanging="180"/>
              <w:jc w:val="left"/>
              <w:rPr>
                <w:rFonts w:ascii="Arial;Helvetica;sans-serif" w:hAnsi="Arial;Helvetica;sans-serif"/>
                <w:caps w:val="false"/>
                <w:smallCaps w:val="false"/>
                <w:sz w:val="18"/>
              </w:rPr>
            </w:pPr>
            <w:r>
              <w:rPr>
                <w:rFonts w:ascii="Arial;Helvetica;sans-serif" w:hAnsi="Arial;Helvetica;sans-serif"/>
                <w:caps w:val="false"/>
                <w:smallCaps w:val="false"/>
                <w:sz w:val="18"/>
              </w:rPr>
              <w:t>Amortization of net actuarial gain/loss and prior service cost included in net periodic benefit costs, net of income tax expense of $1 and $1, respectively</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3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86"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w:t>
            </w:r>
          </w:p>
        </w:tc>
        <w:tc>
          <w:tcPr>
            <w:tcW w:w="130" w:type="dxa"/>
            <w:tcBorders>
              <w:bottom w:val="single" w:sz="2" w:space="0" w:color="000000"/>
            </w:tcBorders>
            <w:shd w:fill="CCEEFF" w:val="clear"/>
            <w:vAlign w:val="center"/>
          </w:tcPr>
          <w:p>
            <w:pPr>
              <w:pStyle w:val="TableContents"/>
              <w:bidi w:val="0"/>
              <w:spacing w:before="0" w:after="283"/>
              <w:jc w:val="left"/>
              <w:rPr/>
            </w:pPr>
            <w:r>
              <w:rPr/>
              <w:t> </w:t>
            </w:r>
          </w:p>
        </w:tc>
        <w:tc>
          <w:tcPr>
            <w:tcW w:w="98" w:type="dxa"/>
            <w:tcBorders>
              <w:bottom w:val="single" w:sz="2" w:space="0" w:color="000000"/>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49"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w:t>
            </w:r>
          </w:p>
        </w:tc>
        <w:tc>
          <w:tcPr>
            <w:tcW w:w="83"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8455"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Comprehensive income</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386"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32</w:t>
            </w:r>
          </w:p>
        </w:tc>
        <w:tc>
          <w:tcPr>
            <w:tcW w:w="130" w:type="dxa"/>
            <w:tcBorders>
              <w:bottom w:val="double" w:sz="6" w:space="0" w:color="000000"/>
            </w:tcBorders>
            <w:shd w:fill="FFFFFF" w:val="clear"/>
            <w:vAlign w:val="center"/>
          </w:tcPr>
          <w:p>
            <w:pPr>
              <w:pStyle w:val="TableContents"/>
              <w:bidi w:val="0"/>
              <w:spacing w:before="0" w:after="283"/>
              <w:jc w:val="left"/>
              <w:rPr/>
            </w:pPr>
            <w:r>
              <w:rPr/>
              <w:t> </w:t>
            </w:r>
          </w:p>
        </w:tc>
        <w:tc>
          <w:tcPr>
            <w:tcW w:w="98"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49"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92</w:t>
            </w:r>
          </w:p>
        </w:tc>
        <w:tc>
          <w:tcPr>
            <w:tcW w:w="83"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caps w:val="false"/>
          <w:smallCaps w:val="false"/>
          <w:sz w:val="18"/>
        </w:rPr>
      </w:pPr>
      <w:r>
        <w:rPr>
          <w:rFonts w:ascii="arial" w:hAnsi="arial"/>
          <w:caps w:val="false"/>
          <w:smallCaps w:val="false"/>
          <w:sz w:val="18"/>
        </w:rPr>
        <w:t>See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First Quarter 2023 Form 10-Q Page 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2695575" cy="3143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695575" cy="3143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 w:hAnsi="arial"/>
          <w:caps w:val="false"/>
          <w:smallCaps w:val="false"/>
          <w:sz w:val="20"/>
        </w:rPr>
      </w:pPr>
      <w:bookmarkStart w:id="7" w:name="se"/>
      <w:bookmarkEnd w:id="7"/>
      <w:r>
        <w:rPr>
          <w:rFonts w:ascii="arial" w:hAnsi="arial"/>
          <w:b/>
          <w:caps w:val="false"/>
          <w:smallCaps w:val="false"/>
          <w:sz w:val="20"/>
        </w:rPr>
        <w:t>CONDENSED CONSOLIDATED STATEMENTS OF CHANGES IN SHAREHOLDERS</w:t>
      </w:r>
      <w:r>
        <w:rPr>
          <w:rFonts w:ascii="arial" w:hAnsi="arial"/>
          <w:caps w:val="false"/>
          <w:smallCaps w:val="false"/>
          <w:sz w:val="20"/>
        </w:rPr>
        <w:t xml:space="preserve">’ </w:t>
      </w:r>
      <w:r>
        <w:rPr>
          <w:rFonts w:ascii="arial" w:hAnsi="arial"/>
          <w:b/>
          <w:caps w:val="false"/>
          <w:smallCaps w:val="false"/>
          <w:sz w:val="20"/>
        </w:rPr>
        <w:t>EQUITY</w:t>
      </w:r>
    </w:p>
    <w:p>
      <w:pPr>
        <w:pStyle w:val="TextBody"/>
        <w:bidi w:val="0"/>
        <w:spacing w:before="0" w:after="0"/>
        <w:ind w:left="0" w:right="0" w:hanging="0"/>
        <w:jc w:val="center"/>
        <w:rPr>
          <w:rFonts w:ascii="arial" w:hAnsi="arial"/>
          <w:caps w:val="false"/>
          <w:smallCaps w:val="false"/>
          <w:sz w:val="20"/>
        </w:rPr>
      </w:pPr>
      <w:r>
        <w:rPr>
          <w:rFonts w:ascii="arial" w:hAnsi="arial"/>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6"/>
        <w:gridCol w:w="60"/>
        <w:gridCol w:w="66"/>
        <w:gridCol w:w="567"/>
        <w:gridCol w:w="66"/>
        <w:gridCol w:w="66"/>
        <w:gridCol w:w="182"/>
        <w:gridCol w:w="483"/>
        <w:gridCol w:w="60"/>
        <w:gridCol w:w="60"/>
        <w:gridCol w:w="81"/>
        <w:gridCol w:w="479"/>
        <w:gridCol w:w="87"/>
        <w:gridCol w:w="65"/>
        <w:gridCol w:w="197"/>
        <w:gridCol w:w="468"/>
        <w:gridCol w:w="80"/>
        <w:gridCol w:w="60"/>
        <w:gridCol w:w="149"/>
        <w:gridCol w:w="576"/>
        <w:gridCol w:w="80"/>
        <w:gridCol w:w="60"/>
        <w:gridCol w:w="301"/>
        <w:gridCol w:w="964"/>
        <w:gridCol w:w="80"/>
        <w:gridCol w:w="60"/>
        <w:gridCol w:w="362"/>
        <w:gridCol w:w="858"/>
        <w:gridCol w:w="60"/>
        <w:gridCol w:w="60"/>
        <w:gridCol w:w="222"/>
        <w:gridCol w:w="861"/>
        <w:gridCol w:w="99"/>
      </w:tblGrid>
      <w:tr>
        <w:trPr/>
        <w:tc>
          <w:tcPr>
            <w:tcW w:w="2286"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30" w:type="dxa"/>
            <w:gridSpan w:val="6"/>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Additional 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3"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9" w:type="dxa"/>
            <w:tcBorders/>
            <w:shd w:fill="FFFFFF" w:val="clear"/>
            <w:vAlign w:val="center"/>
          </w:tcPr>
          <w:p>
            <w:pPr>
              <w:pStyle w:val="TableContents"/>
              <w:bidi w:val="0"/>
              <w:spacing w:before="0" w:after="283"/>
              <w:jc w:val="left"/>
              <w:rPr/>
            </w:pPr>
            <w:r>
              <w:rPr/>
              <w:t> </w:t>
            </w:r>
          </w:p>
        </w:tc>
      </w:tr>
      <w:tr>
        <w:trPr/>
        <w:tc>
          <w:tcPr>
            <w:tcW w:w="2286"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30" w:type="dxa"/>
            <w:gridSpan w:val="6"/>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Capital &amp;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3"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Total</w:t>
            </w:r>
          </w:p>
        </w:tc>
        <w:tc>
          <w:tcPr>
            <w:tcW w:w="99" w:type="dxa"/>
            <w:tcBorders/>
            <w:shd w:fill="FFFFFF" w:val="clear"/>
            <w:vAlign w:val="center"/>
          </w:tcPr>
          <w:p>
            <w:pPr>
              <w:pStyle w:val="TableContents"/>
              <w:bidi w:val="0"/>
              <w:spacing w:before="0" w:after="283"/>
              <w:jc w:val="left"/>
              <w:rPr/>
            </w:pPr>
            <w:r>
              <w:rPr/>
              <w:t> </w:t>
            </w:r>
          </w:p>
        </w:tc>
      </w:tr>
      <w:tr>
        <w:trPr/>
        <w:tc>
          <w:tcPr>
            <w:tcW w:w="2286"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Thirteen weeks ended</w:t>
            </w:r>
          </w:p>
        </w:tc>
        <w:tc>
          <w:tcPr>
            <w:tcW w:w="60" w:type="dxa"/>
            <w:tcBorders/>
            <w:shd w:fill="FFFFFF" w:val="clear"/>
            <w:vAlign w:val="center"/>
          </w:tcPr>
          <w:p>
            <w:pPr>
              <w:pStyle w:val="TableContents"/>
              <w:bidi w:val="0"/>
              <w:spacing w:before="0" w:after="283"/>
              <w:ind w:left="0" w:right="0" w:hanging="0"/>
              <w:jc w:val="left"/>
              <w:rPr/>
            </w:pPr>
            <w:r>
              <w:rPr/>
              <w:t> </w:t>
            </w:r>
          </w:p>
        </w:tc>
        <w:tc>
          <w:tcPr>
            <w:tcW w:w="14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Common Stock</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Treasury Stock</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Noncontrolling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3"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Shareholders'</w:t>
            </w:r>
          </w:p>
        </w:tc>
        <w:tc>
          <w:tcPr>
            <w:tcW w:w="99" w:type="dxa"/>
            <w:tcBorders/>
            <w:shd w:fill="FFFFFF" w:val="clear"/>
            <w:vAlign w:val="center"/>
          </w:tcPr>
          <w:p>
            <w:pPr>
              <w:pStyle w:val="TableContents"/>
              <w:bidi w:val="0"/>
              <w:spacing w:before="0" w:after="283"/>
              <w:jc w:val="left"/>
              <w:rPr/>
            </w:pPr>
            <w:r>
              <w:rPr/>
              <w:t> </w:t>
            </w:r>
          </w:p>
        </w:tc>
      </w:tr>
      <w:tr>
        <w:trPr/>
        <w:tc>
          <w:tcPr>
            <w:tcW w:w="22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(shares in thousands, $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Shares</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Shares</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Earnings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interests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Equity</w:t>
            </w:r>
          </w:p>
        </w:tc>
        <w:tc>
          <w:tcPr>
            <w:tcW w:w="9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86"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16"/>
              </w:rPr>
            </w:pPr>
            <w:r>
              <w:rPr>
                <w:rFonts w:ascii="Arial;Helvetica;sans-serif" w:hAnsi="Arial;Helvetica;sans-serif"/>
                <w:b/>
                <w:caps w:val="false"/>
                <w:smallCaps w:val="false"/>
                <w:sz w:val="16"/>
              </w:rPr>
              <w:t>Balance at January 28, 2023</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567" w:type="dxa"/>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93,397</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483" w:type="dxa"/>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479" w:type="dxa"/>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(1</w:t>
            </w:r>
          </w:p>
        </w:tc>
        <w:tc>
          <w:tcPr>
            <w:tcW w:w="87" w:type="dxa"/>
            <w:tcBorders/>
            <w:shd w:fill="CCEEFF" w:val="cle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5"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46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76" w:type="dxa"/>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2,925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1" w:type="dxa"/>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964" w:type="dxa"/>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(392</w:t>
            </w:r>
          </w:p>
        </w:tc>
        <w:tc>
          <w:tcPr>
            <w:tcW w:w="80" w:type="dxa"/>
            <w:tcBorders/>
            <w:shd w:fill="CCEEFF" w:val="cle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62" w:type="dxa"/>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85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861" w:type="dxa"/>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3,293</w:t>
            </w:r>
          </w:p>
        </w:tc>
        <w:tc>
          <w:tcPr>
            <w:tcW w:w="99" w:type="dxa"/>
            <w:tcBorders/>
            <w:shd w:fill="CCEEFF" w:val="clear"/>
            <w:vAlign w:val="center"/>
          </w:tcPr>
          <w:p>
            <w:pPr>
              <w:pStyle w:val="TableContents"/>
              <w:bidi w:val="0"/>
              <w:spacing w:before="0" w:after="283"/>
              <w:jc w:val="left"/>
              <w:rPr/>
            </w:pPr>
            <w:r>
              <w:rPr/>
              <w:t> </w:t>
            </w:r>
          </w:p>
        </w:tc>
      </w:tr>
      <w:tr>
        <w:trPr/>
        <w:tc>
          <w:tcPr>
            <w:tcW w:w="2286"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Restricted stock issued</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567"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628</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483" w:type="dxa"/>
            <w:tcBorders/>
            <w:shd w:fill="FFFFFF" w:val="clear"/>
            <w:vAlign w:val="center"/>
          </w:tcPr>
          <w:p>
            <w:pPr>
              <w:pStyle w:val="TableContents"/>
              <w:bidi w:val="0"/>
              <w:spacing w:before="0" w:after="283"/>
              <w:ind w:left="0" w:right="0" w:hanging="0"/>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0" w:type="dxa"/>
            <w:gridSpan w:val="2"/>
            <w:tcBorders/>
            <w:shd w:fill="FFFFFF" w:val="clear"/>
            <w:vAlign w:val="center"/>
          </w:tcPr>
          <w:p>
            <w:pPr>
              <w:pStyle w:val="TableContents"/>
              <w:bidi w:val="0"/>
              <w:spacing w:before="0" w:after="283"/>
              <w:jc w:val="left"/>
              <w:rPr/>
            </w:pPr>
            <w:r>
              <w:rPr>
                <w:rStyle w:val="Emphasis"/>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pPr>
            <w:r>
              <w:rPr/>
              <w:t>—</w:t>
            </w:r>
          </w:p>
        </w:tc>
        <w:tc>
          <w:tcPr>
            <w:tcW w:w="99" w:type="dxa"/>
            <w:tcBorders/>
            <w:shd w:fill="FFFFFF" w:val="clear"/>
            <w:vAlign w:val="center"/>
          </w:tcPr>
          <w:p>
            <w:pPr>
              <w:pStyle w:val="TableContents"/>
              <w:bidi w:val="0"/>
              <w:spacing w:before="0" w:after="283"/>
              <w:jc w:val="left"/>
              <w:rPr/>
            </w:pPr>
            <w:r>
              <w:rPr/>
              <w:t> </w:t>
            </w:r>
          </w:p>
        </w:tc>
      </w:tr>
      <w:tr>
        <w:trPr/>
        <w:tc>
          <w:tcPr>
            <w:tcW w:w="2286"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Issued under director and stock plans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567"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151</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483"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0" w:type="dxa"/>
            <w:gridSpan w:val="2"/>
            <w:tcBorders/>
            <w:shd w:fill="CCEEFF" w:val="clear"/>
            <w:vAlign w:val="center"/>
          </w:tcPr>
          <w:p>
            <w:pPr>
              <w:pStyle w:val="TableContents"/>
              <w:bidi w:val="0"/>
              <w:spacing w:before="0" w:after="283"/>
              <w:jc w:val="left"/>
              <w:rPr/>
            </w:pPr>
            <w:r>
              <w:rPr>
                <w:rStyle w:val="Emphasis"/>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65" w:type="dxa"/>
            <w:gridSpan w:val="2"/>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25" w:type="dxa"/>
            <w:gridSpan w:val="2"/>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5" w:type="dxa"/>
            <w:gridSpan w:val="2"/>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20" w:type="dxa"/>
            <w:gridSpan w:val="2"/>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w:t>
            </w:r>
          </w:p>
        </w:tc>
        <w:tc>
          <w:tcPr>
            <w:tcW w:w="99" w:type="dxa"/>
            <w:tcBorders/>
            <w:shd w:fill="CCEEFF" w:val="clear"/>
            <w:vAlign w:val="center"/>
          </w:tcPr>
          <w:p>
            <w:pPr>
              <w:pStyle w:val="TableContents"/>
              <w:bidi w:val="0"/>
              <w:spacing w:before="0" w:after="283"/>
              <w:jc w:val="left"/>
              <w:rPr/>
            </w:pPr>
            <w:r>
              <w:rPr/>
              <w:t> </w:t>
            </w:r>
          </w:p>
        </w:tc>
      </w:tr>
      <w:tr>
        <w:trPr/>
        <w:tc>
          <w:tcPr>
            <w:tcW w:w="2286"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Share-based compensation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633" w:type="dxa"/>
            <w:gridSpan w:val="2"/>
            <w:tcBorders/>
            <w:shd w:fill="FFFFFF" w:val="clear"/>
            <w:vAlign w:val="center"/>
          </w:tcPr>
          <w:p>
            <w:pPr>
              <w:pStyle w:val="TableContents"/>
              <w:bidi w:val="0"/>
              <w:spacing w:before="0" w:after="283"/>
              <w:jc w:val="left"/>
              <w:rPr/>
            </w:pPr>
            <w:r>
              <w:rPr>
                <w:rStyle w:val="Emphasis"/>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483"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0" w:type="dxa"/>
            <w:gridSpan w:val="2"/>
            <w:tcBorders/>
            <w:shd w:fill="FFFFFF" w:val="clear"/>
            <w:vAlign w:val="center"/>
          </w:tcPr>
          <w:p>
            <w:pPr>
              <w:pStyle w:val="TableContents"/>
              <w:bidi w:val="0"/>
              <w:spacing w:before="0" w:after="283"/>
              <w:jc w:val="left"/>
              <w:rPr/>
            </w:pPr>
            <w:r>
              <w:rPr>
                <w:rStyle w:val="Emphasis"/>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w:t>
            </w:r>
          </w:p>
        </w:tc>
        <w:tc>
          <w:tcPr>
            <w:tcW w:w="99" w:type="dxa"/>
            <w:tcBorders/>
            <w:shd w:fill="FFFFFF" w:val="clear"/>
            <w:vAlign w:val="center"/>
          </w:tcPr>
          <w:p>
            <w:pPr>
              <w:pStyle w:val="TableContents"/>
              <w:bidi w:val="0"/>
              <w:spacing w:before="0" w:after="283"/>
              <w:jc w:val="left"/>
              <w:rPr/>
            </w:pPr>
            <w:r>
              <w:rPr/>
              <w:t> </w:t>
            </w:r>
          </w:p>
        </w:tc>
      </w:tr>
      <w:tr>
        <w:trPr/>
        <w:tc>
          <w:tcPr>
            <w:tcW w:w="2286" w:type="dxa"/>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Shares of common stock used to satisfy tax withholding obligations</w:t>
            </w:r>
          </w:p>
        </w:tc>
        <w:tc>
          <w:tcPr>
            <w:tcW w:w="60" w:type="dxa"/>
            <w:tcBorders/>
            <w:shd w:fill="CCEEFF" w:val="clear"/>
            <w:vAlign w:val="center"/>
          </w:tcPr>
          <w:p>
            <w:pPr>
              <w:pStyle w:val="TableContents"/>
              <w:bidi w:val="0"/>
              <w:spacing w:before="0" w:after="283"/>
              <w:ind w:left="0" w:right="0" w:hanging="0"/>
              <w:jc w:val="left"/>
              <w:rPr/>
            </w:pPr>
            <w:r>
              <w:rPr/>
              <w:t> </w:t>
            </w:r>
          </w:p>
        </w:tc>
        <w:tc>
          <w:tcPr>
            <w:tcW w:w="633" w:type="dxa"/>
            <w:gridSpan w:val="2"/>
            <w:tcBorders/>
            <w:shd w:fill="CCEEFF" w:val="clear"/>
            <w:vAlign w:val="center"/>
          </w:tcPr>
          <w:p>
            <w:pPr>
              <w:pStyle w:val="TableContents"/>
              <w:bidi w:val="0"/>
              <w:spacing w:before="0" w:after="283"/>
              <w:jc w:val="left"/>
              <w:rPr/>
            </w:pPr>
            <w:r>
              <w:rPr>
                <w:rStyle w:val="Emphasis"/>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665" w:type="dxa"/>
            <w:gridSpan w:val="2"/>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479"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(260</w:t>
            </w:r>
          </w:p>
        </w:tc>
        <w:tc>
          <w:tcPr>
            <w:tcW w:w="87"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5" w:type="dxa"/>
            <w:tcBorders/>
            <w:shd w:fill="CCEEFF" w:val="clear"/>
            <w:vAlign w:val="center"/>
          </w:tcPr>
          <w:p>
            <w:pPr>
              <w:pStyle w:val="TableContents"/>
              <w:bidi w:val="0"/>
              <w:spacing w:before="0" w:after="283"/>
              <w:ind w:left="0" w:right="0" w:hanging="0"/>
              <w:jc w:val="left"/>
              <w:rPr/>
            </w:pPr>
            <w:r>
              <w:rPr/>
              <w:t> </w:t>
            </w:r>
          </w:p>
        </w:tc>
        <w:tc>
          <w:tcPr>
            <w:tcW w:w="665" w:type="dxa"/>
            <w:gridSpan w:val="2"/>
            <w:tcBorders/>
            <w:shd w:fill="CCEEFF" w:val="cle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(10</w:t>
            </w:r>
          </w:p>
        </w:tc>
        <w:tc>
          <w:tcPr>
            <w:tcW w:w="80"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725" w:type="dxa"/>
            <w:gridSpan w:val="2"/>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5" w:type="dxa"/>
            <w:gridSpan w:val="2"/>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20" w:type="dxa"/>
            <w:gridSpan w:val="2"/>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w:t>
            </w:r>
          </w:p>
        </w:tc>
        <w:tc>
          <w:tcPr>
            <w:tcW w:w="99"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2286"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633" w:type="dxa"/>
            <w:gridSpan w:val="2"/>
            <w:tcBorders/>
            <w:shd w:fill="FFFFFF" w:val="clear"/>
            <w:vAlign w:val="center"/>
          </w:tcPr>
          <w:p>
            <w:pPr>
              <w:pStyle w:val="TableContents"/>
              <w:bidi w:val="0"/>
              <w:spacing w:before="0" w:after="283"/>
              <w:jc w:val="left"/>
              <w:rPr/>
            </w:pPr>
            <w:r>
              <w:rPr>
                <w:rStyle w:val="Emphasis"/>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0" w:type="dxa"/>
            <w:gridSpan w:val="2"/>
            <w:tcBorders/>
            <w:shd w:fill="FFFFFF" w:val="clear"/>
            <w:vAlign w:val="center"/>
          </w:tcPr>
          <w:p>
            <w:pPr>
              <w:pStyle w:val="TableContents"/>
              <w:bidi w:val="0"/>
              <w:spacing w:before="0" w:after="283"/>
              <w:jc w:val="left"/>
              <w:rPr/>
            </w:pPr>
            <w:r>
              <w:rPr>
                <w:rStyle w:val="Emphasis"/>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36</w:t>
            </w:r>
          </w:p>
        </w:tc>
        <w:tc>
          <w:tcPr>
            <w:tcW w:w="99" w:type="dxa"/>
            <w:tcBorders/>
            <w:shd w:fill="FFFFFF" w:val="clear"/>
            <w:vAlign w:val="center"/>
          </w:tcPr>
          <w:p>
            <w:pPr>
              <w:pStyle w:val="TableContents"/>
              <w:bidi w:val="0"/>
              <w:spacing w:before="0" w:after="283"/>
              <w:jc w:val="left"/>
              <w:rPr/>
            </w:pPr>
            <w:r>
              <w:rPr/>
              <w:t> </w:t>
            </w:r>
          </w:p>
        </w:tc>
      </w:tr>
      <w:tr>
        <w:trPr/>
        <w:tc>
          <w:tcPr>
            <w:tcW w:w="2286" w:type="dxa"/>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Cash dividends on common stock ($0.40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633" w:type="dxa"/>
            <w:gridSpan w:val="2"/>
            <w:tcBorders/>
            <w:shd w:fill="CCEEFF" w:val="clear"/>
            <w:vAlign w:val="center"/>
          </w:tcPr>
          <w:p>
            <w:pPr>
              <w:pStyle w:val="TableContents"/>
              <w:bidi w:val="0"/>
              <w:spacing w:before="0" w:after="283"/>
              <w:jc w:val="left"/>
              <w:rPr/>
            </w:pPr>
            <w:r>
              <w:rPr>
                <w:rStyle w:val="Emphasis"/>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665" w:type="dxa"/>
            <w:gridSpan w:val="2"/>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0" w:type="dxa"/>
            <w:gridSpan w:val="2"/>
            <w:tcBorders/>
            <w:shd w:fill="CCEEFF" w:val="clear"/>
            <w:vAlign w:val="center"/>
          </w:tcPr>
          <w:p>
            <w:pPr>
              <w:pStyle w:val="TableContents"/>
              <w:bidi w:val="0"/>
              <w:spacing w:before="0" w:after="283"/>
              <w:jc w:val="left"/>
              <w:rPr/>
            </w:pPr>
            <w:r>
              <w:rPr>
                <w:rStyle w:val="Emphasis"/>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65" w:type="dxa"/>
            <w:gridSpan w:val="2"/>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(38</w:t>
            </w:r>
          </w:p>
        </w:tc>
        <w:tc>
          <w:tcPr>
            <w:tcW w:w="80"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65" w:type="dxa"/>
            <w:gridSpan w:val="2"/>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20" w:type="dxa"/>
            <w:gridSpan w:val="2"/>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(38</w:t>
            </w:r>
          </w:p>
        </w:tc>
        <w:tc>
          <w:tcPr>
            <w:tcW w:w="99"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2286"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Translation adjustment, net of tax</w:t>
            </w:r>
          </w:p>
        </w:tc>
        <w:tc>
          <w:tcPr>
            <w:tcW w:w="60" w:type="dxa"/>
            <w:tcBorders/>
            <w:shd w:fill="FFFFFF" w:val="clear"/>
            <w:vAlign w:val="center"/>
          </w:tcPr>
          <w:p>
            <w:pPr>
              <w:pStyle w:val="TableContents"/>
              <w:bidi w:val="0"/>
              <w:spacing w:before="0" w:after="283"/>
              <w:ind w:left="0" w:right="0" w:hanging="0"/>
              <w:jc w:val="left"/>
              <w:rPr/>
            </w:pPr>
            <w:r>
              <w:rPr/>
              <w:t> </w:t>
            </w:r>
          </w:p>
        </w:tc>
        <w:tc>
          <w:tcPr>
            <w:tcW w:w="633" w:type="dxa"/>
            <w:gridSpan w:val="2"/>
            <w:tcBorders/>
            <w:shd w:fill="FFFFFF" w:val="clear"/>
            <w:vAlign w:val="center"/>
          </w:tcPr>
          <w:p>
            <w:pPr>
              <w:pStyle w:val="TableContents"/>
              <w:bidi w:val="0"/>
              <w:spacing w:before="0" w:after="283"/>
              <w:jc w:val="left"/>
              <w:rPr/>
            </w:pPr>
            <w:r>
              <w:rPr>
                <w:rStyle w:val="Emphasis"/>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0" w:type="dxa"/>
            <w:gridSpan w:val="2"/>
            <w:tcBorders/>
            <w:shd w:fill="FFFFFF" w:val="clear"/>
            <w:vAlign w:val="center"/>
          </w:tcPr>
          <w:p>
            <w:pPr>
              <w:pStyle w:val="TableContents"/>
              <w:bidi w:val="0"/>
              <w:spacing w:before="0" w:after="283"/>
              <w:jc w:val="left"/>
              <w:rPr/>
            </w:pPr>
            <w:r>
              <w:rPr>
                <w:rStyle w:val="Emphasis"/>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ind w:left="0" w:right="0" w:hanging="0"/>
              <w:jc w:val="left"/>
              <w:rPr/>
            </w:pPr>
            <w:r>
              <w:rPr/>
              <w:t> </w:t>
            </w:r>
          </w:p>
        </w:tc>
        <w:tc>
          <w:tcPr>
            <w:tcW w:w="964"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(7</w:t>
            </w:r>
          </w:p>
        </w:tc>
        <w:tc>
          <w:tcPr>
            <w:tcW w:w="80"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(7</w:t>
            </w:r>
          </w:p>
        </w:tc>
        <w:tc>
          <w:tcPr>
            <w:tcW w:w="99"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228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Change in cash flow hedges, net of tax</w:t>
            </w:r>
          </w:p>
        </w:tc>
        <w:tc>
          <w:tcPr>
            <w:tcW w:w="60" w:type="dxa"/>
            <w:tcBorders/>
            <w:shd w:fill="CCEEFF" w:val="clear"/>
            <w:vAlign w:val="center"/>
          </w:tcPr>
          <w:p>
            <w:pPr>
              <w:pStyle w:val="TableContents"/>
              <w:bidi w:val="0"/>
              <w:spacing w:before="0" w:after="283"/>
              <w:jc w:val="left"/>
              <w:rPr/>
            </w:pPr>
            <w:r>
              <w:rPr/>
              <w:t> </w:t>
            </w:r>
          </w:p>
        </w:tc>
        <w:tc>
          <w:tcPr>
            <w:tcW w:w="633" w:type="dxa"/>
            <w:gridSpan w:val="2"/>
            <w:tcBorders/>
            <w:shd w:fill="CCEEFF" w:val="clear"/>
            <w:vAlign w:val="center"/>
          </w:tcPr>
          <w:p>
            <w:pPr>
              <w:pStyle w:val="TableContents"/>
              <w:bidi w:val="0"/>
              <w:spacing w:before="0" w:after="283"/>
              <w:jc w:val="left"/>
              <w:rPr/>
            </w:pPr>
            <w:r>
              <w:rPr>
                <w:rStyle w:val="Emphasis"/>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5" w:type="dxa"/>
            <w:gridSpan w:val="2"/>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gridSpan w:val="2"/>
            <w:tcBorders/>
            <w:shd w:fill="CCEEFF" w:val="clear"/>
            <w:vAlign w:val="center"/>
          </w:tcPr>
          <w:p>
            <w:pPr>
              <w:pStyle w:val="TableContents"/>
              <w:bidi w:val="0"/>
              <w:spacing w:before="0" w:after="283"/>
              <w:jc w:val="left"/>
              <w:rPr/>
            </w:pPr>
            <w:r>
              <w:rPr>
                <w:rStyle w:val="Emphasis"/>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65" w:type="dxa"/>
            <w:gridSpan w:val="2"/>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5" w:type="dxa"/>
            <w:gridSpan w:val="2"/>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rStyle w:val="Emphasis"/>
                <w:rFonts w:ascii="Arial;Helvetica;sans-serif" w:hAnsi="Arial;Helvetica;sans-serif"/>
                <w:sz w:val="16"/>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gridSpan w:val="2"/>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w:t>
            </w:r>
          </w:p>
        </w:tc>
        <w:tc>
          <w:tcPr>
            <w:tcW w:w="99" w:type="dxa"/>
            <w:tcBorders/>
            <w:shd w:fill="CCEEFF" w:val="clear"/>
            <w:vAlign w:val="center"/>
          </w:tcPr>
          <w:p>
            <w:pPr>
              <w:pStyle w:val="TableContents"/>
              <w:bidi w:val="0"/>
              <w:spacing w:before="0" w:after="283"/>
              <w:jc w:val="left"/>
              <w:rPr/>
            </w:pPr>
            <w:r>
              <w:rPr/>
              <w:t> </w:t>
            </w:r>
          </w:p>
        </w:tc>
      </w:tr>
      <w:tr>
        <w:trPr/>
        <w:tc>
          <w:tcPr>
            <w:tcW w:w="2286" w:type="dxa"/>
            <w:tcBorders>
              <w:bottom w:val="single" w:sz="2" w:space="0" w:color="000000"/>
            </w:tcBorders>
            <w:shd w:fill="FFFFFF" w:val="clear"/>
            <w:tcMar>
              <w:bottom w:w="28" w:type="dxa"/>
            </w:tcM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Pension and postretirement adjustments, net of tax</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3" w:type="dxa"/>
            <w:gridSpan w:val="2"/>
            <w:tcBorders>
              <w:bottom w:val="single" w:sz="2" w:space="0" w:color="000000"/>
            </w:tcBorders>
            <w:shd w:fill="FFFFFF" w:val="clear"/>
            <w:tcMar>
              <w:bottom w:w="28" w:type="dxa"/>
            </w:tcMar>
            <w:vAlign w:val="center"/>
          </w:tcPr>
          <w:p>
            <w:pPr>
              <w:pStyle w:val="TableContents"/>
              <w:bidi w:val="0"/>
              <w:spacing w:before="0" w:after="283"/>
              <w:jc w:val="left"/>
              <w:rPr/>
            </w:pPr>
            <w:r>
              <w:rPr>
                <w:rStyle w:val="Emphasis"/>
              </w:rPr>
              <w:t> </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283"/>
              <w:jc w:val="left"/>
              <w:rPr/>
            </w:pPr>
            <w:r>
              <w:rPr>
                <w:rStyle w:val="Emphasis"/>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0" w:type="dxa"/>
            <w:gridSpan w:val="2"/>
            <w:tcBorders>
              <w:bottom w:val="single" w:sz="2" w:space="0" w:color="000000"/>
            </w:tcBorders>
            <w:shd w:fill="FFFFFF" w:val="clear"/>
            <w:tcMar>
              <w:bottom w:w="28" w:type="dxa"/>
            </w:tcMar>
            <w:vAlign w:val="center"/>
          </w:tcPr>
          <w:p>
            <w:pPr>
              <w:pStyle w:val="TableContents"/>
              <w:bidi w:val="0"/>
              <w:spacing w:before="0" w:after="283"/>
              <w:jc w:val="left"/>
              <w:rPr/>
            </w:pPr>
            <w:r>
              <w:rPr>
                <w:rStyle w:val="Emphasis"/>
              </w:rPr>
              <w:t> </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283"/>
              <w:jc w:val="left"/>
              <w:rPr/>
            </w:pPr>
            <w:r>
              <w:rPr>
                <w:rStyle w:val="Emphasis"/>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283"/>
              <w:jc w:val="left"/>
              <w:rPr/>
            </w:pPr>
            <w:r>
              <w:rPr>
                <w:rStyle w:val="Emphasis"/>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0" w:type="dxa"/>
            <w:gridSpan w:val="2"/>
            <w:tcBorders>
              <w:bottom w:val="single" w:sz="2" w:space="0" w:color="000000"/>
            </w:tcBorders>
            <w:shd w:fill="FFFFFF" w:val="clear"/>
            <w:tcMar>
              <w:bottom w:w="28" w:type="dxa"/>
            </w:tcMar>
            <w:vAlign w:val="center"/>
          </w:tcPr>
          <w:p>
            <w:pPr>
              <w:pStyle w:val="TableContents"/>
              <w:bidi w:val="0"/>
              <w:spacing w:before="0" w:after="283"/>
              <w:jc w:val="left"/>
              <w:rPr/>
            </w:pPr>
            <w:r>
              <w:rPr>
                <w:rStyle w:val="Emphasis"/>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w:t>
            </w:r>
          </w:p>
        </w:tc>
        <w:tc>
          <w:tcPr>
            <w:tcW w:w="9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caps w:val="false"/>
                <w:smallCaps w:val="false"/>
                <w:sz w:val="16"/>
              </w:rPr>
            </w:pPr>
            <w:r>
              <w:rPr>
                <w:rFonts w:ascii="Arial;Helvetica;sans-serif" w:hAnsi="Arial;Helvetica;sans-serif"/>
                <w:b/>
                <w:caps w:val="false"/>
                <w:smallCaps w:val="false"/>
                <w:sz w:val="16"/>
              </w:rPr>
              <w:t>Balance at April 29, 2023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94,176</w:t>
            </w:r>
          </w:p>
        </w:tc>
        <w:tc>
          <w:tcPr>
            <w:tcW w:w="6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4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766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(261</w:t>
            </w:r>
          </w:p>
        </w:tc>
        <w:tc>
          <w:tcPr>
            <w:tcW w:w="87"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4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(10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2,923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9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(396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8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3,283</w:t>
            </w:r>
          </w:p>
        </w:tc>
        <w:tc>
          <w:tcPr>
            <w:tcW w:w="9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274"/>
        <w:gridCol w:w="60"/>
        <w:gridCol w:w="66"/>
        <w:gridCol w:w="567"/>
        <w:gridCol w:w="66"/>
        <w:gridCol w:w="66"/>
        <w:gridCol w:w="182"/>
        <w:gridCol w:w="483"/>
        <w:gridCol w:w="60"/>
        <w:gridCol w:w="60"/>
        <w:gridCol w:w="63"/>
        <w:gridCol w:w="501"/>
        <w:gridCol w:w="81"/>
        <w:gridCol w:w="60"/>
        <w:gridCol w:w="159"/>
        <w:gridCol w:w="506"/>
        <w:gridCol w:w="80"/>
        <w:gridCol w:w="60"/>
        <w:gridCol w:w="149"/>
        <w:gridCol w:w="576"/>
        <w:gridCol w:w="80"/>
        <w:gridCol w:w="60"/>
        <w:gridCol w:w="301"/>
        <w:gridCol w:w="964"/>
        <w:gridCol w:w="80"/>
        <w:gridCol w:w="60"/>
        <w:gridCol w:w="610"/>
        <w:gridCol w:w="610"/>
        <w:gridCol w:w="80"/>
        <w:gridCol w:w="60"/>
        <w:gridCol w:w="222"/>
        <w:gridCol w:w="861"/>
        <w:gridCol w:w="98"/>
      </w:tblGrid>
      <w:tr>
        <w:trPr/>
        <w:tc>
          <w:tcPr>
            <w:tcW w:w="2274"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30" w:type="dxa"/>
            <w:gridSpan w:val="6"/>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Additional 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4"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3"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jc w:val="left"/>
              <w:rPr/>
            </w:pPr>
            <w:r>
              <w:rPr/>
              <w:t> </w:t>
            </w:r>
          </w:p>
        </w:tc>
      </w:tr>
      <w:tr>
        <w:trPr/>
        <w:tc>
          <w:tcPr>
            <w:tcW w:w="2274"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30" w:type="dxa"/>
            <w:gridSpan w:val="6"/>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Capital &amp;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4"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3"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Total</w:t>
            </w:r>
          </w:p>
        </w:tc>
        <w:tc>
          <w:tcPr>
            <w:tcW w:w="98" w:type="dxa"/>
            <w:tcBorders/>
            <w:shd w:fill="FFFFFF" w:val="clear"/>
            <w:vAlign w:val="center"/>
          </w:tcPr>
          <w:p>
            <w:pPr>
              <w:pStyle w:val="TableContents"/>
              <w:bidi w:val="0"/>
              <w:spacing w:before="0" w:after="283"/>
              <w:jc w:val="left"/>
              <w:rPr/>
            </w:pPr>
            <w:r>
              <w:rPr/>
              <w:t> </w:t>
            </w:r>
          </w:p>
        </w:tc>
      </w:tr>
      <w:tr>
        <w:trPr/>
        <w:tc>
          <w:tcPr>
            <w:tcW w:w="2274"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Thirteen weeks ended</w:t>
            </w:r>
          </w:p>
        </w:tc>
        <w:tc>
          <w:tcPr>
            <w:tcW w:w="60" w:type="dxa"/>
            <w:tcBorders/>
            <w:shd w:fill="FFFFFF" w:val="clear"/>
            <w:vAlign w:val="center"/>
          </w:tcPr>
          <w:p>
            <w:pPr>
              <w:pStyle w:val="TableContents"/>
              <w:bidi w:val="0"/>
              <w:spacing w:before="0" w:after="283"/>
              <w:ind w:left="0" w:right="0" w:hanging="0"/>
              <w:jc w:val="left"/>
              <w:rPr/>
            </w:pPr>
            <w:r>
              <w:rPr/>
              <w:t> </w:t>
            </w:r>
          </w:p>
        </w:tc>
        <w:tc>
          <w:tcPr>
            <w:tcW w:w="14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Common Stock</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Treasury Stock</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Noncontrolling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3"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Shareholders'</w:t>
            </w:r>
          </w:p>
        </w:tc>
        <w:tc>
          <w:tcPr>
            <w:tcW w:w="98" w:type="dxa"/>
            <w:tcBorders/>
            <w:shd w:fill="FFFFFF" w:val="clear"/>
            <w:vAlign w:val="center"/>
          </w:tcPr>
          <w:p>
            <w:pPr>
              <w:pStyle w:val="TableContents"/>
              <w:bidi w:val="0"/>
              <w:spacing w:before="0" w:after="283"/>
              <w:jc w:val="left"/>
              <w:rPr/>
            </w:pPr>
            <w:r>
              <w:rPr/>
              <w:t> </w:t>
            </w:r>
          </w:p>
        </w:tc>
      </w:tr>
      <w:tr>
        <w:trPr/>
        <w:tc>
          <w:tcPr>
            <w:tcW w:w="227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(shares in thousands, $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Shares</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Shares</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Earnings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interests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Equity</w:t>
            </w:r>
          </w:p>
        </w:tc>
        <w:tc>
          <w:tcPr>
            <w:tcW w:w="9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74"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16"/>
              </w:rPr>
            </w:pPr>
            <w:r>
              <w:rPr>
                <w:rFonts w:ascii="Arial;Helvetica;sans-serif" w:hAnsi="Arial;Helvetica;sans-serif"/>
                <w:b/>
                <w:caps w:val="false"/>
                <w:smallCaps w:val="false"/>
                <w:sz w:val="16"/>
              </w:rPr>
              <w:t>Balance at January 29, 2022</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567" w:type="dxa"/>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99,071</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483" w:type="dxa"/>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770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501" w:type="dxa"/>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(2,050</w:t>
            </w:r>
          </w:p>
        </w:tc>
        <w:tc>
          <w:tcPr>
            <w:tcW w:w="81" w:type="dxa"/>
            <w:tcBorders/>
            <w:shd w:fill="CCEEFF" w:val="cle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06" w:type="dxa"/>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(88</w:t>
            </w:r>
          </w:p>
        </w:tc>
        <w:tc>
          <w:tcPr>
            <w:tcW w:w="80" w:type="dxa"/>
            <w:tcBorders/>
            <w:shd w:fill="CCEEFF" w:val="cle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76" w:type="dxa"/>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2,900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1" w:type="dxa"/>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964" w:type="dxa"/>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(343</w:t>
            </w:r>
          </w:p>
        </w:tc>
        <w:tc>
          <w:tcPr>
            <w:tcW w:w="80" w:type="dxa"/>
            <w:tcBorders/>
            <w:shd w:fill="CCEEFF" w:val="cle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610" w:type="dxa"/>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861" w:type="dxa"/>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3,243</w:t>
            </w:r>
          </w:p>
        </w:tc>
        <w:tc>
          <w:tcPr>
            <w:tcW w:w="98" w:type="dxa"/>
            <w:tcBorders/>
            <w:shd w:fill="CCEEFF" w:val="clear"/>
            <w:vAlign w:val="center"/>
          </w:tcPr>
          <w:p>
            <w:pPr>
              <w:pStyle w:val="TableContents"/>
              <w:bidi w:val="0"/>
              <w:spacing w:before="0" w:after="283"/>
              <w:jc w:val="left"/>
              <w:rPr/>
            </w:pPr>
            <w:r>
              <w:rPr/>
              <w:t> </w:t>
            </w:r>
          </w:p>
        </w:tc>
      </w:tr>
      <w:tr>
        <w:trPr/>
        <w:tc>
          <w:tcPr>
            <w:tcW w:w="2274"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Restricted stock issued</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567"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88</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4" w:type="dxa"/>
            <w:gridSpan w:val="2"/>
            <w:tcBorders/>
            <w:shd w:fill="FFFFFF" w:val="clear"/>
            <w:vAlign w:val="center"/>
          </w:tcPr>
          <w:p>
            <w:pPr>
              <w:pStyle w:val="TableContents"/>
              <w:bidi w:val="0"/>
              <w:spacing w:before="0" w:after="283"/>
              <w:jc w:val="left"/>
              <w:rPr/>
            </w:pPr>
            <w:r>
              <w:rPr>
                <w:rStyle w:val="Emphasis"/>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pPr>
            <w:r>
              <w:rPr/>
              <w:t>—</w:t>
            </w:r>
          </w:p>
        </w:tc>
        <w:tc>
          <w:tcPr>
            <w:tcW w:w="98" w:type="dxa"/>
            <w:tcBorders/>
            <w:shd w:fill="FFFFFF" w:val="clear"/>
            <w:vAlign w:val="center"/>
          </w:tcPr>
          <w:p>
            <w:pPr>
              <w:pStyle w:val="TableContents"/>
              <w:bidi w:val="0"/>
              <w:spacing w:before="0" w:after="283"/>
              <w:jc w:val="left"/>
              <w:rPr/>
            </w:pPr>
            <w:r>
              <w:rPr/>
              <w:t> </w:t>
            </w:r>
          </w:p>
        </w:tc>
      </w:tr>
      <w:tr>
        <w:trPr/>
        <w:tc>
          <w:tcPr>
            <w:tcW w:w="2274"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Issued under director and stock plans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567"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74</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483"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4" w:type="dxa"/>
            <w:gridSpan w:val="2"/>
            <w:tcBorders/>
            <w:shd w:fill="CCEEFF" w:val="clear"/>
            <w:vAlign w:val="center"/>
          </w:tcPr>
          <w:p>
            <w:pPr>
              <w:pStyle w:val="TableContents"/>
              <w:bidi w:val="0"/>
              <w:spacing w:before="0" w:after="283"/>
              <w:jc w:val="left"/>
              <w:rPr>
                <w:sz w:val="4"/>
                <w:szCs w:val="4"/>
              </w:rPr>
            </w:pPr>
            <w:r>
              <w:rPr>
                <w:sz w:val="4"/>
                <w:szCs w:val="4"/>
              </w:rPr>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5" w:type="dxa"/>
            <w:gridSpan w:val="2"/>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25" w:type="dxa"/>
            <w:gridSpan w:val="2"/>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5" w:type="dxa"/>
            <w:gridSpan w:val="2"/>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20" w:type="dxa"/>
            <w:gridSpan w:val="2"/>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w:t>
            </w:r>
          </w:p>
        </w:tc>
        <w:tc>
          <w:tcPr>
            <w:tcW w:w="98" w:type="dxa"/>
            <w:tcBorders/>
            <w:shd w:fill="CCEEFF" w:val="clear"/>
            <w:vAlign w:val="center"/>
          </w:tcPr>
          <w:p>
            <w:pPr>
              <w:pStyle w:val="TableContents"/>
              <w:bidi w:val="0"/>
              <w:spacing w:before="0" w:after="283"/>
              <w:jc w:val="left"/>
              <w:rPr/>
            </w:pPr>
            <w:r>
              <w:rPr/>
              <w:t> </w:t>
            </w:r>
          </w:p>
        </w:tc>
      </w:tr>
      <w:tr>
        <w:trPr/>
        <w:tc>
          <w:tcPr>
            <w:tcW w:w="2274"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Share-based compensation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633" w:type="dxa"/>
            <w:gridSpan w:val="2"/>
            <w:tcBorders/>
            <w:shd w:fill="FFFFFF" w:val="clear"/>
            <w:vAlign w:val="center"/>
          </w:tcPr>
          <w:p>
            <w:pPr>
              <w:pStyle w:val="TableContents"/>
              <w:bidi w:val="0"/>
              <w:spacing w:before="0" w:after="283"/>
              <w:jc w:val="left"/>
              <w:rPr/>
            </w:pPr>
            <w:r>
              <w:rPr>
                <w:rStyle w:val="Emphasis"/>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483"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4" w:type="dxa"/>
            <w:gridSpan w:val="2"/>
            <w:tcBorders/>
            <w:shd w:fill="FFFFFF" w:val="clear"/>
            <w:vAlign w:val="center"/>
          </w:tcPr>
          <w:p>
            <w:pPr>
              <w:pStyle w:val="TableContents"/>
              <w:bidi w:val="0"/>
              <w:spacing w:before="0" w:after="283"/>
              <w:jc w:val="left"/>
              <w:rPr/>
            </w:pPr>
            <w:r>
              <w:rPr>
                <w:rStyle w:val="Emphasis"/>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7</w:t>
            </w:r>
          </w:p>
        </w:tc>
        <w:tc>
          <w:tcPr>
            <w:tcW w:w="98" w:type="dxa"/>
            <w:tcBorders/>
            <w:shd w:fill="FFFFFF" w:val="clear"/>
            <w:vAlign w:val="center"/>
          </w:tcPr>
          <w:p>
            <w:pPr>
              <w:pStyle w:val="TableContents"/>
              <w:bidi w:val="0"/>
              <w:spacing w:before="0" w:after="283"/>
              <w:jc w:val="left"/>
              <w:rPr/>
            </w:pPr>
            <w:r>
              <w:rPr/>
              <w:t> </w:t>
            </w:r>
          </w:p>
        </w:tc>
      </w:tr>
      <w:tr>
        <w:trPr/>
        <w:tc>
          <w:tcPr>
            <w:tcW w:w="2274" w:type="dxa"/>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Shares of common stock used to satisfy tax withholding obligations</w:t>
            </w:r>
          </w:p>
        </w:tc>
        <w:tc>
          <w:tcPr>
            <w:tcW w:w="60" w:type="dxa"/>
            <w:tcBorders/>
            <w:shd w:fill="CCEEFF" w:val="clear"/>
            <w:vAlign w:val="center"/>
          </w:tcPr>
          <w:p>
            <w:pPr>
              <w:pStyle w:val="TableContents"/>
              <w:bidi w:val="0"/>
              <w:spacing w:before="0" w:after="283"/>
              <w:ind w:left="0" w:right="0" w:hanging="0"/>
              <w:jc w:val="left"/>
              <w:rPr/>
            </w:pPr>
            <w:r>
              <w:rPr/>
              <w:t> </w:t>
            </w:r>
          </w:p>
        </w:tc>
        <w:tc>
          <w:tcPr>
            <w:tcW w:w="633" w:type="dxa"/>
            <w:gridSpan w:val="2"/>
            <w:tcBorders/>
            <w:shd w:fill="CCEEFF" w:val="clear"/>
            <w:vAlign w:val="center"/>
          </w:tcPr>
          <w:p>
            <w:pPr>
              <w:pStyle w:val="TableContents"/>
              <w:bidi w:val="0"/>
              <w:spacing w:before="0" w:after="283"/>
              <w:jc w:val="left"/>
              <w:rPr/>
            </w:pPr>
            <w:r>
              <w:rPr>
                <w:rStyle w:val="Emphasis"/>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665" w:type="dxa"/>
            <w:gridSpan w:val="2"/>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501"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(32</w:t>
            </w:r>
          </w:p>
        </w:tc>
        <w:tc>
          <w:tcPr>
            <w:tcW w:w="81"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w:t>
            </w:r>
          </w:p>
        </w:tc>
        <w:tc>
          <w:tcPr>
            <w:tcW w:w="80"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725" w:type="dxa"/>
            <w:gridSpan w:val="2"/>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5" w:type="dxa"/>
            <w:gridSpan w:val="2"/>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20" w:type="dxa"/>
            <w:gridSpan w:val="2"/>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w:t>
            </w:r>
          </w:p>
        </w:tc>
        <w:tc>
          <w:tcPr>
            <w:tcW w:w="98"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2274"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Share repurchases</w:t>
            </w:r>
          </w:p>
        </w:tc>
        <w:tc>
          <w:tcPr>
            <w:tcW w:w="60" w:type="dxa"/>
            <w:tcBorders/>
            <w:shd w:fill="FFFFFF" w:val="clear"/>
            <w:vAlign w:val="center"/>
          </w:tcPr>
          <w:p>
            <w:pPr>
              <w:pStyle w:val="TableContents"/>
              <w:bidi w:val="0"/>
              <w:spacing w:before="0" w:after="283"/>
              <w:ind w:left="0" w:right="0" w:hanging="0"/>
              <w:jc w:val="left"/>
              <w:rPr/>
            </w:pPr>
            <w:r>
              <w:rPr/>
              <w:t> </w:t>
            </w:r>
          </w:p>
        </w:tc>
        <w:tc>
          <w:tcPr>
            <w:tcW w:w="633" w:type="dxa"/>
            <w:gridSpan w:val="2"/>
            <w:tcBorders/>
            <w:shd w:fill="FFFFFF" w:val="clear"/>
            <w:vAlign w:val="center"/>
          </w:tcPr>
          <w:p>
            <w:pPr>
              <w:pStyle w:val="TableContents"/>
              <w:bidi w:val="0"/>
              <w:spacing w:before="0" w:after="283"/>
              <w:jc w:val="left"/>
              <w:rPr/>
            </w:pPr>
            <w:r>
              <w:rPr>
                <w:rStyle w:val="Emphasis"/>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501"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(2,650</w:t>
            </w:r>
          </w:p>
        </w:tc>
        <w:tc>
          <w:tcPr>
            <w:tcW w:w="81"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(89</w:t>
            </w:r>
          </w:p>
        </w:tc>
        <w:tc>
          <w:tcPr>
            <w:tcW w:w="80"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(89</w:t>
            </w:r>
          </w:p>
        </w:tc>
        <w:tc>
          <w:tcPr>
            <w:tcW w:w="98"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2274"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633" w:type="dxa"/>
            <w:gridSpan w:val="2"/>
            <w:tcBorders/>
            <w:shd w:fill="CCEEFF" w:val="clear"/>
            <w:vAlign w:val="center"/>
          </w:tcPr>
          <w:p>
            <w:pPr>
              <w:pStyle w:val="TableContents"/>
              <w:bidi w:val="0"/>
              <w:spacing w:before="0" w:after="283"/>
              <w:jc w:val="left"/>
              <w:rPr/>
            </w:pPr>
            <w:r>
              <w:rPr>
                <w:rStyle w:val="Emphasis"/>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665" w:type="dxa"/>
            <w:gridSpan w:val="2"/>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4" w:type="dxa"/>
            <w:gridSpan w:val="2"/>
            <w:tcBorders/>
            <w:shd w:fill="CCEEFF" w:val="clear"/>
            <w:vAlign w:val="center"/>
          </w:tcPr>
          <w:p>
            <w:pPr>
              <w:pStyle w:val="TableContents"/>
              <w:bidi w:val="0"/>
              <w:spacing w:before="0" w:after="283"/>
              <w:jc w:val="left"/>
              <w:rPr/>
            </w:pPr>
            <w:r>
              <w:rPr>
                <w:rStyle w:val="Emphasis"/>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5" w:type="dxa"/>
            <w:gridSpan w:val="2"/>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5" w:type="dxa"/>
            <w:gridSpan w:val="2"/>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20" w:type="dxa"/>
            <w:gridSpan w:val="2"/>
            <w:tcBorders/>
            <w:shd w:fill="CCEEFF" w:val="cle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80"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132</w:t>
            </w:r>
          </w:p>
        </w:tc>
        <w:tc>
          <w:tcPr>
            <w:tcW w:w="98" w:type="dxa"/>
            <w:tcBorders/>
            <w:shd w:fill="CCEEFF" w:val="clear"/>
            <w:vAlign w:val="center"/>
          </w:tcPr>
          <w:p>
            <w:pPr>
              <w:pStyle w:val="TableContents"/>
              <w:bidi w:val="0"/>
              <w:spacing w:before="0" w:after="283"/>
              <w:jc w:val="left"/>
              <w:rPr/>
            </w:pPr>
            <w:r>
              <w:rPr/>
              <w:t> </w:t>
            </w:r>
          </w:p>
        </w:tc>
      </w:tr>
      <w:tr>
        <w:trPr/>
        <w:tc>
          <w:tcPr>
            <w:tcW w:w="2274" w:type="dxa"/>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Cash dividends on common stock ($0.40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633" w:type="dxa"/>
            <w:gridSpan w:val="2"/>
            <w:tcBorders/>
            <w:shd w:fill="FFFFFF" w:val="clear"/>
            <w:vAlign w:val="center"/>
          </w:tcPr>
          <w:p>
            <w:pPr>
              <w:pStyle w:val="TableContents"/>
              <w:bidi w:val="0"/>
              <w:spacing w:before="0" w:after="283"/>
              <w:jc w:val="left"/>
              <w:rPr/>
            </w:pPr>
            <w:r>
              <w:rPr>
                <w:rStyle w:val="Emphasis"/>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4" w:type="dxa"/>
            <w:gridSpan w:val="2"/>
            <w:tcBorders/>
            <w:shd w:fill="FFFFFF" w:val="clear"/>
            <w:vAlign w:val="center"/>
          </w:tcPr>
          <w:p>
            <w:pPr>
              <w:pStyle w:val="TableContents"/>
              <w:bidi w:val="0"/>
              <w:spacing w:before="0" w:after="283"/>
              <w:jc w:val="left"/>
              <w:rPr/>
            </w:pPr>
            <w:r>
              <w:rPr>
                <w:rStyle w:val="Emphasis"/>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(38</w:t>
            </w:r>
          </w:p>
        </w:tc>
        <w:tc>
          <w:tcPr>
            <w:tcW w:w="80"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(38</w:t>
            </w:r>
          </w:p>
        </w:tc>
        <w:tc>
          <w:tcPr>
            <w:tcW w:w="98"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2274"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Translation adjustment, net of tax</w:t>
            </w:r>
          </w:p>
        </w:tc>
        <w:tc>
          <w:tcPr>
            <w:tcW w:w="60" w:type="dxa"/>
            <w:tcBorders/>
            <w:shd w:fill="CCEEFF" w:val="clear"/>
            <w:vAlign w:val="center"/>
          </w:tcPr>
          <w:p>
            <w:pPr>
              <w:pStyle w:val="TableContents"/>
              <w:bidi w:val="0"/>
              <w:spacing w:before="0" w:after="283"/>
              <w:ind w:left="0" w:right="0" w:hanging="0"/>
              <w:jc w:val="left"/>
              <w:rPr/>
            </w:pPr>
            <w:r>
              <w:rPr/>
              <w:t> </w:t>
            </w:r>
          </w:p>
        </w:tc>
        <w:tc>
          <w:tcPr>
            <w:tcW w:w="633" w:type="dxa"/>
            <w:gridSpan w:val="2"/>
            <w:tcBorders/>
            <w:shd w:fill="CCEEFF" w:val="clear"/>
            <w:vAlign w:val="center"/>
          </w:tcPr>
          <w:p>
            <w:pPr>
              <w:pStyle w:val="TableContents"/>
              <w:bidi w:val="0"/>
              <w:spacing w:before="0" w:after="283"/>
              <w:jc w:val="left"/>
              <w:rPr/>
            </w:pPr>
            <w:r>
              <w:rPr>
                <w:rStyle w:val="Emphasis"/>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665" w:type="dxa"/>
            <w:gridSpan w:val="2"/>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4" w:type="dxa"/>
            <w:gridSpan w:val="2"/>
            <w:tcBorders/>
            <w:shd w:fill="CCEEFF" w:val="clear"/>
            <w:vAlign w:val="center"/>
          </w:tcPr>
          <w:p>
            <w:pPr>
              <w:pStyle w:val="TableContents"/>
              <w:bidi w:val="0"/>
              <w:spacing w:before="0" w:after="283"/>
              <w:jc w:val="left"/>
              <w:rPr/>
            </w:pPr>
            <w:r>
              <w:rPr>
                <w:rStyle w:val="Emphasis"/>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5" w:type="dxa"/>
            <w:gridSpan w:val="2"/>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25" w:type="dxa"/>
            <w:gridSpan w:val="2"/>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ind w:left="0" w:right="0" w:hanging="0"/>
              <w:jc w:val="left"/>
              <w:rPr/>
            </w:pPr>
            <w:r>
              <w:rPr/>
              <w:t> </w:t>
            </w:r>
          </w:p>
        </w:tc>
        <w:tc>
          <w:tcPr>
            <w:tcW w:w="964"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(44</w:t>
            </w:r>
          </w:p>
        </w:tc>
        <w:tc>
          <w:tcPr>
            <w:tcW w:w="80"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20" w:type="dxa"/>
            <w:gridSpan w:val="2"/>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(44</w:t>
            </w:r>
          </w:p>
        </w:tc>
        <w:tc>
          <w:tcPr>
            <w:tcW w:w="98"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2274"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Change in hedges, net of tax</w:t>
            </w:r>
          </w:p>
        </w:tc>
        <w:tc>
          <w:tcPr>
            <w:tcW w:w="60" w:type="dxa"/>
            <w:tcBorders/>
            <w:shd w:fill="FFFFFF" w:val="clear"/>
            <w:vAlign w:val="center"/>
          </w:tcPr>
          <w:p>
            <w:pPr>
              <w:pStyle w:val="TableContents"/>
              <w:bidi w:val="0"/>
              <w:spacing w:before="0" w:after="283"/>
              <w:ind w:left="0" w:right="0" w:hanging="0"/>
              <w:jc w:val="left"/>
              <w:rPr/>
            </w:pPr>
            <w:r>
              <w:rPr/>
              <w:t> </w:t>
            </w:r>
          </w:p>
        </w:tc>
        <w:tc>
          <w:tcPr>
            <w:tcW w:w="633" w:type="dxa"/>
            <w:gridSpan w:val="2"/>
            <w:tcBorders/>
            <w:shd w:fill="FFFFFF" w:val="clear"/>
            <w:vAlign w:val="center"/>
          </w:tcPr>
          <w:p>
            <w:pPr>
              <w:pStyle w:val="TableContents"/>
              <w:bidi w:val="0"/>
              <w:spacing w:before="0" w:after="283"/>
              <w:jc w:val="left"/>
              <w:rPr/>
            </w:pPr>
            <w:r>
              <w:rPr>
                <w:rStyle w:val="Emphasis"/>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4" w:type="dxa"/>
            <w:gridSpan w:val="2"/>
            <w:tcBorders/>
            <w:shd w:fill="FFFFFF" w:val="clear"/>
            <w:vAlign w:val="center"/>
          </w:tcPr>
          <w:p>
            <w:pPr>
              <w:pStyle w:val="TableContents"/>
              <w:bidi w:val="0"/>
              <w:spacing w:before="0" w:after="283"/>
              <w:jc w:val="left"/>
              <w:rPr/>
            </w:pPr>
            <w:r>
              <w:rPr>
                <w:rStyle w:val="Emphasis"/>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ind w:left="0" w:right="0" w:hanging="0"/>
              <w:jc w:val="left"/>
              <w:rPr/>
            </w:pPr>
            <w:r>
              <w:rPr/>
              <w:t> </w:t>
            </w:r>
          </w:p>
        </w:tc>
        <w:tc>
          <w:tcPr>
            <w:tcW w:w="964"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w:t>
            </w:r>
          </w:p>
        </w:tc>
        <w:tc>
          <w:tcPr>
            <w:tcW w:w="98" w:type="dxa"/>
            <w:tcBorders/>
            <w:shd w:fill="FFFFFF" w:val="clear"/>
            <w:vAlign w:val="center"/>
          </w:tcPr>
          <w:p>
            <w:pPr>
              <w:pStyle w:val="TableContents"/>
              <w:bidi w:val="0"/>
              <w:spacing w:before="0" w:after="283"/>
              <w:jc w:val="left"/>
              <w:rPr/>
            </w:pPr>
            <w:r>
              <w:rPr/>
              <w:t> </w:t>
            </w:r>
          </w:p>
        </w:tc>
      </w:tr>
      <w:tr>
        <w:trPr/>
        <w:tc>
          <w:tcPr>
            <w:tcW w:w="2274" w:type="dxa"/>
            <w:tcBorders>
              <w:bottom w:val="single" w:sz="2" w:space="0" w:color="000000"/>
            </w:tcBorders>
            <w:shd w:fill="CCEEFF" w:val="clear"/>
            <w:tcMar>
              <w:bottom w:w="28" w:type="dxa"/>
            </w:tcM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Pension and postretirement adjustments, net of tax</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3" w:type="dxa"/>
            <w:gridSpan w:val="2"/>
            <w:tcBorders>
              <w:bottom w:val="single" w:sz="2" w:space="0" w:color="000000"/>
            </w:tcBorders>
            <w:shd w:fill="CCEEFF" w:val="clear"/>
            <w:tcMar>
              <w:bottom w:w="28" w:type="dxa"/>
            </w:tcMar>
            <w:vAlign w:val="center"/>
          </w:tcPr>
          <w:p>
            <w:pPr>
              <w:pStyle w:val="TableContents"/>
              <w:bidi w:val="0"/>
              <w:spacing w:before="0" w:after="283"/>
              <w:jc w:val="left"/>
              <w:rPr/>
            </w:pPr>
            <w:r>
              <w:rPr>
                <w:rStyle w:val="Emphasis"/>
              </w:rPr>
              <w:t> </w:t>
            </w:r>
          </w:p>
        </w:tc>
        <w:tc>
          <w:tcPr>
            <w:tcW w:w="6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CCEEFF" w:val="clear"/>
            <w:tcMar>
              <w:bottom w:w="28" w:type="dxa"/>
            </w:tcMar>
            <w:vAlign w:val="center"/>
          </w:tcPr>
          <w:p>
            <w:pPr>
              <w:pStyle w:val="TableContents"/>
              <w:bidi w:val="0"/>
              <w:spacing w:before="0" w:after="283"/>
              <w:jc w:val="left"/>
              <w:rPr/>
            </w:pPr>
            <w:r>
              <w:rPr>
                <w:rStyle w:val="Emphasis"/>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4" w:type="dxa"/>
            <w:gridSpan w:val="2"/>
            <w:tcBorders>
              <w:bottom w:val="single" w:sz="2" w:space="0" w:color="000000"/>
            </w:tcBorders>
            <w:shd w:fill="CCEEFF" w:val="clear"/>
            <w:tcMar>
              <w:bottom w:w="28" w:type="dxa"/>
            </w:tcMar>
            <w:vAlign w:val="center"/>
          </w:tcPr>
          <w:p>
            <w:pPr>
              <w:pStyle w:val="TableContents"/>
              <w:bidi w:val="0"/>
              <w:spacing w:before="0" w:after="283"/>
              <w:jc w:val="left"/>
              <w:rPr/>
            </w:pPr>
            <w:r>
              <w:rPr>
                <w:rStyle w:val="Emphasis"/>
              </w:rPr>
              <w:t> </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CCEEFF" w:val="clear"/>
            <w:tcMar>
              <w:bottom w:w="28" w:type="dxa"/>
            </w:tcMar>
            <w:vAlign w:val="center"/>
          </w:tcPr>
          <w:p>
            <w:pPr>
              <w:pStyle w:val="TableContents"/>
              <w:bidi w:val="0"/>
              <w:spacing w:before="0" w:after="283"/>
              <w:jc w:val="left"/>
              <w:rPr/>
            </w:pPr>
            <w:r>
              <w:rPr>
                <w:rStyle w:val="Emphasis"/>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CCEEFF" w:val="clear"/>
            <w:tcMar>
              <w:bottom w:w="28" w:type="dxa"/>
            </w:tcMar>
            <w:vAlign w:val="center"/>
          </w:tcPr>
          <w:p>
            <w:pPr>
              <w:pStyle w:val="TableContents"/>
              <w:bidi w:val="0"/>
              <w:spacing w:before="0" w:after="283"/>
              <w:jc w:val="left"/>
              <w:rPr/>
            </w:pPr>
            <w:r>
              <w:rPr>
                <w:rStyle w:val="Emphasis"/>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0" w:type="dxa"/>
            <w:gridSpan w:val="2"/>
            <w:tcBorders>
              <w:bottom w:val="single" w:sz="2" w:space="0" w:color="000000"/>
            </w:tcBorders>
            <w:shd w:fill="CCEEFF" w:val="clear"/>
            <w:tcMar>
              <w:bottom w:w="28" w:type="dxa"/>
            </w:tcMar>
            <w:vAlign w:val="center"/>
          </w:tcPr>
          <w:p>
            <w:pPr>
              <w:pStyle w:val="TableContents"/>
              <w:bidi w:val="0"/>
              <w:spacing w:before="0" w:after="283"/>
              <w:jc w:val="left"/>
              <w:rPr/>
            </w:pPr>
            <w:r>
              <w:rPr>
                <w:rStyle w:val="Emphasis"/>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w:t>
            </w:r>
          </w:p>
        </w:tc>
        <w:tc>
          <w:tcPr>
            <w:tcW w:w="9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27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b/>
                <w:caps w:val="false"/>
                <w:smallCaps w:val="false"/>
                <w:sz w:val="16"/>
              </w:rPr>
            </w:pPr>
            <w:r>
              <w:rPr>
                <w:rFonts w:ascii="Arial;Helvetica;sans-serif" w:hAnsi="Arial;Helvetica;sans-serif"/>
                <w:b/>
                <w:caps w:val="false"/>
                <w:smallCaps w:val="false"/>
                <w:sz w:val="16"/>
              </w:rPr>
              <w:t>Balance at April 30, 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99,233</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4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779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(4,732</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(178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2,995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9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(384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6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3,215</w:t>
            </w:r>
          </w:p>
        </w:tc>
        <w:tc>
          <w:tcPr>
            <w:tcW w:w="9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caps w:val="false"/>
          <w:smallCaps w:val="false"/>
          <w:sz w:val="18"/>
        </w:rPr>
      </w:pPr>
      <w:r>
        <w:rPr>
          <w:rFonts w:ascii="arial" w:hAnsi="arial"/>
          <w:caps w:val="false"/>
          <w:smallCaps w:val="false"/>
          <w:sz w:val="18"/>
        </w:rPr>
        <w:t>See Accompanying Notes to the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First Quarter 2023 Form 10-Q Page 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drawing>
          <wp:inline distT="0" distB="0" distL="0" distR="0">
            <wp:extent cx="2695575" cy="3143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695575" cy="3143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 w:hAnsi="arial"/>
          <w:b/>
          <w:caps w:val="false"/>
          <w:smallCaps w:val="false"/>
          <w:sz w:val="20"/>
        </w:rPr>
      </w:pPr>
      <w:bookmarkStart w:id="8" w:name="cf"/>
      <w:bookmarkEnd w:id="8"/>
      <w:r>
        <w:rPr>
          <w:rFonts w:ascii="arial" w:hAnsi="arial"/>
          <w:b/>
          <w:caps w:val="false"/>
          <w:smallCaps w:val="false"/>
          <w:sz w:val="20"/>
        </w:rPr>
        <w:t>CONDENSED CONSOLIDATED STATEMENTS OF CASH FLOWS</w:t>
      </w:r>
    </w:p>
    <w:p>
      <w:pPr>
        <w:pStyle w:val="TextBody"/>
        <w:bidi w:val="0"/>
        <w:spacing w:before="0" w:after="0"/>
        <w:ind w:left="0" w:right="0" w:hanging="0"/>
        <w:jc w:val="center"/>
        <w:rPr>
          <w:rFonts w:ascii="arial" w:hAnsi="arial"/>
          <w:caps w:val="false"/>
          <w:smallCaps w:val="false"/>
          <w:sz w:val="20"/>
        </w:rPr>
      </w:pPr>
      <w:r>
        <w:rPr>
          <w:rFonts w:ascii="arial" w:hAnsi="arial"/>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8682" w:type="dxa"/>
        <w:jc w:val="left"/>
        <w:tblInd w:w="0" w:type="dxa"/>
        <w:tblLayout w:type="fixed"/>
        <w:tblCellMar>
          <w:top w:w="0" w:type="dxa"/>
          <w:left w:w="0" w:type="dxa"/>
          <w:bottom w:w="28" w:type="dxa"/>
          <w:right w:w="0" w:type="dxa"/>
        </w:tblCellMar>
      </w:tblPr>
      <w:tblGrid>
        <w:gridCol w:w="6650"/>
        <w:gridCol w:w="60"/>
        <w:gridCol w:w="200"/>
        <w:gridCol w:w="634"/>
        <w:gridCol w:w="128"/>
        <w:gridCol w:w="96"/>
        <w:gridCol w:w="200"/>
        <w:gridCol w:w="634"/>
        <w:gridCol w:w="80"/>
      </w:tblGrid>
      <w:tr>
        <w:trPr/>
        <w:tc>
          <w:tcPr>
            <w:tcW w:w="665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2"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Thirteen weeks ended</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650" w:type="dxa"/>
            <w:tcBorders/>
            <w:shd w:fill="FFFFFF" w:val="clear"/>
            <w:tcMar>
              <w:bottom w:w="0" w:type="dxa"/>
            </w:tcMar>
            <w:vAlign w:val="center"/>
          </w:tcPr>
          <w:p>
            <w:pPr>
              <w:pStyle w:val="TableContents"/>
              <w:bidi w:val="0"/>
              <w:spacing w:before="0" w:after="0"/>
              <w:ind w:left="0" w:right="0" w:hanging="0"/>
              <w:jc w:val="left"/>
              <w:rPr/>
            </w:pPr>
            <w:r>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34" w:type="dxa"/>
            <w:gridSpan w:val="2"/>
            <w:tcBorders/>
            <w:shd w:fill="FFFFFF" w:val="clear"/>
            <w:tcMar>
              <w:bottom w:w="0" w:type="dxa"/>
            </w:tcMar>
            <w:vAlign w:val="center"/>
          </w:tcPr>
          <w:p>
            <w:pPr>
              <w:pStyle w:val="TableContents"/>
              <w:bidi w:val="0"/>
              <w:spacing w:before="0" w:after="0"/>
              <w:jc w:val="center"/>
              <w:rPr/>
            </w:pPr>
            <w:r>
              <w:rPr>
                <w:rStyle w:val="Emphasis"/>
                <w:rFonts w:ascii="Arial;Helvetica;sans-serif" w:hAnsi="Arial;Helvetica;sans-serif"/>
                <w:b/>
                <w:sz w:val="18"/>
              </w:rPr>
              <w:t>April 29,</w:t>
            </w:r>
          </w:p>
        </w:tc>
        <w:tc>
          <w:tcPr>
            <w:tcW w:w="128"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ind w:left="0" w:right="0" w:hanging="0"/>
              <w:jc w:val="left"/>
              <w:rPr/>
            </w:pPr>
            <w:r>
              <w:rPr/>
              <w:t> </w:t>
            </w:r>
          </w:p>
        </w:tc>
        <w:tc>
          <w:tcPr>
            <w:tcW w:w="834" w:type="dxa"/>
            <w:gridSpan w:val="2"/>
            <w:tcBorders/>
            <w:shd w:fill="FFFFFF" w:val="clear"/>
            <w:tcMar>
              <w:bottom w:w="0" w:type="dxa"/>
            </w:tcMar>
            <w:vAlign w:val="center"/>
          </w:tcPr>
          <w:p>
            <w:pPr>
              <w:pStyle w:val="TableContents"/>
              <w:bidi w:val="0"/>
              <w:spacing w:before="0" w:after="0"/>
              <w:jc w:val="center"/>
              <w:rPr/>
            </w:pPr>
            <w:r>
              <w:rPr>
                <w:rStyle w:val="Emphasis"/>
                <w:rFonts w:ascii="Arial;Helvetica;sans-serif" w:hAnsi="Arial;Helvetica;sans-serif"/>
                <w:b/>
                <w:sz w:val="18"/>
              </w:rPr>
              <w:t>April 30,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65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3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128" w:type="dxa"/>
            <w:tcBorders>
              <w:bottom w:val="single" w:sz="2" w:space="0" w:color="000000"/>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3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65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From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34"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34"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650"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income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3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36</w:t>
            </w:r>
          </w:p>
        </w:tc>
        <w:tc>
          <w:tcPr>
            <w:tcW w:w="128"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ind w:left="0" w:right="0" w:hanging="0"/>
              <w:jc w:val="left"/>
              <w:rPr/>
            </w:pPr>
            <w:r>
              <w:rPr/>
              <w:t> </w:t>
            </w:r>
          </w:p>
        </w:tc>
        <w:tc>
          <w:tcPr>
            <w:tcW w:w="20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3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132</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650" w:type="dxa"/>
            <w:tcBorders/>
            <w:shd w:fill="CCEEFF" w:val="clear"/>
            <w:tcMar>
              <w:bottom w:w="0" w:type="dxa"/>
            </w:tcMar>
            <w:vAlign w:val="center"/>
          </w:tcPr>
          <w:p>
            <w:pPr>
              <w:pStyle w:val="TableContents"/>
              <w:bidi w:val="0"/>
              <w:spacing w:before="0" w:after="0"/>
              <w:ind w:left="360" w:right="0" w:hanging="180"/>
              <w:jc w:val="left"/>
              <w:rPr>
                <w:rFonts w:ascii="Arial;Helvetica;sans-serif" w:hAnsi="Arial;Helvetica;sans-serif"/>
                <w:caps w:val="false"/>
                <w:smallCaps w:val="false"/>
                <w:sz w:val="18"/>
              </w:rPr>
            </w:pPr>
            <w:r>
              <w:rPr>
                <w:rFonts w:ascii="Arial;Helvetica;sans-serif" w:hAnsi="Arial;Helvetica;sans-serif"/>
                <w:caps w:val="false"/>
                <w:smallCaps w:val="false"/>
                <w:sz w:val="18"/>
              </w:rPr>
              <w:t>Adjustments to reconcile net income to net cash from operating activities: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34"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28"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ind w:left="0" w:right="0" w:hanging="0"/>
              <w:jc w:val="left"/>
              <w:rPr/>
            </w:pPr>
            <w:r>
              <w:rPr/>
              <w:t> </w:t>
            </w:r>
          </w:p>
        </w:tc>
        <w:tc>
          <w:tcPr>
            <w:tcW w:w="834"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650" w:type="dxa"/>
            <w:tcBorders/>
            <w:shd w:fill="FFFFFF" w:val="clear"/>
            <w:tcMar>
              <w:bottom w:w="0" w:type="dxa"/>
            </w:tcM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Non-cash impairment and other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34"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18</w:t>
            </w:r>
          </w:p>
        </w:tc>
        <w:tc>
          <w:tcPr>
            <w:tcW w:w="128"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34"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650" w:type="dxa"/>
            <w:tcBorders/>
            <w:shd w:fill="CCEEFF" w:val="clear"/>
            <w:tcMar>
              <w:bottom w:w="0" w:type="dxa"/>
            </w:tcM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Fair value adjustments to minority investments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34"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34"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25</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650" w:type="dxa"/>
            <w:tcBorders/>
            <w:shd w:fill="FFFFFF" w:val="clear"/>
            <w:tcMar>
              <w:bottom w:w="0" w:type="dxa"/>
            </w:tcM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34"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51</w:t>
            </w:r>
          </w:p>
        </w:tc>
        <w:tc>
          <w:tcPr>
            <w:tcW w:w="128"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34"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54</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650" w:type="dxa"/>
            <w:tcBorders/>
            <w:shd w:fill="CCEEFF" w:val="clear"/>
            <w:tcMar>
              <w:bottom w:w="0" w:type="dxa"/>
            </w:tcM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Deferred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34"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(4</w:t>
            </w:r>
          </w:p>
        </w:tc>
        <w:tc>
          <w:tcPr>
            <w:tcW w:w="128"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6"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34"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650" w:type="dxa"/>
            <w:tcBorders/>
            <w:shd w:fill="FFFFFF" w:val="clear"/>
            <w:tcMar>
              <w:bottom w:w="0" w:type="dxa"/>
            </w:tcM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Share-based compensation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34"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2</w:t>
            </w:r>
          </w:p>
        </w:tc>
        <w:tc>
          <w:tcPr>
            <w:tcW w:w="128"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34"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7</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650" w:type="dxa"/>
            <w:tcBorders/>
            <w:shd w:fill="CCEEFF" w:val="clear"/>
            <w:tcMar>
              <w:bottom w:w="0" w:type="dxa"/>
            </w:tcM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Change in assets and liabilities: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34" w:type="dxa"/>
            <w:gridSpan w:val="2"/>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ind w:left="0" w:right="0" w:hanging="0"/>
              <w:jc w:val="left"/>
              <w:rPr/>
            </w:pPr>
            <w:r>
              <w:rPr/>
              <w:t> </w:t>
            </w:r>
          </w:p>
        </w:tc>
        <w:tc>
          <w:tcPr>
            <w:tcW w:w="834"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650" w:type="dxa"/>
            <w:tcBorders/>
            <w:shd w:fill="FFFFFF" w:val="clear"/>
            <w:tcMar>
              <w:bottom w:w="0" w:type="dxa"/>
            </w:tcMar>
            <w:vAlign w:val="center"/>
          </w:tcPr>
          <w:p>
            <w:pPr>
              <w:pStyle w:val="TableContents"/>
              <w:bidi w:val="0"/>
              <w:spacing w:before="0" w:after="0"/>
              <w:ind w:left="540" w:right="0" w:hanging="0"/>
              <w:jc w:val="left"/>
              <w:rPr>
                <w:rFonts w:ascii="Arial;Helvetica;sans-serif" w:hAnsi="Arial;Helvetica;sans-serif"/>
                <w:sz w:val="18"/>
              </w:rPr>
            </w:pPr>
            <w:r>
              <w:rPr>
                <w:rFonts w:ascii="Arial;Helvetica;sans-serif" w:hAnsi="Arial;Helvetica;sans-serif"/>
                <w:sz w:val="18"/>
              </w:rPr>
              <w:t>Merchandise inventories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34"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(117</w:t>
            </w:r>
          </w:p>
        </w:tc>
        <w:tc>
          <w:tcPr>
            <w:tcW w:w="128"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6"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34"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(150</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650" w:type="dxa"/>
            <w:tcBorders/>
            <w:shd w:fill="CCEEFF" w:val="clear"/>
            <w:tcMar>
              <w:bottom w:w="0" w:type="dxa"/>
            </w:tcMar>
            <w:vAlign w:val="center"/>
          </w:tcPr>
          <w:p>
            <w:pPr>
              <w:pStyle w:val="TableContents"/>
              <w:bidi w:val="0"/>
              <w:spacing w:before="0" w:after="0"/>
              <w:ind w:left="540" w:right="0" w:hanging="0"/>
              <w:jc w:val="left"/>
              <w:rPr>
                <w:rFonts w:ascii="Arial;Helvetica;sans-serif" w:hAnsi="Arial;Helvetica;sans-serif"/>
                <w:sz w:val="18"/>
              </w:rPr>
            </w:pPr>
            <w:r>
              <w:rPr>
                <w:rFonts w:ascii="Arial;Helvetica;sans-serif" w:hAnsi="Arial;Helvetica;sans-serif"/>
                <w:sz w:val="18"/>
              </w:rPr>
              <w:t>Accounts payable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34"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(16</w:t>
            </w:r>
          </w:p>
        </w:tc>
        <w:tc>
          <w:tcPr>
            <w:tcW w:w="128"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6"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34"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(25</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650" w:type="dxa"/>
            <w:tcBorders/>
            <w:shd w:fill="FFFFFF" w:val="clear"/>
            <w:tcMar>
              <w:bottom w:w="0" w:type="dxa"/>
            </w:tcMar>
            <w:vAlign w:val="center"/>
          </w:tcPr>
          <w:p>
            <w:pPr>
              <w:pStyle w:val="TableContents"/>
              <w:bidi w:val="0"/>
              <w:spacing w:before="0" w:after="0"/>
              <w:ind w:left="540" w:right="0" w:hanging="0"/>
              <w:jc w:val="left"/>
              <w:rPr>
                <w:rFonts w:ascii="Arial;Helvetica;sans-serif" w:hAnsi="Arial;Helvetica;sans-serif"/>
                <w:sz w:val="18"/>
              </w:rPr>
            </w:pPr>
            <w:r>
              <w:rPr>
                <w:rFonts w:ascii="Arial;Helvetica;sans-serif" w:hAnsi="Arial;Helvetica;sans-serif"/>
                <w:sz w:val="18"/>
              </w:rPr>
              <w:t>Accrued and other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34"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(87</w:t>
            </w:r>
          </w:p>
        </w:tc>
        <w:tc>
          <w:tcPr>
            <w:tcW w:w="128"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6"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34"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(80</w:t>
            </w:r>
          </w:p>
        </w:tc>
        <w:tc>
          <w:tcPr>
            <w:tcW w:w="8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r>
      <w:tr>
        <w:trPr/>
        <w:tc>
          <w:tcPr>
            <w:tcW w:w="665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 net</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0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34" w:type="dxa"/>
            <w:tcBorders>
              <w:bottom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(1</w:t>
            </w:r>
          </w:p>
        </w:tc>
        <w:tc>
          <w:tcPr>
            <w:tcW w:w="128"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9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0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34" w:type="dxa"/>
            <w:tcBorders>
              <w:bottom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w:t>
            </w:r>
          </w:p>
        </w:tc>
        <w:tc>
          <w:tcPr>
            <w:tcW w:w="80" w:type="dxa"/>
            <w:tcBorders>
              <w:bottom w:val="single" w:sz="2" w:space="0" w:color="000000"/>
            </w:tcBorders>
            <w:shd w:fill="CCEEFF" w:val="clear"/>
            <w:vAlign w:val="center"/>
          </w:tcPr>
          <w:p>
            <w:pPr>
              <w:pStyle w:val="TableContents"/>
              <w:bidi w:val="0"/>
              <w:spacing w:before="0" w:after="0"/>
              <w:jc w:val="left"/>
              <w:rPr/>
            </w:pPr>
            <w:r>
              <w:rPr/>
              <w:t> </w:t>
            </w:r>
          </w:p>
        </w:tc>
      </w:tr>
      <w:tr>
        <w:trPr/>
        <w:tc>
          <w:tcPr>
            <w:tcW w:w="665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cash used in operating activities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0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4"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(118</w:t>
            </w:r>
          </w:p>
        </w:tc>
        <w:tc>
          <w:tcPr>
            <w:tcW w:w="128"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6" w:type="dxa"/>
            <w:tcBorders>
              <w:bottom w:val="single" w:sz="2" w:space="0" w:color="000000"/>
            </w:tcBorders>
            <w:shd w:fill="FFFFFF" w:val="clear"/>
            <w:vAlign w:val="center"/>
          </w:tcPr>
          <w:p>
            <w:pPr>
              <w:pStyle w:val="TableContents"/>
              <w:bidi w:val="0"/>
              <w:spacing w:before="0" w:after="283"/>
              <w:jc w:val="left"/>
              <w:rPr/>
            </w:pPr>
            <w:r>
              <w:rPr/>
              <w:t> </w:t>
            </w:r>
          </w:p>
        </w:tc>
        <w:tc>
          <w:tcPr>
            <w:tcW w:w="20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4"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65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From investing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34"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34"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650"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sz w:val="18"/>
              </w:rPr>
            </w:pPr>
            <w:r>
              <w:rPr>
                <w:rFonts w:ascii="Arial;Helvetica;sans-serif" w:hAnsi="Arial;Helvetica;sans-serif"/>
                <w:sz w:val="18"/>
              </w:rPr>
              <w:t>Capital expenditures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34"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(59</w:t>
            </w:r>
          </w:p>
        </w:tc>
        <w:tc>
          <w:tcPr>
            <w:tcW w:w="128"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6"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34"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(95</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650"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sz w:val="18"/>
              </w:rPr>
            </w:pPr>
            <w:r>
              <w:rPr>
                <w:rFonts w:ascii="Arial;Helvetica;sans-serif" w:hAnsi="Arial;Helvetica;sans-serif"/>
                <w:sz w:val="18"/>
              </w:rPr>
              <w:t>Purchase of business, net of cash acquired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34"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34"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(7</w:t>
            </w:r>
          </w:p>
        </w:tc>
        <w:tc>
          <w:tcPr>
            <w:tcW w:w="8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r>
      <w:tr>
        <w:trPr/>
        <w:tc>
          <w:tcPr>
            <w:tcW w:w="665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Minority investments</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0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34" w:type="dxa"/>
            <w:tcBorders>
              <w:bottom w:val="single" w:sz="2" w:space="0" w:color="000000"/>
            </w:tcBorders>
            <w:shd w:fill="FFFFFF" w:val="clear"/>
            <w:vAlign w:val="center"/>
          </w:tcPr>
          <w:p>
            <w:pPr>
              <w:pStyle w:val="TableContents"/>
              <w:bidi w:val="0"/>
              <w:spacing w:before="0" w:after="0"/>
              <w:ind w:left="0" w:right="0" w:hanging="0"/>
              <w:jc w:val="right"/>
              <w:rPr/>
            </w:pPr>
            <w:r>
              <w:rPr/>
              <w:t>—</w:t>
            </w:r>
          </w:p>
        </w:tc>
        <w:tc>
          <w:tcPr>
            <w:tcW w:w="128"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0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34"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w:t>
            </w:r>
          </w:p>
        </w:tc>
        <w:tc>
          <w:tcPr>
            <w:tcW w:w="80" w:type="dxa"/>
            <w:tcBorders>
              <w:bottom w:val="single" w:sz="2" w:space="0" w:color="000000"/>
            </w:tcBorders>
            <w:shd w:fill="FFFFFF" w:val="clear"/>
            <w:vAlign w:val="center"/>
          </w:tcPr>
          <w:p>
            <w:pPr>
              <w:pStyle w:val="TableContents"/>
              <w:bidi w:val="0"/>
              <w:spacing w:before="0" w:after="0"/>
              <w:jc w:val="left"/>
              <w:rPr>
                <w:rFonts w:ascii="Arial;Helvetica;sans-serif" w:hAnsi="Arial;Helvetica;sans-serif"/>
                <w:sz w:val="18"/>
              </w:rPr>
            </w:pPr>
            <w:r>
              <w:rPr>
                <w:rFonts w:ascii="Arial;Helvetica;sans-serif" w:hAnsi="Arial;Helvetica;sans-serif"/>
                <w:sz w:val="18"/>
              </w:rPr>
              <w:t>)</w:t>
            </w:r>
          </w:p>
        </w:tc>
      </w:tr>
      <w:tr>
        <w:trPr/>
        <w:tc>
          <w:tcPr>
            <w:tcW w:w="665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cash used in investing activities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0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34"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(59</w:t>
            </w:r>
          </w:p>
        </w:tc>
        <w:tc>
          <w:tcPr>
            <w:tcW w:w="128"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6" w:type="dxa"/>
            <w:tcBorders>
              <w:bottom w:val="single" w:sz="2" w:space="0" w:color="000000"/>
            </w:tcBorders>
            <w:shd w:fill="CCEEFF" w:val="clear"/>
            <w:vAlign w:val="center"/>
          </w:tcPr>
          <w:p>
            <w:pPr>
              <w:pStyle w:val="TableContents"/>
              <w:bidi w:val="0"/>
              <w:spacing w:before="0" w:after="283"/>
              <w:jc w:val="left"/>
              <w:rPr/>
            </w:pPr>
            <w:r>
              <w:rPr/>
              <w:t> </w:t>
            </w:r>
          </w:p>
        </w:tc>
        <w:tc>
          <w:tcPr>
            <w:tcW w:w="20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34"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(105</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65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From financing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34"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3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650"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sz w:val="18"/>
              </w:rPr>
            </w:pPr>
            <w:r>
              <w:rPr>
                <w:rFonts w:ascii="Arial;Helvetica;sans-serif" w:hAnsi="Arial;Helvetica;sans-serif"/>
                <w:sz w:val="18"/>
              </w:rPr>
              <w:t>Dividends paid on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34"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(38</w:t>
            </w:r>
          </w:p>
        </w:tc>
        <w:tc>
          <w:tcPr>
            <w:tcW w:w="128"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6"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34"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(38</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650"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sz w:val="18"/>
              </w:rPr>
            </w:pPr>
            <w:r>
              <w:rPr>
                <w:rFonts w:ascii="Arial;Helvetica;sans-serif" w:hAnsi="Arial;Helvetica;sans-serif"/>
                <w:sz w:val="18"/>
              </w:rPr>
              <w:t>Purchase of treasury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34" w:type="dxa"/>
            <w:tcBorders/>
            <w:shd w:fill="FFFFFF" w:val="clear"/>
            <w:tcMar>
              <w:bottom w:w="0" w:type="dxa"/>
            </w:tcMar>
            <w:vAlign w:val="center"/>
          </w:tcPr>
          <w:p>
            <w:pPr>
              <w:pStyle w:val="TableContents"/>
              <w:bidi w:val="0"/>
              <w:spacing w:before="0" w:after="283"/>
              <w:jc w:val="right"/>
              <w:rPr/>
            </w:pPr>
            <w:r>
              <w:rPr/>
              <w:t>—</w:t>
            </w:r>
          </w:p>
        </w:tc>
        <w:tc>
          <w:tcPr>
            <w:tcW w:w="128"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34"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(89</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650"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sz w:val="18"/>
              </w:rPr>
            </w:pPr>
            <w:r>
              <w:rPr>
                <w:rFonts w:ascii="Arial;Helvetica;sans-serif" w:hAnsi="Arial;Helvetica;sans-serif"/>
                <w:sz w:val="18"/>
              </w:rPr>
              <w:t>Payment of obligations under finance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34"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(2</w:t>
            </w:r>
          </w:p>
        </w:tc>
        <w:tc>
          <w:tcPr>
            <w:tcW w:w="128"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6"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34"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650" w:type="dxa"/>
            <w:tcBorders/>
            <w:shd w:fill="FFFFFF" w:val="clear"/>
            <w:tcMar>
              <w:bottom w:w="0" w:type="dxa"/>
            </w:tcMar>
            <w:vAlign w:val="center"/>
          </w:tcPr>
          <w:p>
            <w:pPr>
              <w:pStyle w:val="TableContents"/>
              <w:bidi w:val="0"/>
              <w:spacing w:before="0" w:after="0"/>
              <w:ind w:left="540" w:right="0" w:hanging="360"/>
              <w:jc w:val="left"/>
              <w:rPr>
                <w:rFonts w:ascii="Arial;Helvetica;sans-serif" w:hAnsi="Arial;Helvetica;sans-serif"/>
                <w:sz w:val="18"/>
              </w:rPr>
            </w:pPr>
            <w:r>
              <w:rPr>
                <w:rFonts w:ascii="Arial;Helvetica;sans-serif" w:hAnsi="Arial;Helvetica;sans-serif"/>
                <w:sz w:val="18"/>
              </w:rPr>
              <w:t>Shares of common stock repurchased to satisfy tax withholding obligations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34"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(10</w:t>
            </w:r>
          </w:p>
        </w:tc>
        <w:tc>
          <w:tcPr>
            <w:tcW w:w="128"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6"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34"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w:t>
            </w:r>
          </w:p>
        </w:tc>
        <w:tc>
          <w:tcPr>
            <w:tcW w:w="8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r>
      <w:tr>
        <w:trPr/>
        <w:tc>
          <w:tcPr>
            <w:tcW w:w="665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Proceeds from exercise of stock options</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0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34" w:type="dxa"/>
            <w:tcBorders>
              <w:bottom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4</w:t>
            </w:r>
          </w:p>
        </w:tc>
        <w:tc>
          <w:tcPr>
            <w:tcW w:w="128"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0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34" w:type="dxa"/>
            <w:tcBorders>
              <w:bottom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w:t>
            </w:r>
          </w:p>
        </w:tc>
        <w:tc>
          <w:tcPr>
            <w:tcW w:w="80" w:type="dxa"/>
            <w:tcBorders>
              <w:bottom w:val="single" w:sz="2" w:space="0" w:color="000000"/>
            </w:tcBorders>
            <w:shd w:fill="CCEEFF" w:val="clear"/>
            <w:vAlign w:val="center"/>
          </w:tcPr>
          <w:p>
            <w:pPr>
              <w:pStyle w:val="TableContents"/>
              <w:bidi w:val="0"/>
              <w:spacing w:before="0" w:after="0"/>
              <w:jc w:val="left"/>
              <w:rPr/>
            </w:pPr>
            <w:r>
              <w:rPr/>
              <w:t> </w:t>
            </w:r>
          </w:p>
        </w:tc>
      </w:tr>
      <w:tr>
        <w:trPr/>
        <w:tc>
          <w:tcPr>
            <w:tcW w:w="665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cash used in financing activities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0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4"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(46</w:t>
            </w:r>
          </w:p>
        </w:tc>
        <w:tc>
          <w:tcPr>
            <w:tcW w:w="128"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6" w:type="dxa"/>
            <w:tcBorders>
              <w:bottom w:val="single" w:sz="2" w:space="0" w:color="000000"/>
            </w:tcBorders>
            <w:shd w:fill="FFFFFF" w:val="clear"/>
            <w:vAlign w:val="center"/>
          </w:tcPr>
          <w:p>
            <w:pPr>
              <w:pStyle w:val="TableContents"/>
              <w:bidi w:val="0"/>
              <w:spacing w:before="0" w:after="283"/>
              <w:jc w:val="left"/>
              <w:rPr/>
            </w:pPr>
            <w:r>
              <w:rPr/>
              <w:t> </w:t>
            </w:r>
          </w:p>
        </w:tc>
        <w:tc>
          <w:tcPr>
            <w:tcW w:w="20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4"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(128</w:t>
            </w:r>
          </w:p>
        </w:tc>
        <w:tc>
          <w:tcPr>
            <w:tcW w:w="80"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r>
      <w:tr>
        <w:trPr/>
        <w:tc>
          <w:tcPr>
            <w:tcW w:w="665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Effect of exchange rate fluctuations on cash, cash equivalents, and restricted cash</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0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34" w:type="dxa"/>
            <w:tcBorders>
              <w:bottom w:val="single" w:sz="2" w:space="0" w:color="000000"/>
            </w:tcBorders>
            <w:shd w:fill="CCEEFF" w:val="clear"/>
            <w:vAlign w:val="center"/>
          </w:tcPr>
          <w:p>
            <w:pPr>
              <w:pStyle w:val="TableContents"/>
              <w:bidi w:val="0"/>
              <w:spacing w:before="0" w:after="0"/>
              <w:ind w:left="0" w:right="0" w:hanging="0"/>
              <w:jc w:val="right"/>
              <w:rPr/>
            </w:pPr>
            <w:r>
              <w:rPr/>
              <w:t>—</w:t>
            </w:r>
          </w:p>
        </w:tc>
        <w:tc>
          <w:tcPr>
            <w:tcW w:w="128"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0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34" w:type="dxa"/>
            <w:tcBorders>
              <w:bottom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w:t>
            </w:r>
          </w:p>
        </w:tc>
        <w:tc>
          <w:tcPr>
            <w:tcW w:w="80" w:type="dxa"/>
            <w:tcBorders>
              <w:bottom w:val="single" w:sz="2" w:space="0" w:color="000000"/>
            </w:tcBorders>
            <w:shd w:fill="CCEEFF" w:val="clear"/>
            <w:vAlign w:val="center"/>
          </w:tcPr>
          <w:p>
            <w:pPr>
              <w:pStyle w:val="TableContents"/>
              <w:bidi w:val="0"/>
              <w:spacing w:before="0" w:after="0"/>
              <w:jc w:val="left"/>
              <w:rPr>
                <w:rFonts w:ascii="Arial;Helvetica;sans-serif" w:hAnsi="Arial;Helvetica;sans-serif"/>
                <w:sz w:val="18"/>
              </w:rPr>
            </w:pPr>
            <w:r>
              <w:rPr>
                <w:rFonts w:ascii="Arial;Helvetica;sans-serif" w:hAnsi="Arial;Helvetica;sans-serif"/>
                <w:sz w:val="18"/>
              </w:rPr>
              <w:t>)</w:t>
            </w:r>
          </w:p>
        </w:tc>
      </w:tr>
      <w:tr>
        <w:trPr/>
        <w:tc>
          <w:tcPr>
            <w:tcW w:w="665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change in cash, cash equivalents, and restricted 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c>
          <w:tcPr>
            <w:tcW w:w="63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(223</w:t>
            </w:r>
          </w:p>
        </w:tc>
        <w:tc>
          <w:tcPr>
            <w:tcW w:w="128"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6"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c>
          <w:tcPr>
            <w:tcW w:w="63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(255</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65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Cash, cash equivalents, and restricted cash at beginning of year</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0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34"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582</w:t>
            </w:r>
          </w:p>
        </w:tc>
        <w:tc>
          <w:tcPr>
            <w:tcW w:w="128" w:type="dxa"/>
            <w:tcBorders>
              <w:bottom w:val="single" w:sz="2" w:space="0" w:color="000000"/>
            </w:tcBorders>
            <w:shd w:fill="CCEEFF" w:val="clear"/>
            <w:vAlign w:val="center"/>
          </w:tcPr>
          <w:p>
            <w:pPr>
              <w:pStyle w:val="TableContents"/>
              <w:bidi w:val="0"/>
              <w:spacing w:before="0" w:after="283"/>
              <w:jc w:val="left"/>
              <w:rPr/>
            </w:pPr>
            <w:r>
              <w:rPr/>
              <w:t> </w:t>
            </w:r>
          </w:p>
        </w:tc>
        <w:tc>
          <w:tcPr>
            <w:tcW w:w="96" w:type="dxa"/>
            <w:tcBorders>
              <w:bottom w:val="single" w:sz="2" w:space="0" w:color="000000"/>
            </w:tcBorders>
            <w:shd w:fill="CCEEFF" w:val="clear"/>
            <w:vAlign w:val="center"/>
          </w:tcPr>
          <w:p>
            <w:pPr>
              <w:pStyle w:val="TableContents"/>
              <w:bidi w:val="0"/>
              <w:spacing w:before="0" w:after="283"/>
              <w:jc w:val="left"/>
              <w:rPr/>
            </w:pPr>
            <w:r>
              <w:rPr/>
              <w:t> </w:t>
            </w:r>
          </w:p>
        </w:tc>
        <w:tc>
          <w:tcPr>
            <w:tcW w:w="20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34"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850</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6650"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Cash, cash equivalents, and restricted cash at end of period</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34"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359</w:t>
            </w:r>
          </w:p>
        </w:tc>
        <w:tc>
          <w:tcPr>
            <w:tcW w:w="128" w:type="dxa"/>
            <w:tcBorders>
              <w:bottom w:val="double" w:sz="6" w:space="0" w:color="000000"/>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34"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595</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r>
      <w:tr>
        <w:trPr/>
        <w:tc>
          <w:tcPr>
            <w:tcW w:w="665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34"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28"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ind w:left="0" w:right="0" w:hanging="0"/>
              <w:jc w:val="left"/>
              <w:rPr/>
            </w:pPr>
            <w:r>
              <w:rPr/>
              <w:t> </w:t>
            </w:r>
          </w:p>
        </w:tc>
        <w:tc>
          <w:tcPr>
            <w:tcW w:w="834"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65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Supplemental information: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34"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3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650"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sz w:val="18"/>
              </w:rPr>
            </w:pPr>
            <w:r>
              <w:rPr>
                <w:rFonts w:ascii="Arial;Helvetica;sans-serif" w:hAnsi="Arial;Helvetica;sans-serif"/>
                <w:sz w:val="18"/>
              </w:rPr>
              <w:t>Interest paid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34"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8</w:t>
            </w:r>
          </w:p>
        </w:tc>
        <w:tc>
          <w:tcPr>
            <w:tcW w:w="128"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34"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650"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sz w:val="18"/>
              </w:rPr>
            </w:pPr>
            <w:r>
              <w:rPr>
                <w:rFonts w:ascii="Arial;Helvetica;sans-serif" w:hAnsi="Arial;Helvetica;sans-serif"/>
                <w:sz w:val="18"/>
              </w:rPr>
              <w:t>Income taxes paid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34"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23</w:t>
            </w:r>
          </w:p>
        </w:tc>
        <w:tc>
          <w:tcPr>
            <w:tcW w:w="128"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34"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18</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650"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sz w:val="18"/>
              </w:rPr>
            </w:pPr>
            <w:r>
              <w:rPr>
                <w:rFonts w:ascii="Arial;Helvetica;sans-serif" w:hAnsi="Arial;Helvetica;sans-serif"/>
                <w:sz w:val="18"/>
              </w:rPr>
              <w:t>Cash paid for amounts included in measurement of operating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34"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170</w:t>
            </w:r>
          </w:p>
        </w:tc>
        <w:tc>
          <w:tcPr>
            <w:tcW w:w="128"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34"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174</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650" w:type="dxa"/>
            <w:tcBorders/>
            <w:shd w:fill="FFFFFF" w:val="clear"/>
            <w:tcMar>
              <w:bottom w:w="0" w:type="dxa"/>
            </w:tcMar>
            <w:vAlign w:val="center"/>
          </w:tcPr>
          <w:p>
            <w:pPr>
              <w:pStyle w:val="TableContents"/>
              <w:bidi w:val="0"/>
              <w:spacing w:before="0" w:after="0"/>
              <w:ind w:left="360" w:right="0" w:hanging="180"/>
              <w:jc w:val="left"/>
              <w:rPr>
                <w:rFonts w:ascii="Arial;Helvetica;sans-serif" w:hAnsi="Arial;Helvetica;sans-serif"/>
                <w:sz w:val="18"/>
              </w:rPr>
            </w:pPr>
            <w:r>
              <w:rPr>
                <w:rFonts w:ascii="Arial;Helvetica;sans-serif" w:hAnsi="Arial;Helvetica;sans-serif"/>
                <w:sz w:val="18"/>
              </w:rPr>
              <w:t>Cash paid for amounts included in measurement of finance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34"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2</w:t>
            </w:r>
          </w:p>
        </w:tc>
        <w:tc>
          <w:tcPr>
            <w:tcW w:w="128"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34"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665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Right-of-use assets obtained in exchange for operating lease obligations</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0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34" w:type="dxa"/>
            <w:tcBorders>
              <w:bottom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34</w:t>
            </w:r>
          </w:p>
        </w:tc>
        <w:tc>
          <w:tcPr>
            <w:tcW w:w="128"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0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34" w:type="dxa"/>
            <w:tcBorders>
              <w:bottom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138</w:t>
            </w:r>
          </w:p>
        </w:tc>
        <w:tc>
          <w:tcPr>
            <w:tcW w:w="80" w:type="dxa"/>
            <w:tcBorders>
              <w:bottom w:val="single" w:sz="2" w:space="0" w:color="000000"/>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caps w:val="false"/>
          <w:smallCaps w:val="false"/>
          <w:sz w:val="18"/>
        </w:rPr>
      </w:pPr>
      <w:r>
        <w:rPr>
          <w:rFonts w:ascii="arial" w:hAnsi="arial"/>
          <w:caps w:val="false"/>
          <w:smallCaps w:val="false"/>
          <w:sz w:val="18"/>
        </w:rPr>
        <w:t>See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First Quarter 2023 Form 10-Q Page 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695575" cy="3143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695575" cy="3143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 w:hAnsi="arial"/>
          <w:caps w:val="false"/>
          <w:smallCaps w:val="false"/>
          <w:sz w:val="20"/>
        </w:rPr>
      </w:pPr>
      <w:bookmarkStart w:id="9" w:name="notes"/>
      <w:bookmarkEnd w:id="9"/>
      <w:r>
        <w:rPr>
          <w:rFonts w:ascii="arial" w:hAnsi="arial"/>
          <w:b/>
          <w:caps w:val="false"/>
          <w:smallCaps w:val="false"/>
          <w:sz w:val="20"/>
        </w:rPr>
        <w:t>NOTES TO THE UNAUDITED CONDENSED</w:t>
      </w:r>
      <w:r>
        <w:rPr>
          <w:rFonts w:ascii="arial" w:hAnsi="arial"/>
          <w:caps w:val="false"/>
          <w:smallCaps w:val="false"/>
          <w:sz w:val="20"/>
        </w:rPr>
        <w:t xml:space="preserve"> </w:t>
      </w:r>
      <w:r>
        <w:rPr>
          <w:rFonts w:ascii="arial" w:hAnsi="arial"/>
          <w:b/>
          <w:caps w:val="false"/>
          <w:smallCaps w:val="false"/>
          <w:sz w:val="20"/>
        </w:rPr>
        <w:t>CONSOLIDATED FINANCIAL STATEMENTS</w:t>
      </w:r>
      <w:r>
        <w:rPr>
          <w:rFonts w:ascii="arial" w:hAnsi="arial"/>
          <w:caps w:val="false"/>
          <w:smallCaps w:val="false"/>
          <w:sz w:val="20"/>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Arial;Helvetica;sans-serif" w:hAnsi="Arial;Helvetica;sans-serif"/>
          <w:b/>
          <w:caps w:val="false"/>
          <w:smallCaps w:val="false"/>
          <w:sz w:val="20"/>
        </w:rPr>
        <w:t>1.</w:t>
      </w:r>
      <w:r>
        <w:rPr>
          <w:rFonts w:ascii="Arial;Helvetica;sans-serif" w:hAnsi="Arial;Helvetica;sans-serif"/>
          <w:b/>
          <w:caps w:val="false"/>
          <w:smallCaps w:val="false"/>
          <w:sz w:val="20"/>
        </w:rPr>
        <w:t xml:space="preserve">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Foot Locker, Inc., together with its consolidated subsidiaries (“Foot Locker,” “Company,” “we,” “our,” and “us”), is a leading footwear and apparel retailer. We have integrated all available shopping channels including stores, websites, apps, and social channels. Store sales are primarily fulfilled from the store’s inventory, but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also be shipped from any of our distribution centers or from a different store location if an item is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available at the original store. Direct-to-customer orders are generally shipped to our customers through our distribution centers but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also be shipped from any store or a combination of our distribution centers and stores depending on availability of particular items. We operate in North America, Europe, and Asia Pacific, representing our operating segments. We aggregate these operating segments into </w:t>
      </w:r>
      <w:r>
        <w:rPr>
          <w:rStyle w:val="Emphasis"/>
          <w:rFonts w:ascii="Arial;Helvetica;sans-serif" w:hAnsi="Arial;Helvetica;sans-serif"/>
          <w:caps w:val="false"/>
          <w:smallCaps w:val="false"/>
          <w:sz w:val="20"/>
        </w:rPr>
        <w:t>one</w:t>
      </w:r>
      <w:r>
        <w:rPr>
          <w:rFonts w:ascii="Arial;Helvetica;sans-serif" w:hAnsi="Arial;Helvetica;sans-serif"/>
          <w:caps w:val="false"/>
          <w:smallCaps w:val="false"/>
          <w:sz w:val="20"/>
        </w:rPr>
        <w:t xml:space="preserve"> reportable segment based upon their shared customer base and similar economic characteristics.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accompanying interim Unaudited Condensed Consolidated Financial Statements have been prepared in accordance with accounting principles generally accepted in the United States of America (“U.S. GAAP”) and the rules and regulations of the Securities and Exchange Commission. Accordingly, they do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include all of the information and notes required by U.S. GAAP for complete financial statements.  In the opinion of management, all adjustments (consisting of normal recurring accruals) considered necessary for a fair presentation have been included. The results of operations for any interim period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necessarily indicative of the results expected for the year. Additionally, the results of operations for the period ended </w:t>
      </w:r>
      <w:r>
        <w:rPr>
          <w:rStyle w:val="Emphasis"/>
          <w:rFonts w:ascii="Arial;Helvetica;sans-serif" w:hAnsi="Arial;Helvetica;sans-serif"/>
          <w:caps w:val="false"/>
          <w:smallCaps w:val="false"/>
          <w:sz w:val="20"/>
        </w:rPr>
        <w:t xml:space="preserve"> April 29, 2023</w:t>
      </w:r>
      <w:r>
        <w:rPr>
          <w:rFonts w:ascii="Arial;Helvetica;sans-serif" w:hAnsi="Arial;Helvetica;sans-serif"/>
          <w:caps w:val="false"/>
          <w:smallCaps w:val="false"/>
          <w:sz w:val="20"/>
        </w:rPr>
        <w:t xml:space="preserve">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necessarily indicative of the results to be expected for the full fiscal year due to the continued uncertainty of general economic conditions that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affect us for the remainder of the year. Fiscal year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will include the </w:t>
      </w:r>
      <w:r>
        <w:rPr>
          <w:rStyle w:val="Emphasis"/>
          <w:rFonts w:ascii="Arial;Helvetica;sans-serif" w:hAnsi="Arial;Helvetica;sans-serif"/>
          <w:caps w:val="false"/>
          <w:smallCaps w:val="false"/>
          <w:sz w:val="20"/>
        </w:rPr>
        <w:t>53</w:t>
      </w:r>
      <w:r>
        <w:rPr>
          <w:rFonts w:ascii="Arial;Helvetica;sans-serif" w:hAnsi="Arial;Helvetica;sans-serif"/>
          <w:caps w:val="false"/>
          <w:smallCaps w:val="false"/>
          <w:sz w:val="20"/>
        </w:rPr>
        <w:t xml:space="preserve">-week period that ends on </w:t>
      </w:r>
      <w:r>
        <w:rPr>
          <w:rStyle w:val="Emphasis"/>
          <w:rFonts w:ascii="Arial;Helvetica;sans-serif" w:hAnsi="Arial;Helvetica;sans-serif"/>
          <w:caps w:val="false"/>
          <w:smallCaps w:val="false"/>
          <w:sz w:val="20"/>
        </w:rPr>
        <w:t>February 3, 2024</w:t>
      </w:r>
      <w:r>
        <w:rPr>
          <w:rFonts w:ascii="Arial;Helvetica;sans-serif" w:hAnsi="Arial;Helvetica;sans-serif"/>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accompanying unaudited condensed consolidated financial statements should be read in conjunction with the Notes to Consolidated Financial Statements contained in our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Form </w:t>
      </w:r>
      <w:r>
        <w:rPr>
          <w:rStyle w:val="Emphasis"/>
          <w:rFonts w:ascii="Arial;Helvetica;sans-serif" w:hAnsi="Arial;Helvetica;sans-serif"/>
          <w:caps w:val="false"/>
          <w:smallCaps w:val="false"/>
          <w:sz w:val="20"/>
        </w:rPr>
        <w:t>10</w:t>
      </w:r>
      <w:r>
        <w:rPr>
          <w:rFonts w:ascii="Arial;Helvetica;sans-serif" w:hAnsi="Arial;Helvetica;sans-serif"/>
          <w:caps w:val="false"/>
          <w:smallCaps w:val="false"/>
          <w:sz w:val="20"/>
        </w:rPr>
        <w:t xml:space="preserve">-K. Certain reclassifications have been made to prior period financial statements to conform to the current period presentation. In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we separately present licensing revenue as a component of total revenue in the Condensed Consolidated Statements of Operations, as previously licensing revenue was presented within other income /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There were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xml:space="preserve"> significant changes to the policies disclosed in Note </w:t>
      </w:r>
      <w:r>
        <w:rPr>
          <w:rStyle w:val="Emphasis"/>
          <w:rFonts w:ascii="Arial;Helvetica;sans-serif" w:hAnsi="Arial;Helvetica;sans-serif"/>
          <w:caps w:val="false"/>
          <w:smallCaps w:val="false"/>
          <w:sz w:val="20"/>
        </w:rPr>
        <w:t>1,</w:t>
      </w:r>
      <w:r>
        <w:rPr>
          <w:rFonts w:ascii="Arial;Helvetica;sans-serif" w:hAnsi="Arial;Helvetica;sans-serif"/>
          <w:caps w:val="false"/>
          <w:smallCaps w:val="false"/>
          <w:sz w:val="20"/>
        </w:rPr>
        <w:t> </w:t>
      </w:r>
      <w:r>
        <w:rPr>
          <w:rFonts w:ascii="Arial;Helvetica;sans-serif" w:hAnsi="Arial;Helvetica;sans-serif"/>
          <w:i/>
          <w:caps w:val="false"/>
          <w:smallCaps w:val="false"/>
          <w:sz w:val="20"/>
        </w:rPr>
        <w:t>Summary of Significant Accounting Policies </w:t>
      </w:r>
      <w:r>
        <w:rPr>
          <w:rFonts w:ascii="Arial;Helvetica;sans-serif" w:hAnsi="Arial;Helvetica;sans-serif"/>
          <w:caps w:val="false"/>
          <w:smallCaps w:val="false"/>
          <w:sz w:val="20"/>
        </w:rPr>
        <w:t>of our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Form </w:t>
      </w:r>
      <w:r>
        <w:rPr>
          <w:rStyle w:val="Emphasis"/>
          <w:rFonts w:ascii="Arial;Helvetica;sans-serif" w:hAnsi="Arial;Helvetica;sans-serif"/>
          <w:caps w:val="false"/>
          <w:smallCaps w:val="false"/>
          <w:sz w:val="20"/>
        </w:rPr>
        <w:t>10</w:t>
      </w:r>
      <w:r>
        <w:rPr>
          <w:rFonts w:ascii="Arial;Helvetica;sans-serif" w:hAnsi="Arial;Helvetica;sans-serif"/>
          <w:caps w:val="false"/>
          <w:smallCaps w:val="false"/>
          <w:sz w:val="20"/>
        </w:rPr>
        <w:t>-K.</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 xml:space="preserve">Recent Accounting Pronouncements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Recently issued accounting pronouncements did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or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believed by management to, have a material effect on our present or future consolidated financial statements.</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2.</w:t>
      </w:r>
      <w:r>
        <w:rPr>
          <w:rFonts w:ascii="Arial;Helvetica;sans-serif" w:hAnsi="Arial;Helvetica;sans-serif"/>
          <w:b/>
          <w:caps w:val="false"/>
          <w:smallCaps w:val="false"/>
          <w:sz w:val="20"/>
        </w:rPr>
        <w:t xml:space="preserv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table below presents sales disaggregated by sales channel, as well as licensing revenue earned from our various franchised arrangements. Sales are attributable to the channel in which the sales transaction is initiated.</w:t>
      </w:r>
    </w:p>
    <w:p>
      <w:pPr>
        <w:pStyle w:val="TextBody"/>
        <w:bidi w:val="0"/>
        <w:spacing w:before="0" w:after="0"/>
        <w:ind w:left="0" w:right="0" w:hanging="0"/>
        <w:jc w:val="left"/>
        <w:rPr>
          <w:caps w:val="false"/>
          <w:smallCaps w:val="false"/>
        </w:rPr>
      </w:pPr>
      <w:r>
        <w:rPr>
          <w:caps w:val="false"/>
          <w:smallCaps w:val="false"/>
        </w:rPr>
        <w:t> </w:t>
      </w:r>
    </w:p>
    <w:tbl>
      <w:tblPr>
        <w:tblW w:w="3650" w:type="dxa"/>
        <w:jc w:val="left"/>
        <w:tblInd w:w="0" w:type="dxa"/>
        <w:tblLayout w:type="fixed"/>
        <w:tblCellMar>
          <w:top w:w="0" w:type="dxa"/>
          <w:left w:w="0" w:type="dxa"/>
          <w:bottom w:w="28" w:type="dxa"/>
          <w:right w:w="0" w:type="dxa"/>
        </w:tblCellMar>
      </w:tblPr>
      <w:tblGrid>
        <w:gridCol w:w="1625"/>
        <w:gridCol w:w="60"/>
        <w:gridCol w:w="176"/>
        <w:gridCol w:w="685"/>
        <w:gridCol w:w="84"/>
        <w:gridCol w:w="84"/>
        <w:gridCol w:w="176"/>
        <w:gridCol w:w="685"/>
        <w:gridCol w:w="75"/>
      </w:tblGrid>
      <w:tr>
        <w:trPr/>
        <w:tc>
          <w:tcPr>
            <w:tcW w:w="162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0"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Thirteen weeks ended</w:t>
            </w:r>
          </w:p>
        </w:tc>
        <w:tc>
          <w:tcPr>
            <w:tcW w:w="7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2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61"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April 29,</w:t>
            </w:r>
          </w:p>
        </w:tc>
        <w:tc>
          <w:tcPr>
            <w:tcW w:w="84"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ind w:left="0" w:right="0" w:hanging="0"/>
              <w:jc w:val="left"/>
              <w:rPr/>
            </w:pPr>
            <w:r>
              <w:rPr/>
              <w:t> </w:t>
            </w:r>
          </w:p>
        </w:tc>
        <w:tc>
          <w:tcPr>
            <w:tcW w:w="861"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April 30,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2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61"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84" w:type="dxa"/>
            <w:tcBorders>
              <w:bottom w:val="single" w:sz="2" w:space="0" w:color="000000"/>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61"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7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2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Sales by Channel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685"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685"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2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Stores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1,613</w:t>
            </w:r>
          </w:p>
        </w:tc>
        <w:tc>
          <w:tcPr>
            <w:tcW w:w="84"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ind w:left="0" w:right="0" w:hanging="0"/>
              <w:jc w:val="left"/>
              <w:rPr/>
            </w:pPr>
            <w:r>
              <w:rPr/>
              <w:t> </w:t>
            </w:r>
          </w:p>
        </w:tc>
        <w:tc>
          <w:tcPr>
            <w:tcW w:w="176"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1,776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2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Direct-to-customers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314</w:t>
            </w:r>
          </w:p>
        </w:tc>
        <w:tc>
          <w:tcPr>
            <w:tcW w:w="84" w:type="dxa"/>
            <w:tcBorders>
              <w:bottom w:val="single" w:sz="2" w:space="0" w:color="000000"/>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399</w:t>
            </w:r>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62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sales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1,927</w:t>
            </w:r>
          </w:p>
        </w:tc>
        <w:tc>
          <w:tcPr>
            <w:tcW w:w="84" w:type="dxa"/>
            <w:tcBorders>
              <w:bottom w:val="single" w:sz="2" w:space="0" w:color="000000"/>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2,175</w:t>
            </w:r>
          </w:p>
        </w:tc>
        <w:tc>
          <w:tcPr>
            <w:tcW w:w="7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r>
      <w:tr>
        <w:trPr/>
        <w:tc>
          <w:tcPr>
            <w:tcW w:w="162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Licensing revenue</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7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4</w:t>
            </w:r>
          </w:p>
        </w:tc>
        <w:tc>
          <w:tcPr>
            <w:tcW w:w="84"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4"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7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w:t>
            </w:r>
          </w:p>
        </w:tc>
        <w:tc>
          <w:tcPr>
            <w:tcW w:w="7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r>
      <w:tr>
        <w:trPr/>
        <w:tc>
          <w:tcPr>
            <w:tcW w:w="1625"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revenue</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76"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85" w:type="dxa"/>
            <w:tcBorders>
              <w:bottom w:val="double" w:sz="6" w:space="0" w:color="000000"/>
            </w:tcBorders>
            <w:shd w:fill="FFFF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1,931</w:t>
            </w:r>
          </w:p>
        </w:tc>
        <w:tc>
          <w:tcPr>
            <w:tcW w:w="84"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84"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76"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85" w:type="dxa"/>
            <w:tcBorders>
              <w:bottom w:val="double" w:sz="6" w:space="0" w:color="000000"/>
            </w:tcBorders>
            <w:shd w:fill="FFFF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2,178</w:t>
            </w:r>
          </w:p>
        </w:tc>
        <w:tc>
          <w:tcPr>
            <w:tcW w:w="75" w:type="dxa"/>
            <w:tcBorders>
              <w:bottom w:val="double" w:sz="6" w:space="0" w:color="000000"/>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pPr>
      <w:r>
        <w:rPr>
          <w:rFonts w:ascii="Arial;Helvetica;sans-serif" w:hAnsi="Arial;Helvetica;sans-serif"/>
          <w:sz w:val="20"/>
        </w:rPr>
        <w:t xml:space="preserve">First Quarter </w:t>
      </w: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-Q Page </w:t>
      </w:r>
      <w:r>
        <w:rPr>
          <w:rStyle w:val="Emphasis"/>
          <w:rFonts w:ascii="Arial;Helvetica;sans-serif" w:hAnsi="Arial;Helvetica;sans-serif"/>
          <w:sz w:val="20"/>
        </w:rPr>
        <w:t>6</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jc w:val="center"/>
        <w:rPr/>
      </w:pPr>
      <w:r>
        <w:rPr/>
        <w:drawing>
          <wp:inline distT="0" distB="0" distL="0" distR="0">
            <wp:extent cx="2695575" cy="3143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695575" cy="314325"/>
                    </a:xfrm>
                    <a:prstGeom prst="rect">
                      <a:avLst/>
                    </a:prstGeom>
                  </pic:spPr>
                </pic:pic>
              </a:graphicData>
            </a:graphic>
          </wp:inline>
        </w:drawing>
      </w:r>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THE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rStyle w:val="Emphasis"/>
          <w:rFonts w:ascii="Arial;Helvetica;sans-serif" w:hAnsi="Arial;Helvetica;sans-serif"/>
          <w:b/>
          <w:caps w:val="false"/>
          <w:smallCaps w:val="false"/>
          <w:sz w:val="20"/>
        </w:rPr>
        <w:t>2.</w:t>
      </w:r>
      <w:r>
        <w:rPr>
          <w:rFonts w:ascii="Arial;Helvetica;sans-serif" w:hAnsi="Arial;Helvetica;sans-serif"/>
          <w:b/>
          <w:caps w:val="false"/>
          <w:smallCaps w:val="false"/>
          <w:sz w:val="20"/>
        </w:rPr>
        <w:t xml:space="preserve"> Revenue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Revenue is attributed to the country in which the transaction is fulfilled, and revenue by geographic area is presented in the following table.</w:t>
      </w:r>
    </w:p>
    <w:p>
      <w:pPr>
        <w:pStyle w:val="TextBody"/>
        <w:bidi w:val="0"/>
        <w:spacing w:before="0" w:after="0"/>
        <w:ind w:left="0" w:right="0" w:hanging="0"/>
        <w:jc w:val="left"/>
        <w:rPr/>
      </w:pPr>
      <w:r>
        <w:rPr/>
        <w:t> </w:t>
      </w:r>
    </w:p>
    <w:tbl>
      <w:tblPr>
        <w:tblW w:w="4040" w:type="dxa"/>
        <w:jc w:val="left"/>
        <w:tblInd w:w="0" w:type="dxa"/>
        <w:tblLayout w:type="fixed"/>
        <w:tblCellMar>
          <w:top w:w="0" w:type="dxa"/>
          <w:left w:w="0" w:type="dxa"/>
          <w:bottom w:w="28" w:type="dxa"/>
          <w:right w:w="0" w:type="dxa"/>
        </w:tblCellMar>
      </w:tblPr>
      <w:tblGrid>
        <w:gridCol w:w="2030"/>
        <w:gridCol w:w="60"/>
        <w:gridCol w:w="176"/>
        <w:gridCol w:w="685"/>
        <w:gridCol w:w="84"/>
        <w:gridCol w:w="84"/>
        <w:gridCol w:w="176"/>
        <w:gridCol w:w="685"/>
        <w:gridCol w:w="60"/>
      </w:tblGrid>
      <w:tr>
        <w:trPr/>
        <w:tc>
          <w:tcPr>
            <w:tcW w:w="203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0"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Thirteen weeks ended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03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61"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April 29,</w:t>
            </w:r>
          </w:p>
        </w:tc>
        <w:tc>
          <w:tcPr>
            <w:tcW w:w="84"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ind w:left="0" w:right="0" w:hanging="0"/>
              <w:jc w:val="left"/>
              <w:rPr/>
            </w:pPr>
            <w:r>
              <w:rPr/>
              <w:t> </w:t>
            </w:r>
          </w:p>
        </w:tc>
        <w:tc>
          <w:tcPr>
            <w:tcW w:w="861"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April 30,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03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61"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84" w:type="dxa"/>
            <w:tcBorders>
              <w:bottom w:val="single" w:sz="2" w:space="0" w:color="000000"/>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61"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03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Revenue by Geography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685"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6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03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United States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6"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1,287</w:t>
            </w:r>
          </w:p>
        </w:tc>
        <w:tc>
          <w:tcPr>
            <w:tcW w:w="84"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ind w:left="0" w:right="0" w:hanging="0"/>
              <w:jc w:val="left"/>
              <w:rPr/>
            </w:pPr>
            <w:r>
              <w:rPr/>
              <w:t> </w:t>
            </w:r>
          </w:p>
        </w:tc>
        <w:tc>
          <w:tcPr>
            <w:tcW w:w="176"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1,544</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03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International</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644</w:t>
            </w:r>
          </w:p>
        </w:tc>
        <w:tc>
          <w:tcPr>
            <w:tcW w:w="84" w:type="dxa"/>
            <w:tcBorders>
              <w:bottom w:val="single" w:sz="2" w:space="0" w:color="000000"/>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634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030"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revenue</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1,931</w:t>
            </w:r>
          </w:p>
        </w:tc>
        <w:tc>
          <w:tcPr>
            <w:tcW w:w="84" w:type="dxa"/>
            <w:tcBorders>
              <w:bottom w:val="double" w:sz="6" w:space="0" w:color="000000"/>
            </w:tcBorders>
            <w:shd w:fill="FFFFFF" w:val="clear"/>
            <w:vAlign w:val="center"/>
          </w:tcPr>
          <w:p>
            <w:pPr>
              <w:pStyle w:val="TableContents"/>
              <w:bidi w:val="0"/>
              <w:spacing w:before="0" w:after="283"/>
              <w:jc w:val="left"/>
              <w:rPr/>
            </w:pPr>
            <w:r>
              <w:rPr/>
              <w:t> </w:t>
            </w:r>
          </w:p>
        </w:tc>
        <w:tc>
          <w:tcPr>
            <w:tcW w:w="84"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2,178</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Sales by banner and operating segment are presented in the following table.</w:t>
      </w:r>
    </w:p>
    <w:p>
      <w:pPr>
        <w:pStyle w:val="TextBody"/>
        <w:bidi w:val="0"/>
        <w:spacing w:before="0" w:after="0"/>
        <w:ind w:left="0" w:right="0" w:hanging="0"/>
        <w:jc w:val="left"/>
        <w:rPr>
          <w:caps w:val="false"/>
          <w:smallCaps w:val="false"/>
        </w:rPr>
      </w:pPr>
      <w:r>
        <w:rPr>
          <w:caps w:val="false"/>
          <w:smallCaps w:val="false"/>
        </w:rPr>
        <w:t> </w:t>
      </w:r>
    </w:p>
    <w:tbl>
      <w:tblPr>
        <w:tblW w:w="3395" w:type="dxa"/>
        <w:jc w:val="left"/>
        <w:tblInd w:w="0" w:type="dxa"/>
        <w:tblLayout w:type="fixed"/>
        <w:tblCellMar>
          <w:top w:w="0" w:type="dxa"/>
          <w:left w:w="0" w:type="dxa"/>
          <w:bottom w:w="28" w:type="dxa"/>
          <w:right w:w="0" w:type="dxa"/>
        </w:tblCellMar>
      </w:tblPr>
      <w:tblGrid>
        <w:gridCol w:w="1385"/>
        <w:gridCol w:w="60"/>
        <w:gridCol w:w="176"/>
        <w:gridCol w:w="685"/>
        <w:gridCol w:w="84"/>
        <w:gridCol w:w="84"/>
        <w:gridCol w:w="176"/>
        <w:gridCol w:w="685"/>
        <w:gridCol w:w="60"/>
      </w:tblGrid>
      <w:tr>
        <w:trPr/>
        <w:tc>
          <w:tcPr>
            <w:tcW w:w="138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0"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Thirteen weeks ended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38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61"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April 29,</w:t>
            </w:r>
          </w:p>
        </w:tc>
        <w:tc>
          <w:tcPr>
            <w:tcW w:w="84"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ind w:left="0" w:right="0" w:hanging="0"/>
              <w:jc w:val="left"/>
              <w:rPr/>
            </w:pPr>
            <w:r>
              <w:rPr/>
              <w:t> </w:t>
            </w:r>
          </w:p>
        </w:tc>
        <w:tc>
          <w:tcPr>
            <w:tcW w:w="861"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April 30,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61"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84" w:type="dxa"/>
            <w:tcBorders>
              <w:bottom w:val="single" w:sz="2" w:space="0" w:color="000000"/>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61"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38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Foot Locker</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6"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744</w:t>
            </w:r>
          </w:p>
        </w:tc>
        <w:tc>
          <w:tcPr>
            <w:tcW w:w="84"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ind w:left="0" w:right="0" w:hanging="0"/>
              <w:jc w:val="left"/>
              <w:rPr/>
            </w:pPr>
            <w:r>
              <w:rPr/>
              <w:t> </w:t>
            </w:r>
          </w:p>
        </w:tc>
        <w:tc>
          <w:tcPr>
            <w:tcW w:w="176"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807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38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Champs Sports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ind w:left="0" w:right="0" w:hanging="0"/>
              <w:jc w:val="left"/>
              <w:rPr/>
            </w:pPr>
            <w:r>
              <w:rPr/>
              <w:t> </w:t>
            </w:r>
          </w:p>
        </w:tc>
        <w:tc>
          <w:tcPr>
            <w:tcW w:w="6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328</w:t>
            </w:r>
          </w:p>
        </w:tc>
        <w:tc>
          <w:tcPr>
            <w:tcW w:w="84"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ind w:left="0" w:right="0" w:hanging="0"/>
              <w:jc w:val="left"/>
              <w:rPr/>
            </w:pPr>
            <w:r>
              <w:rPr/>
              <w:t> </w:t>
            </w:r>
          </w:p>
        </w:tc>
        <w:tc>
          <w:tcPr>
            <w:tcW w:w="6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454</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Kids Foot Locker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ind w:left="0" w:right="0" w:hanging="0"/>
              <w:jc w:val="left"/>
              <w:rPr/>
            </w:pPr>
            <w:r>
              <w:rPr/>
              <w:t> </w:t>
            </w:r>
          </w:p>
        </w:tc>
        <w:tc>
          <w:tcPr>
            <w:tcW w:w="6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167</w:t>
            </w:r>
          </w:p>
        </w:tc>
        <w:tc>
          <w:tcPr>
            <w:tcW w:w="84"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ind w:left="0" w:right="0" w:hanging="0"/>
              <w:jc w:val="left"/>
              <w:rPr/>
            </w:pPr>
            <w:r>
              <w:rPr/>
              <w:t> </w:t>
            </w:r>
          </w:p>
        </w:tc>
        <w:tc>
          <w:tcPr>
            <w:tcW w:w="6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38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WSS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ind w:left="0" w:right="0" w:hanging="0"/>
              <w:jc w:val="left"/>
              <w:rPr/>
            </w:pPr>
            <w:r>
              <w:rPr/>
              <w:t> </w:t>
            </w:r>
          </w:p>
        </w:tc>
        <w:tc>
          <w:tcPr>
            <w:tcW w:w="6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150</w:t>
            </w:r>
          </w:p>
        </w:tc>
        <w:tc>
          <w:tcPr>
            <w:tcW w:w="84"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ind w:left="0" w:right="0" w:hanging="0"/>
              <w:jc w:val="left"/>
              <w:rPr/>
            </w:pPr>
            <w:r>
              <w:rPr/>
              <w:t> </w:t>
            </w:r>
          </w:p>
        </w:tc>
        <w:tc>
          <w:tcPr>
            <w:tcW w:w="6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138</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bottom w:val="single" w:sz="2" w:space="0" w:color="000000"/>
            </w:tcBorders>
            <w:shd w:fill="CCEE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84" w:type="dxa"/>
            <w:tcBorders>
              <w:bottom w:val="single" w:sz="2" w:space="0" w:color="000000"/>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38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North America</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1,389</w:t>
            </w:r>
          </w:p>
        </w:tc>
        <w:tc>
          <w:tcPr>
            <w:tcW w:w="84" w:type="dxa"/>
            <w:tcBorders>
              <w:bottom w:val="single" w:sz="2" w:space="0" w:color="000000"/>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1,632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38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Foot Locker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ind w:left="0" w:right="0" w:hanging="0"/>
              <w:jc w:val="left"/>
              <w:rPr/>
            </w:pPr>
            <w:r>
              <w:rPr/>
              <w:t> </w:t>
            </w:r>
          </w:p>
        </w:tc>
        <w:tc>
          <w:tcPr>
            <w:tcW w:w="6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379</w:t>
            </w:r>
          </w:p>
        </w:tc>
        <w:tc>
          <w:tcPr>
            <w:tcW w:w="84"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ind w:left="0" w:right="0" w:hanging="0"/>
              <w:jc w:val="left"/>
              <w:rPr/>
            </w:pPr>
            <w:r>
              <w:rPr/>
              <w:t> </w:t>
            </w:r>
          </w:p>
        </w:tc>
        <w:tc>
          <w:tcPr>
            <w:tcW w:w="6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377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38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Sidestep</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14</w:t>
            </w:r>
          </w:p>
        </w:tc>
        <w:tc>
          <w:tcPr>
            <w:tcW w:w="84" w:type="dxa"/>
            <w:tcBorders>
              <w:bottom w:val="single" w:sz="2" w:space="0" w:color="000000"/>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38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EMEA</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393</w:t>
            </w:r>
          </w:p>
        </w:tc>
        <w:tc>
          <w:tcPr>
            <w:tcW w:w="84" w:type="dxa"/>
            <w:tcBorders>
              <w:bottom w:val="single" w:sz="2" w:space="0" w:color="000000"/>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401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38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Foot Locker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ind w:left="0" w:right="0" w:hanging="0"/>
              <w:jc w:val="left"/>
              <w:rPr/>
            </w:pPr>
            <w:r>
              <w:rPr/>
              <w:t> </w:t>
            </w:r>
          </w:p>
        </w:tc>
        <w:tc>
          <w:tcPr>
            <w:tcW w:w="6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98</w:t>
            </w:r>
          </w:p>
        </w:tc>
        <w:tc>
          <w:tcPr>
            <w:tcW w:w="84"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ind w:left="0" w:right="0" w:hanging="0"/>
              <w:jc w:val="left"/>
              <w:rPr/>
            </w:pPr>
            <w:r>
              <w:rPr/>
              <w:t> </w:t>
            </w:r>
          </w:p>
        </w:tc>
        <w:tc>
          <w:tcPr>
            <w:tcW w:w="6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atmos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47</w:t>
            </w:r>
          </w:p>
        </w:tc>
        <w:tc>
          <w:tcPr>
            <w:tcW w:w="84" w:type="dxa"/>
            <w:tcBorders>
              <w:bottom w:val="single" w:sz="2" w:space="0" w:color="000000"/>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38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Asia Pacific</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145</w:t>
            </w:r>
          </w:p>
        </w:tc>
        <w:tc>
          <w:tcPr>
            <w:tcW w:w="84" w:type="dxa"/>
            <w:tcBorders>
              <w:bottom w:val="single" w:sz="2" w:space="0" w:color="000000"/>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385"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sales</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1,927</w:t>
            </w:r>
          </w:p>
        </w:tc>
        <w:tc>
          <w:tcPr>
            <w:tcW w:w="84" w:type="dxa"/>
            <w:tcBorders>
              <w:bottom w:val="double" w:sz="6" w:space="0" w:color="000000"/>
            </w:tcBorders>
            <w:shd w:fill="CCEEFF" w:val="clear"/>
            <w:vAlign w:val="center"/>
          </w:tcPr>
          <w:p>
            <w:pPr>
              <w:pStyle w:val="TableContents"/>
              <w:bidi w:val="0"/>
              <w:spacing w:before="0" w:after="283"/>
              <w:jc w:val="left"/>
              <w:rPr/>
            </w:pPr>
            <w:r>
              <w:rPr/>
              <w:t> </w:t>
            </w:r>
          </w:p>
        </w:tc>
        <w:tc>
          <w:tcPr>
            <w:tcW w:w="84"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2,175</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230"/>
        <w:gridCol w:w="8720"/>
      </w:tblGrid>
      <w:tr>
        <w:trPr/>
        <w:tc>
          <w:tcPr>
            <w:tcW w:w="230" w:type="dxa"/>
            <w:tcBorders/>
            <w:vAlign w:val="center"/>
          </w:tcPr>
          <w:p>
            <w:pPr>
              <w:pStyle w:val="TableContents"/>
              <w:bidi w:val="0"/>
              <w:spacing w:lineRule="auto" w:line="288" w:before="0" w:after="0"/>
              <w:ind w:left="0" w:right="0" w:hanging="0"/>
              <w:jc w:val="both"/>
              <w:rPr/>
            </w:pPr>
            <w:r>
              <w:rPr>
                <w:rFonts w:ascii="Arial;Helvetica;sans-serif" w:hAnsi="Arial;Helvetica;sans-serif"/>
                <w:caps w:val="false"/>
                <w:smallCaps w:val="false"/>
                <w:sz w:val="16"/>
              </w:rPr>
              <w:t>(</w:t>
            </w:r>
            <w:r>
              <w:rPr>
                <w:rStyle w:val="Emphasis"/>
                <w:rFonts w:ascii="Arial;Helvetica;sans-serif" w:hAnsi="Arial;Helvetica;sans-serif"/>
                <w:caps w:val="false"/>
                <w:smallCaps w:val="false"/>
                <w:sz w:val="16"/>
              </w:rPr>
              <w:t>1</w:t>
            </w:r>
            <w:r>
              <w:rPr>
                <w:rFonts w:ascii="Arial;Helvetica;sans-serif" w:hAnsi="Arial;Helvetica;sans-serif"/>
                <w:caps w:val="false"/>
                <w:smallCaps w:val="false"/>
                <w:sz w:val="16"/>
              </w:rPr>
              <w:t>)</w:t>
            </w:r>
          </w:p>
        </w:tc>
        <w:tc>
          <w:tcPr>
            <w:tcW w:w="8720" w:type="dxa"/>
            <w:tcBorders/>
            <w:vAlign w:val="center"/>
          </w:tcPr>
          <w:p>
            <w:pPr>
              <w:pStyle w:val="TableContents"/>
              <w:bidi w:val="0"/>
              <w:spacing w:before="0" w:after="0"/>
              <w:ind w:left="0" w:right="0" w:hanging="0"/>
              <w:jc w:val="both"/>
              <w:rPr/>
            </w:pPr>
            <w:r>
              <w:rPr>
                <w:rFonts w:ascii="Arial;Helvetica;sans-serif" w:hAnsi="Arial;Helvetica;sans-serif"/>
                <w:caps w:val="false"/>
                <w:smallCaps w:val="false"/>
                <w:sz w:val="16"/>
              </w:rPr>
              <w:t xml:space="preserve">Other includes sales from banners that we </w:t>
            </w:r>
            <w:r>
              <w:rPr>
                <w:rStyle w:val="Emphasis"/>
                <w:rFonts w:ascii="Arial;Helvetica;sans-serif" w:hAnsi="Arial;Helvetica;sans-serif"/>
                <w:caps w:val="false"/>
                <w:smallCaps w:val="false"/>
                <w:sz w:val="16"/>
              </w:rPr>
              <w:t>no</w:t>
            </w:r>
            <w:r>
              <w:rPr>
                <w:rFonts w:ascii="Arial;Helvetica;sans-serif" w:hAnsi="Arial;Helvetica;sans-serif"/>
                <w:caps w:val="false"/>
                <w:smallCaps w:val="false"/>
                <w:sz w:val="16"/>
              </w:rPr>
              <w:t xml:space="preserve"> longer operate and primarily represented Eastbay in the prior-year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Contract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sell gift cards, which do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have expiration dates. Revenue from gift card sales is recorded when the gift cards are redeemed by customers. Breakage income is recognized as revenue in proportion to the pattern of rights exercised by the customer. The table below presents the activity of our gift card liability balance.</w:t>
      </w:r>
    </w:p>
    <w:p>
      <w:pPr>
        <w:pStyle w:val="TextBody"/>
        <w:bidi w:val="0"/>
        <w:spacing w:before="0" w:after="0"/>
        <w:ind w:left="0" w:right="0" w:hanging="0"/>
        <w:jc w:val="left"/>
        <w:rPr>
          <w:caps w:val="false"/>
          <w:smallCaps w:val="false"/>
        </w:rPr>
      </w:pPr>
      <w:r>
        <w:rPr>
          <w:caps w:val="false"/>
          <w:smallCaps w:val="false"/>
        </w:rPr>
        <w:t> </w:t>
      </w:r>
    </w:p>
    <w:tbl>
      <w:tblPr>
        <w:tblW w:w="4703" w:type="dxa"/>
        <w:jc w:val="left"/>
        <w:tblInd w:w="0" w:type="dxa"/>
        <w:tblLayout w:type="fixed"/>
        <w:tblCellMar>
          <w:top w:w="0" w:type="dxa"/>
          <w:left w:w="0" w:type="dxa"/>
          <w:bottom w:w="0" w:type="dxa"/>
          <w:right w:w="0" w:type="dxa"/>
        </w:tblCellMar>
      </w:tblPr>
      <w:tblGrid>
        <w:gridCol w:w="2975"/>
        <w:gridCol w:w="60"/>
        <w:gridCol w:w="218"/>
        <w:gridCol w:w="506"/>
        <w:gridCol w:w="80"/>
        <w:gridCol w:w="60"/>
        <w:gridCol w:w="218"/>
        <w:gridCol w:w="506"/>
        <w:gridCol w:w="80"/>
      </w:tblGrid>
      <w:tr>
        <w:trPr/>
        <w:tc>
          <w:tcPr>
            <w:tcW w:w="297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April 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April 30,</w:t>
            </w:r>
          </w:p>
        </w:tc>
        <w:tc>
          <w:tcPr>
            <w:tcW w:w="80" w:type="dxa"/>
            <w:tcBorders/>
            <w:shd w:fill="FFFFFF" w:val="clear"/>
            <w:vAlign w:val="center"/>
          </w:tcPr>
          <w:p>
            <w:pPr>
              <w:pStyle w:val="TableContents"/>
              <w:bidi w:val="0"/>
              <w:spacing w:before="0" w:after="283"/>
              <w:jc w:val="left"/>
              <w:rPr/>
            </w:pPr>
            <w:r>
              <w:rPr/>
              <w:t> </w:t>
            </w:r>
          </w:p>
        </w:tc>
      </w:tr>
      <w:tr>
        <w:trPr/>
        <w:tc>
          <w:tcPr>
            <w:tcW w:w="29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Gift card liability at beginning of year</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06" w:type="dxa"/>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06"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46</w:t>
            </w:r>
          </w:p>
        </w:tc>
        <w:tc>
          <w:tcPr>
            <w:tcW w:w="8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Redemptions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(61</w:t>
            </w:r>
          </w:p>
        </w:tc>
        <w:tc>
          <w:tcPr>
            <w:tcW w:w="80" w:type="dxa"/>
            <w:tcBorders/>
            <w:shd w:fill="FFFF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(65</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975"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Breakage recognized in sales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w:t>
            </w:r>
          </w:p>
        </w:tc>
        <w:tc>
          <w:tcPr>
            <w:tcW w:w="80" w:type="dxa"/>
            <w:tcBorders/>
            <w:shd w:fill="CCEE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975" w:type="dxa"/>
            <w:tcBorders>
              <w:bottom w:val="single" w:sz="2" w:space="0" w:color="000000"/>
            </w:tcBorders>
            <w:shd w:fill="FFFFFF" w:val="clear"/>
            <w:tcMar>
              <w:bottom w:w="28" w:type="dxa"/>
            </w:tcM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Activations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Gift card liability</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elected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to disclose the information about remaining performance obligations since the amount of gift cards redeemed after </w:t>
      </w:r>
      <w:r>
        <w:rPr>
          <w:rStyle w:val="Emphasis"/>
          <w:rFonts w:ascii="Arial;Helvetica;sans-serif" w:hAnsi="Arial;Helvetica;sans-serif"/>
          <w:caps w:val="false"/>
          <w:smallCaps w:val="false"/>
          <w:sz w:val="20"/>
        </w:rPr>
        <w:t>12</w:t>
      </w:r>
      <w:r>
        <w:rPr>
          <w:rFonts w:ascii="Arial;Helvetica;sans-serif" w:hAnsi="Arial;Helvetica;sans-serif"/>
          <w:caps w:val="false"/>
          <w:smallCaps w:val="false"/>
          <w:sz w:val="20"/>
        </w:rPr>
        <w:t xml:space="preserve"> months is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pPr>
      <w:r>
        <w:rPr>
          <w:rFonts w:ascii="Arial;Helvetica;sans-serif" w:hAnsi="Arial;Helvetica;sans-serif"/>
          <w:sz w:val="20"/>
        </w:rPr>
        <w:t xml:space="preserve">First Quarter </w:t>
      </w: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-Q Page </w:t>
      </w:r>
      <w:r>
        <w:rPr>
          <w:rStyle w:val="Emphasis"/>
          <w:rFonts w:ascii="Arial;Helvetica;sans-serif" w:hAnsi="Arial;Helvetica;sans-serif"/>
          <w:sz w:val="20"/>
        </w:rPr>
        <w:t>7</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jc w:val="center"/>
        <w:rPr/>
      </w:pPr>
      <w:r>
        <w:rPr/>
        <w:drawing>
          <wp:inline distT="0" distB="0" distL="0" distR="0">
            <wp:extent cx="2695575" cy="3143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695575" cy="314325"/>
                    </a:xfrm>
                    <a:prstGeom prst="rect">
                      <a:avLst/>
                    </a:prstGeom>
                  </pic:spPr>
                </pic:pic>
              </a:graphicData>
            </a:graphic>
          </wp:inline>
        </w:drawing>
      </w:r>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THE UNAUDITED CONDENSED CONSOLIDATED FINANCIAL STATEMENTS</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arial" w:hAnsi="arial"/>
          <w:b/>
          <w:caps w:val="false"/>
          <w:smallCaps w:val="false"/>
          <w:sz w:val="20"/>
        </w:rPr>
        <w:t>3.</w:t>
      </w:r>
      <w:r>
        <w:rPr>
          <w:rFonts w:ascii="arial" w:hAnsi="arial"/>
          <w:b/>
          <w:caps w:val="false"/>
          <w:smallCaps w:val="false"/>
          <w:sz w:val="20"/>
        </w:rPr>
        <w:t xml:space="preserve">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 w:hAnsi="arial"/>
          <w:caps w:val="false"/>
          <w:smallCaps w:val="false"/>
          <w:sz w:val="20"/>
        </w:rPr>
        <w:t xml:space="preserve">Foot Locker operates </w:t>
      </w:r>
      <w:r>
        <w:rPr>
          <w:rStyle w:val="Emphasis"/>
          <w:rFonts w:ascii="arial" w:hAnsi="arial"/>
          <w:caps w:val="false"/>
          <w:smallCaps w:val="false"/>
          <w:sz w:val="20"/>
        </w:rPr>
        <w:t>one</w:t>
      </w:r>
      <w:r>
        <w:rPr>
          <w:rFonts w:ascii="arial" w:hAnsi="arial"/>
          <w:caps w:val="false"/>
          <w:smallCaps w:val="false"/>
          <w:sz w:val="20"/>
        </w:rPr>
        <w:t xml:space="preserve"> reportable segment. Division profit reflects income before income taxes, impairment and other, corporate expense, other income / (expense), net, and net interest expense.</w:t>
      </w:r>
    </w:p>
    <w:p>
      <w:pPr>
        <w:pStyle w:val="TextBody"/>
        <w:bidi w:val="0"/>
        <w:spacing w:before="0" w:after="0"/>
        <w:ind w:left="0" w:right="0" w:hanging="0"/>
        <w:jc w:val="left"/>
        <w:rPr>
          <w:caps w:val="false"/>
          <w:smallCaps w:val="false"/>
        </w:rPr>
      </w:pPr>
      <w:r>
        <w:rPr>
          <w:caps w:val="false"/>
          <w:smallCaps w:val="false"/>
        </w:rPr>
        <w:t> ​</w:t>
      </w:r>
    </w:p>
    <w:tbl>
      <w:tblPr>
        <w:tblW w:w="4722" w:type="dxa"/>
        <w:jc w:val="left"/>
        <w:tblInd w:w="0" w:type="dxa"/>
        <w:tblLayout w:type="fixed"/>
        <w:tblCellMar>
          <w:top w:w="0" w:type="dxa"/>
          <w:left w:w="0" w:type="dxa"/>
          <w:bottom w:w="28" w:type="dxa"/>
          <w:right w:w="0" w:type="dxa"/>
        </w:tblCellMar>
      </w:tblPr>
      <w:tblGrid>
        <w:gridCol w:w="2690"/>
        <w:gridCol w:w="60"/>
        <w:gridCol w:w="223"/>
        <w:gridCol w:w="598"/>
        <w:gridCol w:w="143"/>
        <w:gridCol w:w="107"/>
        <w:gridCol w:w="223"/>
        <w:gridCol w:w="598"/>
        <w:gridCol w:w="80"/>
      </w:tblGrid>
      <w:tr>
        <w:trPr/>
        <w:tc>
          <w:tcPr>
            <w:tcW w:w="269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2"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Thirteen weeks ended</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69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21"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April 29,</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ind w:left="0" w:right="0" w:hanging="0"/>
              <w:jc w:val="left"/>
              <w:rPr/>
            </w:pPr>
            <w:r>
              <w:rPr/>
              <w:t> </w:t>
            </w:r>
          </w:p>
        </w:tc>
        <w:tc>
          <w:tcPr>
            <w:tcW w:w="821"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April 30,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69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21"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143" w:type="dxa"/>
            <w:tcBorders>
              <w:bottom w:val="single" w:sz="2" w:space="0" w:color="000000"/>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21"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6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Division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9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104</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9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263</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690" w:type="dxa"/>
            <w:tcBorders/>
            <w:shd w:fill="FFFF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Less: Impairment and other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ind w:left="0" w:right="0" w:hanging="0"/>
              <w:jc w:val="left"/>
              <w:rPr/>
            </w:pPr>
            <w:r>
              <w:rPr/>
              <w:t> </w:t>
            </w:r>
          </w:p>
        </w:tc>
        <w:tc>
          <w:tcPr>
            <w:tcW w:w="59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39</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ind w:left="0" w:right="0" w:hanging="0"/>
              <w:jc w:val="left"/>
              <w:rPr/>
            </w:pPr>
            <w:r>
              <w:rPr/>
              <w:t> </w:t>
            </w:r>
          </w:p>
        </w:tc>
        <w:tc>
          <w:tcPr>
            <w:tcW w:w="59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690" w:type="dxa"/>
            <w:tcBorders>
              <w:bottom w:val="single" w:sz="2" w:space="0" w:color="000000"/>
            </w:tcBorders>
            <w:shd w:fill="CCEE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Less: Corporate expense (2)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2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w:t>
            </w:r>
          </w:p>
        </w:tc>
        <w:tc>
          <w:tcPr>
            <w:tcW w:w="143" w:type="dxa"/>
            <w:tcBorders>
              <w:bottom w:val="single" w:sz="2" w:space="0" w:color="000000"/>
            </w:tcBorders>
            <w:shd w:fill="CCEEFF" w:val="clear"/>
            <w:vAlign w:val="center"/>
          </w:tcPr>
          <w:p>
            <w:pPr>
              <w:pStyle w:val="TableContents"/>
              <w:bidi w:val="0"/>
              <w:spacing w:before="0" w:after="283"/>
              <w:jc w:val="left"/>
              <w:rPr/>
            </w:pPr>
            <w:r>
              <w:rPr/>
              <w:t> </w:t>
            </w:r>
          </w:p>
        </w:tc>
        <w:tc>
          <w:tcPr>
            <w:tcW w:w="107" w:type="dxa"/>
            <w:tcBorders>
              <w:bottom w:val="single" w:sz="2" w:space="0" w:color="000000"/>
            </w:tcBorders>
            <w:shd w:fill="CCEEFF" w:val="clear"/>
            <w:vAlign w:val="center"/>
          </w:tcPr>
          <w:p>
            <w:pPr>
              <w:pStyle w:val="TableContents"/>
              <w:bidi w:val="0"/>
              <w:spacing w:before="0" w:after="283"/>
              <w:jc w:val="left"/>
              <w:rPr/>
            </w:pPr>
            <w:r>
              <w:rPr/>
              <w:t> </w:t>
            </w:r>
          </w:p>
        </w:tc>
        <w:tc>
          <w:tcPr>
            <w:tcW w:w="22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37</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6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Income from operations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ind w:left="0" w:right="0" w:hanging="0"/>
              <w:jc w:val="left"/>
              <w:rPr/>
            </w:pPr>
            <w:r>
              <w:rPr/>
              <w:t> </w:t>
            </w:r>
          </w:p>
        </w:tc>
        <w:tc>
          <w:tcPr>
            <w:tcW w:w="59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61</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ind w:left="0" w:right="0" w:hanging="0"/>
              <w:jc w:val="left"/>
              <w:rPr/>
            </w:pPr>
            <w:r>
              <w:rPr/>
              <w:t> </w:t>
            </w:r>
          </w:p>
        </w:tc>
        <w:tc>
          <w:tcPr>
            <w:tcW w:w="59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220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6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Interest expense,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ind w:left="0" w:right="0" w:hanging="0"/>
              <w:jc w:val="left"/>
              <w:rPr/>
            </w:pPr>
            <w:r>
              <w:rPr/>
              <w:t> </w:t>
            </w:r>
          </w:p>
        </w:tc>
        <w:tc>
          <w:tcPr>
            <w:tcW w:w="59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w:t>
            </w:r>
          </w:p>
        </w:tc>
        <w:tc>
          <w:tcPr>
            <w:tcW w:w="143"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07"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ind w:left="0" w:right="0" w:hanging="0"/>
              <w:jc w:val="left"/>
              <w:rPr/>
            </w:pPr>
            <w:r>
              <w:rPr/>
              <w:t> </w:t>
            </w:r>
          </w:p>
        </w:tc>
        <w:tc>
          <w:tcPr>
            <w:tcW w:w="59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690" w:type="dxa"/>
            <w:tcBorders>
              <w:bottom w:val="single" w:sz="2" w:space="0" w:color="000000"/>
            </w:tcBorders>
            <w:shd w:fill="FFFF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income / (expense), net (3)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2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w:t>
            </w:r>
          </w:p>
        </w:tc>
        <w:tc>
          <w:tcPr>
            <w:tcW w:w="143"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07" w:type="dxa"/>
            <w:tcBorders>
              <w:bottom w:val="single" w:sz="2" w:space="0" w:color="000000"/>
            </w:tcBorders>
            <w:shd w:fill="FFFFFF" w:val="clear"/>
            <w:vAlign w:val="center"/>
          </w:tcPr>
          <w:p>
            <w:pPr>
              <w:pStyle w:val="TableContents"/>
              <w:bidi w:val="0"/>
              <w:spacing w:before="0" w:after="283"/>
              <w:jc w:val="left"/>
              <w:rPr/>
            </w:pPr>
            <w:r>
              <w:rPr/>
              <w:t> </w:t>
            </w:r>
          </w:p>
        </w:tc>
        <w:tc>
          <w:tcPr>
            <w:tcW w:w="22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690"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Income before income taxes</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23"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98"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57</w:t>
            </w:r>
          </w:p>
        </w:tc>
        <w:tc>
          <w:tcPr>
            <w:tcW w:w="143" w:type="dxa"/>
            <w:tcBorders>
              <w:bottom w:val="double" w:sz="6" w:space="0" w:color="000000"/>
            </w:tcBorders>
            <w:shd w:fill="CCEEFF" w:val="clear"/>
            <w:vAlign w:val="center"/>
          </w:tcPr>
          <w:p>
            <w:pPr>
              <w:pStyle w:val="TableContents"/>
              <w:bidi w:val="0"/>
              <w:spacing w:before="0" w:after="283"/>
              <w:jc w:val="left"/>
              <w:rPr/>
            </w:pPr>
            <w:r>
              <w:rPr/>
              <w:t> </w:t>
            </w:r>
          </w:p>
        </w:tc>
        <w:tc>
          <w:tcPr>
            <w:tcW w:w="107"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23"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98"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190</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lineRule="auto" w:line="288" w:before="0" w:after="0"/>
              <w:ind w:left="0" w:right="0" w:hanging="0"/>
              <w:jc w:val="both"/>
              <w:rPr/>
            </w:pPr>
            <w:r>
              <w:rPr>
                <w:rFonts w:ascii="Arial;Helvetica;sans-serif" w:hAnsi="Arial;Helvetica;sans-serif"/>
                <w:caps w:val="false"/>
                <w:smallCaps w:val="false"/>
                <w:sz w:val="16"/>
              </w:rPr>
              <w:t>(</w:t>
            </w:r>
            <w:r>
              <w:rPr>
                <w:rStyle w:val="Emphasis"/>
                <w:rFonts w:ascii="Arial;Helvetica;sans-serif" w:hAnsi="Arial;Helvetica;sans-serif"/>
                <w:caps w:val="false"/>
                <w:smallCaps w:val="false"/>
                <w:sz w:val="16"/>
              </w:rPr>
              <w:t>1</w:t>
            </w:r>
            <w:r>
              <w:rPr>
                <w:rFonts w:ascii="Arial;Helvetica;sans-serif" w:hAnsi="Arial;Helvetica;sans-serif"/>
                <w:caps w:val="false"/>
                <w:smallCaps w:val="false"/>
                <w:sz w:val="16"/>
              </w:rPr>
              <w:t>)</w:t>
            </w:r>
          </w:p>
        </w:tc>
        <w:tc>
          <w:tcPr>
            <w:tcW w:w="10047" w:type="dxa"/>
            <w:tcBorders/>
            <w:vAlign w:val="center"/>
          </w:tcPr>
          <w:p>
            <w:pPr>
              <w:pStyle w:val="TableContents"/>
              <w:bidi w:val="0"/>
              <w:spacing w:before="0" w:after="0"/>
              <w:ind w:left="0" w:right="0" w:hanging="0"/>
              <w:jc w:val="both"/>
              <w:rPr/>
            </w:pPr>
            <w:r>
              <w:rPr>
                <w:rFonts w:ascii="Arial;Helvetica;sans-serif" w:hAnsi="Arial;Helvetica;sans-serif"/>
                <w:caps w:val="false"/>
                <w:smallCaps w:val="false"/>
                <w:sz w:val="16"/>
              </w:rPr>
              <w:t xml:space="preserve">See Note </w:t>
            </w:r>
            <w:r>
              <w:rPr>
                <w:rStyle w:val="Emphasis"/>
                <w:rFonts w:ascii="Arial;Helvetica;sans-serif" w:hAnsi="Arial;Helvetica;sans-serif"/>
                <w:caps w:val="false"/>
                <w:smallCaps w:val="false"/>
                <w:sz w:val="16"/>
              </w:rPr>
              <w:t>4,</w:t>
            </w:r>
            <w:r>
              <w:rPr>
                <w:rFonts w:ascii="Arial;Helvetica;sans-serif" w:hAnsi="Arial;Helvetica;sans-serif"/>
                <w:caps w:val="false"/>
                <w:smallCaps w:val="false"/>
                <w:sz w:val="16"/>
              </w:rPr>
              <w:t xml:space="preserve"> </w:t>
            </w:r>
            <w:r>
              <w:rPr>
                <w:rFonts w:ascii="Arial;Helvetica;sans-serif" w:hAnsi="Arial;Helvetica;sans-serif"/>
                <w:i/>
                <w:caps w:val="false"/>
                <w:smallCaps w:val="false"/>
                <w:sz w:val="16"/>
              </w:rPr>
              <w:t>Impairment and Other Charges</w:t>
            </w:r>
            <w:r>
              <w:rPr>
                <w:rFonts w:ascii="Arial;Helvetica;sans-serif" w:hAnsi="Arial;Helvetica;sans-serif"/>
                <w:caps w:val="false"/>
                <w:smallCaps w:val="false"/>
                <w:sz w:val="16"/>
              </w:rPr>
              <w:t> for further detail.</w:t>
            </w:r>
          </w:p>
        </w:tc>
      </w:tr>
      <w:tr>
        <w:trPr/>
        <w:tc>
          <w:tcPr>
            <w:tcW w:w="158" w:type="dxa"/>
            <w:tcBorders/>
            <w:vAlign w:val="center"/>
          </w:tcPr>
          <w:p>
            <w:pPr>
              <w:pStyle w:val="TableContents"/>
              <w:bidi w:val="0"/>
              <w:spacing w:lineRule="auto" w:line="288" w:before="0" w:after="0"/>
              <w:ind w:left="0" w:right="0" w:hanging="0"/>
              <w:jc w:val="both"/>
              <w:rPr/>
            </w:pPr>
            <w:r>
              <w:rPr>
                <w:rFonts w:ascii="Arial;Helvetica;sans-serif" w:hAnsi="Arial;Helvetica;sans-serif"/>
                <w:caps w:val="false"/>
                <w:smallCaps w:val="false"/>
                <w:sz w:val="16"/>
              </w:rPr>
              <w:t>(</w:t>
            </w:r>
            <w:r>
              <w:rPr>
                <w:rStyle w:val="Emphasis"/>
                <w:rFonts w:ascii="Arial;Helvetica;sans-serif" w:hAnsi="Arial;Helvetica;sans-serif"/>
                <w:caps w:val="false"/>
                <w:smallCaps w:val="false"/>
                <w:sz w:val="16"/>
              </w:rPr>
              <w:t>2</w:t>
            </w:r>
            <w:r>
              <w:rPr>
                <w:rFonts w:ascii="Arial;Helvetica;sans-serif" w:hAnsi="Arial;Helvetica;sans-serif"/>
                <w:caps w:val="false"/>
                <w:smallCaps w:val="false"/>
                <w:sz w:val="16"/>
              </w:rPr>
              <w:t>)</w:t>
            </w:r>
          </w:p>
        </w:tc>
        <w:tc>
          <w:tcPr>
            <w:tcW w:w="10047"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Corporate expense consists of unallocated selling, general and administrative expenses, as well as depreciation and amortization related to our corporate headquarters, centrally managed departments, unallocated insurance and benefit programs, certain foreign exchange transaction gains and losses, and other items.  </w:t>
            </w:r>
          </w:p>
        </w:tc>
      </w:tr>
      <w:tr>
        <w:trPr/>
        <w:tc>
          <w:tcPr>
            <w:tcW w:w="158" w:type="dxa"/>
            <w:tcBorders/>
            <w:vAlign w:val="center"/>
          </w:tcPr>
          <w:p>
            <w:pPr>
              <w:pStyle w:val="TableContents"/>
              <w:bidi w:val="0"/>
              <w:spacing w:lineRule="auto" w:line="288" w:before="0" w:after="0"/>
              <w:ind w:left="0" w:right="0" w:hanging="0"/>
              <w:jc w:val="both"/>
              <w:rPr/>
            </w:pPr>
            <w:r>
              <w:rPr>
                <w:rFonts w:ascii="Arial;Helvetica;sans-serif" w:hAnsi="Arial;Helvetica;sans-serif"/>
                <w:caps w:val="false"/>
                <w:smallCaps w:val="false"/>
                <w:sz w:val="16"/>
              </w:rPr>
              <w:t>(</w:t>
            </w:r>
            <w:r>
              <w:rPr>
                <w:rStyle w:val="Emphasis"/>
                <w:rFonts w:ascii="Arial;Helvetica;sans-serif" w:hAnsi="Arial;Helvetica;sans-serif"/>
                <w:caps w:val="false"/>
                <w:smallCaps w:val="false"/>
                <w:sz w:val="16"/>
              </w:rPr>
              <w:t>3</w:t>
            </w:r>
            <w:r>
              <w:rPr>
                <w:rFonts w:ascii="Arial;Helvetica;sans-serif" w:hAnsi="Arial;Helvetica;sans-serif"/>
                <w:caps w:val="false"/>
                <w:smallCaps w:val="false"/>
                <w:sz w:val="16"/>
              </w:rPr>
              <w:t>)</w:t>
            </w:r>
          </w:p>
        </w:tc>
        <w:tc>
          <w:tcPr>
            <w:tcW w:w="10047" w:type="dxa"/>
            <w:tcBorders/>
            <w:vAlign w:val="center"/>
          </w:tcPr>
          <w:p>
            <w:pPr>
              <w:pStyle w:val="TableContents"/>
              <w:bidi w:val="0"/>
              <w:spacing w:before="0" w:after="0"/>
              <w:ind w:left="0" w:right="0" w:hanging="0"/>
              <w:jc w:val="both"/>
              <w:rPr/>
            </w:pPr>
            <w:r>
              <w:rPr>
                <w:rFonts w:ascii="Arial;Helvetica;sans-serif" w:hAnsi="Arial;Helvetica;sans-serif"/>
                <w:caps w:val="false"/>
                <w:smallCaps w:val="false"/>
                <w:sz w:val="16"/>
              </w:rPr>
              <w:t xml:space="preserve">See Note </w:t>
            </w:r>
            <w:r>
              <w:rPr>
                <w:rStyle w:val="Emphasis"/>
                <w:rFonts w:ascii="Arial;Helvetica;sans-serif" w:hAnsi="Arial;Helvetica;sans-serif"/>
                <w:caps w:val="false"/>
                <w:smallCaps w:val="false"/>
                <w:sz w:val="16"/>
              </w:rPr>
              <w:t>5,</w:t>
            </w:r>
            <w:r>
              <w:rPr>
                <w:rFonts w:ascii="Arial;Helvetica;sans-serif" w:hAnsi="Arial;Helvetica;sans-serif"/>
                <w:caps w:val="false"/>
                <w:smallCaps w:val="false"/>
                <w:sz w:val="16"/>
              </w:rPr>
              <w:t xml:space="preserve"> </w:t>
            </w:r>
            <w:r>
              <w:rPr>
                <w:rFonts w:ascii="Arial;Helvetica;sans-serif" w:hAnsi="Arial;Helvetica;sans-serif"/>
                <w:i/>
                <w:caps w:val="false"/>
                <w:smallCaps w:val="false"/>
                <w:sz w:val="16"/>
              </w:rPr>
              <w:t>Other Income / (Expense), net</w:t>
            </w:r>
            <w:r>
              <w:rPr>
                <w:rFonts w:ascii="Arial;Helvetica;sans-serif" w:hAnsi="Arial;Helvetica;sans-serif"/>
                <w:caps w:val="false"/>
                <w:smallCaps w:val="false"/>
                <w:sz w:val="16"/>
              </w:rPr>
              <w:t>.</w:t>
            </w:r>
          </w:p>
        </w:tc>
      </w:tr>
    </w:tbl>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arial" w:hAnsi="arial"/>
          <w:b/>
          <w:caps w:val="false"/>
          <w:smallCaps w:val="false"/>
          <w:sz w:val="20"/>
        </w:rPr>
        <w:t>4.</w:t>
      </w:r>
      <w:r>
        <w:rPr>
          <w:rFonts w:ascii="arial" w:hAnsi="arial"/>
          <w:b/>
          <w:caps w:val="false"/>
          <w:smallCaps w:val="false"/>
          <w:sz w:val="20"/>
        </w:rPr>
        <w:t xml:space="preserve"> Impairment and Other </w:t>
      </w:r>
    </w:p>
    <w:p>
      <w:pPr>
        <w:pStyle w:val="TextBody"/>
        <w:bidi w:val="0"/>
        <w:spacing w:before="0" w:after="0"/>
        <w:ind w:left="0" w:right="0" w:hanging="0"/>
        <w:jc w:val="left"/>
        <w:rPr>
          <w:caps w:val="false"/>
          <w:smallCaps w:val="false"/>
        </w:rPr>
      </w:pPr>
      <w:r>
        <w:rPr>
          <w:caps w:val="false"/>
          <w:smallCaps w:val="false"/>
        </w:rPr>
        <w:t> ​</w:t>
      </w:r>
    </w:p>
    <w:tbl>
      <w:tblPr>
        <w:tblW w:w="6472" w:type="dxa"/>
        <w:jc w:val="left"/>
        <w:tblInd w:w="0" w:type="dxa"/>
        <w:tblLayout w:type="fixed"/>
        <w:tblCellMar>
          <w:top w:w="0" w:type="dxa"/>
          <w:left w:w="0" w:type="dxa"/>
          <w:bottom w:w="28" w:type="dxa"/>
          <w:right w:w="0" w:type="dxa"/>
        </w:tblCellMar>
      </w:tblPr>
      <w:tblGrid>
        <w:gridCol w:w="4460"/>
        <w:gridCol w:w="60"/>
        <w:gridCol w:w="266"/>
        <w:gridCol w:w="553"/>
        <w:gridCol w:w="127"/>
        <w:gridCol w:w="127"/>
        <w:gridCol w:w="266"/>
        <w:gridCol w:w="553"/>
        <w:gridCol w:w="60"/>
      </w:tblGrid>
      <w:tr>
        <w:trPr/>
        <w:tc>
          <w:tcPr>
            <w:tcW w:w="446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2"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Thirteen weeks ended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4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1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April 29,</w:t>
            </w:r>
          </w:p>
        </w:tc>
        <w:tc>
          <w:tcPr>
            <w:tcW w:w="127" w:type="dxa"/>
            <w:tcBorders/>
            <w:shd w:fill="FFFFFF" w:val="clear"/>
            <w:tcMar>
              <w:bottom w:w="0" w:type="dxa"/>
            </w:tcMar>
            <w:vAlign w:val="center"/>
          </w:tcPr>
          <w:p>
            <w:pPr>
              <w:pStyle w:val="TableContents"/>
              <w:bidi w:val="0"/>
              <w:spacing w:before="0" w:after="283"/>
              <w:jc w:val="left"/>
              <w:rPr/>
            </w:pPr>
            <w:r>
              <w:rPr/>
              <w:t> </w:t>
            </w:r>
          </w:p>
        </w:tc>
        <w:tc>
          <w:tcPr>
            <w:tcW w:w="127" w:type="dxa"/>
            <w:tcBorders/>
            <w:shd w:fill="FFFFFF" w:val="clear"/>
            <w:tcMar>
              <w:bottom w:w="0" w:type="dxa"/>
            </w:tcMar>
            <w:vAlign w:val="center"/>
          </w:tcPr>
          <w:p>
            <w:pPr>
              <w:pStyle w:val="TableContents"/>
              <w:bidi w:val="0"/>
              <w:spacing w:before="0" w:after="283"/>
              <w:ind w:left="0" w:right="0" w:hanging="0"/>
              <w:jc w:val="left"/>
              <w:rPr/>
            </w:pPr>
            <w:r>
              <w:rPr/>
              <w:t> </w:t>
            </w:r>
          </w:p>
        </w:tc>
        <w:tc>
          <w:tcPr>
            <w:tcW w:w="81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April 30,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46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1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127" w:type="dxa"/>
            <w:tcBorders>
              <w:bottom w:val="single" w:sz="2" w:space="0" w:color="000000"/>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1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46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Transformation consulting</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66"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53"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19</w:t>
            </w:r>
          </w:p>
        </w:tc>
        <w:tc>
          <w:tcPr>
            <w:tcW w:w="127"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ind w:left="0" w:right="0" w:hanging="0"/>
              <w:jc w:val="left"/>
              <w:rPr/>
            </w:pPr>
            <w:r>
              <w:rPr/>
              <w:t> </w:t>
            </w:r>
          </w:p>
        </w:tc>
        <w:tc>
          <w:tcPr>
            <w:tcW w:w="266"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53"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46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Impairment of long-lived assets and right-of-use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6" w:type="dxa"/>
            <w:tcBorders/>
            <w:shd w:fill="FFFFFF" w:val="clear"/>
            <w:tcMar>
              <w:bottom w:w="0" w:type="dxa"/>
            </w:tcMar>
            <w:vAlign w:val="center"/>
          </w:tcPr>
          <w:p>
            <w:pPr>
              <w:pStyle w:val="TableContents"/>
              <w:bidi w:val="0"/>
              <w:spacing w:before="0" w:after="283"/>
              <w:ind w:left="0" w:right="0" w:hanging="0"/>
              <w:jc w:val="left"/>
              <w:rPr/>
            </w:pPr>
            <w:r>
              <w:rPr/>
              <w:t> </w:t>
            </w:r>
          </w:p>
        </w:tc>
        <w:tc>
          <w:tcPr>
            <w:tcW w:w="553"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18</w:t>
            </w:r>
          </w:p>
        </w:tc>
        <w:tc>
          <w:tcPr>
            <w:tcW w:w="127" w:type="dxa"/>
            <w:tcBorders/>
            <w:shd w:fill="FFFFFF" w:val="clear"/>
            <w:tcMar>
              <w:bottom w:w="0" w:type="dxa"/>
            </w:tcMar>
            <w:vAlign w:val="center"/>
          </w:tcPr>
          <w:p>
            <w:pPr>
              <w:pStyle w:val="TableContents"/>
              <w:bidi w:val="0"/>
              <w:spacing w:before="0" w:after="283"/>
              <w:jc w:val="left"/>
              <w:rPr/>
            </w:pPr>
            <w:r>
              <w:rPr/>
              <w:t> </w:t>
            </w:r>
          </w:p>
        </w:tc>
        <w:tc>
          <w:tcPr>
            <w:tcW w:w="127" w:type="dxa"/>
            <w:tcBorders/>
            <w:shd w:fill="FFFFFF" w:val="clear"/>
            <w:tcMar>
              <w:bottom w:w="0" w:type="dxa"/>
            </w:tcMar>
            <w:vAlign w:val="center"/>
          </w:tcPr>
          <w:p>
            <w:pPr>
              <w:pStyle w:val="TableContents"/>
              <w:bidi w:val="0"/>
              <w:spacing w:before="0" w:after="283"/>
              <w:jc w:val="left"/>
              <w:rPr/>
            </w:pPr>
            <w:r>
              <w:rPr/>
              <w:t> </w:t>
            </w:r>
          </w:p>
        </w:tc>
        <w:tc>
          <w:tcPr>
            <w:tcW w:w="266" w:type="dxa"/>
            <w:tcBorders/>
            <w:shd w:fill="FFFFFF" w:val="clear"/>
            <w:tcMar>
              <w:bottom w:w="0" w:type="dxa"/>
            </w:tcMar>
            <w:vAlign w:val="center"/>
          </w:tcPr>
          <w:p>
            <w:pPr>
              <w:pStyle w:val="TableContents"/>
              <w:bidi w:val="0"/>
              <w:spacing w:before="0" w:after="283"/>
              <w:ind w:left="0" w:right="0" w:hanging="0"/>
              <w:jc w:val="left"/>
              <w:rPr/>
            </w:pPr>
            <w:r>
              <w:rPr/>
              <w:t> </w:t>
            </w:r>
          </w:p>
        </w:tc>
        <w:tc>
          <w:tcPr>
            <w:tcW w:w="553"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46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Reorganization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6" w:type="dxa"/>
            <w:tcBorders/>
            <w:shd w:fill="CCEEFF" w:val="clear"/>
            <w:tcMar>
              <w:bottom w:w="0" w:type="dxa"/>
            </w:tcMar>
            <w:vAlign w:val="center"/>
          </w:tcPr>
          <w:p>
            <w:pPr>
              <w:pStyle w:val="TableContents"/>
              <w:bidi w:val="0"/>
              <w:spacing w:before="0" w:after="283"/>
              <w:ind w:left="0" w:right="0" w:hanging="0"/>
              <w:jc w:val="left"/>
              <w:rPr/>
            </w:pPr>
            <w:r>
              <w:rPr/>
              <w:t> </w:t>
            </w:r>
          </w:p>
        </w:tc>
        <w:tc>
          <w:tcPr>
            <w:tcW w:w="553"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w:t>
            </w:r>
          </w:p>
        </w:tc>
        <w:tc>
          <w:tcPr>
            <w:tcW w:w="127"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266" w:type="dxa"/>
            <w:tcBorders/>
            <w:shd w:fill="CCEEFF" w:val="clear"/>
            <w:tcMar>
              <w:bottom w:w="0" w:type="dxa"/>
            </w:tcMar>
            <w:vAlign w:val="center"/>
          </w:tcPr>
          <w:p>
            <w:pPr>
              <w:pStyle w:val="TableContents"/>
              <w:bidi w:val="0"/>
              <w:spacing w:before="0" w:after="283"/>
              <w:ind w:left="0" w:right="0" w:hanging="0"/>
              <w:jc w:val="left"/>
              <w:rPr/>
            </w:pPr>
            <w:r>
              <w:rPr/>
              <w:t> </w:t>
            </w:r>
          </w:p>
        </w:tc>
        <w:tc>
          <w:tcPr>
            <w:tcW w:w="553"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46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Acquisition and integration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6" w:type="dxa"/>
            <w:tcBorders/>
            <w:shd w:fill="FFFFFF" w:val="clear"/>
            <w:tcMar>
              <w:bottom w:w="0" w:type="dxa"/>
            </w:tcMar>
            <w:vAlign w:val="center"/>
          </w:tcPr>
          <w:p>
            <w:pPr>
              <w:pStyle w:val="TableContents"/>
              <w:bidi w:val="0"/>
              <w:spacing w:before="0" w:after="283"/>
              <w:ind w:left="0" w:right="0" w:hanging="0"/>
              <w:jc w:val="left"/>
              <w:rPr/>
            </w:pPr>
            <w:r>
              <w:rPr/>
              <w:t> </w:t>
            </w:r>
          </w:p>
        </w:tc>
        <w:tc>
          <w:tcPr>
            <w:tcW w:w="553" w:type="dxa"/>
            <w:tcBorders/>
            <w:shd w:fill="FFFFFF" w:val="clear"/>
            <w:tcMar>
              <w:bottom w:w="0" w:type="dxa"/>
            </w:tcMar>
            <w:vAlign w:val="center"/>
          </w:tcPr>
          <w:p>
            <w:pPr>
              <w:pStyle w:val="TableContents"/>
              <w:bidi w:val="0"/>
              <w:spacing w:before="0" w:after="283"/>
              <w:ind w:left="0" w:right="0" w:hanging="0"/>
              <w:jc w:val="right"/>
              <w:rPr/>
            </w:pPr>
            <w:r>
              <w:rPr/>
              <w:t>—</w:t>
            </w:r>
          </w:p>
        </w:tc>
        <w:tc>
          <w:tcPr>
            <w:tcW w:w="127" w:type="dxa"/>
            <w:tcBorders/>
            <w:shd w:fill="FFFFFF" w:val="clear"/>
            <w:tcMar>
              <w:bottom w:w="0" w:type="dxa"/>
            </w:tcMar>
            <w:vAlign w:val="center"/>
          </w:tcPr>
          <w:p>
            <w:pPr>
              <w:pStyle w:val="TableContents"/>
              <w:bidi w:val="0"/>
              <w:spacing w:before="0" w:after="283"/>
              <w:jc w:val="left"/>
              <w:rPr/>
            </w:pPr>
            <w:r>
              <w:rPr/>
              <w:t> </w:t>
            </w:r>
          </w:p>
        </w:tc>
        <w:tc>
          <w:tcPr>
            <w:tcW w:w="127" w:type="dxa"/>
            <w:tcBorders/>
            <w:shd w:fill="FFFFFF" w:val="clear"/>
            <w:tcMar>
              <w:bottom w:w="0" w:type="dxa"/>
            </w:tcMar>
            <w:vAlign w:val="center"/>
          </w:tcPr>
          <w:p>
            <w:pPr>
              <w:pStyle w:val="TableContents"/>
              <w:bidi w:val="0"/>
              <w:spacing w:before="0" w:after="283"/>
              <w:jc w:val="left"/>
              <w:rPr/>
            </w:pPr>
            <w:r>
              <w:rPr/>
              <w:t> </w:t>
            </w:r>
          </w:p>
        </w:tc>
        <w:tc>
          <w:tcPr>
            <w:tcW w:w="266" w:type="dxa"/>
            <w:tcBorders/>
            <w:shd w:fill="FFFFFF" w:val="clear"/>
            <w:tcMar>
              <w:bottom w:w="0" w:type="dxa"/>
            </w:tcMar>
            <w:vAlign w:val="center"/>
          </w:tcPr>
          <w:p>
            <w:pPr>
              <w:pStyle w:val="TableContents"/>
              <w:bidi w:val="0"/>
              <w:spacing w:before="0" w:after="283"/>
              <w:ind w:left="0" w:right="0" w:hanging="0"/>
              <w:jc w:val="left"/>
              <w:rPr/>
            </w:pPr>
            <w:r>
              <w:rPr/>
              <w:t> </w:t>
            </w:r>
          </w:p>
        </w:tc>
        <w:tc>
          <w:tcPr>
            <w:tcW w:w="553"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46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6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127" w:type="dxa"/>
            <w:tcBorders>
              <w:bottom w:val="single" w:sz="2" w:space="0" w:color="000000"/>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vAlign w:val="center"/>
          </w:tcPr>
          <w:p>
            <w:pPr>
              <w:pStyle w:val="TableContents"/>
              <w:bidi w:val="0"/>
              <w:spacing w:before="0" w:after="283"/>
              <w:jc w:val="left"/>
              <w:rPr/>
            </w:pPr>
            <w:r>
              <w:rPr/>
              <w:t> </w:t>
            </w:r>
          </w:p>
        </w:tc>
        <w:tc>
          <w:tcPr>
            <w:tcW w:w="26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4460"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impairment and other</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66"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53"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39</w:t>
            </w:r>
          </w:p>
        </w:tc>
        <w:tc>
          <w:tcPr>
            <w:tcW w:w="127" w:type="dxa"/>
            <w:tcBorders>
              <w:bottom w:val="double" w:sz="6" w:space="0" w:color="000000"/>
            </w:tcBorders>
            <w:shd w:fill="FFFFFF" w:val="clear"/>
            <w:vAlign w:val="center"/>
          </w:tcPr>
          <w:p>
            <w:pPr>
              <w:pStyle w:val="TableContents"/>
              <w:bidi w:val="0"/>
              <w:spacing w:before="0" w:after="283"/>
              <w:jc w:val="left"/>
              <w:rPr/>
            </w:pPr>
            <w:r>
              <w:rPr/>
              <w:t> </w:t>
            </w:r>
          </w:p>
        </w:tc>
        <w:tc>
          <w:tcPr>
            <w:tcW w:w="127"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66"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53"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 w:hAnsi="arial"/>
          <w:caps w:val="false"/>
          <w:smallCaps w:val="false"/>
          <w:sz w:val="20"/>
        </w:rPr>
        <w:t xml:space="preserve">For the </w:t>
      </w:r>
      <w:r>
        <w:rPr>
          <w:rStyle w:val="Emphasis"/>
          <w:rFonts w:ascii="arial" w:hAnsi="arial"/>
          <w:caps w:val="false"/>
          <w:smallCaps w:val="false"/>
          <w:sz w:val="20"/>
        </w:rPr>
        <w:t>thirteen</w:t>
      </w:r>
      <w:r>
        <w:rPr>
          <w:rFonts w:ascii="arial" w:hAnsi="arial"/>
          <w:caps w:val="false"/>
          <w:smallCaps w:val="false"/>
          <w:sz w:val="20"/>
        </w:rPr>
        <w:t xml:space="preserve"> weeks ended </w:t>
      </w:r>
      <w:r>
        <w:rPr>
          <w:rStyle w:val="Emphasis"/>
          <w:rFonts w:ascii="arial" w:hAnsi="arial"/>
          <w:caps w:val="false"/>
          <w:smallCaps w:val="false"/>
          <w:sz w:val="20"/>
        </w:rPr>
        <w:t>April 29, 2023</w:t>
      </w:r>
      <w:r>
        <w:rPr>
          <w:rFonts w:ascii="arial" w:hAnsi="arial"/>
          <w:caps w:val="false"/>
          <w:smallCaps w:val="false"/>
          <w:sz w:val="20"/>
        </w:rPr>
        <w:t>, we incurred $19 million of transformation consulting expense. We recorded impairment charges of $18 million, primarily accelerated tenancy charges on right-of-use assets for the closures of the Sidestep banner and certain Foot Locker Asia stores. Additionally, we recorded reorganization costs of $2 million related to the announced closure of a North American distribution center and costs associated with the closure of the Sidestep banner and certain Foot Locker Asia stores.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pPr>
      <w:r>
        <w:rPr>
          <w:rFonts w:ascii="Arial;Helvetica;sans-serif" w:hAnsi="Arial;Helvetica;sans-serif"/>
          <w:sz w:val="20"/>
        </w:rPr>
        <w:t xml:space="preserve">First Quarter </w:t>
      </w: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-Q Page </w:t>
      </w:r>
      <w:r>
        <w:rPr>
          <w:rStyle w:val="Emphasis"/>
          <w:rFonts w:ascii="Arial;Helvetica;sans-serif" w:hAnsi="Arial;Helvetica;sans-serif"/>
          <w:sz w:val="20"/>
        </w:rPr>
        <w:t>8</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jc w:val="center"/>
        <w:rPr/>
      </w:pPr>
      <w:r>
        <w:rPr/>
        <w:drawing>
          <wp:inline distT="0" distB="0" distL="0" distR="0">
            <wp:extent cx="2695575" cy="3143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695575" cy="314325"/>
                    </a:xfrm>
                    <a:prstGeom prst="rect">
                      <a:avLst/>
                    </a:prstGeom>
                  </pic:spPr>
                </pic:pic>
              </a:graphicData>
            </a:graphic>
          </wp:inline>
        </w:drawing>
      </w:r>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THE UNAUDITED CONDENSED CONSOLIDATED FINANCIAL STATEMENTS</w:t>
      </w:r>
    </w:p>
    <w:p>
      <w:pPr>
        <w:pStyle w:val="TextBody"/>
        <w:bidi w:val="0"/>
        <w:spacing w:lineRule="auto" w:line="240" w:before="0" w:after="0"/>
        <w:ind w:left="0" w:right="0" w:hanging="0"/>
        <w:jc w:val="left"/>
        <w:rPr/>
      </w:pPr>
      <w:r>
        <w:rPr/>
        <w:t>​</w:t>
      </w:r>
    </w:p>
    <w:p>
      <w:pPr>
        <w:pStyle w:val="TextBody"/>
        <w:bidi w:val="0"/>
        <w:spacing w:before="0" w:after="283"/>
        <w:jc w:val="left"/>
        <w:rPr/>
      </w:pPr>
      <w:r>
        <w:rPr/>
        <w:t xml:space="preserve">  </w:t>
      </w:r>
    </w:p>
    <w:p>
      <w:pPr>
        <w:pStyle w:val="TextBody"/>
        <w:bidi w:val="0"/>
        <w:spacing w:lineRule="auto" w:line="240" w:before="0" w:after="0"/>
        <w:ind w:left="0" w:right="0" w:hanging="0"/>
        <w:jc w:val="left"/>
        <w:rPr/>
      </w:pPr>
      <w:r>
        <w:rPr>
          <w:rStyle w:val="Emphasis"/>
          <w:rFonts w:ascii="arial" w:hAnsi="arial"/>
          <w:b/>
          <w:caps w:val="false"/>
          <w:smallCaps w:val="false"/>
          <w:sz w:val="20"/>
        </w:rPr>
        <w:t>5.</w:t>
      </w:r>
      <w:r>
        <w:rPr>
          <w:rFonts w:ascii="arial" w:hAnsi="arial"/>
          <w:b/>
          <w:caps w:val="false"/>
          <w:smallCaps w:val="false"/>
          <w:sz w:val="20"/>
        </w:rPr>
        <w:t xml:space="preserve"> Other Income / (Expense), net</w:t>
      </w:r>
    </w:p>
    <w:p>
      <w:pPr>
        <w:pStyle w:val="TextBody"/>
        <w:bidi w:val="0"/>
        <w:spacing w:lineRule="auto" w:line="240" w:before="0" w:after="0"/>
        <w:ind w:left="0" w:right="0" w:hanging="0"/>
        <w:jc w:val="left"/>
        <w:rPr>
          <w:caps w:val="false"/>
          <w:smallCaps w:val="false"/>
        </w:rPr>
      </w:pPr>
      <w:r>
        <w:rPr>
          <w:caps w:val="false"/>
          <w:smallCaps w:val="false"/>
        </w:rPr>
        <w:t> </w:t>
      </w:r>
    </w:p>
    <w:tbl>
      <w:tblPr>
        <w:tblW w:w="7841" w:type="dxa"/>
        <w:jc w:val="left"/>
        <w:tblInd w:w="0" w:type="dxa"/>
        <w:tblLayout w:type="fixed"/>
        <w:tblCellMar>
          <w:top w:w="0" w:type="dxa"/>
          <w:left w:w="0" w:type="dxa"/>
          <w:bottom w:w="28" w:type="dxa"/>
          <w:right w:w="0" w:type="dxa"/>
        </w:tblCellMar>
      </w:tblPr>
      <w:tblGrid>
        <w:gridCol w:w="5810"/>
        <w:gridCol w:w="60"/>
        <w:gridCol w:w="251"/>
        <w:gridCol w:w="524"/>
        <w:gridCol w:w="161"/>
        <w:gridCol w:w="120"/>
        <w:gridCol w:w="251"/>
        <w:gridCol w:w="584"/>
        <w:gridCol w:w="80"/>
      </w:tblGrid>
      <w:tr>
        <w:trPr/>
        <w:tc>
          <w:tcPr>
            <w:tcW w:w="581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1"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Thirteen weeks ended</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8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5" w:type="dxa"/>
            <w:gridSpan w:val="2"/>
            <w:tcBorders/>
            <w:shd w:fill="FFFFFF" w:val="clear"/>
            <w:tcMar>
              <w:bottom w:w="0" w:type="dxa"/>
            </w:tcMar>
            <w:vAlign w:val="center"/>
          </w:tcPr>
          <w:p>
            <w:pPr>
              <w:pStyle w:val="TableContents"/>
              <w:bidi w:val="0"/>
              <w:spacing w:before="0" w:after="283"/>
              <w:jc w:val="center"/>
              <w:rPr/>
            </w:pPr>
            <w:r>
              <w:rPr>
                <w:rStyle w:val="Emphasis"/>
                <w:rFonts w:ascii="Arial;Helvetica;sans-serif" w:hAnsi="Arial;Helvetica;sans-serif"/>
                <w:b/>
                <w:sz w:val="18"/>
              </w:rPr>
              <w:t>April 29,</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835" w:type="dxa"/>
            <w:gridSpan w:val="2"/>
            <w:tcBorders/>
            <w:shd w:fill="FFFFFF" w:val="clear"/>
            <w:tcMar>
              <w:bottom w:w="0" w:type="dxa"/>
            </w:tcMar>
            <w:vAlign w:val="center"/>
          </w:tcPr>
          <w:p>
            <w:pPr>
              <w:pStyle w:val="TableContents"/>
              <w:bidi w:val="0"/>
              <w:spacing w:before="0" w:after="283"/>
              <w:jc w:val="center"/>
              <w:rPr/>
            </w:pPr>
            <w:r>
              <w:rPr>
                <w:rStyle w:val="Emphasis"/>
                <w:rFonts w:ascii="Arial;Helvetica;sans-serif" w:hAnsi="Arial;Helvetica;sans-serif"/>
                <w:b/>
                <w:sz w:val="18"/>
              </w:rPr>
              <w:t>April 30,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81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161" w:type="dxa"/>
            <w:tcBorders>
              <w:bottom w:val="single" w:sz="2" w:space="0" w:color="000000"/>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3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81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Pension and postretirement net benefit expense, excluding service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2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w:t>
            </w:r>
          </w:p>
        </w:tc>
        <w:tc>
          <w:tcPr>
            <w:tcW w:w="161"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2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84"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81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Share of losses related to minority investments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shd w:fill="FFFFFF" w:val="clear"/>
            <w:tcMar>
              <w:bottom w:w="0" w:type="dxa"/>
            </w:tcMar>
            <w:vAlign w:val="center"/>
          </w:tcPr>
          <w:p>
            <w:pPr>
              <w:pStyle w:val="TableContents"/>
              <w:bidi w:val="0"/>
              <w:spacing w:before="0" w:after="283"/>
              <w:ind w:left="0" w:right="0" w:hanging="0"/>
              <w:jc w:val="left"/>
              <w:rPr/>
            </w:pPr>
            <w:r>
              <w:rPr/>
              <w:t> </w:t>
            </w:r>
          </w:p>
        </w:tc>
        <w:tc>
          <w:tcPr>
            <w:tcW w:w="52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w:t>
            </w:r>
          </w:p>
        </w:tc>
        <w:tc>
          <w:tcPr>
            <w:tcW w:w="161"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20" w:type="dxa"/>
            <w:tcBorders/>
            <w:shd w:fill="FFFFFF" w:val="clear"/>
            <w:tcMar>
              <w:bottom w:w="0" w:type="dxa"/>
            </w:tcMar>
            <w:vAlign w:val="center"/>
          </w:tcPr>
          <w:p>
            <w:pPr>
              <w:pStyle w:val="TableContents"/>
              <w:bidi w:val="0"/>
              <w:spacing w:before="0" w:after="283"/>
              <w:jc w:val="left"/>
              <w:rPr/>
            </w:pPr>
            <w:r>
              <w:rPr/>
              <w:t> </w:t>
            </w:r>
          </w:p>
        </w:tc>
        <w:tc>
          <w:tcPr>
            <w:tcW w:w="251" w:type="dxa"/>
            <w:tcBorders/>
            <w:shd w:fill="FFFFFF" w:val="clear"/>
            <w:tcMar>
              <w:bottom w:w="0" w:type="dxa"/>
            </w:tcMar>
            <w:vAlign w:val="center"/>
          </w:tcPr>
          <w:p>
            <w:pPr>
              <w:pStyle w:val="TableContents"/>
              <w:bidi w:val="0"/>
              <w:spacing w:before="0" w:after="283"/>
              <w:ind w:left="0" w:right="0" w:hanging="0"/>
              <w:jc w:val="left"/>
              <w:rPr/>
            </w:pPr>
            <w:r>
              <w:rPr/>
              <w:t> </w:t>
            </w:r>
          </w:p>
        </w:tc>
        <w:tc>
          <w:tcPr>
            <w:tcW w:w="584"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81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Minority investment in Retailors, Ltd.</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5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24"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161" w:type="dxa"/>
            <w:tcBorders>
              <w:bottom w:val="single" w:sz="2" w:space="0" w:color="000000"/>
            </w:tcBorders>
            <w:shd w:fill="CCEEFF" w:val="clear"/>
            <w:vAlign w:val="center"/>
          </w:tcPr>
          <w:p>
            <w:pPr>
              <w:pStyle w:val="TableContents"/>
              <w:bidi w:val="0"/>
              <w:spacing w:before="0" w:after="283"/>
              <w:jc w:val="left"/>
              <w:rPr/>
            </w:pPr>
            <w:r>
              <w:rPr/>
              <w:t> </w:t>
            </w:r>
          </w:p>
        </w:tc>
        <w:tc>
          <w:tcPr>
            <w:tcW w:w="12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5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84"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5810"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other income / (expense), net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51"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24"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w:t>
            </w:r>
          </w:p>
        </w:tc>
        <w:tc>
          <w:tcPr>
            <w:tcW w:w="161" w:type="dxa"/>
            <w:tcBorders>
              <w:bottom w:val="double" w:sz="6" w:space="0" w:color="000000"/>
            </w:tcBorders>
            <w:shd w:fill="FFFFFF" w:val="clear"/>
            <w:tcMar>
              <w:bottom w:w="45"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2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51"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84"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w:t>
            </w:r>
          </w:p>
        </w:tc>
        <w:tc>
          <w:tcPr>
            <w:tcW w:w="80" w:type="dxa"/>
            <w:tcBorders>
              <w:bottom w:val="double" w:sz="6" w:space="0" w:color="000000"/>
            </w:tcBorders>
            <w:shd w:fill="FFFFFF" w:val="clear"/>
            <w:tcMar>
              <w:bottom w:w="45"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bl>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Arial;Helvetica;sans-serif" w:hAnsi="Arial;Helvetica;sans-serif"/>
          <w:b/>
          <w:caps w:val="false"/>
          <w:smallCaps w:val="false"/>
          <w:sz w:val="20"/>
        </w:rPr>
        <w:t>6.</w:t>
      </w:r>
      <w:r>
        <w:rPr>
          <w:rFonts w:ascii="Arial;Helvetica;sans-serif" w:hAnsi="Arial;Helvetica;sans-serif"/>
          <w:b/>
          <w:caps w:val="false"/>
          <w:smallCaps w:val="false"/>
          <w:sz w:val="20"/>
        </w:rPr>
        <w:t xml:space="preserve"> Cash, Cash Equivalents, and 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table below provides a reconciliation of cash and cash equivalents, as reported on our Condensed Consolidated Balance Sheets, to cash, cash equivalents, and restricted cash, as reported on our Condensed Consolidated Statements of Cash Flows.</w:t>
      </w:r>
    </w:p>
    <w:p>
      <w:pPr>
        <w:pStyle w:val="TextBody"/>
        <w:bidi w:val="0"/>
        <w:spacing w:before="0" w:after="0"/>
        <w:ind w:left="0" w:right="0" w:hanging="0"/>
        <w:jc w:val="left"/>
        <w:rPr>
          <w:caps w:val="false"/>
          <w:smallCaps w:val="false"/>
        </w:rPr>
      </w:pPr>
      <w:r>
        <w:rPr>
          <w:caps w:val="false"/>
          <w:smallCaps w:val="false"/>
        </w:rPr>
        <w:t> </w:t>
      </w:r>
    </w:p>
    <w:tbl>
      <w:tblPr>
        <w:tblW w:w="5938" w:type="dxa"/>
        <w:jc w:val="left"/>
        <w:tblInd w:w="0" w:type="dxa"/>
        <w:tblLayout w:type="fixed"/>
        <w:tblCellMar>
          <w:top w:w="0" w:type="dxa"/>
          <w:left w:w="0" w:type="dxa"/>
          <w:bottom w:w="0" w:type="dxa"/>
          <w:right w:w="0" w:type="dxa"/>
        </w:tblCellMar>
      </w:tblPr>
      <w:tblGrid>
        <w:gridCol w:w="4250"/>
        <w:gridCol w:w="60"/>
        <w:gridCol w:w="197"/>
        <w:gridCol w:w="527"/>
        <w:gridCol w:w="60"/>
        <w:gridCol w:w="60"/>
        <w:gridCol w:w="197"/>
        <w:gridCol w:w="527"/>
        <w:gridCol w:w="60"/>
      </w:tblGrid>
      <w:tr>
        <w:trPr/>
        <w:tc>
          <w:tcPr>
            <w:tcW w:w="425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April 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April 30,</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27" w:type="dxa"/>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2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551</w:t>
            </w:r>
          </w:p>
        </w:tc>
        <w:tc>
          <w:tcPr>
            <w:tcW w:w="6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Restricted cash included in other current assets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527" w:type="dxa"/>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527"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Restricted cash included in other non-current assets</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25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Cash, cash equivalents, and restricted cash</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359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595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Amounts included in restricted cash primarily relate to amounts held in escrow in connection with various leasing arrangements in Europe and deposits held in insurance trusts to satisfy the requirement to collateralize part of the self-insured workers’ compensation and liability claims.</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7.</w:t>
      </w:r>
      <w:r>
        <w:rPr>
          <w:rFonts w:ascii="Arial;Helvetica;sans-serif" w:hAnsi="Arial;Helvetica;sans-serif"/>
          <w:b/>
          <w:caps w:val="false"/>
          <w:smallCaps w:val="false"/>
          <w:sz w:val="20"/>
        </w:rPr>
        <w:t xml:space="preserve"> Accumulated Other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Accumulated other comprehensive loss (“AOCL”), net of tax, is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7323" w:type="dxa"/>
        <w:jc w:val="left"/>
        <w:tblInd w:w="0" w:type="dxa"/>
        <w:tblLayout w:type="fixed"/>
        <w:tblCellMar>
          <w:top w:w="0" w:type="dxa"/>
          <w:left w:w="0" w:type="dxa"/>
          <w:bottom w:w="0" w:type="dxa"/>
          <w:right w:w="0" w:type="dxa"/>
        </w:tblCellMar>
      </w:tblPr>
      <w:tblGrid>
        <w:gridCol w:w="4430"/>
        <w:gridCol w:w="60"/>
        <w:gridCol w:w="174"/>
        <w:gridCol w:w="550"/>
        <w:gridCol w:w="80"/>
        <w:gridCol w:w="60"/>
        <w:gridCol w:w="174"/>
        <w:gridCol w:w="550"/>
        <w:gridCol w:w="80"/>
        <w:gridCol w:w="60"/>
        <w:gridCol w:w="246"/>
        <w:gridCol w:w="779"/>
        <w:gridCol w:w="80"/>
      </w:tblGrid>
      <w:tr>
        <w:trPr/>
        <w:tc>
          <w:tcPr>
            <w:tcW w:w="443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April 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April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January 28,</w:t>
            </w:r>
          </w:p>
        </w:tc>
        <w:tc>
          <w:tcPr>
            <w:tcW w:w="80" w:type="dxa"/>
            <w:tcBorders/>
            <w:shd w:fill="FFFFFF" w:val="clear"/>
            <w:vAlign w:val="center"/>
          </w:tcPr>
          <w:p>
            <w:pPr>
              <w:pStyle w:val="TableContents"/>
              <w:bidi w:val="0"/>
              <w:spacing w:before="0" w:after="283"/>
              <w:jc w:val="left"/>
              <w:rPr/>
            </w:pPr>
            <w:r>
              <w:rPr/>
              <w:t> </w:t>
            </w:r>
          </w:p>
        </w:tc>
      </w:tr>
      <w:tr>
        <w:trPr/>
        <w:tc>
          <w:tcPr>
            <w:tcW w:w="44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Foreign currency translation adjustments</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50" w:type="dxa"/>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(155</w:t>
            </w:r>
          </w:p>
        </w:tc>
        <w:tc>
          <w:tcPr>
            <w:tcW w:w="80" w:type="dxa"/>
            <w:tcBorders/>
            <w:shd w:fill="CCEE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5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(151</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46"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79"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(148</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443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Hedge contracts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550" w:type="dxa"/>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w:t>
            </w:r>
          </w:p>
        </w:tc>
        <w:tc>
          <w:tcPr>
            <w:tcW w:w="80" w:type="dxa"/>
            <w:tcBorders/>
            <w:shd w:fill="FFFF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550"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779"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44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Unrecognized pension cost and postretirement benefit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(239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443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(396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(384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(392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The changes in AOCL for the </w:t>
      </w:r>
      <w:r>
        <w:rPr>
          <w:rStyle w:val="Emphasis"/>
          <w:rFonts w:ascii="Arial;Helvetica;sans-serif" w:hAnsi="Arial;Helvetica;sans-serif"/>
          <w:caps w:val="false"/>
          <w:smallCaps w:val="false"/>
          <w:sz w:val="20"/>
        </w:rPr>
        <w:t>thirteen</w:t>
      </w:r>
      <w:r>
        <w:rPr>
          <w:rFonts w:ascii="Arial;Helvetica;sans-serif" w:hAnsi="Arial;Helvetica;sans-serif"/>
          <w:caps w:val="false"/>
          <w:smallCaps w:val="false"/>
          <w:sz w:val="20"/>
        </w:rPr>
        <w:t xml:space="preserve"> weeks ended </w:t>
      </w:r>
      <w:r>
        <w:rPr>
          <w:rStyle w:val="Emphasis"/>
          <w:rFonts w:ascii="Arial;Helvetica;sans-serif" w:hAnsi="Arial;Helvetica;sans-serif"/>
          <w:caps w:val="false"/>
          <w:smallCaps w:val="false"/>
          <w:sz w:val="20"/>
        </w:rPr>
        <w:t>April 29, 2023</w:t>
      </w:r>
      <w:r>
        <w:rPr>
          <w:rFonts w:ascii="Arial;Helvetica;sans-serif" w:hAnsi="Arial;Helvetica;sans-serif"/>
          <w:caps w:val="false"/>
          <w:smallCaps w:val="false"/>
          <w:sz w:val="20"/>
        </w:rPr>
        <w:t xml:space="preserve"> were as follows:</w:t>
      </w:r>
    </w:p>
    <w:p>
      <w:pPr>
        <w:pStyle w:val="TextBody"/>
        <w:bidi w:val="0"/>
        <w:spacing w:before="0" w:after="0"/>
        <w:ind w:left="0" w:right="0" w:hanging="0"/>
        <w:jc w:val="left"/>
        <w:rPr>
          <w:caps w:val="false"/>
          <w:smallCaps w:val="false"/>
        </w:rPr>
      </w:pPr>
      <w:r>
        <w:rPr>
          <w:caps w:val="false"/>
          <w:smallCaps w:val="false"/>
        </w:rPr>
        <w:t> </w:t>
      </w:r>
    </w:p>
    <w:tbl>
      <w:tblPr>
        <w:tblW w:w="8289" w:type="dxa"/>
        <w:jc w:val="left"/>
        <w:tblInd w:w="0" w:type="dxa"/>
        <w:tblLayout w:type="fixed"/>
        <w:tblCellMar>
          <w:top w:w="0" w:type="dxa"/>
          <w:left w:w="0" w:type="dxa"/>
          <w:bottom w:w="0" w:type="dxa"/>
          <w:right w:w="0" w:type="dxa"/>
        </w:tblCellMar>
      </w:tblPr>
      <w:tblGrid>
        <w:gridCol w:w="3890"/>
        <w:gridCol w:w="60"/>
        <w:gridCol w:w="265"/>
        <w:gridCol w:w="850"/>
        <w:gridCol w:w="80"/>
        <w:gridCol w:w="60"/>
        <w:gridCol w:w="283"/>
        <w:gridCol w:w="592"/>
        <w:gridCol w:w="80"/>
        <w:gridCol w:w="60"/>
        <w:gridCol w:w="356"/>
        <w:gridCol w:w="973"/>
        <w:gridCol w:w="80"/>
        <w:gridCol w:w="60"/>
        <w:gridCol w:w="125"/>
        <w:gridCol w:w="395"/>
        <w:gridCol w:w="80"/>
      </w:tblGrid>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Foreign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Items Related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Currency</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to Pension and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Translation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Hedge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Postretirement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r>
      <w:tr>
        <w:trPr/>
        <w:tc>
          <w:tcPr>
            <w:tcW w:w="38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Adjustments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Contracts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Benefits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Balance as of January 28, 2023</w:t>
            </w:r>
          </w:p>
        </w:tc>
        <w:tc>
          <w:tcPr>
            <w:tcW w:w="60" w:type="dxa"/>
            <w:tcBorders/>
            <w:shd w:fill="CCEEFF" w:val="clear"/>
            <w:vAlign w:val="center"/>
          </w:tcPr>
          <w:p>
            <w:pPr>
              <w:pStyle w:val="TableContents"/>
              <w:bidi w:val="0"/>
              <w:spacing w:before="0" w:after="283"/>
              <w:ind w:left="0" w:right="0" w:hanging="0"/>
              <w:jc w:val="left"/>
              <w:rPr/>
            </w:pPr>
            <w:r>
              <w:rPr/>
              <w:t> </w:t>
            </w:r>
          </w:p>
        </w:tc>
        <w:tc>
          <w:tcPr>
            <w:tcW w:w="26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5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(148</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ind w:left="0" w:right="0" w:hanging="0"/>
              <w:jc w:val="left"/>
              <w:rPr/>
            </w:pPr>
            <w:r>
              <w:rPr/>
              <w:t> </w:t>
            </w:r>
          </w:p>
        </w:tc>
        <w:tc>
          <w:tcPr>
            <w:tcW w:w="59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56"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7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(241</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3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(392</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OCI before reclassification</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ind w:left="0" w:right="0" w:hanging="0"/>
              <w:jc w:val="left"/>
              <w:rPr/>
            </w:pPr>
            <w:r>
              <w:rPr/>
              <w:t> </w:t>
            </w:r>
          </w:p>
        </w:tc>
        <w:tc>
          <w:tcPr>
            <w:tcW w:w="59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ind w:left="0" w:right="0" w:hanging="0"/>
              <w:jc w:val="left"/>
              <w:rPr/>
            </w:pPr>
            <w:r>
              <w:rPr/>
              <w:t> </w:t>
            </w:r>
          </w:p>
        </w:tc>
        <w:tc>
          <w:tcPr>
            <w:tcW w:w="97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8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Reclassification of hedges, net of tax</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ind w:left="0" w:right="0" w:hanging="0"/>
              <w:jc w:val="left"/>
              <w:rPr/>
            </w:pPr>
            <w:r>
              <w:rPr/>
              <w:t> </w:t>
            </w:r>
          </w:p>
        </w:tc>
        <w:tc>
          <w:tcPr>
            <w:tcW w:w="97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8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Amortization of pension actuarial loss, net of tax</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8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comprehensive income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8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Balance as of April 29, 2023</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(155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(239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3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(396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pPr>
      <w:r>
        <w:rPr>
          <w:rFonts w:ascii="Arial;Helvetica;sans-serif" w:hAnsi="Arial;Helvetica;sans-serif"/>
          <w:sz w:val="20"/>
        </w:rPr>
        <w:t xml:space="preserve">First Quarter </w:t>
      </w: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-Q Page </w:t>
      </w:r>
      <w:r>
        <w:rPr>
          <w:rStyle w:val="Emphasis"/>
          <w:rFonts w:ascii="Arial;Helvetica;sans-serif" w:hAnsi="Arial;Helvetica;sans-serif"/>
          <w:sz w:val="20"/>
        </w:rPr>
        <w:t>9</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jc w:val="center"/>
        <w:rPr/>
      </w:pPr>
      <w:r>
        <w:rPr/>
        <w:drawing>
          <wp:inline distT="0" distB="0" distL="0" distR="0">
            <wp:extent cx="2695575" cy="3143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695575" cy="314325"/>
                    </a:xfrm>
                    <a:prstGeom prst="rect">
                      <a:avLst/>
                    </a:prstGeom>
                  </pic:spPr>
                </pic:pic>
              </a:graphicData>
            </a:graphic>
          </wp:inline>
        </w:drawing>
      </w:r>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Arial;Helvetica;sans-serif" w:hAnsi="Arial;Helvetica;sans-serif"/>
          <w:b/>
          <w:caps w:val="false"/>
          <w:smallCaps w:val="false"/>
          <w:sz w:val="20"/>
        </w:rPr>
        <w:t>7.</w:t>
      </w:r>
      <w:r>
        <w:rPr>
          <w:rFonts w:ascii="Arial;Helvetica;sans-serif" w:hAnsi="Arial;Helvetica;sans-serif"/>
          <w:b/>
          <w:caps w:val="false"/>
          <w:smallCaps w:val="false"/>
          <w:sz w:val="20"/>
        </w:rPr>
        <w:t xml:space="preserve"> Accumulated Other Comprehensive Loss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Reclassifications from AOCL for the </w:t>
      </w:r>
      <w:r>
        <w:rPr>
          <w:rStyle w:val="Emphasis"/>
          <w:rFonts w:ascii="Arial;Helvetica;sans-serif" w:hAnsi="Arial;Helvetica;sans-serif"/>
          <w:caps w:val="false"/>
          <w:smallCaps w:val="false"/>
          <w:sz w:val="20"/>
        </w:rPr>
        <w:t>thirteen</w:t>
      </w:r>
      <w:r>
        <w:rPr>
          <w:rFonts w:ascii="Arial;Helvetica;sans-serif" w:hAnsi="Arial;Helvetica;sans-serif"/>
          <w:caps w:val="false"/>
          <w:smallCaps w:val="false"/>
          <w:sz w:val="20"/>
        </w:rPr>
        <w:t xml:space="preserve"> weeks ended </w:t>
      </w:r>
      <w:r>
        <w:rPr>
          <w:rStyle w:val="Emphasis"/>
          <w:rFonts w:ascii="Arial;Helvetica;sans-serif" w:hAnsi="Arial;Helvetica;sans-serif"/>
          <w:caps w:val="false"/>
          <w:smallCaps w:val="false"/>
          <w:sz w:val="20"/>
        </w:rPr>
        <w:t>April 29, 2023</w:t>
      </w:r>
      <w:r>
        <w:rPr>
          <w:rFonts w:ascii="Arial;Helvetica;sans-serif" w:hAnsi="Arial;Helvetica;sans-serif"/>
          <w:caps w:val="false"/>
          <w:smallCaps w:val="false"/>
          <w:sz w:val="20"/>
        </w:rPr>
        <w:t xml:space="preserve"> were as follows:</w:t>
      </w:r>
    </w:p>
    <w:p>
      <w:pPr>
        <w:pStyle w:val="TextBody"/>
        <w:bidi w:val="0"/>
        <w:spacing w:before="0" w:after="0"/>
        <w:ind w:left="0" w:right="0" w:hanging="0"/>
        <w:jc w:val="left"/>
        <w:rPr>
          <w:caps w:val="false"/>
          <w:smallCaps w:val="false"/>
        </w:rPr>
      </w:pPr>
      <w:r>
        <w:rPr>
          <w:caps w:val="false"/>
          <w:smallCaps w:val="false"/>
        </w:rPr>
        <w:t> </w:t>
      </w:r>
    </w:p>
    <w:tbl>
      <w:tblPr>
        <w:tblW w:w="3710" w:type="dxa"/>
        <w:jc w:val="left"/>
        <w:tblInd w:w="0" w:type="dxa"/>
        <w:tblLayout w:type="fixed"/>
        <w:tblCellMar>
          <w:top w:w="0" w:type="dxa"/>
          <w:left w:w="0" w:type="dxa"/>
          <w:bottom w:w="28" w:type="dxa"/>
          <w:right w:w="0" w:type="dxa"/>
        </w:tblCellMar>
      </w:tblPr>
      <w:tblGrid>
        <w:gridCol w:w="3185"/>
        <w:gridCol w:w="60"/>
        <w:gridCol w:w="125"/>
        <w:gridCol w:w="260"/>
        <w:gridCol w:w="80"/>
      </w:tblGrid>
      <w:tr>
        <w:trPr/>
        <w:tc>
          <w:tcPr>
            <w:tcW w:w="318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85"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18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Reclassification of hedge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18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Cross-currency swap</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26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r>
      <w:tr>
        <w:trPr/>
        <w:tc>
          <w:tcPr>
            <w:tcW w:w="318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Income tax</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60"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18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Reclassification of hedges, net of tax</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26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r>
      <w:tr>
        <w:trPr/>
        <w:tc>
          <w:tcPr>
            <w:tcW w:w="3185"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8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18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Amortization of actuarial loss: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8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18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Pension benefits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26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18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Income tax benefit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6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r>
      <w:tr>
        <w:trPr/>
        <w:tc>
          <w:tcPr>
            <w:tcW w:w="318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Amortization of actuarial loss, net of tax</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26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185"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net of tax</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260" w:type="dxa"/>
            <w:tcBorders>
              <w:bottom w:val="double" w:sz="6" w:space="0" w:color="000000"/>
            </w:tcBorders>
            <w:shd w:fill="FFFFFF" w:val="clear"/>
            <w:vAlign w:val="center"/>
          </w:tcPr>
          <w:p>
            <w:pPr>
              <w:pStyle w:val="TableContents"/>
              <w:bidi w:val="0"/>
              <w:spacing w:before="0" w:after="283"/>
              <w:ind w:left="0" w:right="0" w:hanging="0"/>
              <w:jc w:val="right"/>
              <w:rPr/>
            </w:pPr>
            <w:r>
              <w:rPr/>
              <w:t>—</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arial" w:hAnsi="arial"/>
          <w:b/>
          <w:caps w:val="false"/>
          <w:smallCaps w:val="false"/>
          <w:sz w:val="20"/>
        </w:rPr>
        <w:t>8.</w:t>
      </w:r>
      <w:r>
        <w:rPr>
          <w:rFonts w:ascii="arial" w:hAnsi="arial"/>
          <w:b/>
          <w:caps w:val="false"/>
          <w:smallCaps w:val="false"/>
          <w:sz w:val="20"/>
        </w:rPr>
        <w:t xml:space="preserve">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 w:hAnsi="arial"/>
          <w:caps w:val="false"/>
          <w:smallCaps w:val="false"/>
          <w:sz w:val="20"/>
        </w:rPr>
        <w:t xml:space="preserve">Our financial assets and liabilities are recorded at fair value, using a </w:t>
      </w:r>
      <w:r>
        <w:rPr>
          <w:rStyle w:val="Emphasis"/>
          <w:rFonts w:ascii="arial" w:hAnsi="arial"/>
          <w:caps w:val="false"/>
          <w:smallCaps w:val="false"/>
          <w:sz w:val="20"/>
        </w:rPr>
        <w:t>three</w:t>
      </w:r>
      <w:r>
        <w:rPr>
          <w:rFonts w:ascii="arial" w:hAnsi="arial"/>
          <w:caps w:val="false"/>
          <w:smallCaps w:val="false"/>
          <w:sz w:val="20"/>
        </w:rPr>
        <w:t>-level fair value hierarchy that prioritizes the inputs used to measure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i/>
          <w:caps w:val="false"/>
          <w:smallCaps w:val="false"/>
          <w:sz w:val="20"/>
        </w:rPr>
      </w:pPr>
      <w:r>
        <w:rPr>
          <w:rFonts w:ascii="arial" w:hAnsi="arial"/>
          <w:i/>
          <w:caps w:val="false"/>
          <w:smallCaps w:val="false"/>
          <w:sz w:val="20"/>
        </w:rPr>
        <w:t>Assets and Liabilities Measured at Fair Value on a Recurring Basis</w:t>
      </w:r>
    </w:p>
    <w:p>
      <w:pPr>
        <w:pStyle w:val="TextBody"/>
        <w:bidi w:val="0"/>
        <w:spacing w:before="0" w:after="0"/>
        <w:ind w:left="0" w:right="0" w:hanging="0"/>
        <w:jc w:val="left"/>
        <w:rPr>
          <w:caps w:val="false"/>
          <w:smallCaps w:val="false"/>
        </w:rPr>
      </w:pPr>
      <w:r>
        <w:rPr>
          <w:caps w:val="false"/>
          <w:smallCaps w:val="false"/>
        </w:rPr>
        <w:t> </w:t>
      </w:r>
    </w:p>
    <w:tbl>
      <w:tblPr>
        <w:tblW w:w="7639" w:type="dxa"/>
        <w:jc w:val="left"/>
        <w:tblInd w:w="0" w:type="dxa"/>
        <w:tblLayout w:type="fixed"/>
        <w:tblCellMar>
          <w:top w:w="0" w:type="dxa"/>
          <w:left w:w="0" w:type="dxa"/>
          <w:bottom w:w="28" w:type="dxa"/>
          <w:right w:w="0" w:type="dxa"/>
        </w:tblCellMar>
      </w:tblPr>
      <w:tblGrid>
        <w:gridCol w:w="3020"/>
        <w:gridCol w:w="60"/>
        <w:gridCol w:w="205"/>
        <w:gridCol w:w="429"/>
        <w:gridCol w:w="72"/>
        <w:gridCol w:w="72"/>
        <w:gridCol w:w="205"/>
        <w:gridCol w:w="429"/>
        <w:gridCol w:w="72"/>
        <w:gridCol w:w="72"/>
        <w:gridCol w:w="205"/>
        <w:gridCol w:w="429"/>
        <w:gridCol w:w="60"/>
        <w:gridCol w:w="60"/>
        <w:gridCol w:w="172"/>
        <w:gridCol w:w="462"/>
        <w:gridCol w:w="68"/>
        <w:gridCol w:w="68"/>
        <w:gridCol w:w="205"/>
        <w:gridCol w:w="429"/>
        <w:gridCol w:w="68"/>
        <w:gridCol w:w="68"/>
        <w:gridCol w:w="205"/>
        <w:gridCol w:w="429"/>
        <w:gridCol w:w="75"/>
      </w:tblGrid>
      <w:tr>
        <w:trPr/>
        <w:tc>
          <w:tcPr>
            <w:tcW w:w="302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90" w:type="dxa"/>
            <w:gridSpan w:val="10"/>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As of April 29, 2023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74" w:type="dxa"/>
            <w:gridSpan w:val="10"/>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As of April 30, 2022</w:t>
            </w:r>
          </w:p>
        </w:tc>
        <w:tc>
          <w:tcPr>
            <w:tcW w:w="7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02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Level 1</w:t>
            </w:r>
          </w:p>
        </w:tc>
        <w:tc>
          <w:tcPr>
            <w:tcW w:w="72" w:type="dxa"/>
            <w:tcBorders>
              <w:bottom w:val="single" w:sz="2" w:space="0" w:color="000000"/>
            </w:tcBorders>
            <w:shd w:fill="FFFFFF" w:val="clear"/>
            <w:vAlign w:val="center"/>
          </w:tcPr>
          <w:p>
            <w:pPr>
              <w:pStyle w:val="TableContents"/>
              <w:bidi w:val="0"/>
              <w:spacing w:before="0" w:after="283"/>
              <w:jc w:val="left"/>
              <w:rPr/>
            </w:pPr>
            <w:r>
              <w:rPr/>
              <w:t> </w:t>
            </w:r>
          </w:p>
        </w:tc>
        <w:tc>
          <w:tcPr>
            <w:tcW w:w="7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Level 2</w:t>
            </w:r>
          </w:p>
        </w:tc>
        <w:tc>
          <w:tcPr>
            <w:tcW w:w="72" w:type="dxa"/>
            <w:tcBorders>
              <w:bottom w:val="single" w:sz="2" w:space="0" w:color="000000"/>
            </w:tcBorders>
            <w:shd w:fill="FFFFFF" w:val="clear"/>
            <w:vAlign w:val="center"/>
          </w:tcPr>
          <w:p>
            <w:pPr>
              <w:pStyle w:val="TableContents"/>
              <w:bidi w:val="0"/>
              <w:spacing w:before="0" w:after="283"/>
              <w:jc w:val="left"/>
              <w:rPr/>
            </w:pPr>
            <w:r>
              <w:rPr/>
              <w:t> </w:t>
            </w:r>
          </w:p>
        </w:tc>
        <w:tc>
          <w:tcPr>
            <w:tcW w:w="7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Level 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Level 1</w:t>
            </w:r>
          </w:p>
        </w:tc>
        <w:tc>
          <w:tcPr>
            <w:tcW w:w="68" w:type="dxa"/>
            <w:tcBorders>
              <w:bottom w:val="single" w:sz="2" w:space="0" w:color="000000"/>
            </w:tcBorders>
            <w:shd w:fill="FFFFFF" w:val="clear"/>
            <w:vAlign w:val="center"/>
          </w:tcPr>
          <w:p>
            <w:pPr>
              <w:pStyle w:val="TableContents"/>
              <w:bidi w:val="0"/>
              <w:spacing w:before="0" w:after="283"/>
              <w:jc w:val="left"/>
              <w:rPr/>
            </w:pPr>
            <w:r>
              <w:rPr/>
              <w:t> </w:t>
            </w:r>
          </w:p>
        </w:tc>
        <w:tc>
          <w:tcPr>
            <w:tcW w:w="6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Level 2</w:t>
            </w:r>
          </w:p>
        </w:tc>
        <w:tc>
          <w:tcPr>
            <w:tcW w:w="68" w:type="dxa"/>
            <w:tcBorders>
              <w:bottom w:val="single" w:sz="2" w:space="0" w:color="000000"/>
            </w:tcBorders>
            <w:shd w:fill="FFFFFF" w:val="clear"/>
            <w:vAlign w:val="center"/>
          </w:tcPr>
          <w:p>
            <w:pPr>
              <w:pStyle w:val="TableContents"/>
              <w:bidi w:val="0"/>
              <w:spacing w:before="0" w:after="283"/>
              <w:jc w:val="left"/>
              <w:rPr/>
            </w:pPr>
            <w:r>
              <w:rPr/>
              <w:t> </w:t>
            </w:r>
          </w:p>
        </w:tc>
        <w:tc>
          <w:tcPr>
            <w:tcW w:w="6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Level 3</w:t>
            </w:r>
          </w:p>
        </w:tc>
        <w:tc>
          <w:tcPr>
            <w:tcW w:w="7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02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429"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429"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42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462"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429"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429"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2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Minority investment in common stock</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shd w:fill="FFFFFF" w:val="clear"/>
            <w:tcMar>
              <w:bottom w:w="0" w:type="dxa"/>
            </w:tcMar>
            <w:vAlign w:val="center"/>
          </w:tcPr>
          <w:p>
            <w:pPr>
              <w:pStyle w:val="TableContents"/>
              <w:bidi w:val="0"/>
              <w:spacing w:before="0" w:after="283"/>
              <w:ind w:left="0" w:right="0" w:hanging="0"/>
              <w:jc w:val="right"/>
              <w:rPr/>
            </w:pPr>
            <w:r>
              <w:rPr/>
              <w:t>—</w:t>
            </w:r>
          </w:p>
        </w:tc>
        <w:tc>
          <w:tcPr>
            <w:tcW w:w="72"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20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shd w:fill="FFFFFF" w:val="clear"/>
            <w:tcMar>
              <w:bottom w:w="0" w:type="dxa"/>
            </w:tcMar>
            <w:vAlign w:val="center"/>
          </w:tcPr>
          <w:p>
            <w:pPr>
              <w:pStyle w:val="TableContents"/>
              <w:bidi w:val="0"/>
              <w:spacing w:before="0" w:after="283"/>
              <w:ind w:left="0" w:right="0" w:hanging="0"/>
              <w:jc w:val="right"/>
              <w:rPr/>
            </w:pPr>
            <w:r>
              <w:rPr/>
              <w:t>—</w:t>
            </w:r>
          </w:p>
        </w:tc>
        <w:tc>
          <w:tcPr>
            <w:tcW w:w="72"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20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62"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120</w:t>
            </w:r>
          </w:p>
        </w:tc>
        <w:tc>
          <w:tcPr>
            <w:tcW w:w="68"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ind w:left="0" w:right="0" w:hanging="0"/>
              <w:jc w:val="left"/>
              <w:rPr/>
            </w:pPr>
            <w:r>
              <w:rPr/>
              <w:t> </w:t>
            </w:r>
          </w:p>
        </w:tc>
        <w:tc>
          <w:tcPr>
            <w:tcW w:w="20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shd w:fill="FFFFFF" w:val="clear"/>
            <w:tcMar>
              <w:bottom w:w="0" w:type="dxa"/>
            </w:tcMar>
            <w:vAlign w:val="center"/>
          </w:tcPr>
          <w:p>
            <w:pPr>
              <w:pStyle w:val="TableContents"/>
              <w:bidi w:val="0"/>
              <w:spacing w:before="0" w:after="283"/>
              <w:ind w:left="0" w:right="0" w:hanging="0"/>
              <w:jc w:val="right"/>
              <w:rPr/>
            </w:pPr>
            <w:r>
              <w:rPr/>
              <w:t>—</w:t>
            </w:r>
          </w:p>
        </w:tc>
        <w:tc>
          <w:tcPr>
            <w:tcW w:w="68"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ind w:left="0" w:right="0" w:hanging="0"/>
              <w:jc w:val="left"/>
              <w:rPr/>
            </w:pPr>
            <w:r>
              <w:rPr/>
              <w:t> </w:t>
            </w:r>
          </w:p>
        </w:tc>
        <w:tc>
          <w:tcPr>
            <w:tcW w:w="20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shd w:fill="FFFFFF" w:val="clear"/>
            <w:tcMar>
              <w:bottom w:w="0" w:type="dxa"/>
            </w:tcMar>
            <w:vAlign w:val="center"/>
          </w:tcPr>
          <w:p>
            <w:pPr>
              <w:pStyle w:val="TableContents"/>
              <w:bidi w:val="0"/>
              <w:spacing w:before="0" w:after="283"/>
              <w:ind w:left="0" w:right="0" w:hanging="0"/>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2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Available-for-sale security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ind w:left="0" w:right="0" w:hanging="0"/>
              <w:jc w:val="left"/>
              <w:rPr/>
            </w:pPr>
            <w:r>
              <w:rPr/>
              <w:t> </w:t>
            </w:r>
          </w:p>
        </w:tc>
        <w:tc>
          <w:tcPr>
            <w:tcW w:w="429" w:type="dxa"/>
            <w:tcBorders/>
            <w:shd w:fill="CCEEFF" w:val="clear"/>
            <w:tcMar>
              <w:bottom w:w="0" w:type="dxa"/>
            </w:tcMar>
            <w:vAlign w:val="center"/>
          </w:tcPr>
          <w:p>
            <w:pPr>
              <w:pStyle w:val="TableContents"/>
              <w:bidi w:val="0"/>
              <w:spacing w:before="0" w:after="283"/>
              <w:ind w:left="0" w:right="0" w:hanging="0"/>
              <w:jc w:val="right"/>
              <w:rPr/>
            </w:pPr>
            <w:r>
              <w:rPr/>
              <w:t>—</w:t>
            </w:r>
          </w:p>
        </w:tc>
        <w:tc>
          <w:tcPr>
            <w:tcW w:w="72"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ind w:left="0" w:right="0" w:hanging="0"/>
              <w:jc w:val="left"/>
              <w:rPr/>
            </w:pPr>
            <w:r>
              <w:rPr/>
              <w:t> </w:t>
            </w:r>
          </w:p>
        </w:tc>
        <w:tc>
          <w:tcPr>
            <w:tcW w:w="42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6</w:t>
            </w:r>
          </w:p>
        </w:tc>
        <w:tc>
          <w:tcPr>
            <w:tcW w:w="72"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ind w:left="0" w:right="0" w:hanging="0"/>
              <w:jc w:val="left"/>
              <w:rPr/>
            </w:pPr>
            <w:r>
              <w:rPr/>
              <w:t> </w:t>
            </w:r>
          </w:p>
        </w:tc>
        <w:tc>
          <w:tcPr>
            <w:tcW w:w="42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pPr>
            <w:r>
              <w:rPr/>
              <w:t> </w:t>
            </w:r>
          </w:p>
        </w:tc>
        <w:tc>
          <w:tcPr>
            <w:tcW w:w="462" w:type="dxa"/>
            <w:tcBorders/>
            <w:shd w:fill="CCEEFF" w:val="clear"/>
            <w:tcMar>
              <w:bottom w:w="0" w:type="dxa"/>
            </w:tcMar>
            <w:vAlign w:val="center"/>
          </w:tcPr>
          <w:p>
            <w:pPr>
              <w:pStyle w:val="TableContents"/>
              <w:bidi w:val="0"/>
              <w:spacing w:before="0" w:after="283"/>
              <w:ind w:left="0" w:right="0" w:hanging="0"/>
              <w:jc w:val="right"/>
              <w:rPr/>
            </w:pPr>
            <w:r>
              <w:rPr/>
              <w:t>—</w:t>
            </w:r>
          </w:p>
        </w:tc>
        <w:tc>
          <w:tcPr>
            <w:tcW w:w="68"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ind w:left="0" w:right="0" w:hanging="0"/>
              <w:jc w:val="left"/>
              <w:rPr/>
            </w:pPr>
            <w:r>
              <w:rPr/>
              <w:t> </w:t>
            </w:r>
          </w:p>
        </w:tc>
        <w:tc>
          <w:tcPr>
            <w:tcW w:w="42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w:t>
            </w:r>
          </w:p>
        </w:tc>
        <w:tc>
          <w:tcPr>
            <w:tcW w:w="68"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ind w:left="0" w:right="0" w:hanging="0"/>
              <w:jc w:val="left"/>
              <w:rPr/>
            </w:pPr>
            <w:r>
              <w:rPr/>
              <w:t> </w:t>
            </w:r>
          </w:p>
        </w:tc>
        <w:tc>
          <w:tcPr>
            <w:tcW w:w="429" w:type="dxa"/>
            <w:tcBorders/>
            <w:shd w:fill="CCEEFF" w:val="clear"/>
            <w:tcMar>
              <w:bottom w:w="0" w:type="dxa"/>
            </w:tcMar>
            <w:vAlign w:val="center"/>
          </w:tcPr>
          <w:p>
            <w:pPr>
              <w:pStyle w:val="TableContents"/>
              <w:bidi w:val="0"/>
              <w:spacing w:before="0" w:after="283"/>
              <w:ind w:left="0" w:right="0" w:hanging="0"/>
              <w:jc w:val="right"/>
              <w:rPr/>
            </w:pPr>
            <w:r>
              <w:rPr/>
              <w:t>—</w:t>
            </w:r>
          </w:p>
        </w:tc>
        <w:tc>
          <w:tcPr>
            <w:tcW w:w="7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02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Foreign exchange forward contracts</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0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429" w:type="dxa"/>
            <w:tcBorders>
              <w:bottom w:val="single" w:sz="2" w:space="0" w:color="000000"/>
            </w:tcBorders>
            <w:shd w:fill="FFFFFF" w:val="clear"/>
            <w:vAlign w:val="center"/>
          </w:tcPr>
          <w:p>
            <w:pPr>
              <w:pStyle w:val="TableContents"/>
              <w:bidi w:val="0"/>
              <w:spacing w:before="0" w:after="0"/>
              <w:ind w:left="0" w:right="0" w:hanging="0"/>
              <w:jc w:val="right"/>
              <w:rPr/>
            </w:pPr>
            <w:r>
              <w:rPr/>
              <w:t>—</w:t>
            </w:r>
          </w:p>
        </w:tc>
        <w:tc>
          <w:tcPr>
            <w:tcW w:w="72"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2"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0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429" w:type="dxa"/>
            <w:tcBorders>
              <w:bottom w:val="single" w:sz="2" w:space="0" w:color="000000"/>
            </w:tcBorders>
            <w:shd w:fill="FFFFFF" w:val="clear"/>
            <w:vAlign w:val="center"/>
          </w:tcPr>
          <w:p>
            <w:pPr>
              <w:pStyle w:val="TableContents"/>
              <w:bidi w:val="0"/>
              <w:spacing w:before="0" w:after="0"/>
              <w:ind w:left="0" w:right="0" w:hanging="0"/>
              <w:jc w:val="right"/>
              <w:rPr/>
            </w:pPr>
            <w:r>
              <w:rPr/>
              <w:t>—</w:t>
            </w:r>
          </w:p>
        </w:tc>
        <w:tc>
          <w:tcPr>
            <w:tcW w:w="72"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2"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0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429" w:type="dxa"/>
            <w:tcBorders>
              <w:bottom w:val="single" w:sz="2" w:space="0" w:color="000000"/>
            </w:tcBorders>
            <w:shd w:fill="FFFFFF" w:val="cle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462" w:type="dxa"/>
            <w:tcBorders>
              <w:bottom w:val="single" w:sz="2" w:space="0" w:color="000000"/>
            </w:tcBorders>
            <w:shd w:fill="FFFFFF" w:val="clear"/>
            <w:vAlign w:val="center"/>
          </w:tcPr>
          <w:p>
            <w:pPr>
              <w:pStyle w:val="TableContents"/>
              <w:bidi w:val="0"/>
              <w:spacing w:before="0" w:after="0"/>
              <w:ind w:left="0" w:right="0" w:hanging="0"/>
              <w:jc w:val="right"/>
              <w:rPr/>
            </w:pPr>
            <w:r>
              <w:rPr/>
              <w:t>—</w:t>
            </w:r>
          </w:p>
        </w:tc>
        <w:tc>
          <w:tcPr>
            <w:tcW w:w="68"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0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429"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w:t>
            </w:r>
          </w:p>
        </w:tc>
        <w:tc>
          <w:tcPr>
            <w:tcW w:w="68"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0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429" w:type="dxa"/>
            <w:tcBorders>
              <w:bottom w:val="single" w:sz="2" w:space="0" w:color="000000"/>
            </w:tcBorders>
            <w:shd w:fill="FFFFFF" w:val="clear"/>
            <w:vAlign w:val="center"/>
          </w:tcPr>
          <w:p>
            <w:pPr>
              <w:pStyle w:val="TableContents"/>
              <w:bidi w:val="0"/>
              <w:spacing w:before="0" w:after="0"/>
              <w:ind w:left="0" w:right="0" w:hanging="0"/>
              <w:jc w:val="right"/>
              <w:rPr/>
            </w:pPr>
            <w:r>
              <w:rPr/>
              <w:t>—</w:t>
            </w:r>
          </w:p>
        </w:tc>
        <w:tc>
          <w:tcPr>
            <w:tcW w:w="75" w:type="dxa"/>
            <w:tcBorders>
              <w:bottom w:val="single" w:sz="2" w:space="0" w:color="000000"/>
            </w:tcBorders>
            <w:shd w:fill="FFFFFF" w:val="clear"/>
            <w:vAlign w:val="center"/>
          </w:tcPr>
          <w:p>
            <w:pPr>
              <w:pStyle w:val="TableContents"/>
              <w:bidi w:val="0"/>
              <w:spacing w:before="0" w:after="0"/>
              <w:jc w:val="left"/>
              <w:rPr/>
            </w:pPr>
            <w:r>
              <w:rPr/>
              <w:t> </w:t>
            </w:r>
          </w:p>
        </w:tc>
      </w:tr>
      <w:tr>
        <w:trPr/>
        <w:tc>
          <w:tcPr>
            <w:tcW w:w="3020"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assets</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bottom w:val="double" w:sz="6" w:space="0" w:color="000000"/>
            </w:tcBorders>
            <w:shd w:fill="CCEEFF" w:val="clear"/>
            <w:vAlign w:val="center"/>
          </w:tcPr>
          <w:p>
            <w:pPr>
              <w:pStyle w:val="TableContents"/>
              <w:bidi w:val="0"/>
              <w:spacing w:before="0" w:after="283"/>
              <w:ind w:left="0" w:right="0" w:hanging="0"/>
              <w:jc w:val="right"/>
              <w:rPr/>
            </w:pPr>
            <w:r>
              <w:rPr/>
              <w:t>—</w:t>
            </w:r>
          </w:p>
        </w:tc>
        <w:tc>
          <w:tcPr>
            <w:tcW w:w="72" w:type="dxa"/>
            <w:tcBorders>
              <w:bottom w:val="double" w:sz="6" w:space="0" w:color="000000"/>
            </w:tcBorders>
            <w:shd w:fill="CCEEFF" w:val="clear"/>
            <w:vAlign w:val="center"/>
          </w:tcPr>
          <w:p>
            <w:pPr>
              <w:pStyle w:val="TableContents"/>
              <w:bidi w:val="0"/>
              <w:spacing w:before="0" w:after="283"/>
              <w:jc w:val="left"/>
              <w:rPr/>
            </w:pPr>
            <w:r>
              <w:rPr/>
              <w:t> </w:t>
            </w:r>
          </w:p>
        </w:tc>
        <w:tc>
          <w:tcPr>
            <w:tcW w:w="72"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6</w:t>
            </w:r>
          </w:p>
        </w:tc>
        <w:tc>
          <w:tcPr>
            <w:tcW w:w="72" w:type="dxa"/>
            <w:tcBorders>
              <w:bottom w:val="double" w:sz="6" w:space="0" w:color="000000"/>
            </w:tcBorders>
            <w:shd w:fill="CCEEFF" w:val="clear"/>
            <w:vAlign w:val="center"/>
          </w:tcPr>
          <w:p>
            <w:pPr>
              <w:pStyle w:val="TableContents"/>
              <w:bidi w:val="0"/>
              <w:spacing w:before="0" w:after="283"/>
              <w:jc w:val="left"/>
              <w:rPr/>
            </w:pPr>
            <w:r>
              <w:rPr/>
              <w:t> </w:t>
            </w:r>
          </w:p>
        </w:tc>
        <w:tc>
          <w:tcPr>
            <w:tcW w:w="72"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bottom w:val="double" w:sz="6"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62"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120</w:t>
            </w:r>
          </w:p>
        </w:tc>
        <w:tc>
          <w:tcPr>
            <w:tcW w:w="68" w:type="dxa"/>
            <w:tcBorders>
              <w:bottom w:val="double" w:sz="6" w:space="0" w:color="000000"/>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w:t>
            </w:r>
          </w:p>
        </w:tc>
        <w:tc>
          <w:tcPr>
            <w:tcW w:w="68" w:type="dxa"/>
            <w:tcBorders>
              <w:bottom w:val="double" w:sz="6" w:space="0" w:color="000000"/>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bottom w:val="double" w:sz="6" w:space="0" w:color="000000"/>
            </w:tcBorders>
            <w:shd w:fill="CCEEFF" w:val="clear"/>
            <w:vAlign w:val="center"/>
          </w:tcPr>
          <w:p>
            <w:pPr>
              <w:pStyle w:val="TableContents"/>
              <w:bidi w:val="0"/>
              <w:spacing w:before="0" w:after="283"/>
              <w:ind w:left="0" w:right="0" w:hanging="0"/>
              <w:jc w:val="right"/>
              <w:rPr/>
            </w:pPr>
            <w:r>
              <w:rPr/>
              <w:t>—</w:t>
            </w:r>
          </w:p>
        </w:tc>
        <w:tc>
          <w:tcPr>
            <w:tcW w:w="75" w:type="dxa"/>
            <w:tcBorders>
              <w:bottom w:val="double" w:sz="6" w:space="0" w:color="000000"/>
            </w:tcBorders>
            <w:shd w:fill="CCEEFF" w:val="clear"/>
            <w:vAlign w:val="center"/>
          </w:tcPr>
          <w:p>
            <w:pPr>
              <w:pStyle w:val="TableContents"/>
              <w:bidi w:val="0"/>
              <w:spacing w:before="0" w:after="283"/>
              <w:jc w:val="left"/>
              <w:rPr/>
            </w:pPr>
            <w:r>
              <w:rPr/>
              <w:t> </w:t>
            </w:r>
          </w:p>
        </w:tc>
      </w:tr>
      <w:tr>
        <w:trPr/>
        <w:tc>
          <w:tcPr>
            <w:tcW w:w="302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429"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429"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42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462"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429"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429"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2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Contingent consideration</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shd w:fill="CCEEFF" w:val="clear"/>
            <w:tcMar>
              <w:bottom w:w="0" w:type="dxa"/>
            </w:tcMar>
            <w:vAlign w:val="center"/>
          </w:tcPr>
          <w:p>
            <w:pPr>
              <w:pStyle w:val="TableContents"/>
              <w:bidi w:val="0"/>
              <w:spacing w:before="0" w:after="283"/>
              <w:ind w:left="0" w:right="0" w:hanging="0"/>
              <w:jc w:val="right"/>
              <w:rPr/>
            </w:pPr>
            <w:r>
              <w:rPr/>
              <w:t>—</w:t>
            </w:r>
          </w:p>
        </w:tc>
        <w:tc>
          <w:tcPr>
            <w:tcW w:w="72"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20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shd w:fill="CCEEFF" w:val="clear"/>
            <w:tcMar>
              <w:bottom w:w="0" w:type="dxa"/>
            </w:tcMar>
            <w:vAlign w:val="center"/>
          </w:tcPr>
          <w:p>
            <w:pPr>
              <w:pStyle w:val="TableContents"/>
              <w:bidi w:val="0"/>
              <w:spacing w:before="0" w:after="283"/>
              <w:ind w:left="0" w:right="0" w:hanging="0"/>
              <w:jc w:val="right"/>
              <w:rPr/>
            </w:pPr>
            <w:r>
              <w:rPr/>
              <w:t>—</w:t>
            </w:r>
          </w:p>
        </w:tc>
        <w:tc>
          <w:tcPr>
            <w:tcW w:w="72"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20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62" w:type="dxa"/>
            <w:tcBorders/>
            <w:shd w:fill="CCEEFF" w:val="clear"/>
            <w:tcMar>
              <w:bottom w:w="0" w:type="dxa"/>
            </w:tcMar>
            <w:vAlign w:val="center"/>
          </w:tcPr>
          <w:p>
            <w:pPr>
              <w:pStyle w:val="TableContents"/>
              <w:bidi w:val="0"/>
              <w:spacing w:before="0" w:after="283"/>
              <w:ind w:left="0" w:right="0" w:hanging="0"/>
              <w:jc w:val="right"/>
              <w:rPr/>
            </w:pPr>
            <w:r>
              <w:rPr/>
              <w:t>—</w:t>
            </w:r>
          </w:p>
        </w:tc>
        <w:tc>
          <w:tcPr>
            <w:tcW w:w="68"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ind w:left="0" w:right="0" w:hanging="0"/>
              <w:jc w:val="left"/>
              <w:rPr/>
            </w:pPr>
            <w:r>
              <w:rPr/>
              <w:t> </w:t>
            </w:r>
          </w:p>
        </w:tc>
        <w:tc>
          <w:tcPr>
            <w:tcW w:w="20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shd w:fill="CCEEFF" w:val="clear"/>
            <w:tcMar>
              <w:bottom w:w="0" w:type="dxa"/>
            </w:tcMar>
            <w:vAlign w:val="center"/>
          </w:tcPr>
          <w:p>
            <w:pPr>
              <w:pStyle w:val="TableContents"/>
              <w:bidi w:val="0"/>
              <w:spacing w:before="0" w:after="283"/>
              <w:ind w:left="0" w:right="0" w:hanging="0"/>
              <w:jc w:val="right"/>
              <w:rPr/>
            </w:pPr>
            <w:r>
              <w:rPr/>
              <w:t>—</w:t>
            </w:r>
          </w:p>
        </w:tc>
        <w:tc>
          <w:tcPr>
            <w:tcW w:w="68"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ind w:left="0" w:right="0" w:hanging="0"/>
              <w:jc w:val="left"/>
              <w:rPr/>
            </w:pPr>
            <w:r>
              <w:rPr/>
              <w:t> </w:t>
            </w:r>
          </w:p>
        </w:tc>
        <w:tc>
          <w:tcPr>
            <w:tcW w:w="20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2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Foreign exchange forward contracts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29"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72" w:type="dxa"/>
            <w:tcBorders>
              <w:bottom w:val="single" w:sz="2" w:space="0" w:color="000000"/>
            </w:tcBorders>
            <w:shd w:fill="FFFFFF" w:val="clear"/>
            <w:vAlign w:val="center"/>
          </w:tcPr>
          <w:p>
            <w:pPr>
              <w:pStyle w:val="TableContents"/>
              <w:bidi w:val="0"/>
              <w:spacing w:before="0" w:after="283"/>
              <w:jc w:val="left"/>
              <w:rPr/>
            </w:pPr>
            <w:r>
              <w:rPr/>
              <w:t> </w:t>
            </w:r>
          </w:p>
        </w:tc>
        <w:tc>
          <w:tcPr>
            <w:tcW w:w="72" w:type="dxa"/>
            <w:tcBorders>
              <w:bottom w:val="single" w:sz="2" w:space="0" w:color="000000"/>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29"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w:t>
            </w:r>
          </w:p>
        </w:tc>
        <w:tc>
          <w:tcPr>
            <w:tcW w:w="72" w:type="dxa"/>
            <w:tcBorders>
              <w:bottom w:val="single" w:sz="2" w:space="0" w:color="000000"/>
            </w:tcBorders>
            <w:shd w:fill="FFFFFF" w:val="clear"/>
            <w:vAlign w:val="center"/>
          </w:tcPr>
          <w:p>
            <w:pPr>
              <w:pStyle w:val="TableContents"/>
              <w:bidi w:val="0"/>
              <w:spacing w:before="0" w:after="283"/>
              <w:jc w:val="left"/>
              <w:rPr/>
            </w:pPr>
            <w:r>
              <w:rPr/>
              <w:t> </w:t>
            </w:r>
          </w:p>
        </w:tc>
        <w:tc>
          <w:tcPr>
            <w:tcW w:w="72" w:type="dxa"/>
            <w:tcBorders>
              <w:bottom w:val="single" w:sz="2" w:space="0" w:color="000000"/>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29"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2"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8" w:type="dxa"/>
            <w:tcBorders>
              <w:bottom w:val="single" w:sz="2" w:space="0" w:color="000000"/>
            </w:tcBorders>
            <w:shd w:fill="FFFFFF" w:val="clear"/>
            <w:vAlign w:val="center"/>
          </w:tcPr>
          <w:p>
            <w:pPr>
              <w:pStyle w:val="TableContents"/>
              <w:bidi w:val="0"/>
              <w:spacing w:before="0" w:after="283"/>
              <w:jc w:val="left"/>
              <w:rPr/>
            </w:pPr>
            <w:r>
              <w:rPr/>
              <w:t> </w:t>
            </w:r>
          </w:p>
        </w:tc>
        <w:tc>
          <w:tcPr>
            <w:tcW w:w="68" w:type="dxa"/>
            <w:tcBorders>
              <w:bottom w:val="single" w:sz="2" w:space="0" w:color="000000"/>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29"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8" w:type="dxa"/>
            <w:tcBorders>
              <w:bottom w:val="single" w:sz="2" w:space="0" w:color="000000"/>
            </w:tcBorders>
            <w:shd w:fill="FFFFFF" w:val="clear"/>
            <w:vAlign w:val="center"/>
          </w:tcPr>
          <w:p>
            <w:pPr>
              <w:pStyle w:val="TableContents"/>
              <w:bidi w:val="0"/>
              <w:spacing w:before="0" w:after="283"/>
              <w:jc w:val="left"/>
              <w:rPr/>
            </w:pPr>
            <w:r>
              <w:rPr/>
              <w:t> </w:t>
            </w:r>
          </w:p>
        </w:tc>
        <w:tc>
          <w:tcPr>
            <w:tcW w:w="68" w:type="dxa"/>
            <w:tcBorders>
              <w:bottom w:val="single" w:sz="2" w:space="0" w:color="000000"/>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29"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7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020"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liabilities</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bottom w:val="double" w:sz="6" w:space="0" w:color="000000"/>
            </w:tcBorders>
            <w:shd w:fill="FFFFFF" w:val="clear"/>
            <w:vAlign w:val="center"/>
          </w:tcPr>
          <w:p>
            <w:pPr>
              <w:pStyle w:val="TableContents"/>
              <w:bidi w:val="0"/>
              <w:spacing w:before="0" w:after="283"/>
              <w:ind w:left="0" w:right="0" w:hanging="0"/>
              <w:jc w:val="right"/>
              <w:rPr/>
            </w:pPr>
            <w:r>
              <w:rPr/>
              <w:t>—</w:t>
            </w:r>
          </w:p>
        </w:tc>
        <w:tc>
          <w:tcPr>
            <w:tcW w:w="72" w:type="dxa"/>
            <w:tcBorders>
              <w:bottom w:val="double" w:sz="6" w:space="0" w:color="000000"/>
            </w:tcBorders>
            <w:shd w:fill="FFFFFF" w:val="clear"/>
            <w:vAlign w:val="center"/>
          </w:tcPr>
          <w:p>
            <w:pPr>
              <w:pStyle w:val="TableContents"/>
              <w:bidi w:val="0"/>
              <w:spacing w:before="0" w:after="283"/>
              <w:jc w:val="left"/>
              <w:rPr/>
            </w:pPr>
            <w:r>
              <w:rPr/>
              <w:t> </w:t>
            </w:r>
          </w:p>
        </w:tc>
        <w:tc>
          <w:tcPr>
            <w:tcW w:w="72"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w:t>
            </w:r>
          </w:p>
        </w:tc>
        <w:tc>
          <w:tcPr>
            <w:tcW w:w="72" w:type="dxa"/>
            <w:tcBorders>
              <w:bottom w:val="double" w:sz="6" w:space="0" w:color="000000"/>
            </w:tcBorders>
            <w:shd w:fill="FFFFFF" w:val="clear"/>
            <w:vAlign w:val="center"/>
          </w:tcPr>
          <w:p>
            <w:pPr>
              <w:pStyle w:val="TableContents"/>
              <w:bidi w:val="0"/>
              <w:spacing w:before="0" w:after="283"/>
              <w:jc w:val="left"/>
              <w:rPr/>
            </w:pPr>
            <w:r>
              <w:rPr/>
              <w:t> </w:t>
            </w:r>
          </w:p>
        </w:tc>
        <w:tc>
          <w:tcPr>
            <w:tcW w:w="72"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62" w:type="dxa"/>
            <w:tcBorders>
              <w:bottom w:val="double" w:sz="6" w:space="0" w:color="000000"/>
            </w:tcBorders>
            <w:shd w:fill="FFFFFF" w:val="clear"/>
            <w:vAlign w:val="center"/>
          </w:tcPr>
          <w:p>
            <w:pPr>
              <w:pStyle w:val="TableContents"/>
              <w:bidi w:val="0"/>
              <w:spacing w:before="0" w:after="283"/>
              <w:ind w:left="0" w:right="0" w:hanging="0"/>
              <w:jc w:val="right"/>
              <w:rPr/>
            </w:pPr>
            <w:r>
              <w:rPr/>
              <w:t>—</w:t>
            </w:r>
          </w:p>
        </w:tc>
        <w:tc>
          <w:tcPr>
            <w:tcW w:w="68" w:type="dxa"/>
            <w:tcBorders>
              <w:bottom w:val="double" w:sz="6" w:space="0" w:color="000000"/>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bottom w:val="double" w:sz="6" w:space="0" w:color="000000"/>
            </w:tcBorders>
            <w:shd w:fill="FFFFFF" w:val="clear"/>
            <w:vAlign w:val="center"/>
          </w:tcPr>
          <w:p>
            <w:pPr>
              <w:pStyle w:val="TableContents"/>
              <w:bidi w:val="0"/>
              <w:spacing w:before="0" w:after="283"/>
              <w:ind w:left="0" w:right="0" w:hanging="0"/>
              <w:jc w:val="right"/>
              <w:rPr/>
            </w:pPr>
            <w:r>
              <w:rPr/>
              <w:t>—</w:t>
            </w:r>
          </w:p>
        </w:tc>
        <w:tc>
          <w:tcPr>
            <w:tcW w:w="68" w:type="dxa"/>
            <w:tcBorders>
              <w:bottom w:val="double" w:sz="6" w:space="0" w:color="000000"/>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35</w:t>
            </w:r>
          </w:p>
        </w:tc>
        <w:tc>
          <w:tcPr>
            <w:tcW w:w="75"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 w:hAnsi="arial"/>
          <w:caps w:val="false"/>
          <w:smallCaps w:val="false"/>
          <w:sz w:val="20"/>
        </w:rPr>
        <w:t xml:space="preserve">There were </w:t>
      </w:r>
      <w:r>
        <w:rPr>
          <w:rStyle w:val="Emphasis"/>
          <w:rFonts w:ascii="arial" w:hAnsi="arial"/>
          <w:caps w:val="false"/>
          <w:smallCaps w:val="false"/>
          <w:sz w:val="20"/>
        </w:rPr>
        <w:t>no</w:t>
      </w:r>
      <w:r>
        <w:rPr>
          <w:rFonts w:ascii="arial" w:hAnsi="arial"/>
          <w:caps w:val="false"/>
          <w:smallCaps w:val="false"/>
          <w:sz w:val="20"/>
        </w:rPr>
        <w:t xml:space="preserve"> transfers into or out of Level </w:t>
      </w:r>
      <w:r>
        <w:rPr>
          <w:rStyle w:val="Emphasis"/>
          <w:rFonts w:ascii="arial" w:hAnsi="arial"/>
          <w:caps w:val="false"/>
          <w:smallCaps w:val="false"/>
          <w:sz w:val="20"/>
        </w:rPr>
        <w:t>1,</w:t>
      </w:r>
      <w:r>
        <w:rPr>
          <w:rFonts w:ascii="arial" w:hAnsi="arial"/>
          <w:caps w:val="false"/>
          <w:smallCaps w:val="false"/>
          <w:sz w:val="20"/>
        </w:rPr>
        <w:t xml:space="preserve"> Level </w:t>
      </w:r>
      <w:r>
        <w:rPr>
          <w:rStyle w:val="Emphasis"/>
          <w:rFonts w:ascii="arial" w:hAnsi="arial"/>
          <w:caps w:val="false"/>
          <w:smallCaps w:val="false"/>
          <w:sz w:val="20"/>
        </w:rPr>
        <w:t>2,</w:t>
      </w:r>
      <w:r>
        <w:rPr>
          <w:rFonts w:ascii="arial" w:hAnsi="arial"/>
          <w:caps w:val="false"/>
          <w:smallCaps w:val="false"/>
          <w:sz w:val="20"/>
        </w:rPr>
        <w:t xml:space="preserve"> or Level </w:t>
      </w:r>
      <w:r>
        <w:rPr>
          <w:rStyle w:val="Emphasis"/>
          <w:rFonts w:ascii="arial" w:hAnsi="arial"/>
          <w:caps w:val="false"/>
          <w:smallCaps w:val="false"/>
          <w:sz w:val="20"/>
        </w:rPr>
        <w:t>3</w:t>
      </w:r>
      <w:r>
        <w:rPr>
          <w:rFonts w:ascii="arial" w:hAnsi="arial"/>
          <w:caps w:val="false"/>
          <w:smallCaps w:val="false"/>
          <w:sz w:val="20"/>
        </w:rPr>
        <w:t xml:space="preserve"> assets and liabilities for any of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rPr>
      </w:pPr>
      <w:r>
        <w:rPr>
          <w:rFonts w:ascii="arial" w:hAnsi="arial"/>
          <w:i/>
          <w:caps w:val="false"/>
          <w:smallCaps w:val="false"/>
          <w:sz w:val="20"/>
        </w:rPr>
        <w:t>Long-Term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 w:hAnsi="arial"/>
          <w:caps w:val="false"/>
          <w:smallCaps w:val="false"/>
          <w:sz w:val="20"/>
        </w:rPr>
        <w:t xml:space="preserve">The fair value of long-term debt is determined by using model-derived valuations in which all significant inputs or significant value drivers are observable in active markets and, therefore, are classified as Level </w:t>
      </w:r>
      <w:r>
        <w:rPr>
          <w:rStyle w:val="Emphasis"/>
          <w:rFonts w:ascii="arial" w:hAnsi="arial"/>
          <w:caps w:val="false"/>
          <w:smallCaps w:val="false"/>
          <w:sz w:val="20"/>
        </w:rPr>
        <w:t>2.</w:t>
      </w:r>
      <w:r>
        <w:rPr>
          <w:rFonts w:ascii="arial" w:hAnsi="arial"/>
          <w:caps w:val="false"/>
          <w:smallCaps w:val="false"/>
          <w:sz w:val="20"/>
        </w:rPr>
        <w:t xml:space="preserve"> The carrying value and estimated fair value of long-term debt were as follows:</w:t>
      </w:r>
    </w:p>
    <w:p>
      <w:pPr>
        <w:pStyle w:val="TextBody"/>
        <w:bidi w:val="0"/>
        <w:spacing w:before="0" w:after="0"/>
        <w:ind w:left="0" w:right="0" w:hanging="0"/>
        <w:jc w:val="left"/>
        <w:rPr>
          <w:caps w:val="false"/>
          <w:smallCaps w:val="false"/>
        </w:rPr>
      </w:pPr>
      <w:r>
        <w:rPr>
          <w:caps w:val="false"/>
          <w:smallCaps w:val="false"/>
        </w:rPr>
        <w:t> </w:t>
      </w:r>
    </w:p>
    <w:tbl>
      <w:tblPr>
        <w:tblW w:w="4108" w:type="dxa"/>
        <w:jc w:val="left"/>
        <w:tblInd w:w="0" w:type="dxa"/>
        <w:tblLayout w:type="fixed"/>
        <w:tblCellMar>
          <w:top w:w="0" w:type="dxa"/>
          <w:left w:w="0" w:type="dxa"/>
          <w:bottom w:w="28" w:type="dxa"/>
          <w:right w:w="0" w:type="dxa"/>
        </w:tblCellMar>
      </w:tblPr>
      <w:tblGrid>
        <w:gridCol w:w="1490"/>
        <w:gridCol w:w="60"/>
        <w:gridCol w:w="323"/>
        <w:gridCol w:w="866"/>
        <w:gridCol w:w="60"/>
        <w:gridCol w:w="60"/>
        <w:gridCol w:w="323"/>
        <w:gridCol w:w="866"/>
        <w:gridCol w:w="60"/>
      </w:tblGrid>
      <w:tr>
        <w:trPr/>
        <w:tc>
          <w:tcPr>
            <w:tcW w:w="149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April 29, 2023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April 30, 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490" w:type="dxa"/>
            <w:tcBorders/>
            <w:shd w:fill="CCEE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Carrying value (1)</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23"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6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23"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6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394</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49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Fair value</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23"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6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339</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23"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6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332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lineRule="auto" w:line="288" w:before="0" w:after="283"/>
              <w:jc w:val="left"/>
              <w:rPr/>
            </w:pPr>
            <w:r>
              <w:rPr>
                <w:sz w:val="16"/>
              </w:rPr>
              <w:t>(</w:t>
            </w:r>
            <w:r>
              <w:rPr>
                <w:rStyle w:val="Emphasis"/>
                <w:sz w:val="16"/>
              </w:rPr>
              <w:t>1</w:t>
            </w:r>
            <w:r>
              <w:rPr>
                <w:sz w:val="16"/>
              </w:rPr>
              <w:t>)</w:t>
            </w:r>
          </w:p>
        </w:tc>
        <w:tc>
          <w:tcPr>
            <w:tcW w:w="9980" w:type="dxa"/>
            <w:tcBorders/>
            <w:vAlign w:val="center"/>
          </w:tcPr>
          <w:p>
            <w:pPr>
              <w:pStyle w:val="TableContents"/>
              <w:bidi w:val="0"/>
              <w:spacing w:before="0" w:after="0"/>
              <w:ind w:left="0" w:right="0" w:hanging="0"/>
              <w:jc w:val="left"/>
              <w:rPr/>
            </w:pPr>
            <w:r>
              <w:rPr>
                <w:rFonts w:ascii="Arial;Helvetica;sans-serif" w:hAnsi="Arial;Helvetica;sans-serif"/>
                <w:sz w:val="16"/>
              </w:rPr>
              <w:t xml:space="preserve">The carrying value of debt as of </w:t>
            </w:r>
            <w:r>
              <w:rPr>
                <w:rStyle w:val="Emphasis"/>
                <w:rFonts w:ascii="Arial;Helvetica;sans-serif" w:hAnsi="Arial;Helvetica;sans-serif"/>
                <w:sz w:val="16"/>
              </w:rPr>
              <w:t>April 29, 2023</w:t>
            </w:r>
            <w:r>
              <w:rPr>
                <w:rFonts w:ascii="Arial;Helvetica;sans-serif" w:hAnsi="Arial;Helvetica;sans-serif"/>
                <w:sz w:val="16"/>
              </w:rPr>
              <w:t xml:space="preserve"> and </w:t>
            </w:r>
            <w:r>
              <w:rPr>
                <w:rStyle w:val="Emphasis"/>
                <w:rFonts w:ascii="Arial;Helvetica;sans-serif" w:hAnsi="Arial;Helvetica;sans-serif"/>
                <w:sz w:val="16"/>
              </w:rPr>
              <w:t>April 30, 2022</w:t>
            </w:r>
            <w:r>
              <w:rPr>
                <w:rFonts w:ascii="Arial;Helvetica;sans-serif" w:hAnsi="Arial;Helvetica;sans-serif"/>
                <w:sz w:val="16"/>
              </w:rPr>
              <w:t> included $5 million and $6 million of issuer’s discount and costs,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The carrying values of cash and cash equivalents, and other current receivables and payables approximate their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pPr>
      <w:r>
        <w:rPr>
          <w:rFonts w:ascii="Arial;Helvetica;sans-serif" w:hAnsi="Arial;Helvetica;sans-serif"/>
          <w:sz w:val="20"/>
        </w:rPr>
        <w:t xml:space="preserve">First Quarter </w:t>
      </w: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-Q Page </w:t>
      </w:r>
      <w:r>
        <w:rPr>
          <w:rStyle w:val="Emphasis"/>
          <w:rFonts w:ascii="Arial;Helvetica;sans-serif" w:hAnsi="Arial;Helvetica;sans-serif"/>
          <w:sz w:val="20"/>
        </w:rPr>
        <w:t>10</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jc w:val="center"/>
        <w:rPr/>
      </w:pPr>
      <w:r>
        <w:rPr/>
        <w:drawing>
          <wp:inline distT="0" distB="0" distL="0" distR="0">
            <wp:extent cx="2695575" cy="3143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695575" cy="314325"/>
                    </a:xfrm>
                    <a:prstGeom prst="rect">
                      <a:avLst/>
                    </a:prstGeom>
                  </pic:spPr>
                </pic:pic>
              </a:graphicData>
            </a:graphic>
          </wp:inline>
        </w:drawing>
      </w:r>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THE UNAUDITED CONDENSED CONSOLIDATED FINANCIAL STATEMENTS</w:t>
      </w:r>
    </w:p>
    <w:p>
      <w:pPr>
        <w:pStyle w:val="TextBody"/>
        <w:bidi w:val="0"/>
        <w:spacing w:lineRule="auto" w:line="240" w:before="0" w:after="0"/>
        <w:ind w:left="0" w:right="0" w:hanging="0"/>
        <w:jc w:val="left"/>
        <w:rPr/>
      </w:pPr>
      <w:r>
        <w:rPr/>
        <w:t> </w:t>
      </w:r>
    </w:p>
    <w:p>
      <w:pPr>
        <w:pStyle w:val="TextBody"/>
        <w:bidi w:val="0"/>
        <w:spacing w:lineRule="auto" w:line="240"/>
        <w:jc w:val="left"/>
        <w:rPr/>
      </w:pPr>
      <w:r>
        <w:rPr/>
        <w:t xml:space="preserve">  </w:t>
      </w:r>
    </w:p>
    <w:p>
      <w:pPr>
        <w:pStyle w:val="TextBody"/>
        <w:bidi w:val="0"/>
        <w:spacing w:lineRule="auto" w:line="240" w:before="0" w:after="0"/>
        <w:ind w:left="0" w:right="0" w:hanging="0"/>
        <w:jc w:val="left"/>
        <w:rPr/>
      </w:pPr>
      <w:r>
        <w:rPr>
          <w:rStyle w:val="Emphasis"/>
          <w:rFonts w:ascii="arial" w:hAnsi="arial"/>
          <w:b/>
          <w:caps w:val="false"/>
          <w:smallCaps w:val="false"/>
          <w:sz w:val="20"/>
        </w:rPr>
        <w:t>9.</w:t>
      </w:r>
      <w:r>
        <w:rPr>
          <w:rFonts w:ascii="arial" w:hAnsi="arial"/>
          <w:b/>
          <w:caps w:val="false"/>
          <w:smallCaps w:val="false"/>
          <w:sz w:val="20"/>
        </w:rPr>
        <w:t xml:space="preserve">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 w:hAnsi="arial"/>
          <w:caps w:val="false"/>
          <w:smallCaps w:val="false"/>
          <w:sz w:val="20"/>
        </w:rPr>
        <w:t xml:space="preserve">We account for earnings per share (“EPS”) using the treasury stock method. Basic EPS is computed by dividing net income for the period by the weighted-average number of common shares outstanding at the end of the period. Diluted earnings per share reflects the weighted-average number of common shares outstanding during the period used in the basic EPS computation plus dilutive common stock equivalents. The computation of diluted earnings per share does </w:t>
      </w:r>
      <w:r>
        <w:rPr>
          <w:rStyle w:val="Emphasis"/>
          <w:rFonts w:ascii="arial" w:hAnsi="arial"/>
          <w:caps w:val="false"/>
          <w:smallCaps w:val="false"/>
          <w:sz w:val="20"/>
        </w:rPr>
        <w:t>not</w:t>
      </w:r>
      <w:r>
        <w:rPr>
          <w:rFonts w:ascii="arial" w:hAnsi="arial"/>
          <w:caps w:val="false"/>
          <w:smallCaps w:val="false"/>
          <w:sz w:val="20"/>
        </w:rPr>
        <w:t xml:space="preserve"> assume conversion, exercise, or contingent issuance of securities that would have an anti-dilutive effect on EPS. The computation of basic and diluted EPS is as follows:</w:t>
      </w:r>
    </w:p>
    <w:p>
      <w:pPr>
        <w:pStyle w:val="TextBody"/>
        <w:bidi w:val="0"/>
        <w:spacing w:before="0" w:after="0"/>
        <w:ind w:left="0" w:right="0" w:hanging="0"/>
        <w:jc w:val="left"/>
        <w:rPr>
          <w:caps w:val="false"/>
          <w:smallCaps w:val="false"/>
        </w:rPr>
      </w:pPr>
      <w:r>
        <w:rPr>
          <w:caps w:val="false"/>
          <w:smallCaps w:val="false"/>
        </w:rPr>
        <w:t> </w:t>
      </w:r>
    </w:p>
    <w:tbl>
      <w:tblPr>
        <w:tblW w:w="7447" w:type="dxa"/>
        <w:jc w:val="left"/>
        <w:tblInd w:w="0" w:type="dxa"/>
        <w:tblLayout w:type="fixed"/>
        <w:tblCellMar>
          <w:top w:w="0" w:type="dxa"/>
          <w:left w:w="0" w:type="dxa"/>
          <w:bottom w:w="28" w:type="dxa"/>
          <w:right w:w="0" w:type="dxa"/>
        </w:tblCellMar>
      </w:tblPr>
      <w:tblGrid>
        <w:gridCol w:w="5435"/>
        <w:gridCol w:w="60"/>
        <w:gridCol w:w="209"/>
        <w:gridCol w:w="637"/>
        <w:gridCol w:w="100"/>
        <w:gridCol w:w="100"/>
        <w:gridCol w:w="209"/>
        <w:gridCol w:w="637"/>
        <w:gridCol w:w="60"/>
      </w:tblGrid>
      <w:tr>
        <w:trPr/>
        <w:tc>
          <w:tcPr>
            <w:tcW w:w="543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2"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Thirteen weeks ended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43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6"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April 29,</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ind w:left="0" w:right="0" w:hanging="0"/>
              <w:jc w:val="left"/>
              <w:rPr/>
            </w:pPr>
            <w:r>
              <w:rPr/>
              <w:t> </w:t>
            </w:r>
          </w:p>
        </w:tc>
        <w:tc>
          <w:tcPr>
            <w:tcW w:w="846"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April 30,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43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 millions, except per share data)</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6"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100" w:type="dxa"/>
            <w:tcBorders>
              <w:bottom w:val="single" w:sz="2" w:space="0" w:color="000000"/>
            </w:tcBorders>
            <w:shd w:fill="FFFFFF" w:val="clear"/>
            <w:vAlign w:val="center"/>
          </w:tcPr>
          <w:p>
            <w:pPr>
              <w:pStyle w:val="TableContents"/>
              <w:bidi w:val="0"/>
              <w:spacing w:before="0" w:after="283"/>
              <w:jc w:val="left"/>
              <w:rPr/>
            </w:pPr>
            <w:r>
              <w:rPr/>
              <w:t> </w:t>
            </w:r>
          </w:p>
        </w:tc>
        <w:tc>
          <w:tcPr>
            <w:tcW w:w="10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6"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43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income attributable to Foot Locker, Inc.</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9"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37"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36</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ind w:left="0" w:right="0" w:hanging="0"/>
              <w:jc w:val="left"/>
              <w:rPr/>
            </w:pPr>
            <w:r>
              <w:rPr/>
              <w:t> </w:t>
            </w:r>
          </w:p>
        </w:tc>
        <w:tc>
          <w:tcPr>
            <w:tcW w:w="209"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37"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43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Weighted-average common shares outstanding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ind w:left="0" w:right="0" w:hanging="0"/>
              <w:jc w:val="left"/>
              <w:rPr/>
            </w:pPr>
            <w:r>
              <w:rPr/>
              <w:t> </w:t>
            </w:r>
          </w:p>
        </w:tc>
        <w:tc>
          <w:tcPr>
            <w:tcW w:w="637"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93.7</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ind w:left="0" w:right="0" w:hanging="0"/>
              <w:jc w:val="left"/>
              <w:rPr/>
            </w:pPr>
            <w:r>
              <w:rPr/>
              <w:t> </w:t>
            </w:r>
          </w:p>
        </w:tc>
        <w:tc>
          <w:tcPr>
            <w:tcW w:w="637"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96.1</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43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Dilutive effect of potential common shares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0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1.4</w:t>
            </w:r>
          </w:p>
        </w:tc>
        <w:tc>
          <w:tcPr>
            <w:tcW w:w="100" w:type="dxa"/>
            <w:tcBorders>
              <w:bottom w:val="single" w:sz="2" w:space="0" w:color="000000"/>
            </w:tcBorders>
            <w:shd w:fill="CCEEFF" w:val="clear"/>
            <w:vAlign w:val="center"/>
          </w:tcPr>
          <w:p>
            <w:pPr>
              <w:pStyle w:val="TableContents"/>
              <w:bidi w:val="0"/>
              <w:spacing w:before="0" w:after="283"/>
              <w:jc w:val="left"/>
              <w:rPr/>
            </w:pPr>
            <w:r>
              <w:rPr/>
              <w:t> </w:t>
            </w:r>
          </w:p>
        </w:tc>
        <w:tc>
          <w:tcPr>
            <w:tcW w:w="100" w:type="dxa"/>
            <w:tcBorders>
              <w:bottom w:val="single" w:sz="2" w:space="0" w:color="000000"/>
            </w:tcBorders>
            <w:shd w:fill="CCEEFF" w:val="clear"/>
            <w:vAlign w:val="center"/>
          </w:tcPr>
          <w:p>
            <w:pPr>
              <w:pStyle w:val="TableContents"/>
              <w:bidi w:val="0"/>
              <w:spacing w:before="0" w:after="283"/>
              <w:jc w:val="left"/>
              <w:rPr/>
            </w:pPr>
            <w:r>
              <w:rPr/>
              <w:t> </w:t>
            </w:r>
          </w:p>
        </w:tc>
        <w:tc>
          <w:tcPr>
            <w:tcW w:w="20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5435"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Weighted-average common shares outstanding assuming dilution</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637"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95.1</w:t>
            </w:r>
          </w:p>
        </w:tc>
        <w:tc>
          <w:tcPr>
            <w:tcW w:w="100" w:type="dxa"/>
            <w:tcBorders>
              <w:bottom w:val="double" w:sz="6" w:space="0" w:color="000000"/>
            </w:tcBorders>
            <w:shd w:fill="FFFFFF" w:val="clear"/>
            <w:vAlign w:val="center"/>
          </w:tcPr>
          <w:p>
            <w:pPr>
              <w:pStyle w:val="TableContents"/>
              <w:bidi w:val="0"/>
              <w:spacing w:before="0" w:after="283"/>
              <w:jc w:val="left"/>
              <w:rPr/>
            </w:pPr>
            <w:r>
              <w:rPr/>
              <w:t> </w:t>
            </w:r>
          </w:p>
        </w:tc>
        <w:tc>
          <w:tcPr>
            <w:tcW w:w="100" w:type="dxa"/>
            <w:tcBorders>
              <w:bottom w:val="double" w:sz="6" w:space="0" w:color="000000"/>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637"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97.2</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r>
        <w:trPr/>
        <w:tc>
          <w:tcPr>
            <w:tcW w:w="5435"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6"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ind w:left="0" w:right="0" w:hanging="0"/>
              <w:jc w:val="left"/>
              <w:rPr/>
            </w:pPr>
            <w:r>
              <w:rPr/>
              <w:t> </w:t>
            </w:r>
          </w:p>
        </w:tc>
        <w:tc>
          <w:tcPr>
            <w:tcW w:w="846"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43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Earnings per share - basic</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9"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37"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0.39</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ind w:left="0" w:right="0" w:hanging="0"/>
              <w:jc w:val="left"/>
              <w:rPr/>
            </w:pPr>
            <w:r>
              <w:rPr/>
              <w:t> </w:t>
            </w:r>
          </w:p>
        </w:tc>
        <w:tc>
          <w:tcPr>
            <w:tcW w:w="209"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37"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1.38</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43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Earnings per share - diluted</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9"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37"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0.38</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ind w:left="0" w:right="0" w:hanging="0"/>
              <w:jc w:val="left"/>
              <w:rPr/>
            </w:pPr>
            <w:r>
              <w:rPr/>
              <w:t> </w:t>
            </w:r>
          </w:p>
        </w:tc>
        <w:tc>
          <w:tcPr>
            <w:tcW w:w="209"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37"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43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6"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ind w:left="0" w:right="0" w:hanging="0"/>
              <w:jc w:val="left"/>
              <w:rPr/>
            </w:pPr>
            <w:r>
              <w:rPr/>
              <w:t> </w:t>
            </w:r>
          </w:p>
        </w:tc>
        <w:tc>
          <w:tcPr>
            <w:tcW w:w="846"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43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Anti-dilutive share-based awards excluded from diluted calculation</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0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2.3</w:t>
            </w:r>
          </w:p>
        </w:tc>
        <w:tc>
          <w:tcPr>
            <w:tcW w:w="100" w:type="dxa"/>
            <w:tcBorders>
              <w:bottom w:val="single" w:sz="2" w:space="0" w:color="000000"/>
            </w:tcBorders>
            <w:shd w:fill="CCEEFF" w:val="clear"/>
            <w:vAlign w:val="center"/>
          </w:tcPr>
          <w:p>
            <w:pPr>
              <w:pStyle w:val="TableContents"/>
              <w:bidi w:val="0"/>
              <w:spacing w:before="0" w:after="283"/>
              <w:jc w:val="left"/>
              <w:rPr/>
            </w:pPr>
            <w:r>
              <w:rPr/>
              <w:t> </w:t>
            </w:r>
          </w:p>
        </w:tc>
        <w:tc>
          <w:tcPr>
            <w:tcW w:w="100" w:type="dxa"/>
            <w:tcBorders>
              <w:bottom w:val="single" w:sz="2" w:space="0" w:color="000000"/>
            </w:tcBorders>
            <w:shd w:fill="CCEEFF" w:val="clear"/>
            <w:vAlign w:val="center"/>
          </w:tcPr>
          <w:p>
            <w:pPr>
              <w:pStyle w:val="TableContents"/>
              <w:bidi w:val="0"/>
              <w:spacing w:before="0" w:after="283"/>
              <w:jc w:val="left"/>
              <w:rPr/>
            </w:pPr>
            <w:r>
              <w:rPr/>
              <w:t> </w:t>
            </w:r>
          </w:p>
        </w:tc>
        <w:tc>
          <w:tcPr>
            <w:tcW w:w="20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 w:hAnsi="arial"/>
          <w:caps w:val="false"/>
          <w:smallCaps w:val="false"/>
          <w:sz w:val="20"/>
        </w:rPr>
        <w:t xml:space="preserve">Performance stock units related to our long-term incentive programs of 0.9 million been excluded from diluted weighted-average shares for each of the periods ended </w:t>
      </w:r>
      <w:r>
        <w:rPr>
          <w:rStyle w:val="Emphasis"/>
          <w:rFonts w:ascii="arial" w:hAnsi="arial"/>
          <w:caps w:val="false"/>
          <w:smallCaps w:val="false"/>
          <w:sz w:val="20"/>
        </w:rPr>
        <w:t xml:space="preserve">April 29, 2023 </w:t>
      </w:r>
      <w:r>
        <w:rPr>
          <w:rFonts w:ascii="arial" w:hAnsi="arial"/>
          <w:caps w:val="false"/>
          <w:smallCaps w:val="false"/>
          <w:sz w:val="20"/>
        </w:rPr>
        <w:t xml:space="preserve">and </w:t>
      </w:r>
      <w:r>
        <w:rPr>
          <w:rStyle w:val="Emphasis"/>
          <w:rFonts w:ascii="arial" w:hAnsi="arial"/>
          <w:caps w:val="false"/>
          <w:smallCaps w:val="false"/>
          <w:sz w:val="20"/>
        </w:rPr>
        <w:t>April 30, 2022</w:t>
      </w:r>
      <w:r>
        <w:rPr>
          <w:rFonts w:ascii="arial" w:hAnsi="arial"/>
          <w:caps w:val="false"/>
          <w:smallCaps w:val="false"/>
          <w:sz w:val="20"/>
        </w:rPr>
        <w:t xml:space="preserve">. The issuance of these shares is contingent on our performance metrics as compared to the pre-established performance goals, which have </w:t>
      </w:r>
      <w:r>
        <w:rPr>
          <w:rStyle w:val="Emphasis"/>
          <w:rFonts w:ascii="arial" w:hAnsi="arial"/>
          <w:caps w:val="false"/>
          <w:smallCaps w:val="false"/>
          <w:sz w:val="20"/>
        </w:rPr>
        <w:t>not</w:t>
      </w:r>
      <w:r>
        <w:rPr>
          <w:rFonts w:ascii="arial" w:hAnsi="arial"/>
          <w:caps w:val="false"/>
          <w:smallCaps w:val="false"/>
          <w:sz w:val="20"/>
        </w:rPr>
        <w:t xml:space="preserve"> been achieved.</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arial" w:hAnsi="arial"/>
          <w:b/>
          <w:caps w:val="false"/>
          <w:smallCaps w:val="false"/>
          <w:sz w:val="20"/>
        </w:rPr>
        <w:t>10.</w:t>
      </w:r>
      <w:r>
        <w:rPr>
          <w:rFonts w:ascii="arial" w:hAnsi="arial"/>
          <w:b/>
          <w:caps w:val="false"/>
          <w:smallCaps w:val="false"/>
          <w:sz w:val="20"/>
        </w:rPr>
        <w:t xml:space="preserve"> Pension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The components of net periodic pension benefit expense are presented in the table below. Service cost is recognized as part of SG&amp;A expense, while the other components are recognized as part of Other income / (expense), net.</w:t>
      </w:r>
    </w:p>
    <w:p>
      <w:pPr>
        <w:pStyle w:val="TextBody"/>
        <w:bidi w:val="0"/>
        <w:spacing w:before="0" w:after="0"/>
        <w:ind w:left="0" w:right="0" w:hanging="0"/>
        <w:jc w:val="left"/>
        <w:rPr>
          <w:caps w:val="false"/>
          <w:smallCaps w:val="false"/>
        </w:rPr>
      </w:pPr>
      <w:r>
        <w:rPr>
          <w:caps w:val="false"/>
          <w:smallCaps w:val="false"/>
        </w:rPr>
        <w:t> </w:t>
      </w:r>
    </w:p>
    <w:tbl>
      <w:tblPr>
        <w:tblW w:w="4572" w:type="dxa"/>
        <w:jc w:val="left"/>
        <w:tblInd w:w="0" w:type="dxa"/>
        <w:tblLayout w:type="fixed"/>
        <w:tblCellMar>
          <w:top w:w="0" w:type="dxa"/>
          <w:left w:w="0" w:type="dxa"/>
          <w:bottom w:w="28" w:type="dxa"/>
          <w:right w:w="0" w:type="dxa"/>
        </w:tblCellMar>
      </w:tblPr>
      <w:tblGrid>
        <w:gridCol w:w="2540"/>
        <w:gridCol w:w="60"/>
        <w:gridCol w:w="311"/>
        <w:gridCol w:w="461"/>
        <w:gridCol w:w="199"/>
        <w:gridCol w:w="149"/>
        <w:gridCol w:w="311"/>
        <w:gridCol w:w="461"/>
        <w:gridCol w:w="80"/>
      </w:tblGrid>
      <w:tr>
        <w:trPr/>
        <w:tc>
          <w:tcPr>
            <w:tcW w:w="254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2"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Thirteen weeks ended</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54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72"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April 29,</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49" w:type="dxa"/>
            <w:tcBorders/>
            <w:shd w:fill="FFFFFF" w:val="clear"/>
            <w:tcMar>
              <w:bottom w:w="0" w:type="dxa"/>
            </w:tcMar>
            <w:vAlign w:val="center"/>
          </w:tcPr>
          <w:p>
            <w:pPr>
              <w:pStyle w:val="TableContents"/>
              <w:bidi w:val="0"/>
              <w:spacing w:before="0" w:after="283"/>
              <w:ind w:left="0" w:right="0" w:hanging="0"/>
              <w:jc w:val="left"/>
              <w:rPr/>
            </w:pPr>
            <w:r>
              <w:rPr/>
              <w:t> </w:t>
            </w:r>
          </w:p>
        </w:tc>
        <w:tc>
          <w:tcPr>
            <w:tcW w:w="772"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April 30,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54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2"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199" w:type="dxa"/>
            <w:tcBorders>
              <w:bottom w:val="single" w:sz="2" w:space="0" w:color="000000"/>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2"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54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Service cost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11"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6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ind w:left="0" w:right="0" w:hanging="0"/>
              <w:jc w:val="left"/>
              <w:rPr/>
            </w:pPr>
            <w:r>
              <w:rPr/>
              <w:t> </w:t>
            </w:r>
          </w:p>
        </w:tc>
        <w:tc>
          <w:tcPr>
            <w:tcW w:w="311"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6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54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Interest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1" w:type="dxa"/>
            <w:tcBorders/>
            <w:shd w:fill="FFFFFF" w:val="clear"/>
            <w:tcMar>
              <w:bottom w:w="0" w:type="dxa"/>
            </w:tcMar>
            <w:vAlign w:val="center"/>
          </w:tcPr>
          <w:p>
            <w:pPr>
              <w:pStyle w:val="TableContents"/>
              <w:bidi w:val="0"/>
              <w:spacing w:before="0" w:after="283"/>
              <w:ind w:left="0" w:right="0" w:hanging="0"/>
              <w:jc w:val="left"/>
              <w:rPr/>
            </w:pPr>
            <w:r>
              <w:rPr/>
              <w:t> </w:t>
            </w:r>
          </w:p>
        </w:tc>
        <w:tc>
          <w:tcPr>
            <w:tcW w:w="461"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6</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49" w:type="dxa"/>
            <w:tcBorders/>
            <w:shd w:fill="FFFFFF" w:val="clear"/>
            <w:tcMar>
              <w:bottom w:w="0" w:type="dxa"/>
            </w:tcMar>
            <w:vAlign w:val="center"/>
          </w:tcPr>
          <w:p>
            <w:pPr>
              <w:pStyle w:val="TableContents"/>
              <w:bidi w:val="0"/>
              <w:spacing w:before="0" w:after="283"/>
              <w:jc w:val="left"/>
              <w:rPr/>
            </w:pPr>
            <w:r>
              <w:rPr/>
              <w:t> </w:t>
            </w:r>
          </w:p>
        </w:tc>
        <w:tc>
          <w:tcPr>
            <w:tcW w:w="311" w:type="dxa"/>
            <w:tcBorders/>
            <w:shd w:fill="FFFFFF" w:val="clear"/>
            <w:tcMar>
              <w:bottom w:w="0" w:type="dxa"/>
            </w:tcMar>
            <w:vAlign w:val="center"/>
          </w:tcPr>
          <w:p>
            <w:pPr>
              <w:pStyle w:val="TableContents"/>
              <w:bidi w:val="0"/>
              <w:spacing w:before="0" w:after="283"/>
              <w:ind w:left="0" w:right="0" w:hanging="0"/>
              <w:jc w:val="left"/>
              <w:rPr/>
            </w:pPr>
            <w:r>
              <w:rPr/>
              <w:t> </w:t>
            </w:r>
          </w:p>
        </w:tc>
        <w:tc>
          <w:tcPr>
            <w:tcW w:w="461"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54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Expected return on plan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1" w:type="dxa"/>
            <w:tcBorders/>
            <w:shd w:fill="CCEEFF" w:val="clear"/>
            <w:tcMar>
              <w:bottom w:w="0" w:type="dxa"/>
            </w:tcMar>
            <w:vAlign w:val="center"/>
          </w:tcPr>
          <w:p>
            <w:pPr>
              <w:pStyle w:val="TableContents"/>
              <w:bidi w:val="0"/>
              <w:spacing w:before="0" w:after="283"/>
              <w:ind w:left="0" w:right="0" w:hanging="0"/>
              <w:jc w:val="left"/>
              <w:rPr/>
            </w:pPr>
            <w:r>
              <w:rPr/>
              <w:t> </w:t>
            </w:r>
          </w:p>
        </w:tc>
        <w:tc>
          <w:tcPr>
            <w:tcW w:w="46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(7</w:t>
            </w:r>
          </w:p>
        </w:tc>
        <w:tc>
          <w:tcPr>
            <w:tcW w:w="199"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49" w:type="dxa"/>
            <w:tcBorders/>
            <w:shd w:fill="CCEEFF" w:val="clear"/>
            <w:tcMar>
              <w:bottom w:w="0" w:type="dxa"/>
            </w:tcMar>
            <w:vAlign w:val="center"/>
          </w:tcPr>
          <w:p>
            <w:pPr>
              <w:pStyle w:val="TableContents"/>
              <w:bidi w:val="0"/>
              <w:spacing w:before="0" w:after="283"/>
              <w:jc w:val="left"/>
              <w:rPr/>
            </w:pPr>
            <w:r>
              <w:rPr/>
              <w:t> </w:t>
            </w:r>
          </w:p>
        </w:tc>
        <w:tc>
          <w:tcPr>
            <w:tcW w:w="311" w:type="dxa"/>
            <w:tcBorders/>
            <w:shd w:fill="CCEEFF" w:val="clear"/>
            <w:tcMar>
              <w:bottom w:w="0" w:type="dxa"/>
            </w:tcMar>
            <w:vAlign w:val="center"/>
          </w:tcPr>
          <w:p>
            <w:pPr>
              <w:pStyle w:val="TableContents"/>
              <w:bidi w:val="0"/>
              <w:spacing w:before="0" w:after="283"/>
              <w:ind w:left="0" w:right="0" w:hanging="0"/>
              <w:jc w:val="left"/>
              <w:rPr/>
            </w:pPr>
            <w:r>
              <w:rPr/>
              <w:t> </w:t>
            </w:r>
          </w:p>
        </w:tc>
        <w:tc>
          <w:tcPr>
            <w:tcW w:w="46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54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Amortization of net loss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31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1"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w:t>
            </w:r>
          </w:p>
        </w:tc>
        <w:tc>
          <w:tcPr>
            <w:tcW w:w="199" w:type="dxa"/>
            <w:tcBorders>
              <w:bottom w:val="single" w:sz="2" w:space="0" w:color="000000"/>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vAlign w:val="center"/>
          </w:tcPr>
          <w:p>
            <w:pPr>
              <w:pStyle w:val="TableContents"/>
              <w:bidi w:val="0"/>
              <w:spacing w:before="0" w:after="283"/>
              <w:jc w:val="left"/>
              <w:rPr/>
            </w:pPr>
            <w:r>
              <w:rPr/>
              <w:t> </w:t>
            </w:r>
          </w:p>
        </w:tc>
        <w:tc>
          <w:tcPr>
            <w:tcW w:w="31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1"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540"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benefit expense</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311"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61"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w:t>
            </w:r>
          </w:p>
        </w:tc>
        <w:tc>
          <w:tcPr>
            <w:tcW w:w="199" w:type="dxa"/>
            <w:tcBorders>
              <w:bottom w:val="double" w:sz="6" w:space="0" w:color="000000"/>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311"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61"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 </w:t>
      </w:r>
    </w:p>
    <w:p>
      <w:pPr>
        <w:pStyle w:val="TextBody"/>
        <w:bidi w:val="0"/>
        <w:spacing w:before="0" w:after="0"/>
        <w:jc w:val="right"/>
        <w:rPr/>
      </w:pPr>
      <w:r>
        <w:rPr>
          <w:rFonts w:ascii="Arial;Helvetica;sans-serif" w:hAnsi="Arial;Helvetica;sans-serif"/>
          <w:sz w:val="20"/>
        </w:rPr>
        <w:t xml:space="preserve">First Quarter </w:t>
      </w: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-Q Page </w:t>
      </w:r>
      <w:r>
        <w:rPr>
          <w:rStyle w:val="Emphasis"/>
          <w:rFonts w:ascii="Arial;Helvetica;sans-serif" w:hAnsi="Arial;Helvetica;sans-serif"/>
          <w:sz w:val="20"/>
        </w:rPr>
        <w:t>11</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jc w:val="center"/>
        <w:rPr/>
      </w:pPr>
      <w:r>
        <w:rPr/>
        <w:drawing>
          <wp:inline distT="0" distB="0" distL="0" distR="0">
            <wp:extent cx="2695575" cy="3143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695575" cy="314325"/>
                    </a:xfrm>
                    <a:prstGeom prst="rect">
                      <a:avLst/>
                    </a:prstGeom>
                  </pic:spPr>
                </pic:pic>
              </a:graphicData>
            </a:graphic>
          </wp:inline>
        </w:drawing>
      </w:r>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THE UNAUDITED CONDENSED CONSOLIDATED FINANCIAL STATEMENTS</w:t>
      </w:r>
    </w:p>
    <w:p>
      <w:pPr>
        <w:pStyle w:val="TextBody"/>
        <w:bidi w:val="0"/>
        <w:spacing w:before="0" w:after="283"/>
        <w:jc w:val="left"/>
        <w:rPr/>
      </w:pPr>
      <w:r>
        <w:rPr/>
        <w:t xml:space="preserve">  </w:t>
      </w:r>
    </w:p>
    <w:p>
      <w:pPr>
        <w:pStyle w:val="TextBody"/>
        <w:bidi w:val="0"/>
        <w:spacing w:lineRule="auto" w:line="240" w:before="0" w:after="0"/>
        <w:ind w:left="0" w:right="0" w:hanging="0"/>
        <w:jc w:val="left"/>
        <w:rPr/>
      </w:pPr>
      <w:r>
        <w:rPr>
          <w:rStyle w:val="Emphasis"/>
          <w:rFonts w:ascii="Arial;Helvetica;sans-serif" w:hAnsi="Arial;Helvetica;sans-serif"/>
          <w:b/>
          <w:caps w:val="false"/>
          <w:smallCaps w:val="false"/>
          <w:sz w:val="20"/>
        </w:rPr>
        <w:t>11.</w:t>
      </w:r>
      <w:r>
        <w:rPr>
          <w:rFonts w:ascii="Arial;Helvetica;sans-serif" w:hAnsi="Arial;Helvetica;sans-serif"/>
          <w:b/>
          <w:caps w:val="false"/>
          <w:smallCaps w:val="false"/>
          <w:sz w:val="20"/>
        </w:rPr>
        <w:t xml:space="preserve"> 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Total compensation expense, included in SG&amp;A, and the associated tax benefits recognized related to our share-based compensation plans, were as follows:</w:t>
      </w:r>
    </w:p>
    <w:p>
      <w:pPr>
        <w:pStyle w:val="TextBody"/>
        <w:bidi w:val="0"/>
        <w:spacing w:before="0" w:after="0"/>
        <w:ind w:left="0" w:right="0" w:hanging="0"/>
        <w:jc w:val="left"/>
        <w:rPr>
          <w:caps w:val="false"/>
          <w:smallCaps w:val="false"/>
        </w:rPr>
      </w:pPr>
      <w:r>
        <w:rPr>
          <w:caps w:val="false"/>
          <w:smallCaps w:val="false"/>
        </w:rPr>
        <w:t> </w:t>
      </w:r>
    </w:p>
    <w:tbl>
      <w:tblPr>
        <w:tblW w:w="6194" w:type="dxa"/>
        <w:jc w:val="left"/>
        <w:tblInd w:w="0" w:type="dxa"/>
        <w:tblLayout w:type="fixed"/>
        <w:tblCellMar>
          <w:top w:w="0" w:type="dxa"/>
          <w:left w:w="0" w:type="dxa"/>
          <w:bottom w:w="28" w:type="dxa"/>
          <w:right w:w="0" w:type="dxa"/>
        </w:tblCellMar>
      </w:tblPr>
      <w:tblGrid>
        <w:gridCol w:w="4085"/>
        <w:gridCol w:w="60"/>
        <w:gridCol w:w="313"/>
        <w:gridCol w:w="652"/>
        <w:gridCol w:w="150"/>
        <w:gridCol w:w="150"/>
        <w:gridCol w:w="362"/>
        <w:gridCol w:w="362"/>
        <w:gridCol w:w="60"/>
      </w:tblGrid>
      <w:tr>
        <w:trPr/>
        <w:tc>
          <w:tcPr>
            <w:tcW w:w="408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989"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Thirteen weeks ended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08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6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April 29,</w:t>
            </w:r>
          </w:p>
        </w:tc>
        <w:tc>
          <w:tcPr>
            <w:tcW w:w="15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ind w:left="0" w:right="0" w:hanging="0"/>
              <w:jc w:val="left"/>
              <w:rPr/>
            </w:pPr>
            <w:r>
              <w:rPr/>
              <w:t> </w:t>
            </w:r>
          </w:p>
        </w:tc>
        <w:tc>
          <w:tcPr>
            <w:tcW w:w="72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April 30,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08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150" w:type="dxa"/>
            <w:tcBorders>
              <w:bottom w:val="single" w:sz="2" w:space="0" w:color="000000"/>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08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Options and employee stock purchase plan</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13"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52"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ind w:left="0" w:right="0" w:hanging="0"/>
              <w:jc w:val="left"/>
              <w:rPr/>
            </w:pPr>
            <w:r>
              <w:rPr/>
              <w:t> </w:t>
            </w:r>
          </w:p>
        </w:tc>
        <w:tc>
          <w:tcPr>
            <w:tcW w:w="36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362"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08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Restricted stock units and performance stock units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31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w:t>
            </w:r>
          </w:p>
        </w:tc>
        <w:tc>
          <w:tcPr>
            <w:tcW w:w="150" w:type="dxa"/>
            <w:tcBorders>
              <w:bottom w:val="single" w:sz="2" w:space="0" w:color="000000"/>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vAlign w:val="center"/>
          </w:tcPr>
          <w:p>
            <w:pPr>
              <w:pStyle w:val="TableContents"/>
              <w:bidi w:val="0"/>
              <w:spacing w:before="0" w:after="283"/>
              <w:jc w:val="left"/>
              <w:rPr/>
            </w:pPr>
            <w:r>
              <w:rPr/>
              <w:t> </w:t>
            </w:r>
          </w:p>
        </w:tc>
        <w:tc>
          <w:tcPr>
            <w:tcW w:w="36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62"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085"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share-based compensation expense</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313"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52"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w:t>
            </w:r>
          </w:p>
        </w:tc>
        <w:tc>
          <w:tcPr>
            <w:tcW w:w="150" w:type="dxa"/>
            <w:tcBorders>
              <w:bottom w:val="double" w:sz="6" w:space="0" w:color="000000"/>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362"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362"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r>
        <w:trPr/>
        <w:tc>
          <w:tcPr>
            <w:tcW w:w="408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6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5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ind w:left="0" w:right="0" w:hanging="0"/>
              <w:jc w:val="left"/>
              <w:rPr/>
            </w:pPr>
            <w:r>
              <w:rPr/>
              <w:t> </w:t>
            </w:r>
          </w:p>
        </w:tc>
        <w:tc>
          <w:tcPr>
            <w:tcW w:w="724"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08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Tax benefit recognized</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13"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52"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150" w:type="dxa"/>
            <w:tcBorders>
              <w:bottom w:val="single" w:sz="2" w:space="0" w:color="000000"/>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62"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362"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w:t>
      </w:r>
    </w:p>
    <w:p>
      <w:pPr>
        <w:pStyle w:val="TextBody"/>
        <w:bidi w:val="0"/>
        <w:spacing w:before="0" w:after="0"/>
        <w:ind w:left="0" w:right="0" w:hanging="0"/>
        <w:jc w:val="both"/>
        <w:rPr>
          <w:rFonts w:ascii="Arial;Helvetica;sans-serif" w:hAnsi="Arial;Helvetica;sans-serif"/>
          <w:i/>
          <w:caps w:val="false"/>
          <w:smallCaps w:val="false"/>
          <w:sz w:val="20"/>
        </w:rPr>
      </w:pPr>
      <w:r>
        <w:rPr>
          <w:rFonts w:ascii="Arial;Helvetica;sans-serif" w:hAnsi="Arial;Helvetica;sans-serif"/>
          <w:i/>
          <w:caps w:val="false"/>
          <w:smallCaps w:val="false"/>
          <w:sz w:val="20"/>
        </w:rPr>
        <w:t>Valuation Model and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use the Black-Scholes option-pricing model to estimate the fair value of options and the stock purchase plan. The Black-Scholes option-pricing model incorporates various and subjective assumptions, including expected term and expected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table below shows assumptions used to compute share-based compensation expense for awards granted during the </w:t>
      </w:r>
      <w:r>
        <w:rPr>
          <w:rStyle w:val="Emphasis"/>
          <w:rFonts w:ascii="Arial;Helvetica;sans-serif" w:hAnsi="Arial;Helvetica;sans-serif"/>
          <w:caps w:val="false"/>
          <w:smallCaps w:val="false"/>
          <w:sz w:val="20"/>
        </w:rPr>
        <w:t>thirteen</w:t>
      </w:r>
      <w:r>
        <w:rPr>
          <w:rFonts w:ascii="Arial;Helvetica;sans-serif" w:hAnsi="Arial;Helvetica;sans-serif"/>
          <w:caps w:val="false"/>
          <w:smallCaps w:val="false"/>
          <w:sz w:val="20"/>
        </w:rPr>
        <w:t xml:space="preserve"> weeks ended </w:t>
      </w:r>
      <w:r>
        <w:rPr>
          <w:rStyle w:val="Emphasis"/>
          <w:rFonts w:ascii="Arial;Helvetica;sans-serif" w:hAnsi="Arial;Helvetica;sans-serif"/>
          <w:caps w:val="false"/>
          <w:smallCaps w:val="false"/>
          <w:sz w:val="20"/>
        </w:rPr>
        <w:t xml:space="preserve">April 29, 2023 </w:t>
      </w:r>
      <w:r>
        <w:rPr>
          <w:rFonts w:ascii="Arial;Helvetica;sans-serif" w:hAnsi="Arial;Helvetica;sans-serif"/>
          <w:caps w:val="false"/>
          <w:smallCaps w:val="false"/>
          <w:sz w:val="20"/>
        </w:rPr>
        <w:t xml:space="preserve">and </w:t>
      </w:r>
      <w:r>
        <w:rPr>
          <w:rStyle w:val="Emphasis"/>
          <w:rFonts w:ascii="Arial;Helvetica;sans-serif" w:hAnsi="Arial;Helvetica;sans-serif"/>
          <w:caps w:val="false"/>
          <w:smallCaps w:val="false"/>
          <w:sz w:val="20"/>
        </w:rPr>
        <w:t>April 30, 2022</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8078" w:type="dxa"/>
        <w:jc w:val="left"/>
        <w:tblInd w:w="0" w:type="dxa"/>
        <w:tblLayout w:type="fixed"/>
        <w:tblCellMar>
          <w:top w:w="0" w:type="dxa"/>
          <w:left w:w="0" w:type="dxa"/>
          <w:bottom w:w="28" w:type="dxa"/>
          <w:right w:w="0" w:type="dxa"/>
        </w:tblCellMar>
      </w:tblPr>
      <w:tblGrid>
        <w:gridCol w:w="3995"/>
        <w:gridCol w:w="60"/>
        <w:gridCol w:w="147"/>
        <w:gridCol w:w="577"/>
        <w:gridCol w:w="207"/>
        <w:gridCol w:w="67"/>
        <w:gridCol w:w="147"/>
        <w:gridCol w:w="577"/>
        <w:gridCol w:w="185"/>
        <w:gridCol w:w="60"/>
        <w:gridCol w:w="178"/>
        <w:gridCol w:w="546"/>
        <w:gridCol w:w="245"/>
        <w:gridCol w:w="79"/>
        <w:gridCol w:w="165"/>
        <w:gridCol w:w="643"/>
        <w:gridCol w:w="200"/>
      </w:tblGrid>
      <w:tr>
        <w:trPr/>
        <w:tc>
          <w:tcPr>
            <w:tcW w:w="399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22"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Stock Option Plans</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56"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Stock Purchase Plan</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99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2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April 29,</w:t>
            </w:r>
          </w:p>
        </w:tc>
        <w:tc>
          <w:tcPr>
            <w:tcW w:w="207"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ind w:left="0" w:right="0" w:hanging="0"/>
              <w:jc w:val="left"/>
              <w:rPr/>
            </w:pPr>
            <w:r>
              <w:rPr/>
              <w:t> </w:t>
            </w:r>
          </w:p>
        </w:tc>
        <w:tc>
          <w:tcPr>
            <w:tcW w:w="72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April 30,</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2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April 29,</w:t>
            </w:r>
          </w:p>
        </w:tc>
        <w:tc>
          <w:tcPr>
            <w:tcW w:w="245"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ind w:left="0" w:right="0" w:hanging="0"/>
              <w:jc w:val="left"/>
              <w:rPr/>
            </w:pPr>
            <w:r>
              <w:rPr/>
              <w:t> </w:t>
            </w:r>
          </w:p>
        </w:tc>
        <w:tc>
          <w:tcPr>
            <w:tcW w:w="808"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April 30,</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399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207" w:type="dxa"/>
            <w:tcBorders>
              <w:bottom w:val="single" w:sz="2" w:space="0" w:color="000000"/>
            </w:tcBorders>
            <w:shd w:fill="FFFFFF" w:val="clear"/>
            <w:vAlign w:val="center"/>
          </w:tcPr>
          <w:p>
            <w:pPr>
              <w:pStyle w:val="TableContents"/>
              <w:bidi w:val="0"/>
              <w:spacing w:before="0" w:after="283"/>
              <w:jc w:val="left"/>
              <w:rPr/>
            </w:pPr>
            <w:r>
              <w:rPr/>
              <w:t> </w:t>
            </w:r>
          </w:p>
        </w:tc>
        <w:tc>
          <w:tcPr>
            <w:tcW w:w="6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245" w:type="dxa"/>
            <w:tcBorders>
              <w:bottom w:val="single" w:sz="2" w:space="0" w:color="000000"/>
            </w:tcBorders>
            <w:shd w:fill="FFFFFF" w:val="clear"/>
            <w:vAlign w:val="center"/>
          </w:tcPr>
          <w:p>
            <w:pPr>
              <w:pStyle w:val="TableContents"/>
              <w:bidi w:val="0"/>
              <w:spacing w:before="0" w:after="283"/>
              <w:jc w:val="left"/>
              <w:rPr/>
            </w:pPr>
            <w:r>
              <w:rPr/>
              <w:t> </w:t>
            </w:r>
          </w:p>
        </w:tc>
        <w:tc>
          <w:tcPr>
            <w:tcW w:w="7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08"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Weighted-average risk free rate of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ind w:left="0" w:right="0" w:hanging="0"/>
              <w:jc w:val="left"/>
              <w:rPr/>
            </w:pPr>
            <w:r>
              <w:rPr/>
              <w:t> </w:t>
            </w:r>
          </w:p>
        </w:tc>
        <w:tc>
          <w:tcPr>
            <w:tcW w:w="577"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3.5</w:t>
            </w:r>
          </w:p>
        </w:tc>
        <w:tc>
          <w:tcPr>
            <w:tcW w:w="207"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7"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ind w:left="0" w:right="0" w:hanging="0"/>
              <w:jc w:val="left"/>
              <w:rPr/>
            </w:pPr>
            <w:r>
              <w:rPr/>
              <w:t> </w:t>
            </w:r>
          </w:p>
        </w:tc>
        <w:tc>
          <w:tcPr>
            <w:tcW w:w="577"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w:t>
            </w:r>
          </w:p>
        </w:tc>
        <w:tc>
          <w:tcPr>
            <w:tcW w:w="185"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ind w:left="0" w:right="0" w:hanging="0"/>
              <w:jc w:val="left"/>
              <w:rPr/>
            </w:pPr>
            <w:r>
              <w:rPr/>
              <w:t> </w:t>
            </w:r>
          </w:p>
        </w:tc>
        <w:tc>
          <w:tcPr>
            <w:tcW w:w="54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2.2</w:t>
            </w:r>
          </w:p>
        </w:tc>
        <w:tc>
          <w:tcPr>
            <w:tcW w:w="245"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79"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ind w:left="0" w:right="0" w:hanging="0"/>
              <w:jc w:val="left"/>
              <w:rPr/>
            </w:pPr>
            <w:r>
              <w:rPr/>
              <w:t> </w:t>
            </w:r>
          </w:p>
        </w:tc>
        <w:tc>
          <w:tcPr>
            <w:tcW w:w="643"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0.1</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99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Expected volatility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ind w:left="0" w:right="0" w:hanging="0"/>
              <w:jc w:val="left"/>
              <w:rPr/>
            </w:pPr>
            <w:r>
              <w:rPr/>
              <w:t> </w:t>
            </w:r>
          </w:p>
        </w:tc>
        <w:tc>
          <w:tcPr>
            <w:tcW w:w="577"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49</w:t>
            </w:r>
          </w:p>
        </w:tc>
        <w:tc>
          <w:tcPr>
            <w:tcW w:w="207"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7"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ind w:left="0" w:right="0" w:hanging="0"/>
              <w:jc w:val="left"/>
              <w:rPr/>
            </w:pPr>
            <w:r>
              <w:rPr/>
              <w:t> </w:t>
            </w:r>
          </w:p>
        </w:tc>
        <w:tc>
          <w:tcPr>
            <w:tcW w:w="577"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50</w:t>
            </w:r>
          </w:p>
        </w:tc>
        <w:tc>
          <w:tcPr>
            <w:tcW w:w="185"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ind w:left="0" w:right="0" w:hanging="0"/>
              <w:jc w:val="left"/>
              <w:rPr/>
            </w:pPr>
            <w:r>
              <w:rPr/>
              <w:t> </w:t>
            </w:r>
          </w:p>
        </w:tc>
        <w:tc>
          <w:tcPr>
            <w:tcW w:w="54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40</w:t>
            </w:r>
          </w:p>
        </w:tc>
        <w:tc>
          <w:tcPr>
            <w:tcW w:w="245"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79"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ind w:left="0" w:right="0" w:hanging="0"/>
              <w:jc w:val="left"/>
              <w:rPr/>
            </w:pPr>
            <w:r>
              <w:rPr/>
              <w:t> </w:t>
            </w:r>
          </w:p>
        </w:tc>
        <w:tc>
          <w:tcPr>
            <w:tcW w:w="643"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40</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99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Weighted-average expected award life (in years)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ind w:left="0" w:right="0" w:hanging="0"/>
              <w:jc w:val="left"/>
              <w:rPr/>
            </w:pPr>
            <w:r>
              <w:rPr/>
              <w:t> </w:t>
            </w:r>
          </w:p>
        </w:tc>
        <w:tc>
          <w:tcPr>
            <w:tcW w:w="577"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5.4</w:t>
            </w:r>
          </w:p>
        </w:tc>
        <w:tc>
          <w:tcPr>
            <w:tcW w:w="207"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ind w:left="0" w:right="0" w:hanging="0"/>
              <w:jc w:val="left"/>
              <w:rPr/>
            </w:pPr>
            <w:r>
              <w:rPr/>
              <w:t> </w:t>
            </w:r>
          </w:p>
        </w:tc>
        <w:tc>
          <w:tcPr>
            <w:tcW w:w="577"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5.5</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ind w:left="0" w:right="0" w:hanging="0"/>
              <w:jc w:val="left"/>
              <w:rPr/>
            </w:pPr>
            <w:r>
              <w:rPr/>
              <w:t> </w:t>
            </w:r>
          </w:p>
        </w:tc>
        <w:tc>
          <w:tcPr>
            <w:tcW w:w="54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1.0</w:t>
            </w:r>
          </w:p>
        </w:tc>
        <w:tc>
          <w:tcPr>
            <w:tcW w:w="245"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ind w:left="0" w:right="0" w:hanging="0"/>
              <w:jc w:val="left"/>
              <w:rPr/>
            </w:pPr>
            <w:r>
              <w:rPr/>
              <w:t> </w:t>
            </w:r>
          </w:p>
        </w:tc>
        <w:tc>
          <w:tcPr>
            <w:tcW w:w="643"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399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Dividend yield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ind w:left="0" w:right="0" w:hanging="0"/>
              <w:jc w:val="left"/>
              <w:rPr/>
            </w:pPr>
            <w:r>
              <w:rPr/>
              <w:t> </w:t>
            </w:r>
          </w:p>
        </w:tc>
        <w:tc>
          <w:tcPr>
            <w:tcW w:w="577"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3.6</w:t>
            </w:r>
          </w:p>
        </w:tc>
        <w:tc>
          <w:tcPr>
            <w:tcW w:w="207"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7"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ind w:left="0" w:right="0" w:hanging="0"/>
              <w:jc w:val="left"/>
              <w:rPr/>
            </w:pPr>
            <w:r>
              <w:rPr/>
              <w:t> </w:t>
            </w:r>
          </w:p>
        </w:tc>
        <w:tc>
          <w:tcPr>
            <w:tcW w:w="577"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3.9</w:t>
            </w:r>
          </w:p>
        </w:tc>
        <w:tc>
          <w:tcPr>
            <w:tcW w:w="185"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ind w:left="0" w:right="0" w:hanging="0"/>
              <w:jc w:val="left"/>
              <w:rPr/>
            </w:pPr>
            <w:r>
              <w:rPr/>
              <w:t> </w:t>
            </w:r>
          </w:p>
        </w:tc>
        <w:tc>
          <w:tcPr>
            <w:tcW w:w="54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3.7</w:t>
            </w:r>
          </w:p>
        </w:tc>
        <w:tc>
          <w:tcPr>
            <w:tcW w:w="245"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79"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ind w:left="0" w:right="0" w:hanging="0"/>
              <w:jc w:val="left"/>
              <w:rPr/>
            </w:pPr>
            <w:r>
              <w:rPr/>
              <w:t> </w:t>
            </w:r>
          </w:p>
        </w:tc>
        <w:tc>
          <w:tcPr>
            <w:tcW w:w="643"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99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Weighted-average fair value</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7"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77"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14.09</w:t>
            </w:r>
          </w:p>
        </w:tc>
        <w:tc>
          <w:tcPr>
            <w:tcW w:w="207" w:type="dxa"/>
            <w:tcBorders>
              <w:bottom w:val="single" w:sz="2" w:space="0" w:color="000000"/>
            </w:tcBorders>
            <w:shd w:fill="CCEEFF" w:val="clear"/>
            <w:vAlign w:val="center"/>
          </w:tcPr>
          <w:p>
            <w:pPr>
              <w:pStyle w:val="TableContents"/>
              <w:bidi w:val="0"/>
              <w:spacing w:before="0" w:after="283"/>
              <w:jc w:val="left"/>
              <w:rPr/>
            </w:pPr>
            <w:r>
              <w:rPr/>
              <w:t> </w:t>
            </w:r>
          </w:p>
        </w:tc>
        <w:tc>
          <w:tcPr>
            <w:tcW w:w="6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7"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77"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10.42</w:t>
            </w:r>
          </w:p>
        </w:tc>
        <w:tc>
          <w:tcPr>
            <w:tcW w:w="185"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8"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46"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7.16</w:t>
            </w:r>
          </w:p>
        </w:tc>
        <w:tc>
          <w:tcPr>
            <w:tcW w:w="245" w:type="dxa"/>
            <w:tcBorders>
              <w:bottom w:val="single" w:sz="2" w:space="0" w:color="000000"/>
            </w:tcBorders>
            <w:shd w:fill="CCEEFF" w:val="clear"/>
            <w:vAlign w:val="center"/>
          </w:tcPr>
          <w:p>
            <w:pPr>
              <w:pStyle w:val="TableContents"/>
              <w:bidi w:val="0"/>
              <w:spacing w:before="0" w:after="283"/>
              <w:jc w:val="left"/>
              <w:rPr/>
            </w:pPr>
            <w:r>
              <w:rPr/>
              <w:t> </w:t>
            </w:r>
          </w:p>
        </w:tc>
        <w:tc>
          <w:tcPr>
            <w:tcW w:w="7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5"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43"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29.46</w:t>
            </w:r>
          </w:p>
        </w:tc>
        <w:tc>
          <w:tcPr>
            <w:tcW w:w="20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information in the table below provides activity under our stock option plans for the </w:t>
      </w:r>
      <w:r>
        <w:rPr>
          <w:rStyle w:val="Emphasis"/>
          <w:rFonts w:ascii="Arial;Helvetica;sans-serif" w:hAnsi="Arial;Helvetica;sans-serif"/>
          <w:caps w:val="false"/>
          <w:smallCaps w:val="false"/>
          <w:sz w:val="20"/>
        </w:rPr>
        <w:t>thirteen</w:t>
      </w:r>
      <w:r>
        <w:rPr>
          <w:rFonts w:ascii="Arial;Helvetica;sans-serif" w:hAnsi="Arial;Helvetica;sans-serif"/>
          <w:caps w:val="false"/>
          <w:smallCaps w:val="false"/>
          <w:sz w:val="20"/>
        </w:rPr>
        <w:t xml:space="preserve"> weeks ended </w:t>
      </w:r>
      <w:r>
        <w:rPr>
          <w:rStyle w:val="Emphasis"/>
          <w:rFonts w:ascii="Arial;Helvetica;sans-serif" w:hAnsi="Arial;Helvetica;sans-serif"/>
          <w:caps w:val="false"/>
          <w:smallCaps w:val="false"/>
          <w:sz w:val="20"/>
        </w:rPr>
        <w:t>April 29, 2023</w:t>
      </w:r>
      <w:r>
        <w:rPr>
          <w:rFonts w:ascii="Arial;Helvetica;sans-serif" w:hAnsi="Arial;Helvetica;sans-serif"/>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09"/>
        <w:gridCol w:w="60"/>
        <w:gridCol w:w="122"/>
        <w:gridCol w:w="995"/>
        <w:gridCol w:w="80"/>
        <w:gridCol w:w="60"/>
        <w:gridCol w:w="229"/>
        <w:gridCol w:w="1072"/>
        <w:gridCol w:w="60"/>
        <w:gridCol w:w="60"/>
        <w:gridCol w:w="183"/>
        <w:gridCol w:w="712"/>
        <w:gridCol w:w="63"/>
      </w:tblGrid>
      <w:tr>
        <w:trPr/>
        <w:tc>
          <w:tcPr>
            <w:tcW w:w="6509"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17"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1"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Weighted-</w:t>
            </w:r>
          </w:p>
        </w:tc>
        <w:tc>
          <w:tcPr>
            <w:tcW w:w="63" w:type="dxa"/>
            <w:tcBorders/>
            <w:shd w:fill="FFFFFF" w:val="clear"/>
            <w:vAlign w:val="center"/>
          </w:tcPr>
          <w:p>
            <w:pPr>
              <w:pStyle w:val="TableContents"/>
              <w:bidi w:val="0"/>
              <w:spacing w:before="0" w:after="283"/>
              <w:jc w:val="left"/>
              <w:rPr/>
            </w:pPr>
            <w:r>
              <w:rPr/>
              <w:t> </w:t>
            </w:r>
          </w:p>
        </w:tc>
      </w:tr>
      <w:tr>
        <w:trPr/>
        <w:tc>
          <w:tcPr>
            <w:tcW w:w="6509"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17"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Number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1"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Average</w:t>
            </w:r>
          </w:p>
        </w:tc>
        <w:tc>
          <w:tcPr>
            <w:tcW w:w="63" w:type="dxa"/>
            <w:tcBorders/>
            <w:shd w:fill="FFFFFF" w:val="clear"/>
            <w:vAlign w:val="center"/>
          </w:tcPr>
          <w:p>
            <w:pPr>
              <w:pStyle w:val="TableContents"/>
              <w:bidi w:val="0"/>
              <w:spacing w:before="0" w:after="283"/>
              <w:jc w:val="left"/>
              <w:rPr/>
            </w:pPr>
            <w:r>
              <w:rPr/>
              <w:t> </w:t>
            </w:r>
          </w:p>
        </w:tc>
      </w:tr>
      <w:tr>
        <w:trPr/>
        <w:tc>
          <w:tcPr>
            <w:tcW w:w="6509"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17"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1"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Remaining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Exercise</w:t>
            </w:r>
          </w:p>
        </w:tc>
        <w:tc>
          <w:tcPr>
            <w:tcW w:w="63" w:type="dxa"/>
            <w:tcBorders/>
            <w:shd w:fill="FFFFFF" w:val="clear"/>
            <w:vAlign w:val="center"/>
          </w:tcPr>
          <w:p>
            <w:pPr>
              <w:pStyle w:val="TableContents"/>
              <w:bidi w:val="0"/>
              <w:spacing w:before="0" w:after="283"/>
              <w:jc w:val="left"/>
              <w:rPr/>
            </w:pPr>
            <w:r>
              <w:rPr/>
              <w:t> </w:t>
            </w:r>
          </w:p>
        </w:tc>
      </w:tr>
      <w:tr>
        <w:trPr/>
        <w:tc>
          <w:tcPr>
            <w:tcW w:w="650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Contractual Life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Price</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509"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17"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(in thousands)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1"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5"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(per share)</w:t>
            </w:r>
          </w:p>
        </w:tc>
        <w:tc>
          <w:tcPr>
            <w:tcW w:w="63" w:type="dxa"/>
            <w:tcBorders/>
            <w:shd w:fill="FFFFFF" w:val="clear"/>
            <w:vAlign w:val="center"/>
          </w:tcPr>
          <w:p>
            <w:pPr>
              <w:pStyle w:val="TableContents"/>
              <w:bidi w:val="0"/>
              <w:spacing w:before="0" w:after="283"/>
              <w:jc w:val="left"/>
              <w:rPr/>
            </w:pPr>
            <w:r>
              <w:rPr/>
              <w:t> </w:t>
            </w:r>
          </w:p>
        </w:tc>
      </w:tr>
      <w:tr>
        <w:trPr/>
        <w:tc>
          <w:tcPr>
            <w:tcW w:w="6509"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Options outstanding at the beginning of the year</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3,256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1"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1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47.85</w:t>
            </w:r>
          </w:p>
        </w:tc>
        <w:tc>
          <w:tcPr>
            <w:tcW w:w="63" w:type="dxa"/>
            <w:tcBorders/>
            <w:shd w:fill="CCEEFF" w:val="clear"/>
            <w:vAlign w:val="center"/>
          </w:tcPr>
          <w:p>
            <w:pPr>
              <w:pStyle w:val="TableContents"/>
              <w:bidi w:val="0"/>
              <w:spacing w:before="0" w:after="283"/>
              <w:jc w:val="left"/>
              <w:rPr/>
            </w:pPr>
            <w:r>
              <w:rPr/>
              <w:t> </w:t>
            </w:r>
          </w:p>
        </w:tc>
      </w:tr>
      <w:tr>
        <w:trPr/>
        <w:tc>
          <w:tcPr>
            <w:tcW w:w="6509"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Granted</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1"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71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39.08</w:t>
            </w:r>
          </w:p>
        </w:tc>
        <w:tc>
          <w:tcPr>
            <w:tcW w:w="63" w:type="dxa"/>
            <w:tcBorders/>
            <w:shd w:fill="FFFFFF" w:val="clear"/>
            <w:vAlign w:val="center"/>
          </w:tcPr>
          <w:p>
            <w:pPr>
              <w:pStyle w:val="TableContents"/>
              <w:bidi w:val="0"/>
              <w:spacing w:before="0" w:after="283"/>
              <w:jc w:val="left"/>
              <w:rPr/>
            </w:pPr>
            <w:r>
              <w:rPr/>
              <w:t> </w:t>
            </w:r>
          </w:p>
        </w:tc>
      </w:tr>
      <w:tr>
        <w:trPr/>
        <w:tc>
          <w:tcPr>
            <w:tcW w:w="6509"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Exercised</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(151</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01"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24.60</w:t>
            </w:r>
          </w:p>
        </w:tc>
        <w:tc>
          <w:tcPr>
            <w:tcW w:w="63" w:type="dxa"/>
            <w:tcBorders/>
            <w:shd w:fill="CCEEFF" w:val="clear"/>
            <w:vAlign w:val="center"/>
          </w:tcPr>
          <w:p>
            <w:pPr>
              <w:pStyle w:val="TableContents"/>
              <w:bidi w:val="0"/>
              <w:spacing w:before="0" w:after="283"/>
              <w:jc w:val="left"/>
              <w:rPr/>
            </w:pPr>
            <w:r>
              <w:rPr/>
              <w:t> </w:t>
            </w:r>
          </w:p>
        </w:tc>
      </w:tr>
      <w:tr>
        <w:trPr/>
        <w:tc>
          <w:tcPr>
            <w:tcW w:w="650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Expired or cancelled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36.71</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509"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Options outstanding at April 29, 2023</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3,251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1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48.64</w:t>
            </w:r>
          </w:p>
        </w:tc>
        <w:tc>
          <w:tcPr>
            <w:tcW w:w="63" w:type="dxa"/>
            <w:tcBorders/>
            <w:shd w:fill="CCEEFF" w:val="clear"/>
            <w:vAlign w:val="center"/>
          </w:tcPr>
          <w:p>
            <w:pPr>
              <w:pStyle w:val="TableContents"/>
              <w:bidi w:val="0"/>
              <w:spacing w:before="0" w:after="283"/>
              <w:jc w:val="left"/>
              <w:rPr/>
            </w:pPr>
            <w:r>
              <w:rPr/>
              <w:t> </w:t>
            </w:r>
          </w:p>
        </w:tc>
      </w:tr>
      <w:tr>
        <w:trPr/>
        <w:tc>
          <w:tcPr>
            <w:tcW w:w="650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Options exercisable at April 29, 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2,783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50.48</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509"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Shares available for future grant at April 29, 2023 under the 2007 Stock Incentive Plan</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1"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9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3" w:type="dxa"/>
            <w:tcBorders/>
            <w:shd w:fill="CCEEFF" w:val="clear"/>
            <w:vAlign w:val="center"/>
          </w:tcPr>
          <w:p>
            <w:pPr>
              <w:pStyle w:val="TableContents"/>
              <w:bidi w:val="0"/>
              <w:spacing w:before="0" w:after="283"/>
              <w:jc w:val="left"/>
              <w:rPr/>
            </w:pPr>
            <w:r>
              <w:rPr/>
              <w:t> </w:t>
            </w:r>
          </w:p>
        </w:tc>
      </w:tr>
      <w:tr>
        <w:trPr/>
        <w:tc>
          <w:tcPr>
            <w:tcW w:w="6509" w:type="dxa"/>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Shares available for future grant at April 29, 2023 under the employment inducement award plan (1)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409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lineRule="auto" w:line="288" w:before="0" w:after="0"/>
              <w:ind w:left="0" w:right="0" w:hanging="0"/>
              <w:jc w:val="both"/>
              <w:rPr/>
            </w:pPr>
            <w:r>
              <w:rPr>
                <w:rFonts w:ascii="Arial;Helvetica;sans-serif" w:hAnsi="Arial;Helvetica;sans-serif"/>
                <w:caps w:val="false"/>
                <w:smallCaps w:val="false"/>
                <w:sz w:val="16"/>
              </w:rPr>
              <w:t>(</w:t>
            </w:r>
            <w:r>
              <w:rPr>
                <w:rStyle w:val="Emphasis"/>
                <w:rFonts w:ascii="Arial;Helvetica;sans-serif" w:hAnsi="Arial;Helvetica;sans-serif"/>
                <w:caps w:val="false"/>
                <w:smallCaps w:val="false"/>
                <w:sz w:val="16"/>
              </w:rPr>
              <w:t>1</w:t>
            </w:r>
            <w:r>
              <w:rPr>
                <w:rFonts w:ascii="Arial;Helvetica;sans-serif" w:hAnsi="Arial;Helvetica;sans-serif"/>
                <w:caps w:val="false"/>
                <w:smallCaps w:val="false"/>
                <w:sz w:val="16"/>
              </w:rPr>
              <w:t>)</w:t>
            </w:r>
          </w:p>
        </w:tc>
        <w:tc>
          <w:tcPr>
            <w:tcW w:w="10064" w:type="dxa"/>
            <w:tcBorders/>
            <w:vAlign w:val="center"/>
          </w:tcPr>
          <w:p>
            <w:pPr>
              <w:pStyle w:val="TableContents"/>
              <w:bidi w:val="0"/>
              <w:spacing w:before="0" w:after="0"/>
              <w:ind w:left="0" w:right="0" w:hanging="0"/>
              <w:jc w:val="both"/>
              <w:rPr/>
            </w:pPr>
            <w:r>
              <w:rPr>
                <w:rFonts w:ascii="Arial;Helvetica;sans-serif" w:hAnsi="Arial;Helvetica;sans-serif"/>
                <w:caps w:val="false"/>
                <w:smallCaps w:val="false"/>
                <w:sz w:val="16"/>
              </w:rPr>
              <w:t xml:space="preserve">On </w:t>
            </w:r>
            <w:r>
              <w:rPr>
                <w:rStyle w:val="Emphasis"/>
                <w:rFonts w:ascii="Arial;Helvetica;sans-serif" w:hAnsi="Arial;Helvetica;sans-serif"/>
                <w:caps w:val="false"/>
                <w:smallCaps w:val="false"/>
                <w:sz w:val="16"/>
              </w:rPr>
              <w:t xml:space="preserve">August 24, 2022, </w:t>
            </w:r>
            <w:r>
              <w:rPr>
                <w:rFonts w:ascii="Arial;Helvetica;sans-serif" w:hAnsi="Arial;Helvetica;sans-serif"/>
                <w:caps w:val="false"/>
                <w:smallCaps w:val="false"/>
                <w:sz w:val="16"/>
              </w:rPr>
              <w:t xml:space="preserve">the Company granted options and other awards to its new President and Chief Executive Officer, Mary N. Dillon. These awards were granted outside of the </w:t>
            </w:r>
            <w:r>
              <w:rPr>
                <w:rStyle w:val="Emphasis"/>
                <w:rFonts w:ascii="Arial;Helvetica;sans-serif" w:hAnsi="Arial;Helvetica;sans-serif"/>
                <w:caps w:val="false"/>
                <w:smallCaps w:val="false"/>
                <w:sz w:val="16"/>
              </w:rPr>
              <w:t>2007</w:t>
            </w:r>
            <w:r>
              <w:rPr>
                <w:rFonts w:ascii="Arial;Helvetica;sans-serif" w:hAnsi="Arial;Helvetica;sans-serif"/>
                <w:caps w:val="false"/>
                <w:smallCaps w:val="false"/>
                <w:sz w:val="16"/>
              </w:rPr>
              <w:t xml:space="preserve"> Stock Incentive Plan as employment inducement awards and do </w:t>
            </w:r>
            <w:r>
              <w:rPr>
                <w:rStyle w:val="Emphasis"/>
                <w:rFonts w:ascii="Arial;Helvetica;sans-serif" w:hAnsi="Arial;Helvetica;sans-serif"/>
                <w:caps w:val="false"/>
                <w:smallCaps w:val="false"/>
                <w:sz w:val="16"/>
              </w:rPr>
              <w:t>not</w:t>
            </w:r>
            <w:r>
              <w:rPr>
                <w:rFonts w:ascii="Arial;Helvetica;sans-serif" w:hAnsi="Arial;Helvetica;sans-serif"/>
                <w:caps w:val="false"/>
                <w:smallCaps w:val="false"/>
                <w:sz w:val="16"/>
              </w:rPr>
              <w:t xml:space="preserve"> require shareholder approval under the rules of the New York Stock Exchange or otherwise. Shares available for future grant under this plan are reserved for the sole purpose to issue shares pursuant to her employment inducement awards.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pPr>
      <w:r>
        <w:rPr>
          <w:rFonts w:ascii="Arial;Helvetica;sans-serif" w:hAnsi="Arial;Helvetica;sans-serif"/>
          <w:sz w:val="20"/>
        </w:rPr>
        <w:t xml:space="preserve">First Quarter </w:t>
      </w: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-Q Page </w:t>
      </w:r>
      <w:r>
        <w:rPr>
          <w:rStyle w:val="Emphasis"/>
          <w:rFonts w:ascii="Arial;Helvetica;sans-serif" w:hAnsi="Arial;Helvetica;sans-serif"/>
          <w:sz w:val="20"/>
        </w:rPr>
        <w:t>12</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  </w:t>
      </w:r>
    </w:p>
    <w:p>
      <w:pPr>
        <w:pStyle w:val="TextBody"/>
        <w:bidi w:val="0"/>
        <w:jc w:val="center"/>
        <w:rPr/>
      </w:pPr>
      <w:r>
        <w:rPr/>
        <w:drawing>
          <wp:inline distT="0" distB="0" distL="0" distR="0">
            <wp:extent cx="2695575" cy="3143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695575" cy="314325"/>
                    </a:xfrm>
                    <a:prstGeom prst="rect">
                      <a:avLst/>
                    </a:prstGeom>
                  </pic:spPr>
                </pic:pic>
              </a:graphicData>
            </a:graphic>
          </wp:inline>
        </w:drawing>
      </w:r>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Arial;Helvetica;sans-serif" w:hAnsi="Arial;Helvetica;sans-serif"/>
          <w:b/>
          <w:sz w:val="20"/>
        </w:rPr>
        <w:t>11.</w:t>
      </w:r>
      <w:r>
        <w:rPr>
          <w:rFonts w:ascii="Arial;Helvetica;sans-serif" w:hAnsi="Arial;Helvetica;sans-serif"/>
          <w:b/>
          <w:sz w:val="20"/>
        </w:rPr>
        <w:t xml:space="preserve"> Share-Based Compensation (continued)</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Arial;Helvetica;sans-serif" w:hAnsi="Arial;Helvetica;sans-serif"/>
          <w:sz w:val="20"/>
        </w:rPr>
        <w:t xml:space="preserve">The total fair value of options vested </w:t>
      </w:r>
      <w:r>
        <w:rPr>
          <w:rStyle w:val="Emphasis"/>
          <w:rFonts w:ascii="Arial;Helvetica;sans-serif" w:hAnsi="Arial;Helvetica;sans-serif"/>
          <w:sz w:val="20"/>
        </w:rPr>
        <w:t>thirteen</w:t>
      </w:r>
      <w:r>
        <w:rPr>
          <w:rFonts w:ascii="Arial;Helvetica;sans-serif" w:hAnsi="Arial;Helvetica;sans-serif"/>
          <w:sz w:val="20"/>
        </w:rPr>
        <w:t xml:space="preserve"> weeks ended </w:t>
      </w:r>
      <w:r>
        <w:rPr>
          <w:rStyle w:val="Emphasis"/>
          <w:rFonts w:ascii="Arial;Helvetica;sans-serif" w:hAnsi="Arial;Helvetica;sans-serif"/>
          <w:sz w:val="20"/>
        </w:rPr>
        <w:t>April 29, 2023</w:t>
      </w:r>
      <w:r>
        <w:rPr>
          <w:rFonts w:ascii="Arial;Helvetica;sans-serif" w:hAnsi="Arial;Helvetica;sans-serif"/>
          <w:sz w:val="20"/>
        </w:rPr>
        <w:t xml:space="preserve"> and </w:t>
      </w:r>
      <w:r>
        <w:rPr>
          <w:rStyle w:val="Emphasis"/>
          <w:rFonts w:ascii="Arial;Helvetica;sans-serif" w:hAnsi="Arial;Helvetica;sans-serif"/>
          <w:sz w:val="20"/>
        </w:rPr>
        <w:t>April 30, 2022</w:t>
      </w:r>
      <w:r>
        <w:rPr>
          <w:rFonts w:ascii="Arial;Helvetica;sans-serif" w:hAnsi="Arial;Helvetica;sans-serif"/>
          <w:sz w:val="20"/>
        </w:rPr>
        <w:t> was $4 million for both periods. The cash received from option exercises during the </w:t>
      </w:r>
      <w:r>
        <w:rPr>
          <w:rStyle w:val="Emphasis"/>
          <w:rFonts w:ascii="Arial;Helvetica;sans-serif" w:hAnsi="Arial;Helvetica;sans-serif"/>
          <w:sz w:val="20"/>
        </w:rPr>
        <w:t>thirteen</w:t>
      </w:r>
      <w:r>
        <w:rPr>
          <w:rFonts w:ascii="Arial;Helvetica;sans-serif" w:hAnsi="Arial;Helvetica;sans-serif"/>
          <w:sz w:val="20"/>
        </w:rPr>
        <w:t xml:space="preserve"> weeks ended </w:t>
      </w:r>
      <w:r>
        <w:rPr>
          <w:rStyle w:val="Emphasis"/>
          <w:rFonts w:ascii="Arial;Helvetica;sans-serif" w:hAnsi="Arial;Helvetica;sans-serif"/>
          <w:sz w:val="20"/>
        </w:rPr>
        <w:t>April 29, 2023</w:t>
      </w:r>
      <w:r>
        <w:rPr>
          <w:rFonts w:ascii="Arial;Helvetica;sans-serif" w:hAnsi="Arial;Helvetica;sans-serif"/>
          <w:sz w:val="20"/>
        </w:rPr>
        <w:t xml:space="preserve"> was $4 million, and the related tax benefits realized from option exercises were </w:t>
      </w:r>
      <w:r>
        <w:rPr>
          <w:rStyle w:val="Emphasis"/>
          <w:rFonts w:ascii="Arial;Helvetica;sans-serif" w:hAnsi="Arial;Helvetica;sans-serif"/>
          <w:sz w:val="20"/>
        </w:rPr>
        <w:t>not</w:t>
      </w:r>
      <w:r>
        <w:rPr>
          <w:rFonts w:ascii="Arial;Helvetica;sans-serif" w:hAnsi="Arial;Helvetica;sans-serif"/>
          <w:sz w:val="20"/>
        </w:rPr>
        <w:t xml:space="preserve"> significant. The cash received from option exercises during the </w:t>
      </w:r>
      <w:r>
        <w:rPr>
          <w:rStyle w:val="Emphasis"/>
          <w:rFonts w:ascii="Arial;Helvetica;sans-serif" w:hAnsi="Arial;Helvetica;sans-serif"/>
          <w:sz w:val="20"/>
        </w:rPr>
        <w:t>thirteen</w:t>
      </w:r>
      <w:r>
        <w:rPr>
          <w:rFonts w:ascii="Arial;Helvetica;sans-serif" w:hAnsi="Arial;Helvetica;sans-serif"/>
          <w:sz w:val="20"/>
        </w:rPr>
        <w:t xml:space="preserve"> weeks ended </w:t>
      </w:r>
      <w:r>
        <w:rPr>
          <w:rStyle w:val="Emphasis"/>
          <w:rFonts w:ascii="Arial;Helvetica;sans-serif" w:hAnsi="Arial;Helvetica;sans-serif"/>
          <w:sz w:val="20"/>
        </w:rPr>
        <w:t>April 30, 2022</w:t>
      </w:r>
      <w:r>
        <w:rPr>
          <w:rFonts w:ascii="Arial;Helvetica;sans-serif" w:hAnsi="Arial;Helvetica;sans-serif"/>
          <w:sz w:val="20"/>
        </w:rPr>
        <w:t xml:space="preserve"> was $2 million, and the related tax benefits realized from option exercises were </w:t>
      </w:r>
      <w:r>
        <w:rPr>
          <w:rStyle w:val="Emphasis"/>
          <w:rFonts w:ascii="Arial;Helvetica;sans-serif" w:hAnsi="Arial;Helvetica;sans-serif"/>
          <w:sz w:val="20"/>
        </w:rPr>
        <w:t>not</w:t>
      </w:r>
      <w:r>
        <w:rPr>
          <w:rFonts w:ascii="Arial;Helvetica;sans-serif" w:hAnsi="Arial;Helvetica;sans-serif"/>
          <w:sz w:val="20"/>
        </w:rPr>
        <w:t xml:space="preserve"> significant.</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total intrinsic value of options exercised (the difference between the market price of our common stock on the exercise date and the price paid by the optionee to exercise the option) is presented below:</w:t>
      </w:r>
    </w:p>
    <w:p>
      <w:pPr>
        <w:pStyle w:val="TextBody"/>
        <w:bidi w:val="0"/>
        <w:spacing w:before="0" w:after="0"/>
        <w:ind w:left="0" w:right="0" w:hanging="0"/>
        <w:jc w:val="left"/>
        <w:rPr>
          <w:caps w:val="false"/>
          <w:smallCaps w:val="false"/>
        </w:rPr>
      </w:pPr>
      <w:r>
        <w:rPr>
          <w:caps w:val="false"/>
          <w:smallCaps w:val="false"/>
        </w:rPr>
        <w:t> </w:t>
      </w:r>
    </w:p>
    <w:tbl>
      <w:tblPr>
        <w:tblW w:w="3224" w:type="dxa"/>
        <w:jc w:val="left"/>
        <w:tblInd w:w="0" w:type="dxa"/>
        <w:tblLayout w:type="fixed"/>
        <w:tblCellMar>
          <w:top w:w="0" w:type="dxa"/>
          <w:left w:w="0" w:type="dxa"/>
          <w:bottom w:w="28" w:type="dxa"/>
          <w:right w:w="0" w:type="dxa"/>
        </w:tblCellMar>
      </w:tblPr>
      <w:tblGrid>
        <w:gridCol w:w="1115"/>
        <w:gridCol w:w="60"/>
        <w:gridCol w:w="362"/>
        <w:gridCol w:w="362"/>
        <w:gridCol w:w="150"/>
        <w:gridCol w:w="150"/>
        <w:gridCol w:w="313"/>
        <w:gridCol w:w="652"/>
        <w:gridCol w:w="60"/>
      </w:tblGrid>
      <w:tr>
        <w:trPr/>
        <w:tc>
          <w:tcPr>
            <w:tcW w:w="111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989"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Thirteen weeks ended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1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2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April 29,</w:t>
            </w:r>
          </w:p>
        </w:tc>
        <w:tc>
          <w:tcPr>
            <w:tcW w:w="15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ind w:left="0" w:right="0" w:hanging="0"/>
              <w:jc w:val="left"/>
              <w:rPr/>
            </w:pPr>
            <w:r>
              <w:rPr/>
              <w:t> </w:t>
            </w:r>
          </w:p>
        </w:tc>
        <w:tc>
          <w:tcPr>
            <w:tcW w:w="96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April 30,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1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150" w:type="dxa"/>
            <w:tcBorders>
              <w:bottom w:val="single" w:sz="2" w:space="0" w:color="000000"/>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1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Exercised</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62"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362"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w:t>
            </w:r>
          </w:p>
        </w:tc>
        <w:tc>
          <w:tcPr>
            <w:tcW w:w="150" w:type="dxa"/>
            <w:tcBorders>
              <w:bottom w:val="single" w:sz="2" w:space="0" w:color="000000"/>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13"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52"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aggregate intrinsic value for stock options outstanding, and outstanding and exercisable (the difference between our closing stock price on the last trading day of the period and the exercise price of the options, multiplied by the number of in-the-money stock options) is presented below:</w:t>
      </w:r>
    </w:p>
    <w:p>
      <w:pPr>
        <w:pStyle w:val="TextBody"/>
        <w:bidi w:val="0"/>
        <w:spacing w:before="0" w:after="0"/>
        <w:ind w:left="0" w:right="0" w:hanging="0"/>
        <w:jc w:val="left"/>
        <w:rPr>
          <w:caps w:val="false"/>
          <w:smallCaps w:val="false"/>
        </w:rPr>
      </w:pPr>
      <w:r>
        <w:rPr>
          <w:caps w:val="false"/>
          <w:smallCaps w:val="false"/>
        </w:rPr>
        <w:t> </w:t>
      </w:r>
    </w:p>
    <w:tbl>
      <w:tblPr>
        <w:tblW w:w="4443" w:type="dxa"/>
        <w:jc w:val="left"/>
        <w:tblInd w:w="0" w:type="dxa"/>
        <w:tblLayout w:type="fixed"/>
        <w:tblCellMar>
          <w:top w:w="0" w:type="dxa"/>
          <w:left w:w="0" w:type="dxa"/>
          <w:bottom w:w="28" w:type="dxa"/>
          <w:right w:w="0" w:type="dxa"/>
        </w:tblCellMar>
      </w:tblPr>
      <w:tblGrid>
        <w:gridCol w:w="2360"/>
        <w:gridCol w:w="60"/>
        <w:gridCol w:w="326"/>
        <w:gridCol w:w="601"/>
        <w:gridCol w:w="156"/>
        <w:gridCol w:w="156"/>
        <w:gridCol w:w="362"/>
        <w:gridCol w:w="362"/>
        <w:gridCol w:w="60"/>
      </w:tblGrid>
      <w:tr>
        <w:trPr/>
        <w:tc>
          <w:tcPr>
            <w:tcW w:w="236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963"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Thirteen weeks ended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3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27"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April 29,</w:t>
            </w:r>
          </w:p>
        </w:tc>
        <w:tc>
          <w:tcPr>
            <w:tcW w:w="156"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ind w:left="0" w:right="0" w:hanging="0"/>
              <w:jc w:val="left"/>
              <w:rPr/>
            </w:pPr>
            <w:r>
              <w:rPr/>
              <w:t> </w:t>
            </w:r>
          </w:p>
        </w:tc>
        <w:tc>
          <w:tcPr>
            <w:tcW w:w="72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April 30,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36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27"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156" w:type="dxa"/>
            <w:tcBorders>
              <w:bottom w:val="single" w:sz="2" w:space="0" w:color="000000"/>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36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Outstanding</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26"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0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15</w:t>
            </w:r>
          </w:p>
        </w:tc>
        <w:tc>
          <w:tcPr>
            <w:tcW w:w="156"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ind w:left="0" w:right="0" w:hanging="0"/>
              <w:jc w:val="left"/>
              <w:rPr/>
            </w:pPr>
            <w:r>
              <w:rPr/>
              <w:t> </w:t>
            </w:r>
          </w:p>
        </w:tc>
        <w:tc>
          <w:tcPr>
            <w:tcW w:w="36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362"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36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Outstanding and exercisable</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26"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01"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13</w:t>
            </w:r>
          </w:p>
        </w:tc>
        <w:tc>
          <w:tcPr>
            <w:tcW w:w="156" w:type="dxa"/>
            <w:tcBorders>
              <w:bottom w:val="single" w:sz="2" w:space="0" w:color="000000"/>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62"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362"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As of </w:t>
      </w:r>
      <w:r>
        <w:rPr>
          <w:rStyle w:val="Emphasis"/>
          <w:rFonts w:ascii="Arial;Helvetica;sans-serif" w:hAnsi="Arial;Helvetica;sans-serif"/>
          <w:caps w:val="false"/>
          <w:smallCaps w:val="false"/>
          <w:sz w:val="20"/>
        </w:rPr>
        <w:t>April 29, 2023</w:t>
      </w:r>
      <w:r>
        <w:rPr>
          <w:rFonts w:ascii="Arial;Helvetica;sans-serif" w:hAnsi="Arial;Helvetica;sans-serif"/>
          <w:caps w:val="false"/>
          <w:smallCaps w:val="false"/>
          <w:sz w:val="20"/>
        </w:rPr>
        <w:t>, there was $5 million of total unrecognized compensation cost related to nonvested stock options which is expected to be recognized over a remaining weighted-average period of 1.8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table below summarizes information about stock options outstanding and exercisable at </w:t>
      </w:r>
      <w:r>
        <w:rPr>
          <w:rStyle w:val="Emphasis"/>
          <w:rFonts w:ascii="Arial;Helvetica;sans-serif" w:hAnsi="Arial;Helvetica;sans-serif"/>
          <w:caps w:val="false"/>
          <w:smallCaps w:val="false"/>
          <w:sz w:val="20"/>
        </w:rPr>
        <w:t>April 29, 2023</w:t>
      </w:r>
    </w:p>
    <w:p>
      <w:pPr>
        <w:pStyle w:val="TextBody"/>
        <w:bidi w:val="0"/>
        <w:spacing w:before="0" w:after="0"/>
        <w:ind w:left="0" w:right="0" w:hanging="0"/>
        <w:jc w:val="left"/>
        <w:rPr>
          <w:caps w:val="false"/>
          <w:smallCaps w:val="false"/>
        </w:rPr>
      </w:pPr>
      <w:r>
        <w:rPr>
          <w:caps w:val="false"/>
          <w:smallCaps w:val="false"/>
        </w:rPr>
        <w:t> </w:t>
      </w:r>
    </w:p>
    <w:tbl>
      <w:tblPr>
        <w:tblW w:w="7111" w:type="dxa"/>
        <w:jc w:val="left"/>
        <w:tblInd w:w="0" w:type="dxa"/>
        <w:tblLayout w:type="fixed"/>
        <w:tblCellMar>
          <w:top w:w="0" w:type="dxa"/>
          <w:left w:w="0" w:type="dxa"/>
          <w:bottom w:w="28" w:type="dxa"/>
          <w:right w:w="0" w:type="dxa"/>
        </w:tblCellMar>
      </w:tblPr>
      <w:tblGrid>
        <w:gridCol w:w="1595"/>
        <w:gridCol w:w="60"/>
        <w:gridCol w:w="115"/>
        <w:gridCol w:w="940"/>
        <w:gridCol w:w="61"/>
        <w:gridCol w:w="61"/>
        <w:gridCol w:w="181"/>
        <w:gridCol w:w="844"/>
        <w:gridCol w:w="61"/>
        <w:gridCol w:w="61"/>
        <w:gridCol w:w="179"/>
        <w:gridCol w:w="695"/>
        <w:gridCol w:w="60"/>
        <w:gridCol w:w="60"/>
        <w:gridCol w:w="120"/>
        <w:gridCol w:w="920"/>
        <w:gridCol w:w="82"/>
        <w:gridCol w:w="82"/>
        <w:gridCol w:w="179"/>
        <w:gridCol w:w="695"/>
        <w:gridCol w:w="60"/>
      </w:tblGrid>
      <w:tr>
        <w:trPr/>
        <w:tc>
          <w:tcPr>
            <w:tcW w:w="159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198" w:type="dxa"/>
            <w:gridSpan w:val="10"/>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Options Outstanding</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078"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Options Exercisable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59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1"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ind w:left="0" w:right="0" w:hanging="0"/>
              <w:jc w:val="left"/>
              <w:rPr/>
            </w:pPr>
            <w:r>
              <w:rPr/>
              <w:t> </w:t>
            </w:r>
          </w:p>
        </w:tc>
        <w:tc>
          <w:tcPr>
            <w:tcW w:w="1025"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Weighted-</w:t>
            </w:r>
          </w:p>
        </w:tc>
        <w:tc>
          <w:tcPr>
            <w:tcW w:w="61"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ind w:left="0" w:right="0" w:hanging="0"/>
              <w:jc w:val="left"/>
              <w:rPr/>
            </w:pPr>
            <w:r>
              <w:rPr/>
              <w:t> </w:t>
            </w:r>
          </w:p>
        </w:tc>
        <w:tc>
          <w:tcPr>
            <w:tcW w:w="874"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4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2"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ind w:left="0" w:right="0" w:hanging="0"/>
              <w:jc w:val="left"/>
              <w:rPr/>
            </w:pPr>
            <w:r>
              <w:rPr/>
              <w:t> </w:t>
            </w:r>
          </w:p>
        </w:tc>
        <w:tc>
          <w:tcPr>
            <w:tcW w:w="874"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9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1"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ind w:left="0" w:right="0" w:hanging="0"/>
              <w:jc w:val="left"/>
              <w:rPr/>
            </w:pPr>
            <w:r>
              <w:rPr/>
              <w:t> </w:t>
            </w:r>
          </w:p>
        </w:tc>
        <w:tc>
          <w:tcPr>
            <w:tcW w:w="1025"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Average</w:t>
            </w:r>
          </w:p>
        </w:tc>
        <w:tc>
          <w:tcPr>
            <w:tcW w:w="61"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ind w:left="0" w:right="0" w:hanging="0"/>
              <w:jc w:val="left"/>
              <w:rPr/>
            </w:pPr>
            <w:r>
              <w:rPr/>
              <w:t> </w:t>
            </w:r>
          </w:p>
        </w:tc>
        <w:tc>
          <w:tcPr>
            <w:tcW w:w="874"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Weighted-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4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2"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ind w:left="0" w:right="0" w:hanging="0"/>
              <w:jc w:val="left"/>
              <w:rPr/>
            </w:pPr>
            <w:r>
              <w:rPr/>
              <w:t> </w:t>
            </w:r>
          </w:p>
        </w:tc>
        <w:tc>
          <w:tcPr>
            <w:tcW w:w="874"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Weighted-</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9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1"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ind w:left="0" w:right="0" w:hanging="0"/>
              <w:jc w:val="left"/>
              <w:rPr/>
            </w:pPr>
            <w:r>
              <w:rPr/>
              <w:t> </w:t>
            </w:r>
          </w:p>
        </w:tc>
        <w:tc>
          <w:tcPr>
            <w:tcW w:w="1025"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Remaining</w:t>
            </w:r>
          </w:p>
        </w:tc>
        <w:tc>
          <w:tcPr>
            <w:tcW w:w="61"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ind w:left="0" w:right="0" w:hanging="0"/>
              <w:jc w:val="left"/>
              <w:rPr/>
            </w:pPr>
            <w:r>
              <w:rPr/>
              <w:t> </w:t>
            </w:r>
          </w:p>
        </w:tc>
        <w:tc>
          <w:tcPr>
            <w:tcW w:w="874"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4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2"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ind w:left="0" w:right="0" w:hanging="0"/>
              <w:jc w:val="left"/>
              <w:rPr/>
            </w:pPr>
            <w:r>
              <w:rPr/>
              <w:t> </w:t>
            </w:r>
          </w:p>
        </w:tc>
        <w:tc>
          <w:tcPr>
            <w:tcW w:w="874"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9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Range of Exercise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5"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Number</w:t>
            </w:r>
          </w:p>
        </w:tc>
        <w:tc>
          <w:tcPr>
            <w:tcW w:w="61"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ind w:left="0" w:right="0" w:hanging="0"/>
              <w:jc w:val="left"/>
              <w:rPr/>
            </w:pPr>
            <w:r>
              <w:rPr/>
              <w:t> </w:t>
            </w:r>
          </w:p>
        </w:tc>
        <w:tc>
          <w:tcPr>
            <w:tcW w:w="1025"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Contractual</w:t>
            </w:r>
          </w:p>
        </w:tc>
        <w:tc>
          <w:tcPr>
            <w:tcW w:w="61"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ind w:left="0" w:right="0" w:hanging="0"/>
              <w:jc w:val="left"/>
              <w:rPr/>
            </w:pPr>
            <w:r>
              <w:rPr/>
              <w:t> </w:t>
            </w:r>
          </w:p>
        </w:tc>
        <w:tc>
          <w:tcPr>
            <w:tcW w:w="874"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Exercise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40"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Number</w:t>
            </w:r>
          </w:p>
        </w:tc>
        <w:tc>
          <w:tcPr>
            <w:tcW w:w="82"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ind w:left="0" w:right="0" w:hanging="0"/>
              <w:jc w:val="left"/>
              <w:rPr/>
            </w:pPr>
            <w:r>
              <w:rPr/>
              <w:t> </w:t>
            </w:r>
          </w:p>
        </w:tc>
        <w:tc>
          <w:tcPr>
            <w:tcW w:w="874"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Exercise</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9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Prices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Outstanding</w:t>
            </w:r>
          </w:p>
        </w:tc>
        <w:tc>
          <w:tcPr>
            <w:tcW w:w="61" w:type="dxa"/>
            <w:tcBorders>
              <w:bottom w:val="single" w:sz="2" w:space="0" w:color="000000"/>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Life</w:t>
            </w:r>
          </w:p>
        </w:tc>
        <w:tc>
          <w:tcPr>
            <w:tcW w:w="61" w:type="dxa"/>
            <w:tcBorders>
              <w:bottom w:val="single" w:sz="2" w:space="0" w:color="000000"/>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Price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Exercisable</w:t>
            </w:r>
          </w:p>
        </w:tc>
        <w:tc>
          <w:tcPr>
            <w:tcW w:w="82" w:type="dxa"/>
            <w:tcBorders>
              <w:bottom w:val="single" w:sz="2" w:space="0" w:color="000000"/>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Price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59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396" w:type="dxa"/>
            <w:gridSpan w:val="18"/>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(in thousands, except prices per share and contractual life)</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9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$21.60 - $36.51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ind w:left="0" w:right="0" w:hanging="0"/>
              <w:jc w:val="left"/>
              <w:rPr/>
            </w:pPr>
            <w:r>
              <w:rPr/>
              <w:t> </w:t>
            </w:r>
          </w:p>
        </w:tc>
        <w:tc>
          <w:tcPr>
            <w:tcW w:w="94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855</w:t>
            </w:r>
          </w:p>
        </w:tc>
        <w:tc>
          <w:tcPr>
            <w:tcW w:w="61"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ind w:left="0" w:right="0" w:hanging="0"/>
              <w:jc w:val="left"/>
              <w:rPr/>
            </w:pPr>
            <w:r>
              <w:rPr/>
              <w:t> </w:t>
            </w:r>
          </w:p>
        </w:tc>
        <w:tc>
          <w:tcPr>
            <w:tcW w:w="84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5.2</w:t>
            </w:r>
          </w:p>
        </w:tc>
        <w:tc>
          <w:tcPr>
            <w:tcW w:w="61"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ind w:left="0" w:right="0" w:hanging="0"/>
              <w:jc w:val="left"/>
              <w:rPr/>
            </w:pPr>
            <w:r>
              <w:rPr/>
              <w:t> </w:t>
            </w:r>
          </w:p>
        </w:tc>
        <w:tc>
          <w:tcPr>
            <w:tcW w:w="179"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ind w:left="0" w:right="0" w:hanging="0"/>
              <w:jc w:val="left"/>
              <w:rPr/>
            </w:pPr>
            <w:r>
              <w:rPr/>
              <w:t> </w:t>
            </w:r>
          </w:p>
        </w:tc>
        <w:tc>
          <w:tcPr>
            <w:tcW w:w="92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708</w:t>
            </w:r>
          </w:p>
        </w:tc>
        <w:tc>
          <w:tcPr>
            <w:tcW w:w="82"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ind w:left="0" w:right="0" w:hanging="0"/>
              <w:jc w:val="left"/>
              <w:rPr/>
            </w:pPr>
            <w:r>
              <w:rPr/>
              <w:t> </w:t>
            </w:r>
          </w:p>
        </w:tc>
        <w:tc>
          <w:tcPr>
            <w:tcW w:w="179"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23.82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9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$38.94 - $48.98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743</w:t>
            </w:r>
          </w:p>
        </w:tc>
        <w:tc>
          <w:tcPr>
            <w:tcW w:w="61"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ind w:left="0" w:right="0" w:hanging="0"/>
              <w:jc w:val="left"/>
              <w:rPr/>
            </w:pPr>
            <w:r>
              <w:rPr/>
              <w:t> </w:t>
            </w:r>
          </w:p>
        </w:tc>
        <w:tc>
          <w:tcPr>
            <w:tcW w:w="84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5.2</w:t>
            </w:r>
          </w:p>
        </w:tc>
        <w:tc>
          <w:tcPr>
            <w:tcW w:w="61"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42.58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ind w:left="0" w:right="0" w:hanging="0"/>
              <w:jc w:val="left"/>
              <w:rPr/>
            </w:pPr>
            <w:r>
              <w:rPr/>
              <w:t> </w:t>
            </w:r>
          </w:p>
        </w:tc>
        <w:tc>
          <w:tcPr>
            <w:tcW w:w="92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439</w:t>
            </w:r>
          </w:p>
        </w:tc>
        <w:tc>
          <w:tcPr>
            <w:tcW w:w="82"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45.00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9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$53.61 - $58.94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ind w:left="0" w:right="0" w:hanging="0"/>
              <w:jc w:val="left"/>
              <w:rPr/>
            </w:pPr>
            <w:r>
              <w:rPr/>
              <w:t> </w:t>
            </w:r>
          </w:p>
        </w:tc>
        <w:tc>
          <w:tcPr>
            <w:tcW w:w="94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482</w:t>
            </w:r>
          </w:p>
        </w:tc>
        <w:tc>
          <w:tcPr>
            <w:tcW w:w="61"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ind w:left="0" w:right="0" w:hanging="0"/>
              <w:jc w:val="left"/>
              <w:rPr/>
            </w:pPr>
            <w:r>
              <w:rPr/>
              <w:t> </w:t>
            </w:r>
          </w:p>
        </w:tc>
        <w:tc>
          <w:tcPr>
            <w:tcW w:w="84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3.3</w:t>
            </w:r>
          </w:p>
        </w:tc>
        <w:tc>
          <w:tcPr>
            <w:tcW w:w="61"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56.73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ind w:left="0" w:right="0" w:hanging="0"/>
              <w:jc w:val="left"/>
              <w:rPr/>
            </w:pPr>
            <w:r>
              <w:rPr/>
              <w:t> </w:t>
            </w:r>
          </w:p>
        </w:tc>
        <w:tc>
          <w:tcPr>
            <w:tcW w:w="92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465</w:t>
            </w:r>
          </w:p>
        </w:tc>
        <w:tc>
          <w:tcPr>
            <w:tcW w:w="82"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56.84</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9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$62.02 - $72.83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1,171</w:t>
            </w:r>
          </w:p>
        </w:tc>
        <w:tc>
          <w:tcPr>
            <w:tcW w:w="61" w:type="dxa"/>
            <w:tcBorders>
              <w:bottom w:val="single" w:sz="2" w:space="0" w:color="000000"/>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4"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w:t>
            </w:r>
          </w:p>
        </w:tc>
        <w:tc>
          <w:tcPr>
            <w:tcW w:w="61" w:type="dxa"/>
            <w:tcBorders>
              <w:bottom w:val="single" w:sz="2" w:space="0" w:color="000000"/>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66.14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1,171</w:t>
            </w:r>
          </w:p>
        </w:tc>
        <w:tc>
          <w:tcPr>
            <w:tcW w:w="82" w:type="dxa"/>
            <w:tcBorders>
              <w:bottom w:val="single" w:sz="2" w:space="0" w:color="000000"/>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66.14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595" w:type="dxa"/>
            <w:tcBorders>
              <w:bottom w:val="double" w:sz="6" w:space="0" w:color="000000"/>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double" w:sz="6" w:space="0" w:color="000000"/>
            </w:tcBorders>
            <w:shd w:fill="CCEEFF" w:val="clear"/>
            <w:vAlign w:val="center"/>
          </w:tcPr>
          <w:p>
            <w:pPr>
              <w:pStyle w:val="TableContents"/>
              <w:bidi w:val="0"/>
              <w:spacing w:before="0" w:after="283"/>
              <w:jc w:val="left"/>
              <w:rPr/>
            </w:pPr>
            <w:r>
              <w:rPr>
                <w:rStyle w:val="Emphasis"/>
              </w:rPr>
              <w:t> </w:t>
            </w:r>
          </w:p>
        </w:tc>
        <w:tc>
          <w:tcPr>
            <w:tcW w:w="115" w:type="dxa"/>
            <w:tcBorders>
              <w:bottom w:val="double" w:sz="6" w:space="0" w:color="000000"/>
            </w:tcBorders>
            <w:shd w:fill="CCEEFF" w:val="clear"/>
            <w:vAlign w:val="center"/>
          </w:tcPr>
          <w:p>
            <w:pPr>
              <w:pStyle w:val="TableContents"/>
              <w:bidi w:val="0"/>
              <w:spacing w:before="0" w:after="283"/>
              <w:ind w:left="0" w:right="0" w:hanging="0"/>
              <w:jc w:val="left"/>
              <w:rPr/>
            </w:pPr>
            <w:r>
              <w:rPr>
                <w:rStyle w:val="Emphasis"/>
              </w:rPr>
              <w:t> </w:t>
            </w:r>
          </w:p>
        </w:tc>
        <w:tc>
          <w:tcPr>
            <w:tcW w:w="94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3,251</w:t>
            </w:r>
          </w:p>
        </w:tc>
        <w:tc>
          <w:tcPr>
            <w:tcW w:w="61" w:type="dxa"/>
            <w:tcBorders>
              <w:bottom w:val="double" w:sz="6" w:space="0" w:color="000000"/>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844"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3.8</w:t>
            </w:r>
          </w:p>
        </w:tc>
        <w:tc>
          <w:tcPr>
            <w:tcW w:w="61" w:type="dxa"/>
            <w:tcBorders>
              <w:bottom w:val="double" w:sz="6" w:space="0" w:color="000000"/>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48.64</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2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2,783</w:t>
            </w:r>
          </w:p>
        </w:tc>
        <w:tc>
          <w:tcPr>
            <w:tcW w:w="82" w:type="dxa"/>
            <w:tcBorders>
              <w:bottom w:val="double" w:sz="6" w:space="0" w:color="000000"/>
            </w:tcBorders>
            <w:shd w:fill="CCEEFF" w:val="clear"/>
            <w:vAlign w:val="center"/>
          </w:tcPr>
          <w:p>
            <w:pPr>
              <w:pStyle w:val="TableContents"/>
              <w:bidi w:val="0"/>
              <w:spacing w:before="0" w:after="283"/>
              <w:jc w:val="left"/>
              <w:rPr/>
            </w:pPr>
            <w:r>
              <w:rPr/>
              <w:t> </w:t>
            </w:r>
          </w:p>
        </w:tc>
        <w:tc>
          <w:tcPr>
            <w:tcW w:w="82"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50.48</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Restricted Stock Units and Performance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Restricted stock units (“RSU”) are awarded to certain officers, key employees of the Company, and nonemployee directors. Additionally, performance stock units (“PSU”) are awarded to officers and certain key employees in connection with our long-term incentive program. Each RSU and PSU represents the right to receive </w:t>
      </w:r>
      <w:r>
        <w:rPr>
          <w:rStyle w:val="Emphasis"/>
          <w:rFonts w:ascii="Arial;Helvetica;sans-serif" w:hAnsi="Arial;Helvetica;sans-serif"/>
          <w:caps w:val="false"/>
          <w:smallCaps w:val="false"/>
          <w:sz w:val="20"/>
        </w:rPr>
        <w:t>one</w:t>
      </w:r>
      <w:r>
        <w:rPr>
          <w:rFonts w:ascii="Arial;Helvetica;sans-serif" w:hAnsi="Arial;Helvetica;sans-serif"/>
          <w:caps w:val="false"/>
          <w:smallCaps w:val="false"/>
          <w:sz w:val="20"/>
        </w:rPr>
        <w:t xml:space="preserve"> share of our common stock provided that the applicable performance and vesting conditions are satisfied. PSU awards granted in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also include a performance objective based on our relative total shareholder return over the performance period to a pre-determined peer group, assuming the reinvestment of dividends. The fair value of these awards is determined using a Monte Carlo simulation as of the date of the grant and share-based compensation expense will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be adjusted should the target awards vary from actual awards.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pPr>
      <w:r>
        <w:rPr>
          <w:rFonts w:ascii="Arial;Helvetica;sans-serif" w:hAnsi="Arial;Helvetica;sans-serif"/>
          <w:sz w:val="20"/>
        </w:rPr>
        <w:t xml:space="preserve">First Quarter </w:t>
      </w: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-Q Page </w:t>
      </w:r>
      <w:r>
        <w:rPr>
          <w:rStyle w:val="Emphasis"/>
          <w:rFonts w:ascii="Arial;Helvetica;sans-serif" w:hAnsi="Arial;Helvetica;sans-serif"/>
          <w:sz w:val="20"/>
        </w:rPr>
        <w:t>13</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jc w:val="center"/>
        <w:rPr/>
      </w:pPr>
      <w:r>
        <w:rPr/>
        <w:drawing>
          <wp:inline distT="0" distB="0" distL="0" distR="0">
            <wp:extent cx="2695575" cy="3143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695575" cy="314325"/>
                    </a:xfrm>
                    <a:prstGeom prst="rect">
                      <a:avLst/>
                    </a:prstGeom>
                  </pic:spPr>
                </pic:pic>
              </a:graphicData>
            </a:graphic>
          </wp:inline>
        </w:drawing>
      </w:r>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Arial;Helvetica;sans-serif" w:hAnsi="Arial;Helvetica;sans-serif"/>
          <w:b/>
          <w:caps w:val="false"/>
          <w:smallCaps w:val="false"/>
          <w:sz w:val="20"/>
        </w:rPr>
        <w:t>11.</w:t>
      </w:r>
      <w:r>
        <w:rPr>
          <w:rFonts w:ascii="Arial;Helvetica;sans-serif" w:hAnsi="Arial;Helvetica;sans-serif"/>
          <w:b/>
          <w:caps w:val="false"/>
          <w:smallCaps w:val="false"/>
          <w:sz w:val="20"/>
        </w:rPr>
        <w:t xml:space="preserve"> Share-Based Compensation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Generally, RSU awards fully vest after the passage of time, typically three years for employees and one year for nonemployee directors, provided there is continued service with the Company until the vesting date, subject to the terms of the award. PSU awards are earned only after the attainment of performance goals in connection with the relevant performance period and vest after an additional one-year period. No dividends are paid or accumulated on any RSU or PSU awards. Compensation expense is recognized over the vesting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RSU and PSU activity for the </w:t>
      </w:r>
      <w:r>
        <w:rPr>
          <w:rStyle w:val="Emphasis"/>
          <w:rFonts w:ascii="Arial;Helvetica;sans-serif" w:hAnsi="Arial;Helvetica;sans-serif"/>
          <w:caps w:val="false"/>
          <w:smallCaps w:val="false"/>
          <w:sz w:val="20"/>
        </w:rPr>
        <w:t>thirteen</w:t>
      </w:r>
      <w:r>
        <w:rPr>
          <w:rFonts w:ascii="Arial;Helvetica;sans-serif" w:hAnsi="Arial;Helvetica;sans-serif"/>
          <w:caps w:val="false"/>
          <w:smallCaps w:val="false"/>
          <w:sz w:val="20"/>
        </w:rPr>
        <w:t xml:space="preserve"> weeks ended </w:t>
      </w:r>
      <w:r>
        <w:rPr>
          <w:rStyle w:val="Emphasis"/>
          <w:rFonts w:ascii="Arial;Helvetica;sans-serif" w:hAnsi="Arial;Helvetica;sans-serif"/>
          <w:caps w:val="false"/>
          <w:smallCaps w:val="false"/>
          <w:sz w:val="20"/>
        </w:rPr>
        <w:t>April 29, 2023</w:t>
      </w:r>
      <w:r>
        <w:rPr>
          <w:rFonts w:ascii="Arial;Helvetica;sans-serif" w:hAnsi="Arial;Helvetica;sans-serif"/>
          <w:caps w:val="false"/>
          <w:smallCaps w:val="false"/>
          <w:sz w:val="20"/>
        </w:rPr>
        <w:t xml:space="preserve"> is summarized as follows:</w:t>
      </w:r>
    </w:p>
    <w:p>
      <w:pPr>
        <w:pStyle w:val="TextBody"/>
        <w:bidi w:val="0"/>
        <w:spacing w:before="0" w:after="0"/>
        <w:ind w:left="0" w:right="0" w:hanging="0"/>
        <w:jc w:val="left"/>
        <w:rPr>
          <w:caps w:val="false"/>
          <w:smallCaps w:val="false"/>
        </w:rPr>
      </w:pPr>
      <w:r>
        <w:rPr>
          <w:caps w:val="false"/>
          <w:smallCaps w:val="false"/>
        </w:rPr>
        <w:t> ​</w:t>
      </w:r>
    </w:p>
    <w:tbl>
      <w:tblPr>
        <w:tblW w:w="6113" w:type="dxa"/>
        <w:jc w:val="left"/>
        <w:tblInd w:w="0" w:type="dxa"/>
        <w:tblLayout w:type="fixed"/>
        <w:tblCellMar>
          <w:top w:w="0" w:type="dxa"/>
          <w:left w:w="0" w:type="dxa"/>
          <w:bottom w:w="0" w:type="dxa"/>
          <w:right w:w="0" w:type="dxa"/>
        </w:tblCellMar>
      </w:tblPr>
      <w:tblGrid>
        <w:gridCol w:w="2570"/>
        <w:gridCol w:w="60"/>
        <w:gridCol w:w="242"/>
        <w:gridCol w:w="947"/>
        <w:gridCol w:w="80"/>
        <w:gridCol w:w="60"/>
        <w:gridCol w:w="181"/>
        <w:gridCol w:w="844"/>
        <w:gridCol w:w="60"/>
        <w:gridCol w:w="60"/>
        <w:gridCol w:w="194"/>
        <w:gridCol w:w="755"/>
        <w:gridCol w:w="60"/>
      </w:tblGrid>
      <w:tr>
        <w:trPr/>
        <w:tc>
          <w:tcPr>
            <w:tcW w:w="257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Weighted-</w:t>
            </w:r>
          </w:p>
        </w:tc>
        <w:tc>
          <w:tcPr>
            <w:tcW w:w="60"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Number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Remaining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Average</w:t>
            </w:r>
          </w:p>
        </w:tc>
        <w:tc>
          <w:tcPr>
            <w:tcW w:w="60"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Contractual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Grant Date</w:t>
            </w:r>
          </w:p>
        </w:tc>
        <w:tc>
          <w:tcPr>
            <w:tcW w:w="60" w:type="dxa"/>
            <w:tcBorders/>
            <w:shd w:fill="FFFFFF" w:val="clear"/>
            <w:vAlign w:val="center"/>
          </w:tcPr>
          <w:p>
            <w:pPr>
              <w:pStyle w:val="TableContents"/>
              <w:bidi w:val="0"/>
              <w:spacing w:before="0" w:after="283"/>
              <w:jc w:val="left"/>
              <w:rPr/>
            </w:pPr>
            <w:r>
              <w:rPr/>
              <w:t> </w:t>
            </w:r>
          </w:p>
        </w:tc>
      </w:tr>
      <w:tr>
        <w:trPr/>
        <w:tc>
          <w:tcPr>
            <w:tcW w:w="25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Life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(in thousands)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(per share)</w:t>
            </w:r>
          </w:p>
        </w:tc>
        <w:tc>
          <w:tcPr>
            <w:tcW w:w="6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Nonvested at beginning of year</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94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2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5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37.58</w:t>
            </w:r>
          </w:p>
        </w:tc>
        <w:tc>
          <w:tcPr>
            <w:tcW w:w="6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Granted</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947"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39.69</w:t>
            </w:r>
          </w:p>
        </w:tc>
        <w:tc>
          <w:tcPr>
            <w:tcW w:w="6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Vested</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94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(628</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02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34.12</w:t>
            </w:r>
          </w:p>
        </w:tc>
        <w:tc>
          <w:tcPr>
            <w:tcW w:w="6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Performance adjustment (1)</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947"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(600</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9"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5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Forfeited</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39.79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7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Nonvested at April 29, 2023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1,406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40.80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8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2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4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r>
      <w:tr>
        <w:trPr/>
        <w:tc>
          <w:tcPr>
            <w:tcW w:w="25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Aggregate value ($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4" w:type="dxa"/>
            <w:tcBorders>
              <w:bottom w:val="single" w:sz="2" w:space="0" w:color="000000"/>
            </w:tcBorders>
            <w:shd w:fill="FFFFFF" w:val="clear"/>
            <w:tcMar>
              <w:bottom w:w="28" w:type="dxa"/>
            </w:tcMar>
            <w:vAlign w:val="center"/>
          </w:tcPr>
          <w:p>
            <w:pPr>
              <w:pStyle w:val="TableContents"/>
              <w:bidi w:val="0"/>
              <w:spacing w:before="0" w:after="283"/>
              <w:jc w:val="left"/>
              <w:rPr/>
            </w:pPr>
            <w:r>
              <w:rPr>
                <w:rStyle w:val="Emphasis"/>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lineRule="auto" w:line="288" w:before="0" w:after="0"/>
              <w:ind w:left="0" w:right="0" w:hanging="0"/>
              <w:jc w:val="both"/>
              <w:rPr/>
            </w:pPr>
            <w:r>
              <w:rPr>
                <w:rFonts w:ascii="Arial;Helvetica;sans-serif" w:hAnsi="Arial;Helvetica;sans-serif"/>
                <w:caps w:val="false"/>
                <w:smallCaps w:val="false"/>
                <w:sz w:val="16"/>
              </w:rPr>
              <w:t>(</w:t>
            </w:r>
            <w:r>
              <w:rPr>
                <w:rStyle w:val="Emphasis"/>
                <w:rFonts w:ascii="Arial;Helvetica;sans-serif" w:hAnsi="Arial;Helvetica;sans-serif"/>
                <w:caps w:val="false"/>
                <w:smallCaps w:val="false"/>
                <w:sz w:val="16"/>
              </w:rPr>
              <w:t>1</w:t>
            </w:r>
            <w:r>
              <w:rPr>
                <w:rFonts w:ascii="Arial;Helvetica;sans-serif" w:hAnsi="Arial;Helvetica;sans-serif"/>
                <w:caps w:val="false"/>
                <w:smallCaps w:val="false"/>
                <w:sz w:val="16"/>
              </w:rPr>
              <w:t>)</w:t>
            </w:r>
          </w:p>
        </w:tc>
        <w:tc>
          <w:tcPr>
            <w:tcW w:w="9987"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This represents adjustments made to PSUs reflecting changes in estimates based upon our current performance against predefined financial targets.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The total value of RSU and PSU awards that vested during the </w:t>
      </w:r>
      <w:r>
        <w:rPr>
          <w:rStyle w:val="Emphasis"/>
          <w:rFonts w:ascii="Arial;Helvetica;sans-serif" w:hAnsi="Arial;Helvetica;sans-serif"/>
          <w:caps w:val="false"/>
          <w:smallCaps w:val="false"/>
          <w:sz w:val="20"/>
        </w:rPr>
        <w:t>thirteen</w:t>
      </w:r>
      <w:r>
        <w:rPr>
          <w:rFonts w:ascii="Arial;Helvetica;sans-serif" w:hAnsi="Arial;Helvetica;sans-serif"/>
          <w:caps w:val="false"/>
          <w:smallCaps w:val="false"/>
          <w:sz w:val="20"/>
        </w:rPr>
        <w:t xml:space="preserve"> weeks ended </w:t>
      </w:r>
      <w:r>
        <w:rPr>
          <w:rStyle w:val="Emphasis"/>
          <w:rFonts w:ascii="Arial;Helvetica;sans-serif" w:hAnsi="Arial;Helvetica;sans-serif"/>
          <w:caps w:val="false"/>
          <w:smallCaps w:val="false"/>
          <w:sz w:val="20"/>
        </w:rPr>
        <w:t xml:space="preserve">April 29, 2023 </w:t>
      </w:r>
      <w:r>
        <w:rPr>
          <w:rFonts w:ascii="Arial;Helvetica;sans-serif" w:hAnsi="Arial;Helvetica;sans-serif"/>
          <w:caps w:val="false"/>
          <w:smallCaps w:val="false"/>
          <w:sz w:val="20"/>
        </w:rPr>
        <w:t xml:space="preserve">and </w:t>
      </w:r>
      <w:r>
        <w:rPr>
          <w:rStyle w:val="Emphasis"/>
          <w:rFonts w:ascii="Arial;Helvetica;sans-serif" w:hAnsi="Arial;Helvetica;sans-serif"/>
          <w:caps w:val="false"/>
          <w:smallCaps w:val="false"/>
          <w:sz w:val="20"/>
        </w:rPr>
        <w:t>April 30, 2022</w:t>
      </w:r>
      <w:r>
        <w:rPr>
          <w:rFonts w:ascii="Arial;Helvetica;sans-serif" w:hAnsi="Arial;Helvetica;sans-serif"/>
          <w:caps w:val="false"/>
          <w:smallCaps w:val="false"/>
          <w:sz w:val="20"/>
        </w:rPr>
        <w:t xml:space="preserve"> was $21 million and $5 million, respectively. As of </w:t>
      </w:r>
      <w:r>
        <w:rPr>
          <w:rStyle w:val="Emphasis"/>
          <w:rFonts w:ascii="Arial;Helvetica;sans-serif" w:hAnsi="Arial;Helvetica;sans-serif"/>
          <w:caps w:val="false"/>
          <w:smallCaps w:val="false"/>
          <w:sz w:val="20"/>
        </w:rPr>
        <w:t>April 29, 2023</w:t>
      </w:r>
      <w:r>
        <w:rPr>
          <w:rFonts w:ascii="Arial;Helvetica;sans-serif" w:hAnsi="Arial;Helvetica;sans-serif"/>
          <w:caps w:val="false"/>
          <w:smallCaps w:val="false"/>
          <w:sz w:val="20"/>
        </w:rPr>
        <w:t>, there was $35 million of total unrecognized compensation cost related to nonvested awards.</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arial" w:hAnsi="arial"/>
          <w:b/>
          <w:caps w:val="false"/>
          <w:smallCaps w:val="false"/>
          <w:sz w:val="20"/>
        </w:rPr>
        <w:t>12.</w:t>
      </w:r>
      <w:r>
        <w:rPr>
          <w:rFonts w:ascii="arial" w:hAnsi="arial"/>
          <w:b/>
          <w:caps w:val="false"/>
          <w:smallCaps w:val="false"/>
          <w:sz w:val="20"/>
        </w:rPr>
        <w:t xml:space="preserve">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 w:hAnsi="arial"/>
          <w:caps w:val="false"/>
          <w:smallCaps w:val="false"/>
          <w:sz w:val="20"/>
        </w:rPr>
        <w:t xml:space="preserve">Legal proceedings pending against the Company or its consolidated subsidiaries consist of ordinary, routine litigation, including administrative proceedings, incidental to the business of the Company or businesses that have been sold or discontinued by the Company in past years. These legal proceedings include commercial, intellectual property, customer, environmental, and employment-related claims. Additionally, the Company is a defendant in </w:t>
      </w:r>
      <w:r>
        <w:rPr>
          <w:rStyle w:val="Emphasis"/>
          <w:rFonts w:ascii="arial" w:hAnsi="arial"/>
          <w:caps w:val="false"/>
          <w:smallCaps w:val="false"/>
          <w:sz w:val="20"/>
        </w:rPr>
        <w:t>two</w:t>
      </w:r>
      <w:r>
        <w:rPr>
          <w:rFonts w:ascii="arial" w:hAnsi="arial"/>
          <w:caps w:val="false"/>
          <w:smallCaps w:val="false"/>
          <w:sz w:val="20"/>
        </w:rPr>
        <w:t xml:space="preserve"> purported class actions alleging wage/hour and wage statement violations in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 w:hAnsi="arial"/>
          <w:caps w:val="false"/>
          <w:smallCaps w:val="false"/>
          <w:sz w:val="20"/>
        </w:rPr>
        <w:t xml:space="preserve">We do </w:t>
      </w:r>
      <w:r>
        <w:rPr>
          <w:rStyle w:val="Emphasis"/>
          <w:rFonts w:ascii="arial" w:hAnsi="arial"/>
          <w:caps w:val="false"/>
          <w:smallCaps w:val="false"/>
          <w:sz w:val="20"/>
        </w:rPr>
        <w:t>not</w:t>
      </w:r>
      <w:r>
        <w:rPr>
          <w:rFonts w:ascii="arial" w:hAnsi="arial"/>
          <w:caps w:val="false"/>
          <w:smallCaps w:val="false"/>
          <w:sz w:val="20"/>
        </w:rPr>
        <w:t xml:space="preserve"> believe that the outcome of any such legal proceedings pending against the Company or its consolidated subsidiaries, as described above, would have a material adverse effect on our consolidated financial position, liquidity, or results of operations, taken as a whole, based upon current knowledge and taking into consideration current accruals. Litigation is inherently unpredictable. Judgments could be rendered or settlements made that could adversely affect the Company’s operating results or cash flows in a particular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pPr>
      <w:r>
        <w:rPr>
          <w:rFonts w:ascii="Arial;Helvetica;sans-serif" w:hAnsi="Arial;Helvetica;sans-serif"/>
          <w:sz w:val="20"/>
        </w:rPr>
        <w:t xml:space="preserve">First Quarter </w:t>
      </w: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-Q Page </w:t>
      </w:r>
      <w:r>
        <w:rPr>
          <w:rStyle w:val="Emphasis"/>
          <w:rFonts w:ascii="Arial;Helvetica;sans-serif" w:hAnsi="Arial;Helvetica;sans-serif"/>
          <w:sz w:val="20"/>
        </w:rPr>
        <w:t>14</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arial" w:hAnsi="arial"/>
          <w:caps w:val="false"/>
          <w:smallCaps w:val="false"/>
          <w:sz w:val="20"/>
        </w:rPr>
      </w:pPr>
      <w:bookmarkStart w:id="10" w:name="item_two"/>
      <w:bookmarkEnd w:id="10"/>
      <w:r>
        <w:rPr>
          <w:rFonts w:ascii="arial" w:hAnsi="arial"/>
          <w:b/>
          <w:i/>
          <w:caps w:val="false"/>
          <w:smallCaps w:val="false"/>
          <w:sz w:val="20"/>
        </w:rPr>
        <w:t>Item</w:t>
      </w:r>
      <w:r>
        <w:rPr>
          <w:rFonts w:ascii="arial" w:hAnsi="arial"/>
          <w:caps w:val="false"/>
          <w:smallCaps w:val="false"/>
          <w:sz w:val="20"/>
        </w:rPr>
        <w:t> </w:t>
      </w:r>
      <w:r>
        <w:rPr>
          <w:rFonts w:ascii="arial" w:hAnsi="arial"/>
          <w:b/>
          <w:i/>
          <w:caps w:val="false"/>
          <w:smallCaps w:val="false"/>
          <w:sz w:val="20"/>
        </w:rPr>
        <w:t>2. Management</w:t>
      </w:r>
      <w:r>
        <w:rPr>
          <w:rFonts w:ascii="arial" w:hAnsi="arial"/>
          <w:caps w:val="false"/>
          <w:smallCaps w:val="false"/>
          <w:sz w:val="20"/>
        </w:rPr>
        <w:t>’</w:t>
      </w:r>
      <w:r>
        <w:rPr>
          <w:rFonts w:ascii="arial" w:hAnsi="arial"/>
          <w:b/>
          <w:i/>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Business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Foot Locker, Inc. is a leading footwear and apparel retailer that unlocks the "inner sneakerhead" in all of us. We have a strong history of sneaker authority that sparks discovery and ignites the power of sneaker culture through our portfolio of brands, including Foot Locker, Kids Foot Locker, Champs Sports, WSS, and atmos.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Ensuring that our customers can engage with us in the most convenient manner for them whether in our stores, on our website, or on our mobile application, is a high priority for us. We use our omni-channel capabilities to bridge the digital world and physical stores, including order-in-store, buy online and pickup-in-store, and buy online and ship-from-store, as well as e-commerce. We operate websites and mobile apps aligned with the brand names of our store banners. These sites offer some of the largest online product selections and provide a seamless link between e-commerce and physical stores.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i/>
          <w:caps w:val="false"/>
          <w:smallCaps w:val="false"/>
          <w:sz w:val="20"/>
          <w:u w:val="single"/>
        </w:rPr>
      </w:pPr>
      <w:r>
        <w:rPr>
          <w:rFonts w:ascii="arial" w:hAnsi="arial"/>
          <w:i/>
          <w:caps w:val="false"/>
          <w:smallCaps w:val="false"/>
          <w:sz w:val="20"/>
          <w:u w:val="single"/>
        </w:rPr>
        <w:t>Store 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At April 29, 2023, we operated 2,692 stores as compared with 2,714 and 2,815 stores at January 28, 2023 and April 30, 2022,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i/>
          <w:caps w:val="false"/>
          <w:smallCaps w:val="false"/>
          <w:sz w:val="20"/>
          <w:u w:val="single"/>
        </w:rPr>
      </w:pPr>
      <w:r>
        <w:rPr>
          <w:rFonts w:ascii="arial" w:hAnsi="arial"/>
          <w:i/>
          <w:caps w:val="false"/>
          <w:smallCaps w:val="false"/>
          <w:sz w:val="20"/>
          <w:u w:val="single"/>
        </w:rPr>
        <w:t>Franchise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A total of 163 franchised stores were operating at April 29, 2023, as compared with 159 and 148 stores at January 28, 2023 and April 30, 2022, respectively, operating in the Middle East and Asia. These stores are not included in the operating store count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caps w:val="false"/>
          <w:smallCaps w:val="false"/>
          <w:sz w:val="20"/>
        </w:rPr>
      </w:pPr>
      <w:r>
        <w:rPr>
          <w:rFonts w:ascii="arial" w:hAnsi="arial"/>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We evaluate performance based on several factors, primarily the banner’s financial results, referred to as division profit. Division profit reflects income before income taxes, impairment and other charges, corporate expenses, non-operating income, and net 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The table below summarizes our results for the period.</w:t>
      </w:r>
    </w:p>
    <w:p>
      <w:pPr>
        <w:pStyle w:val="TextBody"/>
        <w:bidi w:val="0"/>
        <w:spacing w:before="0" w:after="0"/>
        <w:ind w:left="0" w:right="0" w:hanging="0"/>
        <w:jc w:val="left"/>
        <w:rPr>
          <w:caps w:val="false"/>
          <w:smallCaps w:val="false"/>
        </w:rPr>
      </w:pPr>
      <w:r>
        <w:rPr>
          <w:caps w:val="false"/>
          <w:smallCaps w:val="false"/>
        </w:rPr>
        <w:t> </w:t>
      </w:r>
    </w:p>
    <w:tbl>
      <w:tblPr>
        <w:tblW w:w="4722" w:type="dxa"/>
        <w:jc w:val="left"/>
        <w:tblInd w:w="0" w:type="dxa"/>
        <w:tblLayout w:type="fixed"/>
        <w:tblCellMar>
          <w:top w:w="0" w:type="dxa"/>
          <w:left w:w="0" w:type="dxa"/>
          <w:bottom w:w="28" w:type="dxa"/>
          <w:right w:w="0" w:type="dxa"/>
        </w:tblCellMar>
      </w:tblPr>
      <w:tblGrid>
        <w:gridCol w:w="2690"/>
        <w:gridCol w:w="60"/>
        <w:gridCol w:w="174"/>
        <w:gridCol w:w="675"/>
        <w:gridCol w:w="111"/>
        <w:gridCol w:w="83"/>
        <w:gridCol w:w="174"/>
        <w:gridCol w:w="675"/>
        <w:gridCol w:w="80"/>
      </w:tblGrid>
      <w:tr>
        <w:trPr/>
        <w:tc>
          <w:tcPr>
            <w:tcW w:w="269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2"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Thirteen weeks ended</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69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9"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April 29,</w:t>
            </w:r>
          </w:p>
        </w:tc>
        <w:tc>
          <w:tcPr>
            <w:tcW w:w="111"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ind w:left="0" w:right="0" w:hanging="0"/>
              <w:jc w:val="left"/>
              <w:rPr/>
            </w:pPr>
            <w:r>
              <w:rPr/>
              <w:t> </w:t>
            </w:r>
          </w:p>
        </w:tc>
        <w:tc>
          <w:tcPr>
            <w:tcW w:w="849"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April 30,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69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111" w:type="dxa"/>
            <w:tcBorders>
              <w:bottom w:val="single" w:sz="2" w:space="0" w:color="000000"/>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6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Sales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1,927</w:t>
            </w:r>
          </w:p>
        </w:tc>
        <w:tc>
          <w:tcPr>
            <w:tcW w:w="111"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ind w:left="0" w:right="0" w:hanging="0"/>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2,175</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269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Licensing revenue</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7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75"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4</w:t>
            </w:r>
          </w:p>
        </w:tc>
        <w:tc>
          <w:tcPr>
            <w:tcW w:w="111"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3"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7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75"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w:t>
            </w:r>
          </w:p>
        </w:tc>
        <w:tc>
          <w:tcPr>
            <w:tcW w:w="80" w:type="dxa"/>
            <w:tcBorders>
              <w:bottom w:val="single" w:sz="2" w:space="0" w:color="000000"/>
            </w:tcBorders>
            <w:shd w:fill="FFFFFF" w:val="clear"/>
            <w:vAlign w:val="center"/>
          </w:tcPr>
          <w:p>
            <w:pPr>
              <w:pStyle w:val="TableContents"/>
              <w:bidi w:val="0"/>
              <w:spacing w:before="0" w:after="0"/>
              <w:jc w:val="left"/>
              <w:rPr/>
            </w:pPr>
            <w:r>
              <w:rPr/>
              <w:t> </w:t>
            </w:r>
          </w:p>
        </w:tc>
      </w:tr>
      <w:tr>
        <w:trPr/>
        <w:tc>
          <w:tcPr>
            <w:tcW w:w="26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Total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675"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1,931</w:t>
            </w:r>
          </w:p>
        </w:tc>
        <w:tc>
          <w:tcPr>
            <w:tcW w:w="111"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675"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2,178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69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9"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11"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ind w:left="0" w:right="0" w:hanging="0"/>
              <w:jc w:val="left"/>
              <w:rPr/>
            </w:pPr>
            <w:r>
              <w:rPr/>
              <w:t> </w:t>
            </w:r>
          </w:p>
        </w:tc>
        <w:tc>
          <w:tcPr>
            <w:tcW w:w="849"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6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Operating Results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9"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11"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ind w:left="0" w:right="0" w:hanging="0"/>
              <w:jc w:val="left"/>
              <w:rPr/>
            </w:pPr>
            <w:r>
              <w:rPr/>
              <w:t> </w:t>
            </w:r>
          </w:p>
        </w:tc>
        <w:tc>
          <w:tcPr>
            <w:tcW w:w="849"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6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Division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67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104</w:t>
            </w:r>
          </w:p>
        </w:tc>
        <w:tc>
          <w:tcPr>
            <w:tcW w:w="111"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67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263</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690" w:type="dxa"/>
            <w:tcBorders/>
            <w:shd w:fill="CCEE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Less: Impairment and other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39</w:t>
            </w:r>
          </w:p>
        </w:tc>
        <w:tc>
          <w:tcPr>
            <w:tcW w:w="111"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690" w:type="dxa"/>
            <w:tcBorders>
              <w:bottom w:val="single" w:sz="2" w:space="0" w:color="000000"/>
            </w:tcBorders>
            <w:shd w:fill="FFFF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Less: Corporate expense (2)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w:t>
            </w:r>
          </w:p>
        </w:tc>
        <w:tc>
          <w:tcPr>
            <w:tcW w:w="111" w:type="dxa"/>
            <w:tcBorders>
              <w:bottom w:val="single" w:sz="2" w:space="0" w:color="000000"/>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37</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6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Income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61</w:t>
            </w:r>
          </w:p>
        </w:tc>
        <w:tc>
          <w:tcPr>
            <w:tcW w:w="111"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220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6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Interest expense,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67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w:t>
            </w:r>
          </w:p>
        </w:tc>
        <w:tc>
          <w:tcPr>
            <w:tcW w:w="111"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3"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67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690" w:type="dxa"/>
            <w:tcBorders>
              <w:bottom w:val="single" w:sz="2" w:space="0" w:color="000000"/>
            </w:tcBorders>
            <w:shd w:fill="CCEE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income / (expense), net (3)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w:t>
            </w:r>
          </w:p>
        </w:tc>
        <w:tc>
          <w:tcPr>
            <w:tcW w:w="111"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3" w:type="dxa"/>
            <w:tcBorders>
              <w:bottom w:val="single" w:sz="2" w:space="0" w:color="000000"/>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690"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Income before income taxes</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57</w:t>
            </w:r>
          </w:p>
        </w:tc>
        <w:tc>
          <w:tcPr>
            <w:tcW w:w="111" w:type="dxa"/>
            <w:tcBorders>
              <w:bottom w:val="double" w:sz="6" w:space="0" w:color="000000"/>
            </w:tcBorders>
            <w:shd w:fill="FFFFFF" w:val="clear"/>
            <w:vAlign w:val="center"/>
          </w:tcPr>
          <w:p>
            <w:pPr>
              <w:pStyle w:val="TableContents"/>
              <w:bidi w:val="0"/>
              <w:spacing w:before="0" w:after="283"/>
              <w:jc w:val="left"/>
              <w:rPr/>
            </w:pPr>
            <w:r>
              <w:rPr/>
              <w:t> </w:t>
            </w:r>
          </w:p>
        </w:tc>
        <w:tc>
          <w:tcPr>
            <w:tcW w:w="83"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190</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lineRule="auto" w:line="288"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1002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 xml:space="preserve">See the </w:t>
            </w:r>
            <w:r>
              <w:rPr>
                <w:rFonts w:ascii="Arial;Helvetica;sans-serif" w:hAnsi="Arial;Helvetica;sans-serif"/>
                <w:i/>
                <w:caps w:val="false"/>
                <w:smallCaps w:val="false"/>
                <w:sz w:val="16"/>
              </w:rPr>
              <w:t>Impairment and Other Charges</w:t>
            </w:r>
            <w:r>
              <w:rPr>
                <w:rFonts w:ascii="Arial;Helvetica;sans-serif" w:hAnsi="Arial;Helvetica;sans-serif"/>
                <w:caps w:val="false"/>
                <w:smallCaps w:val="false"/>
                <w:sz w:val="16"/>
              </w:rPr>
              <w:t> section for further information.</w:t>
            </w:r>
          </w:p>
        </w:tc>
      </w:tr>
      <w:tr>
        <w:trPr/>
        <w:tc>
          <w:tcPr>
            <w:tcW w:w="185" w:type="dxa"/>
            <w:tcBorders/>
            <w:vAlign w:val="center"/>
          </w:tcPr>
          <w:p>
            <w:pPr>
              <w:pStyle w:val="TableContents"/>
              <w:bidi w:val="0"/>
              <w:spacing w:lineRule="auto" w:line="288"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1002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Corporate expense consists of unallocated selling, general and administrative expenses as well as depreciation and amortization related to the Company’s corporate headquarters, centrally managed departments, unallocated insurance and benefit programs, certain foreign exchange transaction gains and losses, and other items.</w:t>
            </w:r>
          </w:p>
        </w:tc>
      </w:tr>
      <w:tr>
        <w:trPr/>
        <w:tc>
          <w:tcPr>
            <w:tcW w:w="185" w:type="dxa"/>
            <w:tcBorders/>
            <w:vAlign w:val="center"/>
          </w:tcPr>
          <w:p>
            <w:pPr>
              <w:pStyle w:val="TableContents"/>
              <w:bidi w:val="0"/>
              <w:spacing w:lineRule="auto" w:line="288"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(3)</w:t>
            </w:r>
          </w:p>
        </w:tc>
        <w:tc>
          <w:tcPr>
            <w:tcW w:w="1002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Other income / (expense), net includes non-operating items, changes in fair value of minority interests measured at fair value or using the fair value measurement alternative, changes in the market value of our available-for-sale security, our share of earnings or losses related to our equity method investments, and net benefit expense related to our pension and postretirement programs excluding the service cost component. See the </w:t>
            </w:r>
            <w:r>
              <w:rPr>
                <w:rFonts w:ascii="Arial;Helvetica;sans-serif" w:hAnsi="Arial;Helvetica;sans-serif"/>
                <w:i/>
                <w:caps w:val="false"/>
                <w:smallCaps w:val="false"/>
                <w:sz w:val="16"/>
              </w:rPr>
              <w:t>Other income / (expense), net</w:t>
            </w:r>
            <w:r>
              <w:rPr>
                <w:rFonts w:ascii="Arial;Helvetica;sans-serif" w:hAnsi="Arial;Helvetica;sans-serif"/>
                <w:caps w:val="false"/>
                <w:smallCaps w:val="false"/>
                <w:sz w:val="16"/>
              </w:rPr>
              <w:t> section for further information.</w:t>
            </w:r>
          </w:p>
        </w:tc>
      </w:tr>
    </w:tbl>
    <w:p>
      <w:pPr>
        <w:pStyle w:val="TextBody"/>
        <w:bidi w:val="0"/>
        <w:spacing w:before="0" w:after="0"/>
        <w:ind w:left="0" w:right="0" w:hanging="0"/>
        <w:jc w:val="left"/>
        <w:rPr/>
      </w:pPr>
      <w:r>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First Quarter 2023 Form 10-Q Page 15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Reconciliation of Non-GAAP Measures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In addition to reporting our financial results in accordance with U.S. generally accepted accounting principles (“GAAP”), we report certain financial results that differ from what is reported under GAAP. We have presented certain financial measures identified as non-GAAP, such as sales changes excluding foreign currency fluctuations, adjusted income before income taxes, adjusted net income, and adjusted diluted 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We present certain amounts as excluding the effects of foreign currency fluctuations, which are also considered non-GAAP measures. Where amounts are expressed as excluding the effects of foreign currency fluctuations, such changes are determined by translating all amounts in both years using the prior-year average foreign exchange rates. Presenting amounts on a constant currency basis is useful to investors because it enables them to better understand the changes in our business that are not related to currency movements.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These non-GAAP measures are presented because we believe they assist investors in comparing our performance across reporting periods on a consistent basis by excluding items that we do not believe are indicative of our core business or affect comparability. In addition, these non-GAAP measures are useful in assessing our progress in achieving our long-term financial objectives. We estimate the tax effect of all non-GAAP adjustments by applying a marginal tax rate to each item. The income tax items represent the discrete amount that affected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The non-GAAP financial information is provided in addition, and not as an alternative, to our reported results prepared in accordance with GAAP. Presented below is a reconciliation of GAAP and non-GAAP.  </w:t>
      </w:r>
    </w:p>
    <w:p>
      <w:pPr>
        <w:pStyle w:val="TextBody"/>
        <w:bidi w:val="0"/>
        <w:spacing w:before="0" w:after="0"/>
        <w:ind w:left="0" w:right="0" w:hanging="0"/>
        <w:jc w:val="left"/>
        <w:rPr>
          <w:caps w:val="false"/>
          <w:smallCaps w:val="false"/>
        </w:rPr>
      </w:pPr>
      <w:r>
        <w:rPr>
          <w:caps w:val="false"/>
          <w:smallCaps w:val="false"/>
        </w:rPr>
        <w:t> </w:t>
      </w:r>
    </w:p>
    <w:tbl>
      <w:tblPr>
        <w:tblW w:w="9622" w:type="dxa"/>
        <w:jc w:val="left"/>
        <w:tblInd w:w="0" w:type="dxa"/>
        <w:tblLayout w:type="fixed"/>
        <w:tblCellMar>
          <w:top w:w="0" w:type="dxa"/>
          <w:left w:w="0" w:type="dxa"/>
          <w:bottom w:w="28" w:type="dxa"/>
          <w:right w:w="0" w:type="dxa"/>
        </w:tblCellMar>
      </w:tblPr>
      <w:tblGrid>
        <w:gridCol w:w="7610"/>
        <w:gridCol w:w="60"/>
        <w:gridCol w:w="195"/>
        <w:gridCol w:w="689"/>
        <w:gridCol w:w="125"/>
        <w:gridCol w:w="93"/>
        <w:gridCol w:w="195"/>
        <w:gridCol w:w="595"/>
        <w:gridCol w:w="60"/>
      </w:tblGrid>
      <w:tr>
        <w:trPr/>
        <w:tc>
          <w:tcPr>
            <w:tcW w:w="761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2"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Thirteen weeks ended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761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84"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April 29,</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ind w:left="0" w:right="0" w:hanging="0"/>
              <w:jc w:val="left"/>
              <w:rPr/>
            </w:pPr>
            <w:r>
              <w:rPr/>
              <w:t> </w:t>
            </w:r>
          </w:p>
        </w:tc>
        <w:tc>
          <w:tcPr>
            <w:tcW w:w="790"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April 30,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761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 except per share amounts)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8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125" w:type="dxa"/>
            <w:tcBorders>
              <w:bottom w:val="single" w:sz="2" w:space="0" w:color="000000"/>
            </w:tcBorders>
            <w:shd w:fill="FFFFFF" w:val="clear"/>
            <w:vAlign w:val="center"/>
          </w:tcPr>
          <w:p>
            <w:pPr>
              <w:pStyle w:val="TableContents"/>
              <w:bidi w:val="0"/>
              <w:spacing w:before="0" w:after="283"/>
              <w:jc w:val="left"/>
              <w:rPr/>
            </w:pPr>
            <w:r>
              <w:rPr/>
              <w:t> </w:t>
            </w:r>
          </w:p>
        </w:tc>
        <w:tc>
          <w:tcPr>
            <w:tcW w:w="9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9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761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Pre-tax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689"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5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761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Income before income taxes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9"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57</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ind w:left="0" w:right="0" w:hanging="0"/>
              <w:jc w:val="left"/>
              <w:rPr/>
            </w:pPr>
            <w:r>
              <w:rPr/>
              <w:t> </w:t>
            </w:r>
          </w:p>
        </w:tc>
        <w:tc>
          <w:tcPr>
            <w:tcW w:w="19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761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Pre-tax amounts excluded from GAAP:</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84"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5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7610"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Impairment and other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ind w:left="0" w:right="0" w:hanging="0"/>
              <w:jc w:val="left"/>
              <w:rPr/>
            </w:pPr>
            <w:r>
              <w:rPr/>
              <w:t> </w:t>
            </w:r>
          </w:p>
        </w:tc>
        <w:tc>
          <w:tcPr>
            <w:tcW w:w="689"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39</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ind w:left="0" w:right="0" w:hanging="0"/>
              <w:jc w:val="left"/>
              <w:rPr/>
            </w:pPr>
            <w:r>
              <w:rPr/>
              <w:t> </w:t>
            </w:r>
          </w:p>
        </w:tc>
        <w:tc>
          <w:tcPr>
            <w:tcW w:w="5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7610" w:type="dxa"/>
            <w:tcBorders>
              <w:bottom w:val="single" w:sz="2" w:space="0" w:color="000000"/>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income / expense, net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89"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w:t>
            </w:r>
          </w:p>
        </w:tc>
        <w:tc>
          <w:tcPr>
            <w:tcW w:w="125" w:type="dxa"/>
            <w:tcBorders>
              <w:bottom w:val="single" w:sz="2" w:space="0" w:color="000000"/>
            </w:tcBorders>
            <w:shd w:fill="CCEEFF" w:val="clear"/>
            <w:vAlign w:val="center"/>
          </w:tcPr>
          <w:p>
            <w:pPr>
              <w:pStyle w:val="TableContents"/>
              <w:bidi w:val="0"/>
              <w:spacing w:before="0" w:after="283"/>
              <w:jc w:val="left"/>
              <w:rPr/>
            </w:pPr>
            <w:r>
              <w:rPr/>
              <w:t> </w:t>
            </w:r>
          </w:p>
        </w:tc>
        <w:tc>
          <w:tcPr>
            <w:tcW w:w="93" w:type="dxa"/>
            <w:tcBorders>
              <w:bottom w:val="single" w:sz="2" w:space="0" w:color="000000"/>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7610"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Adjusted income before income taxes (non-GAAP)</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9"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97</w:t>
            </w:r>
          </w:p>
        </w:tc>
        <w:tc>
          <w:tcPr>
            <w:tcW w:w="125" w:type="dxa"/>
            <w:tcBorders>
              <w:bottom w:val="double" w:sz="6" w:space="0" w:color="000000"/>
            </w:tcBorders>
            <w:shd w:fill="FFFFFF" w:val="clear"/>
            <w:vAlign w:val="center"/>
          </w:tcPr>
          <w:p>
            <w:pPr>
              <w:pStyle w:val="TableContents"/>
              <w:bidi w:val="0"/>
              <w:spacing w:before="0" w:after="283"/>
              <w:jc w:val="left"/>
              <w:rPr/>
            </w:pPr>
            <w:r>
              <w:rPr/>
              <w:t> </w:t>
            </w:r>
          </w:p>
        </w:tc>
        <w:tc>
          <w:tcPr>
            <w:tcW w:w="93"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9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220</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r>
        <w:trPr/>
        <w:tc>
          <w:tcPr>
            <w:tcW w:w="761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84"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ind w:left="0" w:right="0" w:hanging="0"/>
              <w:jc w:val="left"/>
              <w:rPr/>
            </w:pPr>
            <w:r>
              <w:rPr/>
              <w:t> </w:t>
            </w:r>
          </w:p>
        </w:tc>
        <w:tc>
          <w:tcPr>
            <w:tcW w:w="79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761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After-tax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689"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5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761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income attributable to Foot Locker, Inc.</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9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ind w:left="0" w:right="0" w:hanging="0"/>
              <w:jc w:val="left"/>
              <w:rPr/>
            </w:pPr>
            <w:r>
              <w:rPr/>
              <w:t> </w:t>
            </w:r>
          </w:p>
        </w:tc>
        <w:tc>
          <w:tcPr>
            <w:tcW w:w="19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761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After-tax adjustments excluded from GAAP:</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84"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5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7610"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Impairment and other, net of income tax benefit of $6, and $2 million, respectively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ind w:left="0" w:right="0" w:hanging="0"/>
              <w:jc w:val="left"/>
              <w:rPr/>
            </w:pPr>
            <w:r>
              <w:rPr/>
              <w:t> </w:t>
            </w:r>
          </w:p>
        </w:tc>
        <w:tc>
          <w:tcPr>
            <w:tcW w:w="68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ind w:left="0" w:right="0" w:hanging="0"/>
              <w:jc w:val="left"/>
              <w:rPr/>
            </w:pPr>
            <w:r>
              <w:rPr/>
              <w:t> </w:t>
            </w:r>
          </w:p>
        </w:tc>
        <w:tc>
          <w:tcPr>
            <w:tcW w:w="5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7610"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income / expense, net of income tax benefit/(expense) of $-, and $6 million, respectively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ind w:left="0" w:right="0" w:hanging="0"/>
              <w:jc w:val="left"/>
              <w:rPr/>
            </w:pPr>
            <w:r>
              <w:rPr/>
              <w:t> </w:t>
            </w:r>
          </w:p>
        </w:tc>
        <w:tc>
          <w:tcPr>
            <w:tcW w:w="689"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ind w:left="0" w:right="0" w:hanging="0"/>
              <w:jc w:val="left"/>
              <w:rPr/>
            </w:pPr>
            <w:r>
              <w:rPr/>
              <w:t> </w:t>
            </w:r>
          </w:p>
        </w:tc>
        <w:tc>
          <w:tcPr>
            <w:tcW w:w="5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7610" w:type="dxa"/>
            <w:tcBorders>
              <w:bottom w:val="single" w:sz="2" w:space="0" w:color="000000"/>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Tax reserves benefit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89"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w:t>
            </w:r>
          </w:p>
        </w:tc>
        <w:tc>
          <w:tcPr>
            <w:tcW w:w="125"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3" w:type="dxa"/>
            <w:tcBorders>
              <w:bottom w:val="single" w:sz="2" w:space="0" w:color="000000"/>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5"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7610"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Adjusted net income (non-GAAP)</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9"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66</w:t>
            </w:r>
          </w:p>
        </w:tc>
        <w:tc>
          <w:tcPr>
            <w:tcW w:w="125" w:type="dxa"/>
            <w:tcBorders>
              <w:bottom w:val="double" w:sz="6" w:space="0" w:color="000000"/>
            </w:tcBorders>
            <w:shd w:fill="FFFFFF" w:val="clear"/>
            <w:vAlign w:val="center"/>
          </w:tcPr>
          <w:p>
            <w:pPr>
              <w:pStyle w:val="TableContents"/>
              <w:bidi w:val="0"/>
              <w:spacing w:before="0" w:after="283"/>
              <w:jc w:val="left"/>
              <w:rPr/>
            </w:pPr>
            <w:r>
              <w:rPr/>
              <w:t> </w:t>
            </w:r>
          </w:p>
        </w:tc>
        <w:tc>
          <w:tcPr>
            <w:tcW w:w="93"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9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155</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r>
        <w:trPr/>
        <w:tc>
          <w:tcPr>
            <w:tcW w:w="761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84"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ind w:left="0" w:right="0" w:hanging="0"/>
              <w:jc w:val="left"/>
              <w:rPr/>
            </w:pPr>
            <w:r>
              <w:rPr/>
              <w:t> </w:t>
            </w:r>
          </w:p>
        </w:tc>
        <w:tc>
          <w:tcPr>
            <w:tcW w:w="79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761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Earnings per share: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84"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5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761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Diluted earnings per share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9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0.38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ind w:left="0" w:right="0" w:hanging="0"/>
              <w:jc w:val="left"/>
              <w:rPr/>
            </w:pPr>
            <w:r>
              <w:rPr/>
              <w:t> </w:t>
            </w:r>
          </w:p>
        </w:tc>
        <w:tc>
          <w:tcPr>
            <w:tcW w:w="19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761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Diluted EPS amounts excluded from GAAP:</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84"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ind w:left="0" w:right="0" w:hanging="0"/>
              <w:jc w:val="left"/>
              <w:rPr/>
            </w:pPr>
            <w:r>
              <w:rPr/>
              <w:t> </w:t>
            </w:r>
          </w:p>
        </w:tc>
        <w:tc>
          <w:tcPr>
            <w:tcW w:w="79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7610"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Impairment and other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ind w:left="0" w:right="0" w:hanging="0"/>
              <w:jc w:val="left"/>
              <w:rPr/>
            </w:pPr>
            <w:r>
              <w:rPr/>
              <w:t> </w:t>
            </w:r>
          </w:p>
        </w:tc>
        <w:tc>
          <w:tcPr>
            <w:tcW w:w="68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0.36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ind w:left="0" w:right="0" w:hanging="0"/>
              <w:jc w:val="left"/>
              <w:rPr/>
            </w:pPr>
            <w:r>
              <w:rPr/>
              <w:t> </w:t>
            </w:r>
          </w:p>
        </w:tc>
        <w:tc>
          <w:tcPr>
            <w:tcW w:w="5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0.05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7610"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income / expense,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ind w:left="0" w:right="0" w:hanging="0"/>
              <w:jc w:val="left"/>
              <w:rPr/>
            </w:pPr>
            <w:r>
              <w:rPr/>
              <w:t> </w:t>
            </w:r>
          </w:p>
        </w:tc>
        <w:tc>
          <w:tcPr>
            <w:tcW w:w="689" w:type="dxa"/>
            <w:tcBorders/>
            <w:shd w:fill="FFFFFF" w:val="clear"/>
            <w:tcMar>
              <w:bottom w:w="0" w:type="dxa"/>
            </w:tcMar>
            <w:vAlign w:val="center"/>
          </w:tcPr>
          <w:p>
            <w:pPr>
              <w:pStyle w:val="TableContents"/>
              <w:bidi w:val="0"/>
              <w:spacing w:before="0" w:after="283"/>
              <w:ind w:left="0" w:right="0" w:hanging="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ind w:left="0" w:right="0" w:hanging="0"/>
              <w:jc w:val="left"/>
              <w:rPr/>
            </w:pPr>
            <w:r>
              <w:rPr/>
              <w:t> </w:t>
            </w:r>
          </w:p>
        </w:tc>
        <w:tc>
          <w:tcPr>
            <w:tcW w:w="5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0.18</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7610" w:type="dxa"/>
            <w:tcBorders>
              <w:bottom w:val="single" w:sz="2" w:space="0" w:color="000000"/>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Tax reserves benefit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89"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(0.04</w:t>
            </w:r>
          </w:p>
        </w:tc>
        <w:tc>
          <w:tcPr>
            <w:tcW w:w="125"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3" w:type="dxa"/>
            <w:tcBorders>
              <w:bottom w:val="single" w:sz="2" w:space="0" w:color="000000"/>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5"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7610"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Adjusted diluted earnings per share (non-GAAP)</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9"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0.70</w:t>
            </w:r>
          </w:p>
        </w:tc>
        <w:tc>
          <w:tcPr>
            <w:tcW w:w="125" w:type="dxa"/>
            <w:tcBorders>
              <w:bottom w:val="double" w:sz="6" w:space="0" w:color="000000"/>
            </w:tcBorders>
            <w:shd w:fill="FFFFFF" w:val="clear"/>
            <w:vAlign w:val="center"/>
          </w:tcPr>
          <w:p>
            <w:pPr>
              <w:pStyle w:val="TableContents"/>
              <w:bidi w:val="0"/>
              <w:spacing w:before="0" w:after="283"/>
              <w:jc w:val="left"/>
              <w:rPr/>
            </w:pPr>
            <w:r>
              <w:rPr/>
              <w:t> </w:t>
            </w:r>
          </w:p>
        </w:tc>
        <w:tc>
          <w:tcPr>
            <w:tcW w:w="93"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9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1.60</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 xml:space="preserve">During the thirteen weeks ended April 29, 2023, we recorded pre-tax charges of $39 million and $6 million, respectively, classified as Impairment and Other. See the </w:t>
      </w:r>
      <w:r>
        <w:rPr>
          <w:rFonts w:ascii="arial" w:hAnsi="arial"/>
          <w:i/>
          <w:caps w:val="false"/>
          <w:smallCaps w:val="false"/>
          <w:sz w:val="20"/>
        </w:rPr>
        <w:t>Impairment and Other Charges</w:t>
      </w:r>
      <w:r>
        <w:rPr>
          <w:rFonts w:ascii="arial" w:hAnsi="arial"/>
          <w:caps w:val="false"/>
          <w:smallCaps w:val="false"/>
          <w:sz w:val="20"/>
        </w:rPr>
        <w:t xml:space="preserve"> section for further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First Quarter 2023 Form 10-Q Page 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 xml:space="preserve">The adjustments made to other income / (expense), net reflected gains or losses associated with our minority investments. See the </w:t>
      </w:r>
      <w:r>
        <w:rPr>
          <w:rFonts w:ascii="arial" w:hAnsi="arial"/>
          <w:i/>
          <w:caps w:val="false"/>
          <w:smallCaps w:val="false"/>
          <w:sz w:val="20"/>
        </w:rPr>
        <w:t>Other Income / (Expense), net</w:t>
      </w:r>
      <w:r>
        <w:rPr>
          <w:rFonts w:ascii="arial" w:hAnsi="arial"/>
          <w:caps w:val="false"/>
          <w:smallCaps w:val="false"/>
          <w:sz w:val="20"/>
        </w:rPr>
        <w:t xml:space="preserve"> section for further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During the thirteen weeks ended April 29, 2023, we recorded a $4 million benefit related to an income tax reserves release from a statute of limitations expiration.</w:t>
      </w:r>
    </w:p>
    <w:p>
      <w:pPr>
        <w:pStyle w:val="TextBody"/>
        <w:bidi w:val="0"/>
        <w:spacing w:before="0" w:after="283"/>
        <w:jc w:val="left"/>
        <w:rPr/>
      </w:pPr>
      <w:r>
        <w:rPr/>
        <w:t xml:space="preserve">  </w:t>
      </w:r>
    </w:p>
    <w:p>
      <w:pPr>
        <w:pStyle w:val="TextBody"/>
        <w:bidi w:val="0"/>
        <w:spacing w:before="0" w:after="0"/>
        <w:ind w:left="0" w:right="0" w:hanging="0"/>
        <w:jc w:val="left"/>
        <w:rPr>
          <w:rFonts w:ascii="arial" w:hAnsi="arial"/>
          <w:b/>
          <w:caps w:val="false"/>
          <w:smallCaps w:val="false"/>
          <w:sz w:val="20"/>
        </w:rPr>
      </w:pPr>
      <w:r>
        <w:rPr>
          <w:rFonts w:ascii="arial" w:hAnsi="arial"/>
          <w:b/>
          <w:caps w:val="false"/>
          <w:smallCaps w:val="false"/>
          <w:sz w:val="20"/>
        </w:rPr>
        <w:t>Segment Reporting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We have determined that we have three operating segments, North America, EMEA, and Asia Pacific. Our North America operating segment includes the results of the following banners operating in the U.S. and Canada: Foot Locker, Champs Sports, Kids Foot Locker, and WSS, including each of their related e-commerce businesses. Our EMEA operating segment includes the results of the following banners operating in Europe: Foot Locker, Sidestep, and Kids Foot Locker, including each of their related e-commerce businesses. Our Asia Pacific operating segment includes the results of the Foot Locker banner and its related e-commerce business operating in Australia, New Zealand, and Asia, as well as atmos, which operates primarily in Asia. We have further aggregated these operating segments into one reportable segment based upon their shared customer base and similar economic characteristics.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shd w:fill="FFFFFF" w:val="clear"/>
        </w:rPr>
      </w:pPr>
      <w:r>
        <w:rPr>
          <w:rFonts w:ascii="arial" w:hAnsi="arial"/>
          <w:caps w:val="false"/>
          <w:smallCaps w:val="false"/>
          <w:sz w:val="20"/>
          <w:shd w:fill="FFFFFF" w:val="clear"/>
        </w:rPr>
        <w:t>As reported in our Annual Report on Form 10-K, we announced the closure of the Sidestep banner and the wind down of our stores operating in Hong Kong and Macau. We currently expect to wind down the majority of operations by the end of the second quarter. Additionally during the second quarter, we will be transitioning our Singapore and Malaysian business to a licensed store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u w:val="single"/>
        </w:rPr>
      </w:pPr>
      <w:r>
        <w:rPr>
          <w:rFonts w:ascii="arial" w:hAnsi="arial"/>
          <w:i/>
          <w:caps w:val="false"/>
          <w:smallCaps w:val="false"/>
          <w:sz w:val="20"/>
          <w:u w:val="single"/>
        </w:rPr>
        <w:t>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All references to comparable-store sales for a given period relate to sales of stores that were open at the period-end and had been open for more than one year. The computation of consolidated comparable sales also includes our direct-to-customers channel. Stores opened or closed during the period are not included in the comparable-store base; however, stores closed temporarily for relocation or remodeling are included. Computations exclude the effect of foreign currency fluctuations.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Sales from acquired businesses that include inventory are included in the computation of comparable-store sales after the 15th month of operations. Accordingly, WSS comparable-store sales are included in the first quarter of 2023, while sales from the atmos banner only include two months in the computation of comparable-store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For the thirteen weeks ended April 29, 2023, total sales decreased by $248 million, or 11.4%, to $1,927 million, as compared with the corresponding prior-year period. Excluding the effect of foreign currency fluctuations, total sales decreased by $217 million, or 10.0%, for the thirteen weeks ended April 29, 2023. The information shown below represents certain sales metrics by sales channel.</w:t>
      </w:r>
    </w:p>
    <w:p>
      <w:pPr>
        <w:pStyle w:val="TextBody"/>
        <w:bidi w:val="0"/>
        <w:spacing w:before="0" w:after="0"/>
        <w:ind w:left="0" w:right="0" w:hanging="0"/>
        <w:jc w:val="left"/>
        <w:rPr>
          <w:caps w:val="false"/>
          <w:smallCaps w:val="false"/>
        </w:rPr>
      </w:pPr>
      <w:r>
        <w:rPr>
          <w:caps w:val="false"/>
          <w:smallCaps w:val="false"/>
        </w:rPr>
        <w:t> </w:t>
      </w:r>
    </w:p>
    <w:tbl>
      <w:tblPr>
        <w:tblW w:w="5487" w:type="dxa"/>
        <w:jc w:val="left"/>
        <w:tblInd w:w="0" w:type="dxa"/>
        <w:tblLayout w:type="fixed"/>
        <w:tblCellMar>
          <w:top w:w="0" w:type="dxa"/>
          <w:left w:w="0" w:type="dxa"/>
          <w:bottom w:w="28" w:type="dxa"/>
          <w:right w:w="0" w:type="dxa"/>
        </w:tblCellMar>
      </w:tblPr>
      <w:tblGrid>
        <w:gridCol w:w="3290"/>
        <w:gridCol w:w="60"/>
        <w:gridCol w:w="155"/>
        <w:gridCol w:w="602"/>
        <w:gridCol w:w="304"/>
        <w:gridCol w:w="74"/>
        <w:gridCol w:w="155"/>
        <w:gridCol w:w="602"/>
        <w:gridCol w:w="245"/>
      </w:tblGrid>
      <w:tr>
        <w:trPr/>
        <w:tc>
          <w:tcPr>
            <w:tcW w:w="329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2"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Thirteen weeks ended</w:t>
            </w:r>
          </w:p>
        </w:tc>
        <w:tc>
          <w:tcPr>
            <w:tcW w:w="24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7"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April 29,</w:t>
            </w:r>
          </w:p>
        </w:tc>
        <w:tc>
          <w:tcPr>
            <w:tcW w:w="304"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ind w:left="0" w:right="0" w:hanging="0"/>
              <w:jc w:val="left"/>
              <w:rPr/>
            </w:pPr>
            <w:r>
              <w:rPr/>
              <w:t> </w:t>
            </w:r>
          </w:p>
        </w:tc>
        <w:tc>
          <w:tcPr>
            <w:tcW w:w="757"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April 30,</w:t>
            </w:r>
          </w:p>
        </w:tc>
        <w:tc>
          <w:tcPr>
            <w:tcW w:w="24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7"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304" w:type="dxa"/>
            <w:tcBorders>
              <w:bottom w:val="single" w:sz="2" w:space="0" w:color="000000"/>
            </w:tcBorders>
            <w:shd w:fill="FFFFFF" w:val="clear"/>
            <w:vAlign w:val="center"/>
          </w:tcPr>
          <w:p>
            <w:pPr>
              <w:pStyle w:val="TableContents"/>
              <w:bidi w:val="0"/>
              <w:spacing w:before="0" w:after="283"/>
              <w:jc w:val="left"/>
              <w:rPr/>
            </w:pPr>
            <w:r>
              <w:rPr/>
              <w:t> </w:t>
            </w:r>
          </w:p>
        </w:tc>
        <w:tc>
          <w:tcPr>
            <w:tcW w:w="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7"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2022</w:t>
            </w:r>
          </w:p>
        </w:tc>
        <w:tc>
          <w:tcPr>
            <w:tcW w:w="24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Store sales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02"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1,613</w:t>
            </w:r>
          </w:p>
        </w:tc>
        <w:tc>
          <w:tcPr>
            <w:tcW w:w="304"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ind w:left="0" w:right="0" w:hanging="0"/>
              <w:jc w:val="left"/>
              <w:rPr/>
            </w:pPr>
            <w:r>
              <w:rPr/>
              <w:t> </w:t>
            </w:r>
          </w:p>
        </w:tc>
        <w:tc>
          <w:tcPr>
            <w:tcW w:w="15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02"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1,776</w:t>
            </w:r>
          </w:p>
        </w:tc>
        <w:tc>
          <w:tcPr>
            <w:tcW w:w="24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Change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02"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(163</w:t>
            </w:r>
          </w:p>
        </w:tc>
        <w:tc>
          <w:tcPr>
            <w:tcW w:w="304"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74" w:type="dxa"/>
            <w:tcBorders/>
            <w:shd w:fill="FFFFFF" w:val="clear"/>
            <w:tcMar>
              <w:bottom w:w="0" w:type="dxa"/>
            </w:tcMar>
            <w:vAlign w:val="center"/>
          </w:tcPr>
          <w:p>
            <w:pPr>
              <w:pStyle w:val="TableContents"/>
              <w:bidi w:val="0"/>
              <w:spacing w:before="0" w:after="283"/>
              <w:ind w:left="0" w:right="0" w:hanging="0"/>
              <w:jc w:val="left"/>
              <w:rPr/>
            </w:pPr>
            <w:r>
              <w:rPr/>
              <w:t> </w:t>
            </w:r>
          </w:p>
        </w:tc>
        <w:tc>
          <w:tcPr>
            <w:tcW w:w="757"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Change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ind w:left="0" w:right="0" w:hanging="0"/>
              <w:jc w:val="left"/>
              <w:rPr/>
            </w:pPr>
            <w:r>
              <w:rPr/>
              <w:t> </w:t>
            </w:r>
          </w:p>
        </w:tc>
        <w:tc>
          <w:tcPr>
            <w:tcW w:w="602"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(9.2</w:t>
            </w:r>
          </w:p>
        </w:tc>
        <w:tc>
          <w:tcPr>
            <w:tcW w:w="304"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74" w:type="dxa"/>
            <w:tcBorders/>
            <w:shd w:fill="CCEEFF" w:val="clear"/>
            <w:tcMar>
              <w:bottom w:w="0" w:type="dxa"/>
            </w:tcMar>
            <w:vAlign w:val="center"/>
          </w:tcPr>
          <w:p>
            <w:pPr>
              <w:pStyle w:val="TableContents"/>
              <w:bidi w:val="0"/>
              <w:spacing w:before="0" w:after="283"/>
              <w:ind w:left="0" w:right="0" w:hanging="0"/>
              <w:jc w:val="left"/>
              <w:rPr/>
            </w:pPr>
            <w:r>
              <w:rPr/>
              <w:t> </w:t>
            </w:r>
          </w:p>
        </w:tc>
        <w:tc>
          <w:tcPr>
            <w:tcW w:w="757"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of total sales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ind w:left="0" w:right="0" w:hanging="0"/>
              <w:jc w:val="left"/>
              <w:rPr/>
            </w:pPr>
            <w:r>
              <w:rPr/>
              <w:t> </w:t>
            </w:r>
          </w:p>
        </w:tc>
        <w:tc>
          <w:tcPr>
            <w:tcW w:w="602"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83.7</w:t>
            </w:r>
          </w:p>
        </w:tc>
        <w:tc>
          <w:tcPr>
            <w:tcW w:w="304"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74"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ind w:left="0" w:right="0" w:hanging="0"/>
              <w:jc w:val="left"/>
              <w:rPr/>
            </w:pPr>
            <w:r>
              <w:rPr/>
              <w:t> </w:t>
            </w:r>
          </w:p>
        </w:tc>
        <w:tc>
          <w:tcPr>
            <w:tcW w:w="602"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81.7</w:t>
            </w:r>
          </w:p>
        </w:tc>
        <w:tc>
          <w:tcPr>
            <w:tcW w:w="245"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2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Comparable sales (decrease) / increase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ind w:left="0" w:right="0" w:hanging="0"/>
              <w:jc w:val="left"/>
              <w:rPr/>
            </w:pPr>
            <w:r>
              <w:rPr/>
              <w:t> </w:t>
            </w:r>
          </w:p>
        </w:tc>
        <w:tc>
          <w:tcPr>
            <w:tcW w:w="602"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(7.4</w:t>
            </w:r>
          </w:p>
        </w:tc>
        <w:tc>
          <w:tcPr>
            <w:tcW w:w="304"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74"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ind w:left="0" w:right="0" w:hanging="0"/>
              <w:jc w:val="left"/>
              <w:rPr/>
            </w:pPr>
            <w:r>
              <w:rPr/>
              <w:t> </w:t>
            </w:r>
          </w:p>
        </w:tc>
        <w:tc>
          <w:tcPr>
            <w:tcW w:w="602"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7.9</w:t>
            </w:r>
          </w:p>
        </w:tc>
        <w:tc>
          <w:tcPr>
            <w:tcW w:w="245"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2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Direct-to-customers sales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02"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314</w:t>
            </w:r>
          </w:p>
        </w:tc>
        <w:tc>
          <w:tcPr>
            <w:tcW w:w="304"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ind w:left="0" w:right="0" w:hanging="0"/>
              <w:jc w:val="left"/>
              <w:rPr/>
            </w:pPr>
            <w:r>
              <w:rPr/>
              <w:t> </w:t>
            </w:r>
          </w:p>
        </w:tc>
        <w:tc>
          <w:tcPr>
            <w:tcW w:w="15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02"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399</w:t>
            </w:r>
          </w:p>
        </w:tc>
        <w:tc>
          <w:tcPr>
            <w:tcW w:w="24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Change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02"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(85</w:t>
            </w:r>
          </w:p>
        </w:tc>
        <w:tc>
          <w:tcPr>
            <w:tcW w:w="304"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74" w:type="dxa"/>
            <w:tcBorders/>
            <w:shd w:fill="CCEEFF" w:val="clear"/>
            <w:tcMar>
              <w:bottom w:w="0" w:type="dxa"/>
            </w:tcMar>
            <w:vAlign w:val="center"/>
          </w:tcPr>
          <w:p>
            <w:pPr>
              <w:pStyle w:val="TableContents"/>
              <w:bidi w:val="0"/>
              <w:spacing w:before="0" w:after="283"/>
              <w:ind w:left="0" w:right="0" w:hanging="0"/>
              <w:jc w:val="left"/>
              <w:rPr/>
            </w:pPr>
            <w:r>
              <w:rPr/>
              <w:t> </w:t>
            </w:r>
          </w:p>
        </w:tc>
        <w:tc>
          <w:tcPr>
            <w:tcW w:w="757"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Change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ind w:left="0" w:right="0" w:hanging="0"/>
              <w:jc w:val="left"/>
              <w:rPr/>
            </w:pPr>
            <w:r>
              <w:rPr/>
              <w:t> </w:t>
            </w:r>
          </w:p>
        </w:tc>
        <w:tc>
          <w:tcPr>
            <w:tcW w:w="602"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(21.3</w:t>
            </w:r>
          </w:p>
        </w:tc>
        <w:tc>
          <w:tcPr>
            <w:tcW w:w="304"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74" w:type="dxa"/>
            <w:tcBorders/>
            <w:shd w:fill="FFFFFF" w:val="clear"/>
            <w:tcMar>
              <w:bottom w:w="0" w:type="dxa"/>
            </w:tcMar>
            <w:vAlign w:val="center"/>
          </w:tcPr>
          <w:p>
            <w:pPr>
              <w:pStyle w:val="TableContents"/>
              <w:bidi w:val="0"/>
              <w:spacing w:before="0" w:after="283"/>
              <w:ind w:left="0" w:right="0" w:hanging="0"/>
              <w:jc w:val="left"/>
              <w:rPr/>
            </w:pPr>
            <w:r>
              <w:rPr/>
              <w:t> </w:t>
            </w:r>
          </w:p>
        </w:tc>
        <w:tc>
          <w:tcPr>
            <w:tcW w:w="757"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of total sales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ind w:left="0" w:right="0" w:hanging="0"/>
              <w:jc w:val="left"/>
              <w:rPr/>
            </w:pPr>
            <w:r>
              <w:rPr/>
              <w:t> </w:t>
            </w:r>
          </w:p>
        </w:tc>
        <w:tc>
          <w:tcPr>
            <w:tcW w:w="602"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16.3</w:t>
            </w:r>
          </w:p>
        </w:tc>
        <w:tc>
          <w:tcPr>
            <w:tcW w:w="304"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74"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ind w:left="0" w:right="0" w:hanging="0"/>
              <w:jc w:val="left"/>
              <w:rPr/>
            </w:pPr>
            <w:r>
              <w:rPr/>
              <w:t> </w:t>
            </w:r>
          </w:p>
        </w:tc>
        <w:tc>
          <w:tcPr>
            <w:tcW w:w="602"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18.3</w:t>
            </w:r>
          </w:p>
        </w:tc>
        <w:tc>
          <w:tcPr>
            <w:tcW w:w="245"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2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Comparable sales decrease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ind w:left="0" w:right="0" w:hanging="0"/>
              <w:jc w:val="left"/>
              <w:rPr/>
            </w:pPr>
            <w:r>
              <w:rPr/>
              <w:t> </w:t>
            </w:r>
          </w:p>
        </w:tc>
        <w:tc>
          <w:tcPr>
            <w:tcW w:w="602"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(16.8</w:t>
            </w:r>
          </w:p>
        </w:tc>
        <w:tc>
          <w:tcPr>
            <w:tcW w:w="304"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74"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ind w:left="0" w:right="0" w:hanging="0"/>
              <w:jc w:val="left"/>
              <w:rPr/>
            </w:pPr>
            <w:r>
              <w:rPr/>
              <w:t> </w:t>
            </w:r>
          </w:p>
        </w:tc>
        <w:tc>
          <w:tcPr>
            <w:tcW w:w="602"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(29.0</w:t>
            </w:r>
          </w:p>
        </w:tc>
        <w:tc>
          <w:tcPr>
            <w:tcW w:w="245"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2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Total sales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02"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1,927</w:t>
            </w:r>
          </w:p>
        </w:tc>
        <w:tc>
          <w:tcPr>
            <w:tcW w:w="304"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02"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2,175</w:t>
            </w:r>
          </w:p>
        </w:tc>
        <w:tc>
          <w:tcPr>
            <w:tcW w:w="24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Change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02"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(248</w:t>
            </w:r>
          </w:p>
        </w:tc>
        <w:tc>
          <w:tcPr>
            <w:tcW w:w="304"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74"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602" w:type="dxa"/>
            <w:tcBorders/>
            <w:shd w:fill="FFFFFF" w:val="clear"/>
            <w:tcMar>
              <w:bottom w:w="0" w:type="dxa"/>
            </w:tcMar>
            <w:vAlign w:val="center"/>
          </w:tcPr>
          <w:p>
            <w:pPr>
              <w:pStyle w:val="TableContents"/>
              <w:bidi w:val="0"/>
              <w:spacing w:before="0" w:after="283"/>
              <w:jc w:val="righ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Change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ind w:left="0" w:right="0" w:hanging="0"/>
              <w:jc w:val="left"/>
              <w:rPr/>
            </w:pPr>
            <w:r>
              <w:rPr/>
              <w:t> </w:t>
            </w:r>
          </w:p>
        </w:tc>
        <w:tc>
          <w:tcPr>
            <w:tcW w:w="602"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(11.4</w:t>
            </w:r>
          </w:p>
        </w:tc>
        <w:tc>
          <w:tcPr>
            <w:tcW w:w="304"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74"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602" w:type="dxa"/>
            <w:tcBorders/>
            <w:shd w:fill="CCEEFF" w:val="clear"/>
            <w:tcMar>
              <w:bottom w:w="0" w:type="dxa"/>
            </w:tcMar>
            <w:vAlign w:val="center"/>
          </w:tcPr>
          <w:p>
            <w:pPr>
              <w:pStyle w:val="TableContents"/>
              <w:bidi w:val="0"/>
              <w:spacing w:before="0" w:after="283"/>
              <w:jc w:val="righ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Comparable sales decrease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2"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(9.1</w:t>
            </w:r>
          </w:p>
        </w:tc>
        <w:tc>
          <w:tcPr>
            <w:tcW w:w="304"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74" w:type="dxa"/>
            <w:tcBorders>
              <w:bottom w:val="single" w:sz="2" w:space="0" w:color="000000"/>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2"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w:t>
            </w:r>
          </w:p>
        </w:tc>
        <w:tc>
          <w:tcPr>
            <w:tcW w:w="245"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First Quarter 2023 Form 10-Q Page 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The information shown below represents certain combined stores and direct-to-customers sales metrics for the thirteen weeks ended April 29, 2023 as compared with the corresponding prior-year period.</w:t>
      </w:r>
    </w:p>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28" w:type="dxa"/>
          <w:right w:w="0" w:type="dxa"/>
        </w:tblCellMar>
      </w:tblPr>
      <w:tblGrid>
        <w:gridCol w:w="1895"/>
        <w:gridCol w:w="60"/>
        <w:gridCol w:w="215"/>
        <w:gridCol w:w="1589"/>
        <w:gridCol w:w="355"/>
        <w:gridCol w:w="87"/>
        <w:gridCol w:w="190"/>
        <w:gridCol w:w="1404"/>
        <w:gridCol w:w="245"/>
      </w:tblGrid>
      <w:tr>
        <w:trPr/>
        <w:tc>
          <w:tcPr>
            <w:tcW w:w="1895" w:type="dxa"/>
            <w:tcBorders>
              <w:bottom w:val="single" w:sz="2" w:space="0" w:color="000000"/>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3840" w:type="dxa"/>
            <w:gridSpan w:val="6"/>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Thirteen weeks ended</w:t>
            </w:r>
          </w:p>
        </w:tc>
        <w:tc>
          <w:tcPr>
            <w:tcW w:w="245" w:type="dxa"/>
            <w:tcBorders>
              <w:bottom w:val="single" w:sz="2" w:space="0" w:color="000000"/>
            </w:tcBorders>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804" w:type="dxa"/>
            <w:gridSpan w:val="2"/>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Constant Currencies</w:t>
            </w:r>
          </w:p>
        </w:tc>
        <w:tc>
          <w:tcPr>
            <w:tcW w:w="355" w:type="dxa"/>
            <w:tcBorders>
              <w:bottom w:val="single" w:sz="2" w:space="0" w:color="000000"/>
            </w:tcBorders>
            <w:vAlign w:val="center"/>
          </w:tcPr>
          <w:p>
            <w:pPr>
              <w:pStyle w:val="TableContents"/>
              <w:bidi w:val="0"/>
              <w:spacing w:before="0" w:after="283"/>
              <w:jc w:val="left"/>
              <w:rPr/>
            </w:pPr>
            <w:r>
              <w:rPr/>
              <w:t> </w:t>
            </w:r>
          </w:p>
        </w:tc>
        <w:tc>
          <w:tcPr>
            <w:tcW w:w="87" w:type="dxa"/>
            <w:tcBorders>
              <w:bottom w:val="single" w:sz="2" w:space="0" w:color="000000"/>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Comparable Sales</w:t>
            </w:r>
          </w:p>
        </w:tc>
        <w:tc>
          <w:tcPr>
            <w:tcW w:w="245" w:type="dxa"/>
            <w:tcBorders>
              <w:bottom w:val="single" w:sz="2" w:space="0" w:color="000000"/>
            </w:tcBorders>
            <w:vAlign w:val="center"/>
          </w:tcPr>
          <w:p>
            <w:pPr>
              <w:pStyle w:val="TableContents"/>
              <w:bidi w:val="0"/>
              <w:spacing w:before="0" w:after="283"/>
              <w:jc w:val="left"/>
              <w:rPr/>
            </w:pPr>
            <w:r>
              <w:rPr/>
              <w:t> </w:t>
            </w:r>
          </w:p>
        </w:tc>
      </w:tr>
      <w:tr>
        <w:trPr/>
        <w:tc>
          <w:tcPr>
            <w:tcW w:w="189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Foot Locker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ind w:left="0" w:right="0" w:hanging="0"/>
              <w:jc w:val="left"/>
              <w:rPr/>
            </w:pPr>
            <w:r>
              <w:rPr/>
              <w:t> </w:t>
            </w:r>
          </w:p>
        </w:tc>
        <w:tc>
          <w:tcPr>
            <w:tcW w:w="158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(7.2</w:t>
            </w:r>
          </w:p>
        </w:tc>
        <w:tc>
          <w:tcPr>
            <w:tcW w:w="355"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87"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0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(5.5</w:t>
            </w:r>
          </w:p>
        </w:tc>
        <w:tc>
          <w:tcPr>
            <w:tcW w:w="245"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189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Champs Sports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ind w:left="0" w:right="0" w:hanging="0"/>
              <w:jc w:val="left"/>
              <w:rPr/>
            </w:pPr>
            <w:r>
              <w:rPr/>
              <w:t> </w:t>
            </w:r>
          </w:p>
        </w:tc>
        <w:tc>
          <w:tcPr>
            <w:tcW w:w="1589"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(27.3</w:t>
            </w:r>
          </w:p>
        </w:tc>
        <w:tc>
          <w:tcPr>
            <w:tcW w:w="355"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87"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ind w:left="0" w:right="0" w:hanging="0"/>
              <w:jc w:val="left"/>
              <w:rPr/>
            </w:pPr>
            <w:r>
              <w:rPr/>
              <w:t> </w:t>
            </w:r>
          </w:p>
        </w:tc>
        <w:tc>
          <w:tcPr>
            <w:tcW w:w="140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(24.6</w:t>
            </w:r>
          </w:p>
        </w:tc>
        <w:tc>
          <w:tcPr>
            <w:tcW w:w="245"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189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Kids Foot Locker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ind w:left="0" w:right="0" w:hanging="0"/>
              <w:jc w:val="left"/>
              <w:rPr/>
            </w:pPr>
            <w:r>
              <w:rPr/>
              <w:t> </w:t>
            </w:r>
          </w:p>
        </w:tc>
        <w:tc>
          <w:tcPr>
            <w:tcW w:w="158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(7.2</w:t>
            </w:r>
          </w:p>
        </w:tc>
        <w:tc>
          <w:tcPr>
            <w:tcW w:w="355"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87"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0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(7.7</w:t>
            </w:r>
          </w:p>
        </w:tc>
        <w:tc>
          <w:tcPr>
            <w:tcW w:w="245"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189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WSS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ind w:left="0" w:right="0" w:hanging="0"/>
              <w:jc w:val="left"/>
              <w:rPr/>
            </w:pPr>
            <w:r>
              <w:rPr/>
              <w:t> </w:t>
            </w:r>
          </w:p>
        </w:tc>
        <w:tc>
          <w:tcPr>
            <w:tcW w:w="1589"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8.7</w:t>
            </w:r>
          </w:p>
        </w:tc>
        <w:tc>
          <w:tcPr>
            <w:tcW w:w="355"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87"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ind w:left="0" w:right="0" w:hanging="0"/>
              <w:jc w:val="left"/>
              <w:rPr/>
            </w:pPr>
            <w:r>
              <w:rPr/>
              <w:t> </w:t>
            </w:r>
          </w:p>
        </w:tc>
        <w:tc>
          <w:tcPr>
            <w:tcW w:w="140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w:t>
            </w:r>
          </w:p>
        </w:tc>
        <w:tc>
          <w:tcPr>
            <w:tcW w:w="245"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189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589"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n.m.</w:t>
            </w:r>
          </w:p>
        </w:tc>
        <w:tc>
          <w:tcPr>
            <w:tcW w:w="355" w:type="dxa"/>
            <w:tcBorders>
              <w:bottom w:val="single" w:sz="2" w:space="0" w:color="000000"/>
            </w:tcBorders>
            <w:shd w:fill="CCEEFF" w:val="clear"/>
            <w:vAlign w:val="center"/>
          </w:tcPr>
          <w:p>
            <w:pPr>
              <w:pStyle w:val="TableContents"/>
              <w:bidi w:val="0"/>
              <w:spacing w:before="0" w:after="283"/>
              <w:jc w:val="left"/>
              <w:rPr/>
            </w:pPr>
            <w:r>
              <w:rPr/>
              <w:t> </w:t>
            </w:r>
          </w:p>
        </w:tc>
        <w:tc>
          <w:tcPr>
            <w:tcW w:w="87" w:type="dxa"/>
            <w:tcBorders>
              <w:bottom w:val="single" w:sz="2" w:space="0" w:color="000000"/>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04"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n.m.</w:t>
            </w:r>
          </w:p>
        </w:tc>
        <w:tc>
          <w:tcPr>
            <w:tcW w:w="24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89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North America</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89"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(14.5</w:t>
            </w:r>
          </w:p>
        </w:tc>
        <w:tc>
          <w:tcPr>
            <w:tcW w:w="355"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87" w:type="dxa"/>
            <w:tcBorders>
              <w:bottom w:val="single" w:sz="2" w:space="0" w:color="000000"/>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04"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(12.8</w:t>
            </w:r>
          </w:p>
        </w:tc>
        <w:tc>
          <w:tcPr>
            <w:tcW w:w="245"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189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Foot Locker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ind w:left="0" w:right="0" w:hanging="0"/>
              <w:jc w:val="left"/>
              <w:rPr/>
            </w:pPr>
            <w:r>
              <w:rPr/>
              <w:t> </w:t>
            </w:r>
          </w:p>
        </w:tc>
        <w:tc>
          <w:tcPr>
            <w:tcW w:w="158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3.7</w:t>
            </w:r>
          </w:p>
        </w:tc>
        <w:tc>
          <w:tcPr>
            <w:tcW w:w="355"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87"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0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w:t>
            </w:r>
          </w:p>
        </w:tc>
        <w:tc>
          <w:tcPr>
            <w:tcW w:w="245"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189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Sidestep</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89"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(41.7</w:t>
            </w:r>
          </w:p>
        </w:tc>
        <w:tc>
          <w:tcPr>
            <w:tcW w:w="355"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87" w:type="dxa"/>
            <w:tcBorders>
              <w:bottom w:val="single" w:sz="2" w:space="0" w:color="000000"/>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04"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(37.8</w:t>
            </w:r>
          </w:p>
        </w:tc>
        <w:tc>
          <w:tcPr>
            <w:tcW w:w="245"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189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EMEA</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589"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w:t>
            </w:r>
          </w:p>
        </w:tc>
        <w:tc>
          <w:tcPr>
            <w:tcW w:w="355"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87" w:type="dxa"/>
            <w:tcBorders>
              <w:bottom w:val="single" w:sz="2" w:space="0" w:color="000000"/>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04"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(0.1</w:t>
            </w:r>
          </w:p>
        </w:tc>
        <w:tc>
          <w:tcPr>
            <w:tcW w:w="245"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189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Foot Locker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ind w:left="0" w:right="0" w:hanging="0"/>
              <w:jc w:val="left"/>
              <w:rPr/>
            </w:pPr>
            <w:r>
              <w:rPr/>
              <w:t> </w:t>
            </w:r>
          </w:p>
        </w:tc>
        <w:tc>
          <w:tcPr>
            <w:tcW w:w="1589"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12.9</w:t>
            </w:r>
          </w:p>
        </w:tc>
        <w:tc>
          <w:tcPr>
            <w:tcW w:w="355"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87"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ind w:left="0" w:right="0" w:hanging="0"/>
              <w:jc w:val="left"/>
              <w:rPr/>
            </w:pPr>
            <w:r>
              <w:rPr/>
              <w:t> </w:t>
            </w:r>
          </w:p>
        </w:tc>
        <w:tc>
          <w:tcPr>
            <w:tcW w:w="140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11.2</w:t>
            </w:r>
          </w:p>
        </w:tc>
        <w:tc>
          <w:tcPr>
            <w:tcW w:w="245"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189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atmos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589"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6.1</w:t>
            </w:r>
          </w:p>
        </w:tc>
        <w:tc>
          <w:tcPr>
            <w:tcW w:w="355"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87" w:type="dxa"/>
            <w:tcBorders>
              <w:bottom w:val="single" w:sz="2" w:space="0" w:color="000000"/>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04"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2.7</w:t>
            </w:r>
          </w:p>
        </w:tc>
        <w:tc>
          <w:tcPr>
            <w:tcW w:w="245"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189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Asia Pacific</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89"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10.6</w:t>
            </w:r>
          </w:p>
        </w:tc>
        <w:tc>
          <w:tcPr>
            <w:tcW w:w="355"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87" w:type="dxa"/>
            <w:tcBorders>
              <w:bottom w:val="single" w:sz="2" w:space="0" w:color="000000"/>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04"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8.9</w:t>
            </w:r>
          </w:p>
        </w:tc>
        <w:tc>
          <w:tcPr>
            <w:tcW w:w="245"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1895"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Total Foot Locker, Inc.</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215"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589"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(10.0</w:t>
            </w:r>
          </w:p>
        </w:tc>
        <w:tc>
          <w:tcPr>
            <w:tcW w:w="355"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7" w:type="dxa"/>
            <w:tcBorders>
              <w:bottom w:val="double" w:sz="6" w:space="0" w:color="000000"/>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404"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(9.1</w:t>
            </w:r>
          </w:p>
        </w:tc>
        <w:tc>
          <w:tcPr>
            <w:tcW w:w="245" w:type="dxa"/>
            <w:tcBorders>
              <w:bottom w:val="double" w:sz="6" w:space="0" w:color="000000"/>
            </w:tcBorders>
            <w:shd w:fill="CCEEFF" w:val="clear"/>
            <w:tcMar>
              <w:bottom w:w="45"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color w:val="000000"/>
          <w:sz w:val="20"/>
        </w:rPr>
        <w:t>Comparable sales decreased both in our stores and in our direct-to-customer channels this quarter due to changing vendor mix, coupled with macroeconomic headwinds, including inflation and lower income tax refunds in the United States. In addition</w:t>
      </w:r>
      <w:r>
        <w:rPr>
          <w:rFonts w:ascii="arial" w:hAnsi="arial"/>
          <w:caps w:val="false"/>
          <w:smallCaps w:val="false"/>
          <w:sz w:val="20"/>
        </w:rPr>
        <w:t>, North America sales were negatively affected by the closure of Eastbay business, which ceased operating in late 2022. Eastbay's sales primarily represent the other category in the above table, and excluding those sales the decline would have been 11.6% on a constant currency basis. Additionally, we are repositioning the Champs Sports banner to serve the active athlete, which is resulting in expected comparable sales declines due to the transition. Within EMEA, sales for the Foot Locker banners increased, led by our operations in Italy, Spain, and France as tourism has increased as compared with last year. Within Asia Pacific, sales for the Foot Locker banner increased across many of the regions that we operate, led by Australia, New Zealand, and South Korea. As previously announced, we are in the process of closing our operations in Hong Kong and Macau and converting our business in Singapore and Malaysia to a licensing arrangement. Our sales from our atmos banner increased by 2.7% on a comparable basis, this banner was affected negatively by the lack of certain key styles from Adidas that were available in the marketplace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color w:val="000000"/>
          <w:sz w:val="20"/>
        </w:rPr>
      </w:pPr>
      <w:r>
        <w:rPr>
          <w:rFonts w:ascii="arial" w:hAnsi="arial"/>
          <w:caps w:val="false"/>
          <w:smallCaps w:val="false"/>
          <w:color w:val="000000"/>
          <w:sz w:val="20"/>
        </w:rPr>
        <w:t>From a product perspective for the combined channels, the sales decline in the quarter was across all categories of footwear, apparel and accessories.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u w:val="single"/>
        </w:rPr>
      </w:pPr>
      <w:r>
        <w:rPr>
          <w:rFonts w:ascii="arial" w:hAnsi="arial"/>
          <w:i/>
          <w:caps w:val="false"/>
          <w:smallCaps w:val="false"/>
          <w:sz w:val="20"/>
          <w:u w:val="single"/>
        </w:rPr>
        <w:t>Gross Margin</w:t>
      </w:r>
    </w:p>
    <w:p>
      <w:pPr>
        <w:pStyle w:val="TextBody"/>
        <w:bidi w:val="0"/>
        <w:spacing w:before="0" w:after="0"/>
        <w:ind w:left="0" w:right="0" w:hanging="0"/>
        <w:jc w:val="left"/>
        <w:rPr>
          <w:caps w:val="false"/>
          <w:smallCaps w:val="false"/>
        </w:rPr>
      </w:pPr>
      <w:r>
        <w:rPr>
          <w:caps w:val="false"/>
          <w:smallCaps w:val="false"/>
        </w:rPr>
        <w:t> </w:t>
      </w:r>
    </w:p>
    <w:tbl>
      <w:tblPr>
        <w:tblW w:w="6386" w:type="dxa"/>
        <w:jc w:val="left"/>
        <w:tblInd w:w="0" w:type="dxa"/>
        <w:tblLayout w:type="fixed"/>
        <w:tblCellMar>
          <w:top w:w="0" w:type="dxa"/>
          <w:left w:w="0" w:type="dxa"/>
          <w:bottom w:w="28" w:type="dxa"/>
          <w:right w:w="0" w:type="dxa"/>
        </w:tblCellMar>
      </w:tblPr>
      <w:tblGrid>
        <w:gridCol w:w="4250"/>
        <w:gridCol w:w="60"/>
        <w:gridCol w:w="99"/>
        <w:gridCol w:w="656"/>
        <w:gridCol w:w="307"/>
        <w:gridCol w:w="99"/>
        <w:gridCol w:w="99"/>
        <w:gridCol w:w="631"/>
        <w:gridCol w:w="185"/>
      </w:tblGrid>
      <w:tr>
        <w:trPr/>
        <w:tc>
          <w:tcPr>
            <w:tcW w:w="425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1"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Thirteen weeks ended</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25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April 29,</w:t>
            </w:r>
          </w:p>
        </w:tc>
        <w:tc>
          <w:tcPr>
            <w:tcW w:w="307"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ind w:left="0" w:right="0" w:hanging="0"/>
              <w:jc w:val="left"/>
              <w:rPr/>
            </w:pPr>
            <w:r>
              <w:rPr/>
              <w:t> </w:t>
            </w:r>
          </w:p>
        </w:tc>
        <w:tc>
          <w:tcPr>
            <w:tcW w:w="730"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April 30,</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425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307" w:type="dxa"/>
            <w:tcBorders>
              <w:bottom w:val="single" w:sz="2" w:space="0" w:color="000000"/>
            </w:tcBorders>
            <w:shd w:fill="FFFFFF" w:val="clear"/>
            <w:vAlign w:val="center"/>
          </w:tcPr>
          <w:p>
            <w:pPr>
              <w:pStyle w:val="TableContents"/>
              <w:bidi w:val="0"/>
              <w:spacing w:before="0" w:after="283"/>
              <w:jc w:val="left"/>
              <w:rPr/>
            </w:pPr>
            <w:r>
              <w:rPr/>
              <w:t> </w:t>
            </w:r>
          </w:p>
        </w:tc>
        <w:tc>
          <w:tcPr>
            <w:tcW w:w="9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3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25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Gross margin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65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30.0</w:t>
            </w:r>
          </w:p>
        </w:tc>
        <w:tc>
          <w:tcPr>
            <w:tcW w:w="307"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9"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63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34.0</w:t>
            </w:r>
          </w:p>
        </w:tc>
        <w:tc>
          <w:tcPr>
            <w:tcW w:w="185"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425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Basis point decrease in the gross margin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ind w:left="0" w:right="0" w:hanging="0"/>
              <w:jc w:val="left"/>
              <w:rPr/>
            </w:pPr>
            <w:r>
              <w:rPr/>
              <w:t> </w:t>
            </w:r>
          </w:p>
        </w:tc>
        <w:tc>
          <w:tcPr>
            <w:tcW w:w="65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(400</w:t>
            </w:r>
          </w:p>
        </w:tc>
        <w:tc>
          <w:tcPr>
            <w:tcW w:w="307"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9" w:type="dxa"/>
            <w:tcBorders/>
            <w:shd w:fill="FFFFFF" w:val="clear"/>
            <w:tcMar>
              <w:bottom w:w="0" w:type="dxa"/>
            </w:tcMar>
            <w:vAlign w:val="center"/>
          </w:tcPr>
          <w:p>
            <w:pPr>
              <w:pStyle w:val="TableContents"/>
              <w:bidi w:val="0"/>
              <w:spacing w:before="0" w:after="283"/>
              <w:ind w:left="0" w:right="0" w:hanging="0"/>
              <w:jc w:val="left"/>
              <w:rPr/>
            </w:pPr>
            <w:r>
              <w:rPr/>
              <w:t> </w:t>
            </w:r>
          </w:p>
        </w:tc>
        <w:tc>
          <w:tcPr>
            <w:tcW w:w="73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4250"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Components of the change: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656" w:type="dxa"/>
            <w:tcBorders/>
            <w:shd w:fill="CCEEFF" w:val="clear"/>
            <w:tcMar>
              <w:bottom w:w="0" w:type="dxa"/>
            </w:tcMar>
            <w:vAlign w:val="center"/>
          </w:tcPr>
          <w:p>
            <w:pPr>
              <w:pStyle w:val="TableContents"/>
              <w:bidi w:val="0"/>
              <w:spacing w:before="0" w:after="283"/>
              <w:jc w:val="left"/>
              <w:rPr/>
            </w:pPr>
            <w:r>
              <w:rPr/>
              <w:t> </w:t>
            </w:r>
          </w:p>
        </w:tc>
        <w:tc>
          <w:tcPr>
            <w:tcW w:w="307"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73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4250" w:type="dxa"/>
            <w:tcBorders/>
            <w:shd w:fill="FFFFFF" w:val="clear"/>
            <w:tcMar>
              <w:bottom w:w="0" w:type="dxa"/>
            </w:tcM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Merchandise margin rate decline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ind w:left="0" w:right="0" w:hanging="0"/>
              <w:jc w:val="left"/>
              <w:rPr/>
            </w:pPr>
            <w:r>
              <w:rPr/>
              <w:t> </w:t>
            </w:r>
          </w:p>
        </w:tc>
        <w:tc>
          <w:tcPr>
            <w:tcW w:w="65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(250</w:t>
            </w:r>
          </w:p>
        </w:tc>
        <w:tc>
          <w:tcPr>
            <w:tcW w:w="307"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9" w:type="dxa"/>
            <w:tcBorders/>
            <w:shd w:fill="FFFFFF" w:val="clear"/>
            <w:tcMar>
              <w:bottom w:w="0" w:type="dxa"/>
            </w:tcMar>
            <w:vAlign w:val="center"/>
          </w:tcPr>
          <w:p>
            <w:pPr>
              <w:pStyle w:val="TableContents"/>
              <w:bidi w:val="0"/>
              <w:spacing w:before="0" w:after="283"/>
              <w:ind w:left="0" w:right="0" w:hanging="0"/>
              <w:jc w:val="left"/>
              <w:rPr/>
            </w:pPr>
            <w:r>
              <w:rPr/>
              <w:t> </w:t>
            </w:r>
          </w:p>
        </w:tc>
        <w:tc>
          <w:tcPr>
            <w:tcW w:w="73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4250" w:type="dxa"/>
            <w:tcBorders>
              <w:bottom w:val="single" w:sz="2" w:space="0" w:color="000000"/>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Occupancy and buyers’ compensation expense rate</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9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6"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(150</w:t>
            </w:r>
          </w:p>
        </w:tc>
        <w:tc>
          <w:tcPr>
            <w:tcW w:w="307"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30" w:type="dxa"/>
            <w:gridSpan w:val="2"/>
            <w:tcBorders>
              <w:bottom w:val="single" w:sz="2" w:space="0" w:color="000000"/>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Gross margin is calculated as sales minus cost of sales. Cost of sales includes: the cost of merchandise, freight, distribution costs including related depreciation expense, shipping and handling, occupancy and buyers’ compensation. Occupancy costs include rent (including fixed common area maintenance charges and other fixed non-lease components), real estate taxes, general maintenance, and utilities.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First Quarter 2023 Form 10-Q Page 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gross margin rate decreased to 30.0% for the thirteen weeks ended April 29, 2023, as compared with the corresponding prior-year period, reflecting a 250-basis point decrease in the merchandise margin rate, and a 150-basis point deleverage in the occupancy and buyers' compensation rate. The decline in merchandise margin rate reflected higher markdowns versus last year, higher costs of merchandise and increased shrink. The deleverage in the occupancy and buyers' compensation rate was primarily related to the fixed nature of these costs coupled with the decline in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Selling, General and Administrative Expenses (SG&amp;A)</w:t>
      </w:r>
    </w:p>
    <w:p>
      <w:pPr>
        <w:pStyle w:val="TextBody"/>
        <w:bidi w:val="0"/>
        <w:spacing w:before="0" w:after="0"/>
        <w:ind w:left="0" w:right="0" w:hanging="0"/>
        <w:jc w:val="left"/>
        <w:rPr>
          <w:caps w:val="false"/>
          <w:smallCaps w:val="false"/>
        </w:rPr>
      </w:pPr>
      <w:r>
        <w:rPr>
          <w:caps w:val="false"/>
          <w:smallCaps w:val="false"/>
        </w:rPr>
        <w:t> </w:t>
      </w:r>
    </w:p>
    <w:tbl>
      <w:tblPr>
        <w:tblW w:w="4693" w:type="dxa"/>
        <w:jc w:val="left"/>
        <w:tblInd w:w="0" w:type="dxa"/>
        <w:tblLayout w:type="fixed"/>
        <w:tblCellMar>
          <w:top w:w="0" w:type="dxa"/>
          <w:left w:w="0" w:type="dxa"/>
          <w:bottom w:w="28" w:type="dxa"/>
          <w:right w:w="0" w:type="dxa"/>
        </w:tblCellMar>
      </w:tblPr>
      <w:tblGrid>
        <w:gridCol w:w="2555"/>
        <w:gridCol w:w="60"/>
        <w:gridCol w:w="180"/>
        <w:gridCol w:w="547"/>
        <w:gridCol w:w="353"/>
        <w:gridCol w:w="86"/>
        <w:gridCol w:w="180"/>
        <w:gridCol w:w="547"/>
        <w:gridCol w:w="185"/>
      </w:tblGrid>
      <w:tr>
        <w:trPr/>
        <w:tc>
          <w:tcPr>
            <w:tcW w:w="255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3"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Thirteen weeks ended</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55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27"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April 29,</w:t>
            </w:r>
          </w:p>
        </w:tc>
        <w:tc>
          <w:tcPr>
            <w:tcW w:w="353"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ind w:left="0" w:right="0" w:hanging="0"/>
              <w:jc w:val="left"/>
              <w:rPr/>
            </w:pPr>
            <w:r>
              <w:rPr/>
              <w:t> </w:t>
            </w:r>
          </w:p>
        </w:tc>
        <w:tc>
          <w:tcPr>
            <w:tcW w:w="727"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April 30,</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255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27"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353" w:type="dxa"/>
            <w:tcBorders>
              <w:bottom w:val="single" w:sz="2" w:space="0" w:color="000000"/>
            </w:tcBorders>
            <w:shd w:fill="FFFFFF" w:val="clear"/>
            <w:vAlign w:val="center"/>
          </w:tcPr>
          <w:p>
            <w:pPr>
              <w:pStyle w:val="TableContents"/>
              <w:bidi w:val="0"/>
              <w:spacing w:before="0" w:after="283"/>
              <w:jc w:val="left"/>
              <w:rPr/>
            </w:pPr>
            <w:r>
              <w:rPr/>
              <w:t> </w:t>
            </w:r>
          </w:p>
        </w:tc>
        <w:tc>
          <w:tcPr>
            <w:tcW w:w="8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27"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SG&amp;A</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47"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431</w:t>
            </w:r>
          </w:p>
        </w:tc>
        <w:tc>
          <w:tcPr>
            <w:tcW w:w="353"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ind w:left="0" w:right="0" w:hanging="0"/>
              <w:jc w:val="left"/>
              <w:rPr/>
            </w:pPr>
            <w:r>
              <w:rPr/>
              <w:t> </w:t>
            </w:r>
          </w:p>
        </w:tc>
        <w:tc>
          <w:tcPr>
            <w:tcW w:w="18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47"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463</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255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Change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47"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(32</w:t>
            </w:r>
          </w:p>
        </w:tc>
        <w:tc>
          <w:tcPr>
            <w:tcW w:w="353"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6" w:type="dxa"/>
            <w:tcBorders/>
            <w:shd w:fill="FFFFFF" w:val="clear"/>
            <w:tcMar>
              <w:bottom w:w="0" w:type="dxa"/>
            </w:tcMar>
            <w:vAlign w:val="center"/>
          </w:tcPr>
          <w:p>
            <w:pPr>
              <w:pStyle w:val="TableContents"/>
              <w:bidi w:val="0"/>
              <w:spacing w:before="0" w:after="283"/>
              <w:ind w:left="0" w:right="0" w:hanging="0"/>
              <w:jc w:val="left"/>
              <w:rPr/>
            </w:pPr>
            <w:r>
              <w:rPr/>
              <w:t> </w:t>
            </w:r>
          </w:p>
        </w:tc>
        <w:tc>
          <w:tcPr>
            <w:tcW w:w="727"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Change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ind w:left="0" w:right="0" w:hanging="0"/>
              <w:jc w:val="left"/>
              <w:rPr/>
            </w:pPr>
            <w:r>
              <w:rPr/>
              <w:t> </w:t>
            </w:r>
          </w:p>
        </w:tc>
        <w:tc>
          <w:tcPr>
            <w:tcW w:w="547"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(6.9</w:t>
            </w:r>
          </w:p>
        </w:tc>
        <w:tc>
          <w:tcPr>
            <w:tcW w:w="353"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6" w:type="dxa"/>
            <w:tcBorders/>
            <w:shd w:fill="CCEEFF" w:val="clear"/>
            <w:tcMar>
              <w:bottom w:w="0" w:type="dxa"/>
            </w:tcMar>
            <w:vAlign w:val="center"/>
          </w:tcPr>
          <w:p>
            <w:pPr>
              <w:pStyle w:val="TableContents"/>
              <w:bidi w:val="0"/>
              <w:spacing w:before="0" w:after="283"/>
              <w:ind w:left="0" w:right="0" w:hanging="0"/>
              <w:jc w:val="left"/>
              <w:rPr/>
            </w:pPr>
            <w:r>
              <w:rPr/>
              <w:t> </w:t>
            </w:r>
          </w:p>
        </w:tc>
        <w:tc>
          <w:tcPr>
            <w:tcW w:w="727"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255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SG&amp;A as a percentage of sales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7"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22.4</w:t>
            </w:r>
          </w:p>
        </w:tc>
        <w:tc>
          <w:tcPr>
            <w:tcW w:w="353"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6" w:type="dxa"/>
            <w:tcBorders>
              <w:bottom w:val="single" w:sz="2" w:space="0" w:color="000000"/>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7"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21.3</w:t>
            </w:r>
          </w:p>
        </w:tc>
        <w:tc>
          <w:tcPr>
            <w:tcW w:w="185"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SG&amp;A decreased by $32 million, or $25 million excluding the effect of foreign currency fluctuations, for the thirteen weeks ended April 29, 2023, as compared with the corresponding prior-year period. As a percentage of sales, SG&amp;A increased by 110 basis points for the thirteen weeks ended April 29, 2023, driven primarily by deleverage from the decline in sales, coupled with pressures from inflation and investments in store wages. Partially offsetting these increases was lower incentive compensation due to the Company's underperformance relative to targets and savings from our cost optimization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u w:val="single"/>
        </w:rPr>
      </w:pPr>
      <w:r>
        <w:rPr>
          <w:rFonts w:ascii="arial" w:hAnsi="arial"/>
          <w:i/>
          <w:caps w:val="false"/>
          <w:smallCaps w:val="false"/>
          <w:sz w:val="20"/>
          <w:u w:val="single"/>
        </w:rPr>
        <w:t>Depreciation and Amortization</w:t>
      </w:r>
    </w:p>
    <w:p>
      <w:pPr>
        <w:pStyle w:val="TextBody"/>
        <w:bidi w:val="0"/>
        <w:spacing w:before="0" w:after="0"/>
        <w:ind w:left="0" w:right="0" w:hanging="0"/>
        <w:jc w:val="left"/>
        <w:rPr>
          <w:caps w:val="false"/>
          <w:smallCaps w:val="false"/>
        </w:rPr>
      </w:pPr>
      <w:r>
        <w:rPr>
          <w:caps w:val="false"/>
          <w:smallCaps w:val="false"/>
        </w:rPr>
        <w:t> </w:t>
      </w:r>
    </w:p>
    <w:tbl>
      <w:tblPr>
        <w:tblW w:w="4616" w:type="dxa"/>
        <w:jc w:val="left"/>
        <w:tblInd w:w="0" w:type="dxa"/>
        <w:tblLayout w:type="fixed"/>
        <w:tblCellMar>
          <w:top w:w="0" w:type="dxa"/>
          <w:left w:w="0" w:type="dxa"/>
          <w:bottom w:w="28" w:type="dxa"/>
          <w:right w:w="0" w:type="dxa"/>
        </w:tblCellMar>
      </w:tblPr>
      <w:tblGrid>
        <w:gridCol w:w="2480"/>
        <w:gridCol w:w="60"/>
        <w:gridCol w:w="211"/>
        <w:gridCol w:w="566"/>
        <w:gridCol w:w="414"/>
        <w:gridCol w:w="101"/>
        <w:gridCol w:w="254"/>
        <w:gridCol w:w="470"/>
        <w:gridCol w:w="60"/>
      </w:tblGrid>
      <w:tr>
        <w:trPr/>
        <w:tc>
          <w:tcPr>
            <w:tcW w:w="248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016"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Thirteen weeks ended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48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77"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April 29,</w:t>
            </w:r>
          </w:p>
        </w:tc>
        <w:tc>
          <w:tcPr>
            <w:tcW w:w="414"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ind w:left="0" w:right="0" w:hanging="0"/>
              <w:jc w:val="left"/>
              <w:rPr/>
            </w:pPr>
            <w:r>
              <w:rPr/>
              <w:t> </w:t>
            </w:r>
          </w:p>
        </w:tc>
        <w:tc>
          <w:tcPr>
            <w:tcW w:w="724"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April 30,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48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7"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414" w:type="dxa"/>
            <w:tcBorders>
              <w:bottom w:val="single" w:sz="2" w:space="0" w:color="000000"/>
            </w:tcBorders>
            <w:shd w:fill="FFFFFF" w:val="clear"/>
            <w:vAlign w:val="center"/>
          </w:tcPr>
          <w:p>
            <w:pPr>
              <w:pStyle w:val="TableContents"/>
              <w:bidi w:val="0"/>
              <w:spacing w:before="0" w:after="283"/>
              <w:jc w:val="left"/>
              <w:rPr/>
            </w:pPr>
            <w:r>
              <w:rPr/>
              <w:t> </w:t>
            </w:r>
          </w:p>
        </w:tc>
        <w:tc>
          <w:tcPr>
            <w:tcW w:w="10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4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Depreciation and amortization</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11"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6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51</w:t>
            </w:r>
          </w:p>
        </w:tc>
        <w:tc>
          <w:tcPr>
            <w:tcW w:w="414"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ind w:left="0" w:right="0" w:hanging="0"/>
              <w:jc w:val="left"/>
              <w:rPr/>
            </w:pPr>
            <w:r>
              <w:rPr/>
              <w:t> </w:t>
            </w:r>
          </w:p>
        </w:tc>
        <w:tc>
          <w:tcPr>
            <w:tcW w:w="25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7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54</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48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Change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1"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6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w:t>
            </w:r>
          </w:p>
        </w:tc>
        <w:tc>
          <w:tcPr>
            <w:tcW w:w="414"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01" w:type="dxa"/>
            <w:tcBorders/>
            <w:shd w:fill="FFFFFF" w:val="clear"/>
            <w:tcMar>
              <w:bottom w:w="0" w:type="dxa"/>
            </w:tcMar>
            <w:vAlign w:val="center"/>
          </w:tcPr>
          <w:p>
            <w:pPr>
              <w:pStyle w:val="TableContents"/>
              <w:bidi w:val="0"/>
              <w:spacing w:before="0" w:after="283"/>
              <w:ind w:left="0" w:right="0" w:hanging="0"/>
              <w:jc w:val="left"/>
              <w:rPr/>
            </w:pPr>
            <w:r>
              <w:rPr/>
              <w:t> </w:t>
            </w:r>
          </w:p>
        </w:tc>
        <w:tc>
          <w:tcPr>
            <w:tcW w:w="724"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48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Change</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1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(5.6</w:t>
            </w:r>
          </w:p>
        </w:tc>
        <w:tc>
          <w:tcPr>
            <w:tcW w:w="414"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0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Depreciation and amortization expense decreased by $3 million for the thirteen weeks ended April 29, 2023, as compared with the corresponding prior-year period. Excluding the effect of foreign currency fluctuations, depreciation and amortization decreased by $2 million for the thirteen weeks ended April 29, 2023, primarily related to operating fewer stores and the effect from impairments recorded in the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u w:val="single"/>
        </w:rPr>
      </w:pPr>
      <w:r>
        <w:rPr>
          <w:rFonts w:ascii="arial" w:hAnsi="arial"/>
          <w:i/>
          <w:caps w:val="false"/>
          <w:smallCaps w:val="false"/>
          <w:sz w:val="20"/>
          <w:u w:val="single"/>
        </w:rPr>
        <w:t>Impairment and Other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During the first quarter of 2023, we incurred $19 million of transformation consulting expense, $18 million of impairment charges related to accelerated tenancy charges on right-of-use assets for the closures of the Sidestep banner and certain Foot Locker Asia stores, and $2 million of reorganization costs related to the closure of a North American Distribution center and costs associated with the closure of the Sidestep banner and certain Foot Locker Asia stores. In the corresponding prior-year period, we recorded impairment charges of $3 million related to long-lived assets and right-of-use assets as well as accelerated tenancy charges, $2 million of acquisition and integration costs related to WSS and atmos acquisitions, and $1 million of other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i/>
          <w:caps w:val="false"/>
          <w:smallCaps w:val="false"/>
          <w:sz w:val="20"/>
          <w:u w:val="single"/>
        </w:rPr>
      </w:pPr>
      <w:r>
        <w:rPr>
          <w:rFonts w:ascii="arial" w:hAnsi="arial"/>
          <w:i/>
          <w:caps w:val="false"/>
          <w:smallCaps w:val="false"/>
          <w:sz w:val="20"/>
          <w:u w:val="single"/>
        </w:rPr>
        <w:t>Corporate Expense</w:t>
      </w:r>
    </w:p>
    <w:p>
      <w:pPr>
        <w:pStyle w:val="TextBody"/>
        <w:bidi w:val="0"/>
        <w:spacing w:before="0" w:after="0"/>
        <w:ind w:left="0" w:right="0" w:hanging="0"/>
        <w:jc w:val="left"/>
        <w:rPr>
          <w:caps w:val="false"/>
          <w:smallCaps w:val="false"/>
        </w:rPr>
      </w:pPr>
      <w:r>
        <w:rPr>
          <w:caps w:val="false"/>
          <w:smallCaps w:val="false"/>
        </w:rPr>
        <w:t> </w:t>
      </w:r>
    </w:p>
    <w:tbl>
      <w:tblPr>
        <w:tblW w:w="3606" w:type="dxa"/>
        <w:jc w:val="left"/>
        <w:tblInd w:w="0" w:type="dxa"/>
        <w:tblLayout w:type="fixed"/>
        <w:tblCellMar>
          <w:top w:w="0" w:type="dxa"/>
          <w:left w:w="0" w:type="dxa"/>
          <w:bottom w:w="28" w:type="dxa"/>
          <w:right w:w="0" w:type="dxa"/>
        </w:tblCellMar>
      </w:tblPr>
      <w:tblGrid>
        <w:gridCol w:w="1595"/>
        <w:gridCol w:w="60"/>
        <w:gridCol w:w="260"/>
        <w:gridCol w:w="603"/>
        <w:gridCol w:w="166"/>
        <w:gridCol w:w="124"/>
        <w:gridCol w:w="260"/>
        <w:gridCol w:w="478"/>
        <w:gridCol w:w="60"/>
      </w:tblGrid>
      <w:tr>
        <w:trPr/>
        <w:tc>
          <w:tcPr>
            <w:tcW w:w="159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1"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Thirteen weeks ended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59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63"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April 29,</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ind w:left="0" w:right="0" w:hanging="0"/>
              <w:jc w:val="left"/>
              <w:rPr/>
            </w:pPr>
            <w:r>
              <w:rPr/>
              <w:t> </w:t>
            </w:r>
          </w:p>
        </w:tc>
        <w:tc>
          <w:tcPr>
            <w:tcW w:w="738"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April 30,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9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63"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166" w:type="dxa"/>
            <w:tcBorders>
              <w:bottom w:val="single" w:sz="2" w:space="0" w:color="000000"/>
            </w:tcBorders>
            <w:shd w:fill="FFFFFF" w:val="clear"/>
            <w:vAlign w:val="center"/>
          </w:tcPr>
          <w:p>
            <w:pPr>
              <w:pStyle w:val="TableContents"/>
              <w:bidi w:val="0"/>
              <w:spacing w:before="0" w:after="283"/>
              <w:jc w:val="left"/>
              <w:rPr/>
            </w:pPr>
            <w:r>
              <w:rPr/>
              <w:t> </w:t>
            </w:r>
          </w:p>
        </w:tc>
        <w:tc>
          <w:tcPr>
            <w:tcW w:w="12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38"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59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Corporate expense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6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03"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ind w:left="0" w:right="0" w:hanging="0"/>
              <w:jc w:val="left"/>
              <w:rPr/>
            </w:pPr>
            <w:r>
              <w:rPr/>
              <w:t> </w:t>
            </w:r>
          </w:p>
        </w:tc>
        <w:tc>
          <w:tcPr>
            <w:tcW w:w="26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7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9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Change</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60"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03"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(33</w:t>
            </w:r>
          </w:p>
        </w:tc>
        <w:tc>
          <w:tcPr>
            <w:tcW w:w="166"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2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38"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Corporate expense consists of unallocated general and administrative expenses as well as depreciation and amortization related to our corporate headquarters, centrally managed departments, unallocated insurance and benefit programs, certain foreign exchange transaction gains and losses, and other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First Quarter 2023 Form 10-Q Page 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Corporate expense decreased by $33 million for the thirteen weeks ended April 29, 2023, as compared with the corresponding prior-year period. Depreciation and amortization included in corporate expense was $9 million for each of the thirteen weeks ended April 29, 2023 and April 30, 2022. Corporate expense decreased primarily due to an increase in the allocation of corporate expense to the banners in 2023 and lower incentive compensation, partially offset by our ongoing investments in information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u w:val="single"/>
        </w:rPr>
      </w:pPr>
      <w:r>
        <w:rPr>
          <w:rFonts w:ascii="arial" w:hAnsi="arial"/>
          <w:i/>
          <w:caps w:val="false"/>
          <w:smallCaps w:val="false"/>
          <w:sz w:val="20"/>
          <w:u w:val="single"/>
        </w:rPr>
        <w:t>Operating Results</w:t>
      </w:r>
    </w:p>
    <w:p>
      <w:pPr>
        <w:pStyle w:val="TextBody"/>
        <w:bidi w:val="0"/>
        <w:spacing w:before="0" w:after="0"/>
        <w:ind w:left="0" w:right="0" w:hanging="0"/>
        <w:jc w:val="left"/>
        <w:rPr>
          <w:caps w:val="false"/>
          <w:smallCaps w:val="false"/>
        </w:rPr>
      </w:pPr>
      <w:r>
        <w:rPr>
          <w:caps w:val="false"/>
          <w:smallCaps w:val="false"/>
        </w:rPr>
        <w:t> </w:t>
      </w:r>
    </w:p>
    <w:tbl>
      <w:tblPr>
        <w:tblW w:w="3886" w:type="dxa"/>
        <w:jc w:val="left"/>
        <w:tblInd w:w="0" w:type="dxa"/>
        <w:tblLayout w:type="fixed"/>
        <w:tblCellMar>
          <w:top w:w="0" w:type="dxa"/>
          <w:left w:w="0" w:type="dxa"/>
          <w:bottom w:w="28" w:type="dxa"/>
          <w:right w:w="0" w:type="dxa"/>
        </w:tblCellMar>
      </w:tblPr>
      <w:tblGrid>
        <w:gridCol w:w="1745"/>
        <w:gridCol w:w="60"/>
        <w:gridCol w:w="196"/>
        <w:gridCol w:w="528"/>
        <w:gridCol w:w="289"/>
        <w:gridCol w:w="93"/>
        <w:gridCol w:w="195"/>
        <w:gridCol w:w="595"/>
        <w:gridCol w:w="185"/>
      </w:tblGrid>
      <w:tr>
        <w:trPr/>
        <w:tc>
          <w:tcPr>
            <w:tcW w:w="174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6"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Thirteen weeks ended</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24"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April 29,</w:t>
            </w:r>
          </w:p>
        </w:tc>
        <w:tc>
          <w:tcPr>
            <w:tcW w:w="289"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ind w:left="0" w:right="0" w:hanging="0"/>
              <w:jc w:val="left"/>
              <w:rPr/>
            </w:pPr>
            <w:r>
              <w:rPr/>
              <w:t> </w:t>
            </w:r>
          </w:p>
        </w:tc>
        <w:tc>
          <w:tcPr>
            <w:tcW w:w="790"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April 30,</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289" w:type="dxa"/>
            <w:tcBorders>
              <w:bottom w:val="single" w:sz="2" w:space="0" w:color="000000"/>
            </w:tcBorders>
            <w:shd w:fill="FFFFFF" w:val="clear"/>
            <w:vAlign w:val="center"/>
          </w:tcPr>
          <w:p>
            <w:pPr>
              <w:pStyle w:val="TableContents"/>
              <w:bidi w:val="0"/>
              <w:spacing w:before="0" w:after="283"/>
              <w:jc w:val="left"/>
              <w:rPr/>
            </w:pPr>
            <w:r>
              <w:rPr/>
              <w:t> </w:t>
            </w:r>
          </w:p>
        </w:tc>
        <w:tc>
          <w:tcPr>
            <w:tcW w:w="9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9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74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Division profit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96"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2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104</w:t>
            </w:r>
          </w:p>
        </w:tc>
        <w:tc>
          <w:tcPr>
            <w:tcW w:w="289"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ind w:left="0" w:right="0" w:hanging="0"/>
              <w:jc w:val="left"/>
              <w:rPr/>
            </w:pPr>
            <w:r>
              <w:rPr/>
              <w:t> </w:t>
            </w:r>
          </w:p>
        </w:tc>
        <w:tc>
          <w:tcPr>
            <w:tcW w:w="19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263</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174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Division profit margin</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5.4</w:t>
            </w:r>
          </w:p>
        </w:tc>
        <w:tc>
          <w:tcPr>
            <w:tcW w:w="289"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3" w:type="dxa"/>
            <w:tcBorders>
              <w:bottom w:val="single" w:sz="2" w:space="0" w:color="000000"/>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12.1</w:t>
            </w:r>
          </w:p>
        </w:tc>
        <w:tc>
          <w:tcPr>
            <w:tcW w:w="185"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Division profit margin as a percentage of sales decreased to 5.4% for the thirteen weeks ended April 29, 2023, with both sales channels experiencing declines in sales and gross margin and deleveraging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u w:val="single"/>
        </w:rPr>
      </w:pPr>
      <w:r>
        <w:rPr>
          <w:rFonts w:ascii="arial" w:hAnsi="arial"/>
          <w:i/>
          <w:caps w:val="false"/>
          <w:smallCaps w:val="false"/>
          <w:sz w:val="20"/>
          <w:u w:val="single"/>
        </w:rPr>
        <w:t>Interest Expense, Net</w:t>
      </w:r>
    </w:p>
    <w:p>
      <w:pPr>
        <w:pStyle w:val="TextBody"/>
        <w:bidi w:val="0"/>
        <w:spacing w:before="0" w:after="0"/>
        <w:ind w:left="0" w:right="0" w:hanging="0"/>
        <w:jc w:val="left"/>
        <w:rPr>
          <w:caps w:val="false"/>
          <w:smallCaps w:val="false"/>
        </w:rPr>
      </w:pPr>
      <w:r>
        <w:rPr>
          <w:caps w:val="false"/>
          <w:smallCaps w:val="false"/>
        </w:rPr>
        <w:t> </w:t>
      </w:r>
    </w:p>
    <w:tbl>
      <w:tblPr>
        <w:tblW w:w="4512" w:type="dxa"/>
        <w:jc w:val="left"/>
        <w:tblInd w:w="0" w:type="dxa"/>
        <w:tblLayout w:type="fixed"/>
        <w:tblCellMar>
          <w:top w:w="0" w:type="dxa"/>
          <w:left w:w="0" w:type="dxa"/>
          <w:bottom w:w="28" w:type="dxa"/>
          <w:right w:w="0" w:type="dxa"/>
        </w:tblCellMar>
      </w:tblPr>
      <w:tblGrid>
        <w:gridCol w:w="2480"/>
        <w:gridCol w:w="60"/>
        <w:gridCol w:w="311"/>
        <w:gridCol w:w="461"/>
        <w:gridCol w:w="199"/>
        <w:gridCol w:w="149"/>
        <w:gridCol w:w="311"/>
        <w:gridCol w:w="461"/>
        <w:gridCol w:w="80"/>
      </w:tblGrid>
      <w:tr>
        <w:trPr/>
        <w:tc>
          <w:tcPr>
            <w:tcW w:w="248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2"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Thirteen weeks ended</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48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72"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April 29,</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49" w:type="dxa"/>
            <w:tcBorders/>
            <w:shd w:fill="FFFFFF" w:val="clear"/>
            <w:tcMar>
              <w:bottom w:w="0" w:type="dxa"/>
            </w:tcMar>
            <w:vAlign w:val="center"/>
          </w:tcPr>
          <w:p>
            <w:pPr>
              <w:pStyle w:val="TableContents"/>
              <w:bidi w:val="0"/>
              <w:spacing w:before="0" w:after="283"/>
              <w:ind w:left="0" w:right="0" w:hanging="0"/>
              <w:jc w:val="left"/>
              <w:rPr/>
            </w:pPr>
            <w:r>
              <w:rPr/>
              <w:t> </w:t>
            </w:r>
          </w:p>
        </w:tc>
        <w:tc>
          <w:tcPr>
            <w:tcW w:w="772"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April 30,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48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2"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199" w:type="dxa"/>
            <w:tcBorders>
              <w:bottom w:val="single" w:sz="2" w:space="0" w:color="000000"/>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2"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4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Interest expense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11"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6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w:t>
            </w:r>
          </w:p>
        </w:tc>
        <w:tc>
          <w:tcPr>
            <w:tcW w:w="199"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49" w:type="dxa"/>
            <w:tcBorders/>
            <w:shd w:fill="CCEEFF" w:val="clear"/>
            <w:tcMar>
              <w:bottom w:w="0" w:type="dxa"/>
            </w:tcMar>
            <w:vAlign w:val="center"/>
          </w:tcPr>
          <w:p>
            <w:pPr>
              <w:pStyle w:val="TableContents"/>
              <w:bidi w:val="0"/>
              <w:spacing w:before="0" w:after="283"/>
              <w:ind w:left="0" w:right="0" w:hanging="0"/>
              <w:jc w:val="left"/>
              <w:rPr/>
            </w:pPr>
            <w:r>
              <w:rPr/>
              <w:t> </w:t>
            </w:r>
          </w:p>
        </w:tc>
        <w:tc>
          <w:tcPr>
            <w:tcW w:w="311"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6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48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Interest income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31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1"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w:t>
            </w:r>
          </w:p>
        </w:tc>
        <w:tc>
          <w:tcPr>
            <w:tcW w:w="199" w:type="dxa"/>
            <w:tcBorders>
              <w:bottom w:val="single" w:sz="2" w:space="0" w:color="000000"/>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vAlign w:val="center"/>
          </w:tcPr>
          <w:p>
            <w:pPr>
              <w:pStyle w:val="TableContents"/>
              <w:bidi w:val="0"/>
              <w:spacing w:before="0" w:after="283"/>
              <w:jc w:val="left"/>
              <w:rPr/>
            </w:pPr>
            <w:r>
              <w:rPr/>
              <w:t> </w:t>
            </w:r>
          </w:p>
        </w:tc>
        <w:tc>
          <w:tcPr>
            <w:tcW w:w="31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1"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480"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Interest (expense) income, net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311"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61"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w:t>
            </w:r>
          </w:p>
        </w:tc>
        <w:tc>
          <w:tcPr>
            <w:tcW w:w="199"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49"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311"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61"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w:t>
            </w:r>
          </w:p>
        </w:tc>
        <w:tc>
          <w:tcPr>
            <w:tcW w:w="80"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We recorded $1 million of net interest expense for the thirteen weeks ended April 29, 2023, as compared with net interest expense of $5 million for the corresponding prior-year period. Interest expense decreased primarily due to an increase in interest income earned on our cash and cash equivalents related to higher interest rates and income from our cross-currency swap.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u w:val="single"/>
        </w:rPr>
      </w:pPr>
      <w:r>
        <w:rPr>
          <w:rFonts w:ascii="arial" w:hAnsi="arial"/>
          <w:i/>
          <w:caps w:val="false"/>
          <w:smallCaps w:val="false"/>
          <w:sz w:val="20"/>
          <w:u w:val="single"/>
        </w:rPr>
        <w:t>Other Income / (Expense), Net</w:t>
      </w:r>
    </w:p>
    <w:p>
      <w:pPr>
        <w:pStyle w:val="TextBody"/>
        <w:bidi w:val="0"/>
        <w:spacing w:before="0" w:after="0"/>
        <w:ind w:left="0" w:right="0" w:hanging="0"/>
        <w:jc w:val="left"/>
        <w:rPr>
          <w:caps w:val="false"/>
          <w:smallCaps w:val="false"/>
        </w:rPr>
      </w:pPr>
      <w:r>
        <w:rPr>
          <w:caps w:val="false"/>
          <w:smallCaps w:val="false"/>
        </w:rPr>
        <w:t> </w:t>
      </w:r>
    </w:p>
    <w:tbl>
      <w:tblPr>
        <w:tblW w:w="4498" w:type="dxa"/>
        <w:jc w:val="left"/>
        <w:tblInd w:w="0" w:type="dxa"/>
        <w:tblLayout w:type="fixed"/>
        <w:tblCellMar>
          <w:top w:w="0" w:type="dxa"/>
          <w:left w:w="0" w:type="dxa"/>
          <w:bottom w:w="28" w:type="dxa"/>
          <w:right w:w="0" w:type="dxa"/>
        </w:tblCellMar>
      </w:tblPr>
      <w:tblGrid>
        <w:gridCol w:w="2420"/>
        <w:gridCol w:w="60"/>
        <w:gridCol w:w="291"/>
        <w:gridCol w:w="433"/>
        <w:gridCol w:w="175"/>
        <w:gridCol w:w="131"/>
        <w:gridCol w:w="273"/>
        <w:gridCol w:w="635"/>
        <w:gridCol w:w="80"/>
      </w:tblGrid>
      <w:tr>
        <w:trPr/>
        <w:tc>
          <w:tcPr>
            <w:tcW w:w="242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938"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Thirteen weeks ended</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42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24"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April 29,</w:t>
            </w:r>
          </w:p>
        </w:tc>
        <w:tc>
          <w:tcPr>
            <w:tcW w:w="175"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ind w:left="0" w:right="0" w:hanging="0"/>
              <w:jc w:val="left"/>
              <w:rPr/>
            </w:pPr>
            <w:r>
              <w:rPr/>
              <w:t> </w:t>
            </w:r>
          </w:p>
        </w:tc>
        <w:tc>
          <w:tcPr>
            <w:tcW w:w="908"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April 30,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42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175" w:type="dxa"/>
            <w:tcBorders>
              <w:bottom w:val="single" w:sz="2" w:space="0" w:color="000000"/>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08"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42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income / (expense), net</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91"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33"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w:t>
            </w:r>
          </w:p>
        </w:tc>
        <w:tc>
          <w:tcPr>
            <w:tcW w:w="175"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3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73"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This caption includes non-operating items, including changes in fair value of minority investments measured at fair value or using the fair value measurement alternative, changes in the market value of our available-for-sale security, our share of earnings or losses related to our equity method investments, and net benefit / (expense) related to our pension and postretirement programs excluding the service cost component.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The thirteen weeks ended April 29, 2023 reflected expense of $2 million related to our pension and postretirement programs, and a $1 million loss on our equity method investments. Other income / (expense) for the corresponding prior-year period primarily represented a decrease in the fair value of our former investment in Retailors, Ltd. resulting in a non-cash loss of $25 million.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First Quarter 2023 Form 10-Q Page 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i/>
          <w:caps w:val="false"/>
          <w:smallCaps w:val="false"/>
          <w:sz w:val="20"/>
          <w:u w:val="single"/>
          <w:shd w:fill="FFFFFF" w:val="clear"/>
        </w:rPr>
      </w:pPr>
      <w:r>
        <w:rPr>
          <w:rFonts w:ascii="arial" w:hAnsi="arial"/>
          <w:i/>
          <w:caps w:val="false"/>
          <w:smallCaps w:val="false"/>
          <w:sz w:val="20"/>
          <w:u w:val="single"/>
          <w:shd w:fill="FFFFFF" w:val="clear"/>
        </w:rPr>
        <w:t>Income Taxes</w:t>
      </w:r>
    </w:p>
    <w:p>
      <w:pPr>
        <w:pStyle w:val="TextBody"/>
        <w:bidi w:val="0"/>
        <w:spacing w:before="0" w:after="0"/>
        <w:ind w:left="0" w:right="0" w:hanging="0"/>
        <w:jc w:val="left"/>
        <w:rPr>
          <w:caps w:val="false"/>
          <w:smallCaps w:val="false"/>
        </w:rPr>
      </w:pPr>
      <w:r>
        <w:rPr>
          <w:caps w:val="false"/>
          <w:smallCaps w:val="false"/>
        </w:rPr>
        <w:t> </w:t>
      </w:r>
    </w:p>
    <w:tbl>
      <w:tblPr>
        <w:tblW w:w="4301" w:type="dxa"/>
        <w:jc w:val="left"/>
        <w:tblInd w:w="0" w:type="dxa"/>
        <w:tblLayout w:type="fixed"/>
        <w:tblCellMar>
          <w:top w:w="0" w:type="dxa"/>
          <w:left w:w="0" w:type="dxa"/>
          <w:bottom w:w="28" w:type="dxa"/>
          <w:right w:w="0" w:type="dxa"/>
        </w:tblCellMar>
      </w:tblPr>
      <w:tblGrid>
        <w:gridCol w:w="2165"/>
        <w:gridCol w:w="60"/>
        <w:gridCol w:w="188"/>
        <w:gridCol w:w="573"/>
        <w:gridCol w:w="279"/>
        <w:gridCol w:w="90"/>
        <w:gridCol w:w="188"/>
        <w:gridCol w:w="573"/>
        <w:gridCol w:w="185"/>
      </w:tblGrid>
      <w:tr>
        <w:trPr/>
        <w:tc>
          <w:tcPr>
            <w:tcW w:w="216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1"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Thirteen weeks ended</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16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61"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April 29,</w:t>
            </w:r>
          </w:p>
        </w:tc>
        <w:tc>
          <w:tcPr>
            <w:tcW w:w="279"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ind w:left="0" w:right="0" w:hanging="0"/>
              <w:jc w:val="left"/>
              <w:rPr/>
            </w:pPr>
            <w:r>
              <w:rPr/>
              <w:t> </w:t>
            </w:r>
          </w:p>
        </w:tc>
        <w:tc>
          <w:tcPr>
            <w:tcW w:w="761"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April 30,</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216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61"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279" w:type="dxa"/>
            <w:tcBorders>
              <w:bottom w:val="single" w:sz="2" w:space="0" w:color="000000"/>
            </w:tcBorders>
            <w:shd w:fill="FFFFFF" w:val="clear"/>
            <w:vAlign w:val="center"/>
          </w:tcPr>
          <w:p>
            <w:pPr>
              <w:pStyle w:val="TableContents"/>
              <w:bidi w:val="0"/>
              <w:spacing w:before="0" w:after="283"/>
              <w:jc w:val="left"/>
              <w:rPr/>
            </w:pPr>
            <w:r>
              <w:rPr/>
              <w:t> </w:t>
            </w:r>
          </w:p>
        </w:tc>
        <w:tc>
          <w:tcPr>
            <w:tcW w:w="9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61"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16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Provision for income taxes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8"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73"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21</w:t>
            </w:r>
          </w:p>
        </w:tc>
        <w:tc>
          <w:tcPr>
            <w:tcW w:w="279"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88"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73"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58</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216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Effective tax rate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73"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36.3</w:t>
            </w:r>
          </w:p>
        </w:tc>
        <w:tc>
          <w:tcPr>
            <w:tcW w:w="279"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0" w:type="dxa"/>
            <w:tcBorders>
              <w:bottom w:val="single" w:sz="2" w:space="0" w:color="000000"/>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73"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30.3</w:t>
            </w:r>
          </w:p>
        </w:tc>
        <w:tc>
          <w:tcPr>
            <w:tcW w:w="185"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Our current year interim provision for income taxes was measured using an estimated annual effective tax rate, which represented a blend of federal, state, and foreign taxes and included the effect of certain nondeductible items as well as changes in our mix of domestic and foreign earnings or losses, adjusted for discrete items that occurred within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We regularly assess the adequacy of our provisions for income tax contingencies in accordance with applicable authoritative guidance on accounting for income taxes. As a result, we may adjust the reserves for unrecognized tax benefits considering new facts and developments, such as changes to interpretations of relevant tax law, assessments from taxing authorities, settlements with taxing authorities, and lapses of statutes of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During the thirteen weeks ended April 29, 2023, we recorded a $4 million reserve release from a statute of limitations expiration on our foreign income taxes. Excluding this item, and other insignificant reserve releases due to settlements of international tax examinations, the effective tax rate for the current year period increased, as compared with the corresponding prior-year period, primarily due to the decline in income before tax and a change in geographic mix of earnings.</w:t>
      </w:r>
    </w:p>
    <w:p>
      <w:pPr>
        <w:pStyle w:val="TextBody"/>
        <w:bidi w:val="0"/>
        <w:spacing w:before="0" w:after="283"/>
        <w:jc w:val="left"/>
        <w:rPr/>
      </w:pPr>
      <w:r>
        <w:rPr/>
        <w:t xml:space="preserve">  </w:t>
      </w:r>
    </w:p>
    <w:p>
      <w:pPr>
        <w:pStyle w:val="TextBody"/>
        <w:bidi w:val="0"/>
        <w:spacing w:before="0" w:after="0"/>
        <w:ind w:left="0" w:right="0" w:hanging="0"/>
        <w:jc w:val="left"/>
        <w:rPr>
          <w:rFonts w:ascii="arial" w:hAnsi="arial"/>
          <w:b/>
          <w:caps w:val="false"/>
          <w:smallCaps w:val="false"/>
          <w:sz w:val="20"/>
        </w:rPr>
      </w:pPr>
      <w:r>
        <w:rPr>
          <w:rFonts w:ascii="arial" w:hAnsi="arial"/>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i/>
          <w:caps w:val="false"/>
          <w:smallCaps w:val="false"/>
          <w:sz w:val="20"/>
          <w:u w:val="single"/>
        </w:rPr>
      </w:pPr>
      <w:r>
        <w:rPr>
          <w:rFonts w:ascii="arial" w:hAnsi="arial"/>
          <w:i/>
          <w:caps w:val="false"/>
          <w:smallCaps w:val="false"/>
          <w:sz w:val="20"/>
          <w:u w:val="single"/>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Our primary source of liquidity has been cash flow from operations, while the principal uses of cash have been to fund inventory and other working capital requirements; finance capital expenditures related to store openings, store remodelings, internet and mobile sites, information systems, and other support facilities; make retirement plan contributions, quarterly dividend payments, and interest payments; and fund other cash requirements to support the development of our short-term and long-term operating strategies, including strategic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We generally finance real estate with operating leases. We believe our cash, cash equivalents, future cash flow from operations, and amounts available under our credit agreement will be adequate to fund these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Company may also repurchase its common stock or seek to retire or purchase outstanding debt through open market purchases, privately negotiated transactions, or otherwise. Share repurchases and retirement of debt, if any, will depend on prevailing market conditions, liquidity requirements, contractual restrictions, strategic considerations, and other factors. The amounts involved may be material. As of April 29, 2023, approximately $1,103 million remained available under our current $1.2 billion 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full-year capital spending is expected to be $275 million. The forecast includes $210 million related to the remodeling or relocation of approximately 170 existing stores and the opening of approximately 90 new stores, including 25 WSS stores. Additionally, we expect to spend $65 million for the development of information systems, websites, and infrastructure, including supply chain initiatives. We also expect to spend an additional $30 million in software-as-a-service contracts related to our technology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Any material adverse change in customer demand, fashion trends, competitive market forces, or customer acceptance of our merchandise mix, retail locations and websites, uncertainties related to the effect of competitive products and pricing, our reliance on a few key suppliers for a significant portion of our merchandise purchases and risks associated with global product sourcing, economic conditions worldwide, the effects of currency fluctuations, as well as other factors listed under the headings “Disclosure Regarding Forward-Looking Statements,” and “Risk Factors” could affect our ability to continue to fund our needs from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First Quarter 2023 Form 10-Q Page 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i/>
          <w:caps w:val="false"/>
          <w:smallCaps w:val="false"/>
          <w:sz w:val="20"/>
          <w:u w:val="single"/>
        </w:rPr>
      </w:pPr>
      <w:r>
        <w:rPr>
          <w:rFonts w:ascii="arial" w:hAnsi="arial"/>
          <w:i/>
          <w:caps w:val="false"/>
          <w:smallCaps w:val="false"/>
          <w:sz w:val="20"/>
          <w:u w:val="single"/>
        </w:rPr>
        <w:t>Operating Activities</w:t>
      </w:r>
    </w:p>
    <w:p>
      <w:pPr>
        <w:pStyle w:val="TextBody"/>
        <w:bidi w:val="0"/>
        <w:spacing w:before="0" w:after="0"/>
        <w:ind w:left="0" w:right="0" w:hanging="0"/>
        <w:jc w:val="left"/>
        <w:rPr>
          <w:caps w:val="false"/>
          <w:smallCaps w:val="false"/>
        </w:rPr>
      </w:pPr>
      <w:r>
        <w:rPr>
          <w:caps w:val="false"/>
          <w:smallCaps w:val="false"/>
        </w:rPr>
        <w:t> </w:t>
      </w:r>
    </w:p>
    <w:tbl>
      <w:tblPr>
        <w:tblW w:w="4993" w:type="dxa"/>
        <w:jc w:val="left"/>
        <w:tblInd w:w="0" w:type="dxa"/>
        <w:tblLayout w:type="fixed"/>
        <w:tblCellMar>
          <w:top w:w="0" w:type="dxa"/>
          <w:left w:w="0" w:type="dxa"/>
          <w:bottom w:w="28" w:type="dxa"/>
          <w:right w:w="0" w:type="dxa"/>
        </w:tblCellMar>
      </w:tblPr>
      <w:tblGrid>
        <w:gridCol w:w="2960"/>
        <w:gridCol w:w="60"/>
        <w:gridCol w:w="220"/>
        <w:gridCol w:w="696"/>
        <w:gridCol w:w="141"/>
        <w:gridCol w:w="105"/>
        <w:gridCol w:w="220"/>
        <w:gridCol w:w="511"/>
        <w:gridCol w:w="80"/>
      </w:tblGrid>
      <w:tr>
        <w:trPr/>
        <w:tc>
          <w:tcPr>
            <w:tcW w:w="296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3"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Thirteen weeks ended</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9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16"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April 29,</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ind w:left="0" w:right="0" w:hanging="0"/>
              <w:jc w:val="left"/>
              <w:rPr/>
            </w:pPr>
            <w:r>
              <w:rPr/>
              <w:t> </w:t>
            </w:r>
          </w:p>
        </w:tc>
        <w:tc>
          <w:tcPr>
            <w:tcW w:w="731"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April 30,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96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16"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141"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31"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96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cash used in operating activities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(118</w:t>
            </w:r>
          </w:p>
        </w:tc>
        <w:tc>
          <w:tcPr>
            <w:tcW w:w="141"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05" w:type="dxa"/>
            <w:tcBorders/>
            <w:shd w:fill="CCEEFF" w:val="clear"/>
            <w:tcMar>
              <w:bottom w:w="0" w:type="dxa"/>
            </w:tcMar>
            <w:vAlign w:val="center"/>
          </w:tcPr>
          <w:p>
            <w:pPr>
              <w:pStyle w:val="TableContents"/>
              <w:bidi w:val="0"/>
              <w:spacing w:before="0" w:after="283"/>
              <w:ind w:left="0" w:right="0" w:hanging="0"/>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1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96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Change</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(97</w:t>
            </w:r>
          </w:p>
        </w:tc>
        <w:tc>
          <w:tcPr>
            <w:tcW w:w="141"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31"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Operating activities reflects net income adjusted for non-cash items and working capital changes. Adjustments to net income for non-cash items include impairment charges, other charges, fair value adjustments to minority investments, depreciation and amortization, deferred income taxes, and share-based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The decrease in cash from operating activities reflected lower net income, partially offset by timing of merchandise purchases and payments of accounts payable and accrued and other liabilities, as compared with the same period last year. The prior-year merchandise purchases were affected by the supply chain disruptions that occurred in the preceding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i/>
          <w:caps w:val="false"/>
          <w:smallCaps w:val="false"/>
          <w:sz w:val="20"/>
          <w:u w:val="single"/>
        </w:rPr>
      </w:pPr>
      <w:r>
        <w:rPr>
          <w:rFonts w:ascii="arial" w:hAnsi="arial"/>
          <w:i/>
          <w:caps w:val="false"/>
          <w:smallCaps w:val="false"/>
          <w:sz w:val="20"/>
          <w:u w:val="single"/>
        </w:rPr>
        <w:t>Investing Activities</w:t>
      </w:r>
    </w:p>
    <w:p>
      <w:pPr>
        <w:pStyle w:val="TextBody"/>
        <w:bidi w:val="0"/>
        <w:spacing w:before="0" w:after="0"/>
        <w:ind w:left="0" w:right="0" w:hanging="0"/>
        <w:jc w:val="left"/>
        <w:rPr>
          <w:caps w:val="false"/>
          <w:smallCaps w:val="false"/>
        </w:rPr>
      </w:pPr>
      <w:r>
        <w:rPr>
          <w:caps w:val="false"/>
          <w:smallCaps w:val="false"/>
        </w:rPr>
        <w:t> </w:t>
      </w:r>
    </w:p>
    <w:tbl>
      <w:tblPr>
        <w:tblW w:w="4948" w:type="dxa"/>
        <w:jc w:val="left"/>
        <w:tblInd w:w="0" w:type="dxa"/>
        <w:tblLayout w:type="fixed"/>
        <w:tblCellMar>
          <w:top w:w="0" w:type="dxa"/>
          <w:left w:w="0" w:type="dxa"/>
          <w:bottom w:w="28" w:type="dxa"/>
          <w:right w:w="0" w:type="dxa"/>
        </w:tblCellMar>
      </w:tblPr>
      <w:tblGrid>
        <w:gridCol w:w="2915"/>
        <w:gridCol w:w="60"/>
        <w:gridCol w:w="220"/>
        <w:gridCol w:w="511"/>
        <w:gridCol w:w="141"/>
        <w:gridCol w:w="105"/>
        <w:gridCol w:w="220"/>
        <w:gridCol w:w="696"/>
        <w:gridCol w:w="80"/>
      </w:tblGrid>
      <w:tr>
        <w:trPr/>
        <w:tc>
          <w:tcPr>
            <w:tcW w:w="291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3"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Thirteen weeks ended</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91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31"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April 29,</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ind w:left="0" w:right="0" w:hanging="0"/>
              <w:jc w:val="left"/>
              <w:rPr/>
            </w:pPr>
            <w:r>
              <w:rPr/>
              <w:t> </w:t>
            </w:r>
          </w:p>
        </w:tc>
        <w:tc>
          <w:tcPr>
            <w:tcW w:w="916"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April 30,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91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31"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141"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16"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91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cash used in investing activities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1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(59</w:t>
            </w:r>
          </w:p>
        </w:tc>
        <w:tc>
          <w:tcPr>
            <w:tcW w:w="141"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05" w:type="dxa"/>
            <w:tcBorders/>
            <w:shd w:fill="CCEEFF" w:val="clear"/>
            <w:tcMar>
              <w:bottom w:w="0" w:type="dxa"/>
            </w:tcMar>
            <w:vAlign w:val="center"/>
          </w:tcPr>
          <w:p>
            <w:pPr>
              <w:pStyle w:val="TableContents"/>
              <w:bidi w:val="0"/>
              <w:spacing w:before="0" w:after="283"/>
              <w:ind w:left="0" w:right="0" w:hanging="0"/>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(105</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91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Change</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11"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46</w:t>
            </w:r>
          </w:p>
        </w:tc>
        <w:tc>
          <w:tcPr>
            <w:tcW w:w="141"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16"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The change in investing activities primarily reflected lower capital expenditures in the current year, as compared with the prior-year period, as several large projects related to 2021 were paid in the first quarter of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For the thirteen weeks ended April 29, 2023, capital expenditures decreased by $36 million to $59 million, as compared with the corresponding prior-year period.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i/>
          <w:caps w:val="false"/>
          <w:smallCaps w:val="false"/>
          <w:sz w:val="20"/>
          <w:u w:val="single"/>
        </w:rPr>
      </w:pPr>
      <w:r>
        <w:rPr>
          <w:rFonts w:ascii="arial" w:hAnsi="arial"/>
          <w:i/>
          <w:caps w:val="false"/>
          <w:smallCaps w:val="false"/>
          <w:sz w:val="20"/>
          <w:u w:val="single"/>
        </w:rPr>
        <w:t>Financing Activities</w:t>
      </w:r>
    </w:p>
    <w:p>
      <w:pPr>
        <w:pStyle w:val="TextBody"/>
        <w:bidi w:val="0"/>
        <w:spacing w:before="0" w:after="0"/>
        <w:ind w:left="0" w:right="0" w:hanging="0"/>
        <w:jc w:val="left"/>
        <w:rPr>
          <w:caps w:val="false"/>
          <w:smallCaps w:val="false"/>
        </w:rPr>
      </w:pPr>
      <w:r>
        <w:rPr>
          <w:caps w:val="false"/>
          <w:smallCaps w:val="false"/>
        </w:rPr>
        <w:t> </w:t>
      </w:r>
    </w:p>
    <w:tbl>
      <w:tblPr>
        <w:tblW w:w="4963" w:type="dxa"/>
        <w:jc w:val="left"/>
        <w:tblInd w:w="0" w:type="dxa"/>
        <w:tblLayout w:type="fixed"/>
        <w:tblCellMar>
          <w:top w:w="0" w:type="dxa"/>
          <w:left w:w="0" w:type="dxa"/>
          <w:bottom w:w="28" w:type="dxa"/>
          <w:right w:w="0" w:type="dxa"/>
        </w:tblCellMar>
      </w:tblPr>
      <w:tblGrid>
        <w:gridCol w:w="2930"/>
        <w:gridCol w:w="60"/>
        <w:gridCol w:w="220"/>
        <w:gridCol w:w="511"/>
        <w:gridCol w:w="141"/>
        <w:gridCol w:w="105"/>
        <w:gridCol w:w="220"/>
        <w:gridCol w:w="696"/>
        <w:gridCol w:w="80"/>
      </w:tblGrid>
      <w:tr>
        <w:trPr/>
        <w:tc>
          <w:tcPr>
            <w:tcW w:w="293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3"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Thirteen weeks ended</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93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31"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April 29,</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ind w:left="0" w:right="0" w:hanging="0"/>
              <w:jc w:val="left"/>
              <w:rPr/>
            </w:pPr>
            <w:r>
              <w:rPr/>
              <w:t> </w:t>
            </w:r>
          </w:p>
        </w:tc>
        <w:tc>
          <w:tcPr>
            <w:tcW w:w="916"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April 30,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93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31"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141"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16"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cash used in financing activities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1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(46</w:t>
            </w:r>
          </w:p>
        </w:tc>
        <w:tc>
          <w:tcPr>
            <w:tcW w:w="141"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05" w:type="dxa"/>
            <w:tcBorders/>
            <w:shd w:fill="CCEEFF" w:val="clear"/>
            <w:tcMar>
              <w:bottom w:w="0" w:type="dxa"/>
            </w:tcMar>
            <w:vAlign w:val="center"/>
          </w:tcPr>
          <w:p>
            <w:pPr>
              <w:pStyle w:val="TableContents"/>
              <w:bidi w:val="0"/>
              <w:spacing w:before="0" w:after="283"/>
              <w:ind w:left="0" w:right="0" w:hanging="0"/>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(128</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93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Change</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11"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82</w:t>
            </w:r>
          </w:p>
        </w:tc>
        <w:tc>
          <w:tcPr>
            <w:tcW w:w="141"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16"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Cash used in financing activities was primarily related to our return to shareholders initiatives as follows:</w:t>
      </w:r>
    </w:p>
    <w:p>
      <w:pPr>
        <w:pStyle w:val="TextBody"/>
        <w:bidi w:val="0"/>
        <w:spacing w:before="0" w:after="0"/>
        <w:ind w:left="0" w:right="0" w:hanging="0"/>
        <w:jc w:val="left"/>
        <w:rPr>
          <w:caps w:val="false"/>
          <w:smallCaps w:val="false"/>
        </w:rPr>
      </w:pPr>
      <w:r>
        <w:rPr>
          <w:caps w:val="false"/>
          <w:smallCaps w:val="false"/>
        </w:rPr>
        <w:t> </w:t>
      </w:r>
    </w:p>
    <w:tbl>
      <w:tblPr>
        <w:tblW w:w="4753" w:type="dxa"/>
        <w:jc w:val="left"/>
        <w:tblInd w:w="0" w:type="dxa"/>
        <w:tblLayout w:type="fixed"/>
        <w:tblCellMar>
          <w:top w:w="0" w:type="dxa"/>
          <w:left w:w="0" w:type="dxa"/>
          <w:bottom w:w="28" w:type="dxa"/>
          <w:right w:w="0" w:type="dxa"/>
        </w:tblCellMar>
      </w:tblPr>
      <w:tblGrid>
        <w:gridCol w:w="2720"/>
        <w:gridCol w:w="60"/>
        <w:gridCol w:w="220"/>
        <w:gridCol w:w="511"/>
        <w:gridCol w:w="141"/>
        <w:gridCol w:w="105"/>
        <w:gridCol w:w="220"/>
        <w:gridCol w:w="696"/>
        <w:gridCol w:w="80"/>
      </w:tblGrid>
      <w:tr>
        <w:trPr/>
        <w:tc>
          <w:tcPr>
            <w:tcW w:w="272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3"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Thirteen weeks ended</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31"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April 29,</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ind w:left="0" w:right="0" w:hanging="0"/>
              <w:jc w:val="left"/>
              <w:rPr/>
            </w:pPr>
            <w:r>
              <w:rPr/>
              <w:t> </w:t>
            </w:r>
          </w:p>
        </w:tc>
        <w:tc>
          <w:tcPr>
            <w:tcW w:w="916"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April 30,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31"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141"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16"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Share repurchases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11" w:type="dxa"/>
            <w:tcBorders/>
            <w:shd w:fill="CCEEFF" w:val="clear"/>
            <w:tcMar>
              <w:bottom w:w="0" w:type="dxa"/>
            </w:tcMar>
            <w:vAlign w:val="center"/>
          </w:tcPr>
          <w:p>
            <w:pPr>
              <w:pStyle w:val="TableContents"/>
              <w:bidi w:val="0"/>
              <w:spacing w:before="0" w:after="283"/>
              <w:ind w:left="0" w:right="0" w:hanging="0"/>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ind w:left="0" w:right="0" w:hanging="0"/>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(89</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72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Dividends paid on common stock</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11"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(38</w:t>
            </w:r>
          </w:p>
        </w:tc>
        <w:tc>
          <w:tcPr>
            <w:tcW w:w="141"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05" w:type="dxa"/>
            <w:tcBorders>
              <w:bottom w:val="single" w:sz="2" w:space="0" w:color="000000"/>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(38</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720"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returned to shareholders</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11"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(38</w:t>
            </w:r>
          </w:p>
        </w:tc>
        <w:tc>
          <w:tcPr>
            <w:tcW w:w="141"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05"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6"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(127</w:t>
            </w:r>
          </w:p>
        </w:tc>
        <w:tc>
          <w:tcPr>
            <w:tcW w:w="80"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During the thirteen weeks ended April 29, 2023, we did not repurchase any shares under our share repurchase program, whereas in the prior year we spent $89 million to repurchase shares. We declared and paid $38 million in dividends representing a quarterly rate of $0.40 per share in both 2023 and 2022. We paid $10 million and $1 million during the first quarters of 2023 and 2022, respectively, to satisfy tax withholding obligations related to vesting of share-based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sz w:val="20"/>
        </w:rPr>
      </w:pPr>
      <w:r>
        <w:rPr>
          <w:rFonts w:ascii="arial" w:hAnsi="arial"/>
          <w:b/>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There have been no significant changes to our critical accounting policies and estimates from the information provided in Item 7, “Management’s Discussion and Analysis of Financial Condition and Results of Operations,” within the 2022 Form 10</w:t>
        <w:noBreakHyphen/>
        <w:t>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First Quarter 2023 Form 10-Q Page 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caps w:val="false"/>
          <w:smallCaps w:val="false"/>
          <w:sz w:val="20"/>
        </w:rPr>
      </w:pPr>
      <w:r>
        <w:rPr>
          <w:rFonts w:ascii="arial" w:hAnsi="arial"/>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 xml:space="preserve">Descriptions of the recently issued and adopted accounting principles are included in Item 1. “Financial Statements” in Note 1, </w:t>
      </w:r>
      <w:r>
        <w:rPr>
          <w:rFonts w:ascii="arial" w:hAnsi="arial"/>
          <w:i/>
          <w:caps w:val="false"/>
          <w:smallCaps w:val="false"/>
          <w:sz w:val="20"/>
        </w:rPr>
        <w:t>Summary of Significant Accounting Policies</w:t>
      </w:r>
      <w:r>
        <w:rPr>
          <w:rFonts w:ascii="arial" w:hAnsi="arial"/>
          <w:caps w:val="false"/>
          <w:smallCaps w:val="false"/>
          <w:sz w:val="20"/>
        </w:rPr>
        <w:t>, to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bookmarkStart w:id="11" w:name="Item_3_Quant"/>
      <w:bookmarkEnd w:id="11"/>
      <w:r>
        <w:rPr>
          <w:rFonts w:ascii="arial" w:hAnsi="arial"/>
          <w:b/>
          <w:i/>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There have been no significant changes in our primary risk exposures or management of market risks from the information provided in Part II, Item 7A, Quantitative and Qualitative Disclosures About Market Risk within the 2022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bookmarkStart w:id="12" w:name="item_four"/>
      <w:bookmarkEnd w:id="12"/>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sz w:val="20"/>
        </w:rPr>
      </w:pPr>
      <w:r>
        <w:rPr>
          <w:rFonts w:ascii="arial" w:hAnsi="arial"/>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During the quarter, the Company’s management performed an evaluation, under the supervision and with the participation of the Company’s Chief Executive Officer (“CEO”) and Interim Chief Financial Officer (“CFO”), of the effectiveness of the design and operation of the Company’s disclosure controls and procedures (as that term is defined in Rules 13a-15(e) and 15d-15(e) under the Securities Exchange Act of 1934, as amended (the “Exchange Act”)). The term "disclosure controls and procedures"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Based on that evaluation, our CEO and CFO concluded that as of April 29, 2023, our disclosure controls and procedures were not effective due to the un-remediated material weaknesses in internal control over financial reporting related to certain ineffective general information technology controls over logical access and change management at our WSS business, which was previously disclosed in the Company's Annual Report on Form 10-K for the year ended January 28, 2023. For additional information, please refer to Part II - Item 9A. of the Company's Annual Report on Form 10-K for the year ended January 28, 2023.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caps w:val="false"/>
          <w:smallCaps w:val="false"/>
          <w:sz w:val="20"/>
        </w:rPr>
      </w:pPr>
      <w:r>
        <w:rPr>
          <w:rFonts w:ascii="arial" w:hAnsi="arial"/>
          <w:b/>
          <w:caps w:val="false"/>
          <w:smallCaps w:val="false"/>
          <w:sz w:val="20"/>
        </w:rPr>
        <w:t>Remediation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Management is in the process of implementing measures designed to ensure that the control deficiencies contributing to the material weaknesses are remediated, such that these controls are designed, implemented, and operating effectively. The remediation actions include: (i) designing and implementing controls related to deprovisioning, privileged access, and user access reviews, (ii) developing an enhanced risk assessment process to evaluate logical access, and (iii) improving the existing training program associated with control design and implementation. We believe that these actions will remediate the material weaknesses. Management began to implement certain of these remedial steps during the first quarter of 2023. The material weaknesses will not be considered remediated, however, until the applicable controls operate for a sufficient period of time and management has concluded, through testing, that these controls are operating effectively. We expect that the remediation of these material weaknesses will be completed prior to the end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caps w:val="false"/>
          <w:smallCaps w:val="false"/>
          <w:sz w:val="20"/>
        </w:rPr>
      </w:pPr>
      <w:r>
        <w:rPr>
          <w:rFonts w:ascii="arial" w:hAnsi="arial"/>
          <w:b/>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Other than the ongoing remediation efforts described above, there were no changes in our internal control over financial reporting (as defined in Rules 13a-15(f) and 15d-15(f) under the Exchange Act), during the quarter ended April 29, 2023, that have materially affected, or are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First Quarter 2023 Form 10-Q Page 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 w:hAnsi="arial"/>
          <w:b/>
          <w:caps w:val="false"/>
          <w:smallCaps w:val="false"/>
          <w:sz w:val="20"/>
        </w:rPr>
      </w:pPr>
      <w:r>
        <w:rPr>
          <w:rFonts w:ascii="arial" w:hAnsi="arial"/>
          <w:b/>
          <w:caps w:val="false"/>
          <w:smallCaps w:val="false"/>
          <w:sz w:val="20"/>
        </w:rPr>
        <w:t>Limitations on Effectiveness of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Because of its inherent limitations, management does not expect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Also, projections of any evaluation of effectiveness to future periods are subject to the risk that controls may become inadequate because of changes in conditions, or that the degree of compliance with the policies or procedures may deteriorate. Further, no evaluation of controls can provide absolute assurance that misstatements due to error or fraud will not occur or that all control issues and instances of fraud, if any, within the Company have been detected.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bookmarkStart w:id="13" w:name="part_ii"/>
      <w:bookmarkEnd w:id="13"/>
      <w:r>
        <w:rPr>
          <w:rFonts w:ascii="arial" w:hAnsi="arial"/>
          <w:b/>
          <w:caps w:val="false"/>
          <w:smallCaps w:val="false"/>
          <w:sz w:val="20"/>
        </w:rPr>
        <w:t>PART</w:t>
      </w:r>
      <w:r>
        <w:rPr>
          <w:rFonts w:ascii="arial" w:hAnsi="arial"/>
          <w:caps w:val="false"/>
          <w:smallCaps w:val="false"/>
          <w:sz w:val="20"/>
        </w:rPr>
        <w:t> </w:t>
      </w:r>
      <w:r>
        <w:rPr>
          <w:rFonts w:ascii="arial" w:hAnsi="arial"/>
          <w:b/>
          <w:caps w:val="false"/>
          <w:smallCaps w:val="false"/>
          <w:sz w:val="20"/>
        </w:rPr>
        <w:t>II</w:t>
      </w:r>
      <w:r>
        <w:rPr>
          <w:rFonts w:ascii="arial" w:hAnsi="arial"/>
          <w:caps w:val="false"/>
          <w:smallCaps w:val="false"/>
          <w:sz w:val="20"/>
        </w:rPr>
        <w:t> </w:t>
      </w:r>
      <w:r>
        <w:rPr>
          <w:rFonts w:ascii="arial" w:hAnsi="arial"/>
          <w:b/>
          <w:caps w:val="false"/>
          <w:smallCaps w:val="false"/>
          <w:sz w:val="20"/>
        </w:rPr>
        <w:t>-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bookmarkStart w:id="14" w:name="legal"/>
      <w:bookmarkEnd w:id="14"/>
      <w:r>
        <w:rPr>
          <w:rFonts w:ascii="arial" w:hAnsi="arial"/>
          <w:b/>
          <w:i/>
          <w:caps w:val="false"/>
          <w:smallCaps w:val="false"/>
          <w:sz w:val="20"/>
        </w:rPr>
        <w:t>Item</w:t>
      </w:r>
      <w:r>
        <w:rPr>
          <w:rFonts w:ascii="arial" w:hAnsi="arial"/>
          <w:caps w:val="false"/>
          <w:smallCaps w:val="false"/>
          <w:sz w:val="20"/>
        </w:rPr>
        <w:t> </w:t>
      </w:r>
      <w:r>
        <w:rPr>
          <w:rFonts w:ascii="arial" w:hAnsi="arial"/>
          <w:b/>
          <w:i/>
          <w:caps w:val="false"/>
          <w:smallCaps w:val="false"/>
          <w:sz w:val="20"/>
        </w:rPr>
        <w:t>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 xml:space="preserve">Information regarding the Company’s legal proceedings is contained in the </w:t>
      </w:r>
      <w:r>
        <w:rPr>
          <w:rFonts w:ascii="arial" w:hAnsi="arial"/>
          <w:i/>
          <w:caps w:val="false"/>
          <w:smallCaps w:val="false"/>
          <w:sz w:val="20"/>
        </w:rPr>
        <w:t>Legal Proceedings</w:t>
      </w:r>
      <w:r>
        <w:rPr>
          <w:rFonts w:ascii="arial" w:hAnsi="arial"/>
          <w:caps w:val="false"/>
          <w:smallCaps w:val="false"/>
          <w:sz w:val="20"/>
        </w:rPr>
        <w:t xml:space="preserve"> note under Item 1. “Financial Statements” in 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bookmarkStart w:id="15" w:name="risk"/>
      <w:bookmarkEnd w:id="15"/>
      <w:r>
        <w:rPr>
          <w:rFonts w:ascii="arial" w:hAnsi="arial"/>
          <w:b/>
          <w:i/>
          <w:caps w:val="false"/>
          <w:smallCaps w:val="false"/>
          <w:sz w:val="20"/>
        </w:rPr>
        <w:t>Item</w:t>
      </w:r>
      <w:r>
        <w:rPr>
          <w:rFonts w:ascii="arial" w:hAnsi="arial"/>
          <w:caps w:val="false"/>
          <w:smallCaps w:val="false"/>
          <w:sz w:val="20"/>
        </w:rPr>
        <w:t> </w:t>
      </w:r>
      <w:r>
        <w:rPr>
          <w:rFonts w:ascii="arial" w:hAnsi="arial"/>
          <w:b/>
          <w:i/>
          <w:caps w:val="false"/>
          <w:smallCaps w:val="false"/>
          <w:sz w:val="20"/>
        </w:rPr>
        <w:t>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In addition to the other information discussed in this report, the factors described in Part I, Item 1A. “Risk Factors” in our 2022 Annual Report on Form 10-K filed with the SEC on March 27, 2023 should be considered as they could materially affect our business, financial condition, or future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There have not been any significant changes with respect to the risks described in our 2022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bookmarkStart w:id="16" w:name="unregistered"/>
      <w:bookmarkEnd w:id="16"/>
      <w:r>
        <w:rPr>
          <w:rFonts w:ascii="arial" w:hAnsi="arial"/>
          <w:b/>
          <w:i/>
          <w:caps w:val="false"/>
          <w:smallCaps w:val="false"/>
          <w:sz w:val="20"/>
        </w:rPr>
        <w:t>Item</w:t>
      </w:r>
      <w:r>
        <w:rPr>
          <w:rFonts w:ascii="arial" w:hAnsi="arial"/>
          <w:caps w:val="false"/>
          <w:smallCaps w:val="false"/>
          <w:sz w:val="20"/>
        </w:rPr>
        <w:t> </w:t>
      </w:r>
      <w:r>
        <w:rPr>
          <w:rFonts w:ascii="arial" w:hAnsi="arial"/>
          <w:b/>
          <w:i/>
          <w:caps w:val="false"/>
          <w:smallCaps w:val="false"/>
          <w:sz w:val="20"/>
        </w:rPr>
        <w:t>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The table below provides information with respect to shares of the Company’s common stock for the thirteen weeks ended April 29, 2023.</w:t>
      </w:r>
    </w:p>
    <w:p>
      <w:pPr>
        <w:pStyle w:val="TextBody"/>
        <w:bidi w:val="0"/>
        <w:spacing w:before="0" w:after="0"/>
        <w:ind w:left="0" w:right="0" w:hanging="0"/>
        <w:jc w:val="left"/>
        <w:rPr>
          <w:caps w:val="false"/>
          <w:smallCaps w:val="false"/>
        </w:rPr>
      </w:pPr>
      <w:r>
        <w:rPr>
          <w:caps w:val="false"/>
          <w:smallCaps w:val="false"/>
        </w:rPr>
        <w:t> ​</w:t>
      </w:r>
    </w:p>
    <w:tbl>
      <w:tblPr>
        <w:tblW w:w="7791" w:type="dxa"/>
        <w:jc w:val="left"/>
        <w:tblInd w:w="0" w:type="dxa"/>
        <w:tblLayout w:type="fixed"/>
        <w:tblCellMar>
          <w:top w:w="0" w:type="dxa"/>
          <w:left w:w="0" w:type="dxa"/>
          <w:bottom w:w="0" w:type="dxa"/>
          <w:right w:w="0" w:type="dxa"/>
        </w:tblCellMar>
      </w:tblPr>
      <w:tblGrid>
        <w:gridCol w:w="2420"/>
        <w:gridCol w:w="60"/>
        <w:gridCol w:w="99"/>
        <w:gridCol w:w="1015"/>
        <w:gridCol w:w="60"/>
        <w:gridCol w:w="60"/>
        <w:gridCol w:w="148"/>
        <w:gridCol w:w="576"/>
        <w:gridCol w:w="60"/>
        <w:gridCol w:w="60"/>
        <w:gridCol w:w="310"/>
        <w:gridCol w:w="1359"/>
        <w:gridCol w:w="60"/>
        <w:gridCol w:w="60"/>
        <w:gridCol w:w="129"/>
        <w:gridCol w:w="1255"/>
        <w:gridCol w:w="60"/>
      </w:tblGrid>
      <w:tr>
        <w:trPr/>
        <w:tc>
          <w:tcPr>
            <w:tcW w:w="242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Total Number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Dollar Value of</w:t>
            </w:r>
          </w:p>
        </w:tc>
        <w:tc>
          <w:tcPr>
            <w:tcW w:w="60"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Shares Purchased as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Shares that may</w:t>
            </w:r>
          </w:p>
        </w:tc>
        <w:tc>
          <w:tcPr>
            <w:tcW w:w="60"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Number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Part of Publicly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yet be Purchased</w:t>
            </w:r>
          </w:p>
        </w:tc>
        <w:tc>
          <w:tcPr>
            <w:tcW w:w="60"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Paid Per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Announced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Under the</w:t>
            </w:r>
          </w:p>
        </w:tc>
        <w:tc>
          <w:tcPr>
            <w:tcW w:w="60" w:type="dxa"/>
            <w:tcBorders/>
            <w:shd w:fill="FFFFFF" w:val="clear"/>
            <w:vAlign w:val="center"/>
          </w:tcPr>
          <w:p>
            <w:pPr>
              <w:pStyle w:val="TableContents"/>
              <w:bidi w:val="0"/>
              <w:spacing w:before="0" w:after="283"/>
              <w:jc w:val="left"/>
              <w:rPr/>
            </w:pPr>
            <w:r>
              <w:rPr/>
              <w:t> </w:t>
            </w:r>
          </w:p>
        </w:tc>
      </w:tr>
      <w:tr>
        <w:trPr/>
        <w:tc>
          <w:tcPr>
            <w:tcW w:w="24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b/>
                <w:caps w:val="false"/>
                <w:smallCaps w:val="false"/>
                <w:sz w:val="16"/>
              </w:rPr>
            </w:pPr>
            <w:r>
              <w:rPr>
                <w:rFonts w:ascii="Arial;Helvetica;sans-serif" w:hAnsi="Arial;Helvetica;sans-serif"/>
                <w:b/>
                <w:caps w:val="false"/>
                <w:smallCaps w:val="false"/>
                <w:sz w:val="16"/>
              </w:rPr>
              <w:t>Date Purchased</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Purchased (1)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Share (1)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Program</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Program</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January 29 to February 25, 2023</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101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7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ind w:left="0" w:right="0" w:hanging="0"/>
              <w:jc w:val="left"/>
              <w:rPr/>
            </w:pPr>
            <w:r>
              <w:rPr/>
              <w:t> </w:t>
            </w:r>
          </w:p>
        </w:tc>
        <w:tc>
          <w:tcPr>
            <w:tcW w:w="135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1255"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1,103,814,042</w:t>
            </w:r>
          </w:p>
        </w:tc>
        <w:tc>
          <w:tcPr>
            <w:tcW w:w="60"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February 26 to April 1, 2023</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1015"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239,806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37.99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ind w:left="0" w:right="0" w:hanging="0"/>
              <w:jc w:val="left"/>
              <w:rPr/>
            </w:pPr>
            <w:r>
              <w:rPr/>
              <w:t> </w:t>
            </w:r>
          </w:p>
        </w:tc>
        <w:tc>
          <w:tcPr>
            <w:tcW w:w="135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1255"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1,103,814,042</w:t>
            </w:r>
          </w:p>
        </w:tc>
        <w:tc>
          <w:tcPr>
            <w:tcW w:w="60" w:type="dxa"/>
            <w:tcBorders/>
            <w:shd w:fill="FFFFFF" w:val="clear"/>
            <w:vAlign w:val="center"/>
          </w:tcPr>
          <w:p>
            <w:pPr>
              <w:pStyle w:val="TableContents"/>
              <w:bidi w:val="0"/>
              <w:spacing w:before="0" w:after="283"/>
              <w:jc w:val="left"/>
              <w:rPr/>
            </w:pPr>
            <w:r>
              <w:rPr/>
              <w:t> </w:t>
            </w:r>
          </w:p>
        </w:tc>
      </w:tr>
      <w:tr>
        <w:trPr/>
        <w:tc>
          <w:tcPr>
            <w:tcW w:w="2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April 2 to April 29, 2023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19,575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39.85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1,103,814,042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4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259,381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38.13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5"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lineRule="auto" w:line="288"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9993"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These columns include shares acquired in satisfaction of the tax withholding obligations of holders of restricted stock unit and performance-based awards, which vested during the quarter.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bookmarkStart w:id="17" w:name="defaults"/>
      <w:bookmarkEnd w:id="17"/>
      <w:r>
        <w:rPr>
          <w:rFonts w:ascii="Arial;Helvetica;sans-serif" w:hAnsi="Arial;Helvetica;sans-serif"/>
          <w:b/>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bookmarkStart w:id="18" w:name="mine"/>
      <w:bookmarkEnd w:id="18"/>
      <w:r>
        <w:rPr>
          <w:rFonts w:ascii="Arial;Helvetica;sans-serif" w:hAnsi="Arial;Helvetica;sans-serif"/>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bookmarkStart w:id="19" w:name="other"/>
      <w:bookmarkEnd w:id="19"/>
      <w:r>
        <w:rPr>
          <w:rFonts w:ascii="Arial;Helvetica;sans-serif" w:hAnsi="Arial;Helvetica;sans-serif"/>
          <w:b/>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Not applicable.</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First Quarter 2023 Form 10-Q Page 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caps w:val="false"/>
          <w:smallCaps w:val="false"/>
          <w:sz w:val="20"/>
        </w:rPr>
      </w:pPr>
      <w:bookmarkStart w:id="20" w:name="exhibits"/>
      <w:bookmarkEnd w:id="20"/>
      <w:r>
        <w:rPr>
          <w:rFonts w:ascii="arial" w:hAnsi="arial"/>
          <w:b/>
          <w:i/>
          <w:caps w:val="false"/>
          <w:smallCaps w:val="false"/>
          <w:sz w:val="20"/>
        </w:rPr>
        <w:t>Item</w:t>
      </w:r>
      <w:r>
        <w:rPr>
          <w:rFonts w:ascii="arial" w:hAnsi="arial"/>
          <w:caps w:val="false"/>
          <w:smallCaps w:val="false"/>
          <w:sz w:val="20"/>
        </w:rPr>
        <w:t> </w:t>
      </w:r>
      <w:r>
        <w:rPr>
          <w:rFonts w:ascii="arial" w:hAnsi="arial"/>
          <w:b/>
          <w:i/>
          <w:caps w:val="false"/>
          <w:smallCaps w:val="false"/>
          <w:sz w:val="20"/>
        </w:rPr>
        <w:t>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70"/>
        <w:gridCol w:w="60"/>
        <w:gridCol w:w="9075"/>
      </w:tblGrid>
      <w:tr>
        <w:trPr/>
        <w:tc>
          <w:tcPr>
            <w:tcW w:w="1070" w:type="dxa"/>
            <w:tcBorders>
              <w:bottom w:val="single" w:sz="2" w:space="0" w:color="000000"/>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Exhibit</w:t>
            </w:r>
            <w:r>
              <w:rPr>
                <w:rFonts w:ascii="Arial;Helvetica;sans-serif" w:hAnsi="Arial;Helvetica;sans-serif"/>
                <w:caps w:val="false"/>
                <w:smallCaps w:val="false"/>
                <w:sz w:val="20"/>
              </w:rPr>
              <w:t> </w:t>
            </w:r>
            <w:r>
              <w:rPr>
                <w:rFonts w:ascii="Arial;Helvetica;sans-serif" w:hAnsi="Arial;Helvetica;sans-serif"/>
                <w:b/>
                <w:caps w:val="false"/>
                <w:smallCaps w:val="false"/>
                <w:sz w:val="20"/>
              </w:rPr>
              <w:t>No.</w:t>
            </w:r>
          </w:p>
        </w:tc>
        <w:tc>
          <w:tcPr>
            <w:tcW w:w="60" w:type="dxa"/>
            <w:tcBorders/>
            <w:tcMar>
              <w:bottom w:w="0" w:type="dxa"/>
            </w:tcMar>
            <w:vAlign w:val="center"/>
          </w:tcPr>
          <w:p>
            <w:pPr>
              <w:pStyle w:val="TableContents"/>
              <w:bidi w:val="0"/>
              <w:spacing w:before="0" w:after="283"/>
              <w:jc w:val="left"/>
              <w:rPr/>
            </w:pPr>
            <w:r>
              <w:rPr/>
              <w:t> </w:t>
            </w:r>
          </w:p>
        </w:tc>
        <w:tc>
          <w:tcPr>
            <w:tcW w:w="9075"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Description</w:t>
            </w:r>
          </w:p>
        </w:tc>
      </w:tr>
      <w:tr>
        <w:trPr/>
        <w:tc>
          <w:tcPr>
            <w:tcW w:w="1070" w:type="dxa"/>
            <w:tcBorders/>
            <w:tcMar>
              <w:bottom w:w="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10.1 †</w:t>
            </w:r>
          </w:p>
        </w:tc>
        <w:tc>
          <w:tcPr>
            <w:tcW w:w="60" w:type="dxa"/>
            <w:tcBorders/>
            <w:tcMar>
              <w:bottom w:w="0" w:type="dxa"/>
            </w:tcMar>
            <w:vAlign w:val="center"/>
          </w:tcPr>
          <w:p>
            <w:pPr>
              <w:pStyle w:val="TableContents"/>
              <w:bidi w:val="0"/>
              <w:spacing w:before="0" w:after="283"/>
              <w:jc w:val="left"/>
              <w:rPr/>
            </w:pPr>
            <w:r>
              <w:rPr/>
              <w:t> </w:t>
            </w:r>
          </w:p>
        </w:tc>
        <w:tc>
          <w:tcPr>
            <w:tcW w:w="9075" w:type="dxa"/>
            <w:tcBorders/>
            <w:tcMar>
              <w:bottom w:w="0" w:type="dxa"/>
            </w:tcMar>
            <w:vAlign w:val="center"/>
          </w:tcPr>
          <w:p>
            <w:pPr>
              <w:pStyle w:val="TableContents"/>
              <w:bidi w:val="0"/>
              <w:spacing w:before="0" w:after="283"/>
              <w:jc w:val="left"/>
              <w:rPr/>
            </w:pPr>
            <w:hyperlink r:id="rId18">
              <w:r>
                <w:rPr>
                  <w:rStyle w:val="InternetLink"/>
                  <w:rFonts w:ascii="Arial;Helvetica;sans-serif" w:hAnsi="Arial;Helvetica;sans-serif"/>
                  <w:sz w:val="20"/>
                </w:rPr>
                <w:t>Amendment No. 3 to Credit Agreement, dated as of April 21, 2023, among Foot Locker, Inc., a New York corporation, the guarantors party thereto, the lenders party thereto, and Wells Fargo, National Association, as administrative and collateral agent, letter of credit issuer, and swing line lender (incorporated herein by reference to Exhibit 10.1 to the Current Report on Form 8-K dated April 25, 2023 filed on April 25, 2023).</w:t>
              </w:r>
            </w:hyperlink>
          </w:p>
        </w:tc>
      </w:tr>
      <w:tr>
        <w:trPr/>
        <w:tc>
          <w:tcPr>
            <w:tcW w:w="1070" w:type="dxa"/>
            <w:tcBorders/>
            <w:tcMar>
              <w:bottom w:w="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10.2 †</w:t>
            </w:r>
          </w:p>
        </w:tc>
        <w:tc>
          <w:tcPr>
            <w:tcW w:w="60" w:type="dxa"/>
            <w:tcBorders/>
            <w:tcMar>
              <w:bottom w:w="0" w:type="dxa"/>
            </w:tcMar>
            <w:vAlign w:val="center"/>
          </w:tcPr>
          <w:p>
            <w:pPr>
              <w:pStyle w:val="TableContents"/>
              <w:bidi w:val="0"/>
              <w:spacing w:before="0" w:after="283"/>
              <w:jc w:val="left"/>
              <w:rPr/>
            </w:pPr>
            <w:r>
              <w:rPr/>
              <w:t> </w:t>
            </w:r>
          </w:p>
        </w:tc>
        <w:tc>
          <w:tcPr>
            <w:tcW w:w="9075" w:type="dxa"/>
            <w:tcBorders/>
            <w:tcMar>
              <w:bottom w:w="0" w:type="dxa"/>
            </w:tcMar>
            <w:vAlign w:val="center"/>
          </w:tcPr>
          <w:p>
            <w:pPr>
              <w:pStyle w:val="TableContents"/>
              <w:bidi w:val="0"/>
              <w:spacing w:before="0" w:after="283"/>
              <w:jc w:val="left"/>
              <w:rPr/>
            </w:pPr>
            <w:hyperlink r:id="rId19">
              <w:r>
                <w:rPr>
                  <w:rStyle w:val="InternetLink"/>
                  <w:rFonts w:ascii="Arial;Helvetica;sans-serif" w:hAnsi="Arial;Helvetica;sans-serif"/>
                  <w:sz w:val="20"/>
                </w:rPr>
                <w:t>Foot Locker 2007 Stock Incentive Plan (Amended and Restated as of March 22, 2023) (incorporated herein by reference to Exhibit 10.1 on Form S-8 (Registration No. 333-272007), filed on May 17, 2023 (the "2023 Form S-8")).</w:t>
              </w:r>
            </w:hyperlink>
          </w:p>
        </w:tc>
      </w:tr>
      <w:tr>
        <w:trPr/>
        <w:tc>
          <w:tcPr>
            <w:tcW w:w="1070" w:type="dxa"/>
            <w:tcBorders/>
            <w:tcMar>
              <w:bottom w:w="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10.3 †</w:t>
            </w:r>
          </w:p>
        </w:tc>
        <w:tc>
          <w:tcPr>
            <w:tcW w:w="60" w:type="dxa"/>
            <w:tcBorders/>
            <w:tcMar>
              <w:bottom w:w="0" w:type="dxa"/>
            </w:tcMar>
            <w:vAlign w:val="center"/>
          </w:tcPr>
          <w:p>
            <w:pPr>
              <w:pStyle w:val="TableContents"/>
              <w:bidi w:val="0"/>
              <w:spacing w:before="0" w:after="283"/>
              <w:jc w:val="left"/>
              <w:rPr/>
            </w:pPr>
            <w:r>
              <w:rPr/>
              <w:t> </w:t>
            </w:r>
          </w:p>
        </w:tc>
        <w:tc>
          <w:tcPr>
            <w:tcW w:w="9075" w:type="dxa"/>
            <w:tcBorders/>
            <w:tcMar>
              <w:bottom w:w="0" w:type="dxa"/>
            </w:tcMar>
            <w:vAlign w:val="center"/>
          </w:tcPr>
          <w:p>
            <w:pPr>
              <w:pStyle w:val="TableContents"/>
              <w:bidi w:val="0"/>
              <w:spacing w:before="0" w:after="283"/>
              <w:jc w:val="left"/>
              <w:rPr/>
            </w:pPr>
            <w:hyperlink r:id="rId20">
              <w:r>
                <w:rPr>
                  <w:rStyle w:val="InternetLink"/>
                  <w:rFonts w:ascii="Arial;Helvetica;sans-serif" w:hAnsi="Arial;Helvetica;sans-serif"/>
                  <w:sz w:val="20"/>
                </w:rPr>
                <w:t>2023 Foot Locker Employee Stock Purchase Plan (incorporated herein by reference to Exhibit 10.2 on the 2023 Form S-8).</w:t>
              </w:r>
            </w:hyperlink>
          </w:p>
        </w:tc>
      </w:tr>
      <w:tr>
        <w:trPr/>
        <w:tc>
          <w:tcPr>
            <w:tcW w:w="1070"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31.1*</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75" w:type="dxa"/>
            <w:tcBorders/>
            <w:tcMar>
              <w:bottom w:w="0" w:type="dxa"/>
            </w:tcMar>
            <w:vAlign w:val="center"/>
          </w:tcPr>
          <w:p>
            <w:pPr>
              <w:pStyle w:val="TableContents"/>
              <w:bidi w:val="0"/>
              <w:spacing w:before="0" w:after="0"/>
              <w:ind w:left="0" w:right="0" w:hanging="0"/>
              <w:jc w:val="both"/>
              <w:rPr/>
            </w:pPr>
            <w:hyperlink w:anchor="ex_499925.htm">
              <w:r>
                <w:rPr>
                  <w:rStyle w:val="InternetLink"/>
                  <w:rFonts w:ascii="Arial;Helvetica;sans-serif" w:hAnsi="Arial;Helvetica;sans-serif"/>
                  <w:caps w:val="false"/>
                  <w:smallCaps w:val="false"/>
                  <w:sz w:val="20"/>
                </w:rPr>
                <w:t>Certification of Chief Executive Officer Pursuant to Rule 13a-14(a) or 15d-14(a), as adopted pursuant to Section 302 of the Sarbanes-Oxley Act of 2002.</w:t>
              </w:r>
            </w:hyperlink>
          </w:p>
        </w:tc>
      </w:tr>
      <w:tr>
        <w:trPr/>
        <w:tc>
          <w:tcPr>
            <w:tcW w:w="1070"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31.2*</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75" w:type="dxa"/>
            <w:tcBorders/>
            <w:tcMar>
              <w:bottom w:w="0" w:type="dxa"/>
            </w:tcMar>
            <w:vAlign w:val="center"/>
          </w:tcPr>
          <w:p>
            <w:pPr>
              <w:pStyle w:val="TableContents"/>
              <w:bidi w:val="0"/>
              <w:spacing w:before="0" w:after="0"/>
              <w:ind w:left="0" w:right="0" w:hanging="0"/>
              <w:jc w:val="both"/>
              <w:rPr/>
            </w:pPr>
            <w:hyperlink w:anchor="ex_499926.htm">
              <w:r>
                <w:rPr>
                  <w:rStyle w:val="InternetLink"/>
                  <w:rFonts w:ascii="Arial;Helvetica;sans-serif" w:hAnsi="Arial;Helvetica;sans-serif"/>
                  <w:caps w:val="false"/>
                  <w:smallCaps w:val="false"/>
                  <w:sz w:val="20"/>
                </w:rPr>
                <w:t>Certification of Chief Financial Officer Pursuant to Rule 13a-14(a) or 15d-14(a), as adopted pursuant to Section 302 of the Sarbanes-Oxley Act of 2002.</w:t>
              </w:r>
            </w:hyperlink>
          </w:p>
        </w:tc>
      </w:tr>
      <w:tr>
        <w:trPr/>
        <w:tc>
          <w:tcPr>
            <w:tcW w:w="1070"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32**</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75" w:type="dxa"/>
            <w:tcBorders/>
            <w:tcMar>
              <w:bottom w:w="0" w:type="dxa"/>
            </w:tcMar>
            <w:vAlign w:val="center"/>
          </w:tcPr>
          <w:p>
            <w:pPr>
              <w:pStyle w:val="TableContents"/>
              <w:bidi w:val="0"/>
              <w:spacing w:before="0" w:after="0"/>
              <w:ind w:left="0" w:right="0" w:hanging="0"/>
              <w:jc w:val="both"/>
              <w:rPr/>
            </w:pPr>
            <w:hyperlink w:anchor="ex_499927.htm">
              <w:r>
                <w:rPr>
                  <w:rStyle w:val="InternetLink"/>
                  <w:rFonts w:ascii="Arial;Helvetica;sans-serif" w:hAnsi="Arial;Helvetica;sans-serif"/>
                  <w:caps w:val="false"/>
                  <w:smallCaps w:val="false"/>
                  <w:sz w:val="20"/>
                </w:rPr>
                <w:t>Certification of Chief Executive Officer and Chief Financial Officer Pursuant to 18 U.S.C. Section 1350, as adopted pursuant to Section 906 of the Sarbanes-Oxley Act of 2002.</w:t>
              </w:r>
            </w:hyperlink>
          </w:p>
        </w:tc>
      </w:tr>
      <w:tr>
        <w:trPr/>
        <w:tc>
          <w:tcPr>
            <w:tcW w:w="1070"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101.INS*</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75" w:type="dxa"/>
            <w:tcBorders/>
            <w:tcMar>
              <w:bottom w:w="0" w:type="dxa"/>
            </w:tcM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Inline XBRL Instance Document.</w:t>
            </w:r>
          </w:p>
        </w:tc>
      </w:tr>
      <w:tr>
        <w:trPr/>
        <w:tc>
          <w:tcPr>
            <w:tcW w:w="1070"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101.SCH*</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75" w:type="dxa"/>
            <w:tcBorders/>
            <w:tcMar>
              <w:bottom w:w="0" w:type="dxa"/>
            </w:tcM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Inline XBRL Taxonomy Extension Schema.</w:t>
            </w:r>
          </w:p>
        </w:tc>
      </w:tr>
      <w:tr>
        <w:trPr/>
        <w:tc>
          <w:tcPr>
            <w:tcW w:w="1070"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101.CAL*</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75" w:type="dxa"/>
            <w:tcBorders/>
            <w:tcMar>
              <w:bottom w:w="0" w:type="dxa"/>
            </w:tcM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Inline XBRL Taxonomy Extension Calculation Linkbase.</w:t>
            </w:r>
          </w:p>
        </w:tc>
      </w:tr>
      <w:tr>
        <w:trPr/>
        <w:tc>
          <w:tcPr>
            <w:tcW w:w="1070"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101.DEF*</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75" w:type="dxa"/>
            <w:tcBorders/>
            <w:tcMar>
              <w:bottom w:w="0" w:type="dxa"/>
            </w:tcM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Inline XBRL Taxonomy Extension Definition Linkbase.</w:t>
            </w:r>
          </w:p>
        </w:tc>
      </w:tr>
      <w:tr>
        <w:trPr/>
        <w:tc>
          <w:tcPr>
            <w:tcW w:w="1070"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101.LAB*</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75" w:type="dxa"/>
            <w:tcBorders/>
            <w:tcMar>
              <w:bottom w:w="0" w:type="dxa"/>
            </w:tcM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Inline XBRL Taxonomy Extension Label Linkbase.</w:t>
            </w:r>
          </w:p>
        </w:tc>
      </w:tr>
      <w:tr>
        <w:trPr/>
        <w:tc>
          <w:tcPr>
            <w:tcW w:w="1070"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101.PRE*</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75" w:type="dxa"/>
            <w:tcBorders/>
            <w:tcMar>
              <w:bottom w:w="0" w:type="dxa"/>
            </w:tcM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Inline XBRL Taxonomy Extension Presentation Linkbase.</w:t>
            </w:r>
          </w:p>
        </w:tc>
      </w:tr>
      <w:tr>
        <w:trPr/>
        <w:tc>
          <w:tcPr>
            <w:tcW w:w="1070"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104*</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75" w:type="dxa"/>
            <w:tcBorders>
              <w:bottom w:val="single" w:sz="2" w:space="0" w:color="000000"/>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Cover Page Interactive Data File (embedded within the Inline XBRL datafile).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 w:hAnsi="arial"/>
          <w:caps w:val="false"/>
          <w:smallCaps w:val="false"/>
          <w:sz w:val="18"/>
        </w:rPr>
        <w:t>Management contract or compensatory plan or arrangement</w:t>
      </w:r>
    </w:p>
    <w:p>
      <w:pPr>
        <w:pStyle w:val="TextBody"/>
        <w:bidi w:val="0"/>
        <w:spacing w:before="0" w:after="0"/>
        <w:ind w:left="0" w:right="0" w:hanging="0"/>
        <w:jc w:val="left"/>
        <w:rPr>
          <w:rFonts w:ascii="arial" w:hAnsi="arial"/>
          <w:caps w:val="false"/>
          <w:smallCaps w:val="false"/>
          <w:sz w:val="18"/>
        </w:rPr>
      </w:pPr>
      <w:r>
        <w:rPr>
          <w:rFonts w:ascii="arial" w:hAnsi="arial"/>
          <w:caps w:val="false"/>
          <w:smallCaps w:val="false"/>
          <w:sz w:val="18"/>
        </w:rPr>
        <w:t>*   Filed herewith</w:t>
      </w:r>
    </w:p>
    <w:p>
      <w:pPr>
        <w:pStyle w:val="TextBody"/>
        <w:bidi w:val="0"/>
        <w:spacing w:before="0" w:after="0"/>
        <w:ind w:left="0" w:right="0" w:hanging="0"/>
        <w:jc w:val="left"/>
        <w:rPr>
          <w:rFonts w:ascii="arial" w:hAnsi="arial"/>
          <w:caps w:val="false"/>
          <w:smallCaps w:val="false"/>
          <w:sz w:val="18"/>
        </w:rPr>
      </w:pPr>
      <w:r>
        <w:rPr>
          <w:rFonts w:ascii="arial" w:hAnsi="arial"/>
          <w:caps w:val="false"/>
          <w:smallCaps w:val="false"/>
          <w:sz w:val="18"/>
        </w:rPr>
        <w:t>**  Furnished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First Quarter 2023 Form 10-Q Page 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b/>
          <w:caps w:val="false"/>
          <w:smallCaps w:val="false"/>
          <w:sz w:val="20"/>
        </w:rPr>
      </w:pPr>
      <w:bookmarkStart w:id="21" w:name="sig"/>
      <w:bookmarkEnd w:id="21"/>
      <w:r>
        <w:rPr>
          <w:rFonts w:ascii="arial" w:hAnsi="arial"/>
          <w:b/>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Pursuant to the requirements of the Securities Exchange Act of 1934, the Company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1670"/>
        <w:gridCol w:w="5000"/>
      </w:tblGrid>
      <w:tr>
        <w:trPr/>
        <w:tc>
          <w:tcPr>
            <w:tcW w:w="167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Date: June 7, 2023</w:t>
            </w:r>
          </w:p>
        </w:tc>
        <w:tc>
          <w:tcPr>
            <w:tcW w:w="500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FOOT LOCKER, INC.</w:t>
            </w:r>
          </w:p>
        </w:tc>
      </w:tr>
      <w:tr>
        <w:trPr/>
        <w:tc>
          <w:tcPr>
            <w:tcW w:w="16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0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6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0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6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00" w:type="dxa"/>
            <w:tcBorders>
              <w:bottom w:val="single" w:sz="2" w:space="0" w:color="000000"/>
            </w:tcBorders>
            <w:tcMar>
              <w:bottom w:w="28"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/s/ Robert Higginbotham</w:t>
            </w:r>
          </w:p>
        </w:tc>
      </w:tr>
      <w:tr>
        <w:trPr/>
        <w:tc>
          <w:tcPr>
            <w:tcW w:w="16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0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ROBERT HIGGINBOTHAM</w:t>
            </w:r>
          </w:p>
        </w:tc>
      </w:tr>
      <w:tr>
        <w:trPr/>
        <w:tc>
          <w:tcPr>
            <w:tcW w:w="16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0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Senior Vice President and Interim Chief Financial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Arial;Helvetica;sans-serif" w:hAnsi="Arial;Helvetica;sans-serif"/>
          <w:sz w:val="20"/>
        </w:rPr>
      </w:pPr>
      <w:r>
        <w:rPr>
          <w:rFonts w:ascii="Arial;Helvetica;sans-serif" w:hAnsi="Arial;Helvetica;sans-serif"/>
          <w:sz w:val="20"/>
        </w:rPr>
        <w:t xml:space="preserve">First Quarter 2023 Form 10-Q Page 26 </w:t>
      </w:r>
    </w:p>
    <w:p>
      <w:pPr>
        <w:pStyle w:val="TextBody"/>
        <w:bidi w:val="0"/>
        <w:spacing w:before="0" w:after="0"/>
        <w:ind w:left="580" w:right="0" w:hanging="0"/>
        <w:jc w:val="right"/>
        <w:rPr>
          <w:rFonts w:ascii="Arial;Helvetica;sans-serif" w:hAnsi="Arial;Helvetica;sans-serif"/>
          <w:b/>
          <w:caps w:val="false"/>
          <w:smallCaps w:val="false"/>
          <w:sz w:val="20"/>
        </w:rPr>
      </w:pPr>
      <w:bookmarkStart w:id="22" w:name="ex_499925.htm"/>
      <w:bookmarkStart w:id="23" w:name="ksex_499925"/>
      <w:bookmarkEnd w:id="22"/>
      <w:bookmarkEnd w:id="23"/>
      <w:r>
        <w:rPr>
          <w:rFonts w:ascii="Arial;Helvetica;sans-serif" w:hAnsi="Arial;Helvetica;sans-serif"/>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 Mary N. Dillon, certify that:</w:t>
      </w:r>
    </w:p>
    <w:p>
      <w:pPr>
        <w:pStyle w:val="TextBody"/>
        <w:bidi w:val="0"/>
        <w:spacing w:before="0" w:after="0"/>
        <w:ind w:left="0" w:right="0" w:hanging="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185"/>
        <w:gridCol w:w="7730"/>
      </w:tblGrid>
      <w:tr>
        <w:trPr/>
        <w:tc>
          <w:tcPr>
            <w:tcW w:w="18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1.</w:t>
            </w:r>
          </w:p>
        </w:tc>
        <w:tc>
          <w:tcPr>
            <w:tcW w:w="773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 have reviewed this quarterly report on Form 10-Q of Foot Locker, Inc. (the “Registrant”);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2.</w:t>
            </w:r>
          </w:p>
        </w:tc>
        <w:tc>
          <w:tcPr>
            <w:tcW w:w="10059"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3.</w:t>
            </w:r>
          </w:p>
        </w:tc>
        <w:tc>
          <w:tcPr>
            <w:tcW w:w="10056"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4.</w:t>
            </w:r>
          </w:p>
        </w:tc>
        <w:tc>
          <w:tcPr>
            <w:tcW w:w="1006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w:t>
            </w:r>
          </w:p>
        </w:tc>
        <w:tc>
          <w:tcPr>
            <w:tcW w:w="10003"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w:t>
            </w:r>
          </w:p>
        </w:tc>
        <w:tc>
          <w:tcPr>
            <w:tcW w:w="10002"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8"/>
        <w:gridCol w:w="9997"/>
      </w:tblGrid>
      <w:tr>
        <w:trPr/>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w:t>
            </w:r>
          </w:p>
        </w:tc>
        <w:tc>
          <w:tcPr>
            <w:tcW w:w="9997"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w:t>
            </w:r>
          </w:p>
        </w:tc>
        <w:tc>
          <w:tcPr>
            <w:tcW w:w="10003"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5.</w:t>
            </w:r>
          </w:p>
        </w:tc>
        <w:tc>
          <w:tcPr>
            <w:tcW w:w="10058"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0"/>
        <w:gridCol w:w="9995"/>
      </w:tblGrid>
      <w:tr>
        <w:trPr/>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w:t>
            </w:r>
          </w:p>
        </w:tc>
        <w:tc>
          <w:tcPr>
            <w:tcW w:w="999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4"/>
        <w:gridCol w:w="9981"/>
      </w:tblGrid>
      <w:tr>
        <w:trPr/>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w:t>
            </w:r>
          </w:p>
        </w:tc>
        <w:tc>
          <w:tcPr>
            <w:tcW w:w="9981"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1145"/>
        <w:gridCol w:w="2105"/>
      </w:tblGrid>
      <w:tr>
        <w:trPr/>
        <w:tc>
          <w:tcPr>
            <w:tcW w:w="114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bookmarkStart w:id="24" w:name="led391137F20233131681413828259"/>
            <w:bookmarkEnd w:id="24"/>
            <w:r>
              <w:rPr>
                <w:rFonts w:ascii="Arial;Helvetica;sans-serif" w:hAnsi="Arial;Helvetica;sans-serif"/>
                <w:caps w:val="false"/>
                <w:smallCaps w:val="false"/>
                <w:sz w:val="20"/>
              </w:rPr>
              <w:t>June 7, 2023</w:t>
            </w:r>
          </w:p>
        </w:tc>
        <w:tc>
          <w:tcPr>
            <w:tcW w:w="210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105"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 Mary N. Dillon </w:t>
            </w:r>
          </w:p>
        </w:tc>
      </w:tr>
      <w:tr>
        <w:trPr/>
        <w:tc>
          <w:tcPr>
            <w:tcW w:w="114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Chief Executive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580" w:right="0" w:hanging="0"/>
        <w:jc w:val="right"/>
        <w:rPr>
          <w:rFonts w:ascii="Arial;Helvetica;sans-serif" w:hAnsi="Arial;Helvetica;sans-serif"/>
          <w:b/>
          <w:caps w:val="false"/>
          <w:smallCaps w:val="false"/>
          <w:sz w:val="20"/>
        </w:rPr>
      </w:pPr>
      <w:bookmarkStart w:id="25" w:name="ex_499926.htm"/>
      <w:bookmarkStart w:id="26" w:name="ksex_499926"/>
      <w:bookmarkEnd w:id="25"/>
      <w:bookmarkEnd w:id="26"/>
      <w:r>
        <w:rPr>
          <w:rFonts w:ascii="Arial;Helvetica;sans-serif" w:hAnsi="Arial;Helvetica;sans-serif"/>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 Robert Higginbotham, certify that:</w:t>
      </w:r>
    </w:p>
    <w:p>
      <w:pPr>
        <w:pStyle w:val="TextBody"/>
        <w:bidi w:val="0"/>
        <w:spacing w:before="0" w:after="0"/>
        <w:ind w:left="0" w:right="0" w:hanging="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185"/>
        <w:gridCol w:w="7730"/>
      </w:tblGrid>
      <w:tr>
        <w:trPr/>
        <w:tc>
          <w:tcPr>
            <w:tcW w:w="18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1.</w:t>
            </w:r>
          </w:p>
        </w:tc>
        <w:tc>
          <w:tcPr>
            <w:tcW w:w="773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 have reviewed this quarterly report on Form 10-Q of Foot Locker, Inc. (the “Registrant”);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2.</w:t>
            </w:r>
          </w:p>
        </w:tc>
        <w:tc>
          <w:tcPr>
            <w:tcW w:w="10059"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3.</w:t>
            </w:r>
          </w:p>
        </w:tc>
        <w:tc>
          <w:tcPr>
            <w:tcW w:w="10056"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4.</w:t>
            </w:r>
          </w:p>
        </w:tc>
        <w:tc>
          <w:tcPr>
            <w:tcW w:w="1006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w:t>
            </w:r>
          </w:p>
        </w:tc>
        <w:tc>
          <w:tcPr>
            <w:tcW w:w="10003"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w:t>
            </w:r>
          </w:p>
        </w:tc>
        <w:tc>
          <w:tcPr>
            <w:tcW w:w="10002"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8"/>
        <w:gridCol w:w="9997"/>
      </w:tblGrid>
      <w:tr>
        <w:trPr/>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w:t>
            </w:r>
          </w:p>
        </w:tc>
        <w:tc>
          <w:tcPr>
            <w:tcW w:w="9997"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w:t>
            </w:r>
          </w:p>
        </w:tc>
        <w:tc>
          <w:tcPr>
            <w:tcW w:w="10003"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5.</w:t>
            </w:r>
          </w:p>
        </w:tc>
        <w:tc>
          <w:tcPr>
            <w:tcW w:w="10058"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0"/>
        <w:gridCol w:w="9995"/>
      </w:tblGrid>
      <w:tr>
        <w:trPr/>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w:t>
            </w:r>
          </w:p>
        </w:tc>
        <w:tc>
          <w:tcPr>
            <w:tcW w:w="999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4"/>
        <w:gridCol w:w="9981"/>
      </w:tblGrid>
      <w:tr>
        <w:trPr/>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w:t>
            </w:r>
          </w:p>
        </w:tc>
        <w:tc>
          <w:tcPr>
            <w:tcW w:w="9981"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1145"/>
        <w:gridCol w:w="2675"/>
      </w:tblGrid>
      <w:tr>
        <w:trPr/>
        <w:tc>
          <w:tcPr>
            <w:tcW w:w="114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bookmarkStart w:id="27" w:name="led391137F20233131681413782347"/>
            <w:bookmarkEnd w:id="27"/>
            <w:r>
              <w:rPr>
                <w:rFonts w:ascii="Arial;Helvetica;sans-serif" w:hAnsi="Arial;Helvetica;sans-serif"/>
                <w:caps w:val="false"/>
                <w:smallCaps w:val="false"/>
                <w:sz w:val="20"/>
              </w:rPr>
              <w:t>June 7, 2023</w:t>
            </w:r>
          </w:p>
        </w:tc>
        <w:tc>
          <w:tcPr>
            <w:tcW w:w="26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2675"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 Robert Higginbotham</w:t>
            </w:r>
          </w:p>
        </w:tc>
      </w:tr>
      <w:tr>
        <w:trPr/>
        <w:tc>
          <w:tcPr>
            <w:tcW w:w="1145"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Interim Chief Financial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Arial;Helvetica;sans-serif" w:hAnsi="Arial;Helvetica;sans-serif"/>
          <w:b/>
          <w:caps w:val="false"/>
          <w:smallCaps w:val="false"/>
          <w:sz w:val="20"/>
        </w:rPr>
      </w:pPr>
      <w:bookmarkStart w:id="28" w:name="ex_499927.htm"/>
      <w:bookmarkStart w:id="29" w:name="ksex_499927"/>
      <w:bookmarkEnd w:id="28"/>
      <w:bookmarkEnd w:id="29"/>
      <w:r>
        <w:rPr>
          <w:rFonts w:ascii="Arial;Helvetica;sans-serif" w:hAnsi="Arial;Helvetica;sans-serif"/>
          <w:b/>
          <w:caps w:val="false"/>
          <w:smallCaps w:val="false"/>
          <w:sz w:val="20"/>
        </w:rPr>
        <w:t>Exhibit 32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FOOT LOCKER,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CERTIFICATION PURSUANT TO</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18 U.S.C. SECTION 1350</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AS ADOPTED PURSUANT TO</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In connection with the Quarterly Report on Form 10-Q of Foot Locker, Inc. (the “Registrant”) for the quarterly period ended </w:t>
      </w:r>
      <w:bookmarkStart w:id="30" w:name="led391137F20233121681270030089"/>
      <w:bookmarkEnd w:id="30"/>
      <w:r>
        <w:rPr>
          <w:rFonts w:ascii="Arial;Helvetica;sans-serif" w:hAnsi="Arial;Helvetica;sans-serif"/>
          <w:caps w:val="false"/>
          <w:smallCaps w:val="false"/>
          <w:sz w:val="20"/>
        </w:rPr>
        <w:t>April 29, 2023, as filed with the Securities and Exchange Commission on the date hereof (the “Report”), Mary N. Dillon, as Chief Executive Officer of the Registrant and Robert Higginbotham, as Interim Chief Financial Officer of the Registrant, each hereby certifies,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2"/>
        <w:gridCol w:w="9903"/>
      </w:tblGrid>
      <w:tr>
        <w:trPr/>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(1)</w:t>
            </w:r>
          </w:p>
        </w:tc>
        <w:tc>
          <w:tcPr>
            <w:tcW w:w="9903"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The Report fully complies with the requirements of Section 13(a) or 15(d) of the Securities Exchange Act of 1934;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31"/>
        <w:gridCol w:w="9914"/>
      </w:tblGrid>
      <w:tr>
        <w:trPr/>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(2)</w:t>
            </w:r>
          </w:p>
        </w:tc>
        <w:tc>
          <w:tcPr>
            <w:tcW w:w="9914"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The information contained in the Report fairly presents, in all material respects, the financial condition and results of operations of the Registrant.</w:t>
            </w:r>
          </w:p>
        </w:tc>
      </w:tr>
    </w:tbl>
    <w:p>
      <w:pPr>
        <w:pStyle w:val="TextBody"/>
        <w:bidi w:val="0"/>
        <w:spacing w:before="0" w:after="0"/>
        <w:ind w:left="0" w:right="0" w:hanging="0"/>
        <w:jc w:val="left"/>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1775"/>
        <w:gridCol w:w="2675"/>
      </w:tblGrid>
      <w:tr>
        <w:trPr/>
        <w:tc>
          <w:tcPr>
            <w:tcW w:w="17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Dated: </w:t>
            </w:r>
            <w:bookmarkStart w:id="31" w:name="led391137F20233131681413744665"/>
            <w:bookmarkEnd w:id="31"/>
            <w:r>
              <w:rPr>
                <w:rFonts w:ascii="Arial;Helvetica;sans-serif" w:hAnsi="Arial;Helvetica;sans-serif"/>
                <w:caps w:val="false"/>
                <w:smallCaps w:val="false"/>
                <w:sz w:val="20"/>
              </w:rPr>
              <w:t>June 7, 2023</w:t>
            </w:r>
          </w:p>
        </w:tc>
        <w:tc>
          <w:tcPr>
            <w:tcW w:w="2675"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2675"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 Mary N. Dillon </w:t>
            </w:r>
          </w:p>
        </w:tc>
      </w:tr>
      <w:tr>
        <w:trPr/>
        <w:tc>
          <w:tcPr>
            <w:tcW w:w="1775"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Mary N. Dillon</w:t>
            </w:r>
          </w:p>
        </w:tc>
      </w:tr>
      <w:tr>
        <w:trPr/>
        <w:tc>
          <w:tcPr>
            <w:tcW w:w="1775"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Chief Executive Officer </w:t>
            </w:r>
          </w:p>
        </w:tc>
      </w:tr>
      <w:tr>
        <w:trPr/>
        <w:tc>
          <w:tcPr>
            <w:tcW w:w="177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7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775" w:type="dxa"/>
            <w:tcBorders/>
            <w:vAlign w:val="center"/>
          </w:tcPr>
          <w:p>
            <w:pPr>
              <w:pStyle w:val="TableContents"/>
              <w:bidi w:val="0"/>
              <w:spacing w:before="0" w:after="283"/>
              <w:jc w:val="left"/>
              <w:rPr/>
            </w:pPr>
            <w:r>
              <w:rPr/>
              <w:t> </w:t>
            </w:r>
          </w:p>
        </w:tc>
        <w:tc>
          <w:tcPr>
            <w:tcW w:w="2675"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 Robert Higginbotham</w:t>
            </w:r>
          </w:p>
        </w:tc>
      </w:tr>
      <w:tr>
        <w:trPr/>
        <w:tc>
          <w:tcPr>
            <w:tcW w:w="1775"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Robert Higginbotham</w:t>
            </w:r>
          </w:p>
        </w:tc>
      </w:tr>
      <w:tr>
        <w:trPr/>
        <w:tc>
          <w:tcPr>
            <w:tcW w:w="1775"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Interim Chief Financial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hyperlink" Target="http://www.sec.gov/Archives/edgar/data/850209/000143774923010958/ex_505737.htm" TargetMode="External"/><Relationship Id="rId19" Type="http://schemas.openxmlformats.org/officeDocument/2006/relationships/hyperlink" Target="http://www.sec.gov/Archives/edgar/data/850209/000143774923014943/ex_512712.htm" TargetMode="External"/><Relationship Id="rId20" Type="http://schemas.openxmlformats.org/officeDocument/2006/relationships/hyperlink" Target="http://www.sec.gov/Archives/edgar/data/850209/000143774923014943/ex_512713.htm" TargetMode="External"/><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12548</Words>
  <Characters>67850</Characters>
  <CharactersWithSpaces>82261</CharactersWithSpaces>
  <Paragraphs>6217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