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154940</wp:posOffset>
            </wp:positionV>
            <wp:extent cx="18097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25" w:lineRule="exact"/>
        <w:rPr>
          <w:sz w:val="24"/>
          <w:szCs w:val="24"/>
          <w:color w:val="auto"/>
        </w:rPr>
      </w:pPr>
    </w:p>
    <w:p>
      <w:pPr>
        <w:ind w:left="860" w:hanging="492"/>
        <w:spacing w:after="0"/>
        <w:tabs>
          <w:tab w:leader="none" w:pos="860" w:val="left"/>
        </w:tabs>
        <w:numPr>
          <w:ilvl w:val="0"/>
          <w:numId w:val="1"/>
        </w:numPr>
        <w:rPr>
          <w:rFonts w:ascii="Arial" w:cs="Arial" w:eastAsia="Arial" w:hAnsi="Arial"/>
          <w:sz w:val="17"/>
          <w:szCs w:val="17"/>
          <w:color w:val="auto"/>
        </w:rPr>
      </w:pPr>
      <w:r>
        <w:rPr>
          <w:rFonts w:ascii="Arial" w:cs="Arial" w:eastAsia="Arial" w:hAnsi="Arial"/>
          <w:sz w:val="17"/>
          <w:szCs w:val="17"/>
          <w:color w:val="auto"/>
        </w:rPr>
        <w:t>QUARTERLY REPORT PURSUANT TO SECTION 13 OR 15(d) OF THE SECURITIES EXCHANGE ACT OF 1934</w:t>
      </w:r>
    </w:p>
    <w:p>
      <w:pPr>
        <w:spacing w:after="0" w:line="23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August 3, 2013</w:t>
      </w:r>
    </w:p>
    <w:p>
      <w:pPr>
        <w:spacing w:after="0" w:line="229" w:lineRule="exact"/>
        <w:rPr>
          <w:sz w:val="24"/>
          <w:szCs w:val="24"/>
          <w:color w:val="auto"/>
        </w:rPr>
      </w:pPr>
    </w:p>
    <w:p>
      <w:pPr>
        <w:ind w:left="860" w:hanging="492"/>
        <w:spacing w:after="0"/>
        <w:tabs>
          <w:tab w:leader="none" w:pos="860" w:val="left"/>
        </w:tabs>
        <w:numPr>
          <w:ilvl w:val="0"/>
          <w:numId w:val="2"/>
        </w:numPr>
        <w:rPr>
          <w:rFonts w:ascii="Arial" w:cs="Arial" w:eastAsia="Arial" w:hAnsi="Arial"/>
          <w:sz w:val="17"/>
          <w:szCs w:val="17"/>
          <w:color w:val="auto"/>
        </w:rPr>
      </w:pPr>
      <w:r>
        <w:rPr>
          <w:rFonts w:ascii="Arial" w:cs="Arial" w:eastAsia="Arial" w:hAnsi="Arial"/>
          <w:sz w:val="17"/>
          <w:szCs w:val="17"/>
          <w:color w:val="auto"/>
        </w:rPr>
        <w:t>TRANSITION REPORT PURSUANT TO SECTION 13 OR 15(d) OF THE SECURITIES EXCHANGE ACT OF 1934</w:t>
      </w:r>
    </w:p>
    <w:p>
      <w:pPr>
        <w:spacing w:after="0" w:line="232" w:lineRule="exact"/>
        <w:rPr>
          <w:rFonts w:ascii="Arial" w:cs="Arial" w:eastAsia="Arial" w:hAnsi="Arial"/>
          <w:sz w:val="17"/>
          <w:szCs w:val="17"/>
          <w:color w:val="auto"/>
        </w:rPr>
      </w:pPr>
    </w:p>
    <w:p>
      <w:pPr>
        <w:ind w:left="3500"/>
        <w:spacing w:after="0"/>
        <w:rPr>
          <w:rFonts w:ascii="Arial" w:cs="Arial" w:eastAsia="Arial" w:hAnsi="Arial"/>
          <w:sz w:val="17"/>
          <w:szCs w:val="17"/>
          <w:color w:val="auto"/>
        </w:rPr>
      </w:pPr>
      <w:r>
        <w:rPr>
          <w:rFonts w:ascii="Arial" w:cs="Arial" w:eastAsia="Arial" w:hAnsi="Arial"/>
          <w:sz w:val="18"/>
          <w:szCs w:val="18"/>
          <w:b w:val="1"/>
          <w:bCs w:val="1"/>
          <w:color w:val="auto"/>
        </w:rPr>
        <w:t>For the transition period from __________ to __________</w:t>
      </w:r>
    </w:p>
    <w:p>
      <w:pPr>
        <w:spacing w:after="0" w:line="225" w:lineRule="exact"/>
        <w:rPr>
          <w:rFonts w:ascii="Arial" w:cs="Arial" w:eastAsia="Arial" w:hAnsi="Arial"/>
          <w:sz w:val="17"/>
          <w:szCs w:val="17"/>
          <w:color w:val="auto"/>
        </w:rPr>
      </w:pPr>
    </w:p>
    <w:p>
      <w:pPr>
        <w:ind w:left="4380"/>
        <w:spacing w:after="0"/>
        <w:rPr>
          <w:rFonts w:ascii="Arial" w:cs="Arial" w:eastAsia="Arial" w:hAnsi="Arial"/>
          <w:sz w:val="17"/>
          <w:szCs w:val="17"/>
          <w:color w:val="auto"/>
        </w:rPr>
      </w:pPr>
      <w:r>
        <w:rPr>
          <w:rFonts w:ascii="Arial" w:cs="Arial" w:eastAsia="Arial" w:hAnsi="Arial"/>
          <w:sz w:val="18"/>
          <w:szCs w:val="18"/>
          <w:b w:val="1"/>
          <w:bCs w:val="1"/>
          <w:color w:val="auto"/>
        </w:rPr>
        <w:t>Commission File Number: 1-10299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154940</wp:posOffset>
            </wp:positionV>
            <wp:extent cx="18097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FOOT LOCKER, INC.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142875</wp:posOffset>
            </wp:positionV>
            <wp:extent cx="18097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p>
      <w:pPr>
        <w:spacing w:after="0" w:line="200" w:lineRule="exact"/>
        <w:rPr>
          <w:sz w:val="24"/>
          <w:szCs w:val="24"/>
          <w:color w:val="auto"/>
        </w:rPr>
      </w:pPr>
    </w:p>
    <w:p>
      <w:pPr>
        <w:spacing w:after="0" w:line="250" w:lineRule="exact"/>
        <w:rPr>
          <w:sz w:val="24"/>
          <w:szCs w:val="24"/>
          <w:color w:val="auto"/>
        </w:rPr>
      </w:pPr>
    </w:p>
    <w:p>
      <w:pPr>
        <w:jc w:val="center"/>
        <w:ind w:right="820"/>
        <w:spacing w:after="0"/>
        <w:rPr>
          <w:sz w:val="20"/>
          <w:szCs w:val="20"/>
          <w:color w:val="auto"/>
        </w:rPr>
      </w:pPr>
      <w:r>
        <w:rPr>
          <w:rFonts w:ascii="Arial" w:cs="Arial" w:eastAsia="Arial" w:hAnsi="Arial"/>
          <w:sz w:val="18"/>
          <w:szCs w:val="18"/>
          <w:b w:val="1"/>
          <w:bCs w:val="1"/>
          <w:color w:val="auto"/>
        </w:rPr>
        <w:t>New York</w:t>
      </w:r>
    </w:p>
    <w:p>
      <w:pPr>
        <w:spacing w:after="0" w:line="27" w:lineRule="exact"/>
        <w:rPr>
          <w:sz w:val="24"/>
          <w:szCs w:val="24"/>
          <w:color w:val="auto"/>
        </w:rPr>
      </w:pPr>
    </w:p>
    <w:p>
      <w:pPr>
        <w:jc w:val="center"/>
        <w:ind w:right="82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0" w:lineRule="exact"/>
        <w:rPr>
          <w:sz w:val="24"/>
          <w:szCs w:val="24"/>
          <w:color w:val="auto"/>
        </w:rPr>
      </w:pPr>
    </w:p>
    <w:p>
      <w:pPr>
        <w:jc w:val="center"/>
        <w:ind w:right="1540"/>
        <w:spacing w:after="0"/>
        <w:rPr>
          <w:sz w:val="20"/>
          <w:szCs w:val="20"/>
          <w:color w:val="auto"/>
        </w:rPr>
      </w:pPr>
      <w:r>
        <w:rPr>
          <w:rFonts w:ascii="Arial" w:cs="Arial" w:eastAsia="Arial" w:hAnsi="Arial"/>
          <w:sz w:val="18"/>
          <w:szCs w:val="18"/>
          <w:b w:val="1"/>
          <w:bCs w:val="1"/>
          <w:color w:val="auto"/>
        </w:rPr>
        <w:t>13-3513936</w:t>
      </w:r>
    </w:p>
    <w:p>
      <w:pPr>
        <w:spacing w:after="0" w:line="27" w:lineRule="exact"/>
        <w:rPr>
          <w:sz w:val="24"/>
          <w:szCs w:val="24"/>
          <w:color w:val="auto"/>
        </w:rPr>
      </w:pPr>
    </w:p>
    <w:p>
      <w:pPr>
        <w:jc w:val="center"/>
        <w:ind w:right="1540"/>
        <w:spacing w:after="0"/>
        <w:rPr>
          <w:sz w:val="20"/>
          <w:szCs w:val="20"/>
          <w:color w:val="auto"/>
        </w:rPr>
      </w:pPr>
      <w:r>
        <w:rPr>
          <w:rFonts w:ascii="Arial" w:cs="Arial" w:eastAsia="Arial" w:hAnsi="Arial"/>
          <w:sz w:val="17"/>
          <w:szCs w:val="17"/>
          <w:color w:val="auto"/>
        </w:rPr>
        <w:t>(I.R.S. Employer Identification No.)</w:t>
      </w:r>
    </w:p>
    <w:p>
      <w:pPr>
        <w:spacing w:after="0" w:line="150" w:lineRule="exact"/>
        <w:rPr>
          <w:sz w:val="24"/>
          <w:szCs w:val="24"/>
          <w:color w:val="auto"/>
        </w:rPr>
      </w:pPr>
    </w:p>
    <w:p>
      <w:pPr>
        <w:sectPr>
          <w:pgSz w:w="11900" w:h="16838" w:orient="portrait"/>
          <w:cols w:equalWidth="0" w:num="2">
            <w:col w:w="6540" w:space="720"/>
            <w:col w:w="4160"/>
          </w:cols>
          <w:pgMar w:left="240" w:top="445" w:right="239" w:bottom="1440" w:gutter="0" w:footer="0" w:header="0"/>
          <w:type w:val="continuous"/>
        </w:sectPr>
      </w:pPr>
    </w:p>
    <w:p>
      <w:pPr>
        <w:ind w:left="3820"/>
        <w:spacing w:after="0"/>
        <w:rPr>
          <w:sz w:val="20"/>
          <w:szCs w:val="20"/>
          <w:color w:val="auto"/>
        </w:rPr>
      </w:pPr>
      <w:r>
        <w:rPr>
          <w:rFonts w:ascii="Arial" w:cs="Arial" w:eastAsia="Arial" w:hAnsi="Arial"/>
          <w:sz w:val="18"/>
          <w:szCs w:val="18"/>
          <w:b w:val="1"/>
          <w:bCs w:val="1"/>
          <w:color w:val="auto"/>
        </w:rPr>
        <w:t>112 West 34</w:t>
      </w:r>
      <w:r>
        <w:rPr>
          <w:rFonts w:ascii="Arial" w:cs="Arial" w:eastAsia="Arial" w:hAnsi="Arial"/>
          <w:sz w:val="30"/>
          <w:szCs w:val="30"/>
          <w:b w:val="1"/>
          <w:bCs w:val="1"/>
          <w:color w:val="auto"/>
          <w:vertAlign w:val="superscript"/>
        </w:rPr>
        <w:t>th</w:t>
      </w:r>
      <w:r>
        <w:rPr>
          <w:rFonts w:ascii="Arial" w:cs="Arial" w:eastAsia="Arial" w:hAnsi="Arial"/>
          <w:sz w:val="18"/>
          <w:szCs w:val="18"/>
          <w:b w:val="1"/>
          <w:bCs w:val="1"/>
          <w:color w:val="auto"/>
        </w:rPr>
        <w:t xml:space="preserve"> Street, New York, New York, 10120</w:t>
      </w:r>
    </w:p>
    <w:p>
      <w:pPr>
        <w:ind w:left="3860"/>
        <w:spacing w:after="0"/>
        <w:rPr>
          <w:sz w:val="20"/>
          <w:szCs w:val="20"/>
          <w:color w:val="auto"/>
        </w:rPr>
      </w:pPr>
      <w:r>
        <w:rPr>
          <w:rFonts w:ascii="Arial" w:cs="Arial" w:eastAsia="Arial" w:hAnsi="Arial"/>
          <w:sz w:val="18"/>
          <w:szCs w:val="18"/>
          <w:color w:val="auto"/>
        </w:rPr>
        <w:t>(Address of Principal Executive Offices, Zip Code)</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(212-720-3700)</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þ No o</w:t>
      </w:r>
    </w:p>
    <w:p>
      <w:pPr>
        <w:spacing w:after="0" w:line="18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þ No o</w:t>
      </w:r>
    </w:p>
    <w:p>
      <w:pPr>
        <w:spacing w:after="0" w:line="181"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70"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2320" w:type="dxa"/>
            <w:vAlign w:val="bottom"/>
          </w:tcPr>
          <w:p>
            <w:pPr>
              <w:spacing w:after="0"/>
              <w:rPr>
                <w:sz w:val="20"/>
                <w:szCs w:val="20"/>
                <w:color w:val="auto"/>
              </w:rPr>
            </w:pPr>
            <w:r>
              <w:rPr>
                <w:rFonts w:ascii="Arial" w:cs="Arial" w:eastAsia="Arial" w:hAnsi="Arial"/>
                <w:sz w:val="18"/>
                <w:szCs w:val="18"/>
                <w:color w:val="auto"/>
              </w:rPr>
              <w:t>Large accelerated filer þ</w:t>
            </w:r>
          </w:p>
        </w:tc>
        <w:tc>
          <w:tcPr>
            <w:tcW w:w="2640" w:type="dxa"/>
            <w:vAlign w:val="bottom"/>
          </w:tcPr>
          <w:p>
            <w:pPr>
              <w:ind w:left="560"/>
              <w:spacing w:after="0"/>
              <w:rPr>
                <w:sz w:val="20"/>
                <w:szCs w:val="20"/>
                <w:color w:val="auto"/>
              </w:rPr>
            </w:pPr>
            <w:r>
              <w:rPr>
                <w:rFonts w:ascii="Arial" w:cs="Arial" w:eastAsia="Arial" w:hAnsi="Arial"/>
                <w:sz w:val="18"/>
                <w:szCs w:val="18"/>
                <w:color w:val="auto"/>
              </w:rPr>
              <w:t>Accelerated filer o</w:t>
            </w:r>
          </w:p>
        </w:tc>
        <w:tc>
          <w:tcPr>
            <w:tcW w:w="3280" w:type="dxa"/>
            <w:vAlign w:val="bottom"/>
          </w:tcPr>
          <w:p>
            <w:pPr>
              <w:ind w:left="760"/>
              <w:spacing w:after="0"/>
              <w:rPr>
                <w:sz w:val="20"/>
                <w:szCs w:val="20"/>
                <w:color w:val="auto"/>
              </w:rPr>
            </w:pPr>
            <w:r>
              <w:rPr>
                <w:rFonts w:ascii="Arial" w:cs="Arial" w:eastAsia="Arial" w:hAnsi="Arial"/>
                <w:sz w:val="18"/>
                <w:szCs w:val="18"/>
                <w:color w:val="auto"/>
              </w:rPr>
              <w:t>Non-accelerated filer o</w:t>
            </w:r>
          </w:p>
        </w:tc>
        <w:tc>
          <w:tcPr>
            <w:tcW w:w="3180" w:type="dxa"/>
            <w:vAlign w:val="bottom"/>
          </w:tcPr>
          <w:p>
            <w:pPr>
              <w:ind w:left="340"/>
              <w:spacing w:after="0"/>
              <w:rPr>
                <w:sz w:val="20"/>
                <w:szCs w:val="20"/>
                <w:color w:val="auto"/>
              </w:rPr>
            </w:pPr>
            <w:r>
              <w:rPr>
                <w:rFonts w:ascii="Arial" w:cs="Arial" w:eastAsia="Arial" w:hAnsi="Arial"/>
                <w:sz w:val="18"/>
                <w:szCs w:val="18"/>
                <w:color w:val="auto"/>
              </w:rPr>
              <w:t>Smaller reporting company o</w:t>
            </w:r>
          </w:p>
        </w:tc>
      </w:tr>
      <w:tr>
        <w:trPr>
          <w:trHeight w:val="432"/>
        </w:trPr>
        <w:tc>
          <w:tcPr>
            <w:tcW w:w="8240" w:type="dxa"/>
            <w:vAlign w:val="bottom"/>
            <w:gridSpan w:val="3"/>
          </w:tcPr>
          <w:p>
            <w:pPr>
              <w:spacing w:after="0"/>
              <w:rPr>
                <w:sz w:val="20"/>
                <w:szCs w:val="20"/>
                <w:color w:val="auto"/>
              </w:rPr>
            </w:pPr>
            <w:r>
              <w:rPr>
                <w:rFonts w:ascii="Arial" w:cs="Arial" w:eastAsia="Arial" w:hAnsi="Arial"/>
                <w:sz w:val="18"/>
                <w:szCs w:val="18"/>
                <w:color w:val="auto"/>
                <w:w w:val="91"/>
              </w:rPr>
              <w:t>Indicate by check mark whether the registrant is a shell company (as defined in Rule 12b-2 of the Exchange Act).</w:t>
            </w:r>
          </w:p>
        </w:tc>
        <w:tc>
          <w:tcPr>
            <w:tcW w:w="3180" w:type="dxa"/>
            <w:vAlign w:val="bottom"/>
          </w:tcPr>
          <w:p>
            <w:pPr>
              <w:ind w:left="80"/>
              <w:spacing w:after="0"/>
              <w:rPr>
                <w:sz w:val="20"/>
                <w:szCs w:val="20"/>
                <w:color w:val="auto"/>
              </w:rPr>
            </w:pPr>
            <w:r>
              <w:rPr>
                <w:rFonts w:ascii="Arial" w:cs="Arial" w:eastAsia="Arial" w:hAnsi="Arial"/>
                <w:sz w:val="18"/>
                <w:szCs w:val="18"/>
                <w:color w:val="auto"/>
              </w:rPr>
              <w:t>Yes o  No þ</w:t>
            </w:r>
          </w:p>
        </w:tc>
      </w:tr>
      <w:tr>
        <w:trPr>
          <w:trHeight w:val="432"/>
        </w:trPr>
        <w:tc>
          <w:tcPr>
            <w:tcW w:w="8240" w:type="dxa"/>
            <w:vAlign w:val="bottom"/>
            <w:gridSpan w:val="3"/>
          </w:tcPr>
          <w:p>
            <w:pPr>
              <w:spacing w:after="0"/>
              <w:rPr>
                <w:sz w:val="20"/>
                <w:szCs w:val="20"/>
                <w:color w:val="auto"/>
              </w:rPr>
            </w:pPr>
            <w:r>
              <w:rPr>
                <w:rFonts w:ascii="Arial" w:cs="Arial" w:eastAsia="Arial" w:hAnsi="Arial"/>
                <w:sz w:val="18"/>
                <w:szCs w:val="18"/>
                <w:color w:val="auto"/>
              </w:rPr>
              <w:t>Number of shares of Common Stock outstanding at August 30, 2013: 148,495,431</w:t>
            </w:r>
          </w:p>
        </w:tc>
        <w:tc>
          <w:tcPr>
            <w:tcW w:w="3180" w:type="dxa"/>
            <w:vAlign w:val="bottom"/>
          </w:tcPr>
          <w:p>
            <w:pPr>
              <w:spacing w:after="0"/>
              <w:rPr>
                <w:sz w:val="24"/>
                <w:szCs w:val="24"/>
                <w:color w:val="auto"/>
              </w:rPr>
            </w:pPr>
          </w:p>
        </w:tc>
      </w:tr>
      <w:tr>
        <w:trPr>
          <w:trHeight w:val="648"/>
        </w:trPr>
        <w:tc>
          <w:tcPr>
            <w:tcW w:w="232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445" w:right="239" w:bottom="144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4920" w:type="dxa"/>
            <w:vAlign w:val="bottom"/>
            <w:gridSpan w:val="2"/>
          </w:tcPr>
          <w:p>
            <w:pPr>
              <w:jc w:val="center"/>
              <w:ind w:right="3000"/>
              <w:spacing w:after="0"/>
              <w:rPr>
                <w:sz w:val="20"/>
                <w:szCs w:val="20"/>
                <w:color w:val="auto"/>
              </w:rPr>
            </w:pPr>
            <w:r>
              <w:rPr>
                <w:rFonts w:ascii="Arial" w:cs="Arial" w:eastAsia="Arial" w:hAnsi="Arial"/>
                <w:sz w:val="18"/>
                <w:szCs w:val="18"/>
                <w:b w:val="1"/>
                <w:bCs w:val="1"/>
                <w:color w:val="auto"/>
              </w:rPr>
              <w:t>FOOT LOCKER, INC.</w:t>
            </w: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7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86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98"/>
              </w:rPr>
              <w:t>TABLE OF CONTENTS</w:t>
            </w:r>
          </w:p>
        </w:tc>
        <w:tc>
          <w:tcPr>
            <w:tcW w:w="174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37"/>
        </w:trPr>
        <w:tc>
          <w:tcPr>
            <w:tcW w:w="7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920" w:type="dxa"/>
            <w:vAlign w:val="bottom"/>
            <w:tcBorders>
              <w:top w:val="single" w:sz="8" w:color="auto"/>
            </w:tcBorders>
          </w:tcPr>
          <w:p>
            <w:pPr>
              <w:spacing w:after="0"/>
              <w:rPr>
                <w:sz w:val="20"/>
                <w:szCs w:val="20"/>
                <w:color w:val="auto"/>
              </w:rPr>
            </w:pPr>
          </w:p>
        </w:tc>
        <w:tc>
          <w:tcPr>
            <w:tcW w:w="3000" w:type="dxa"/>
            <w:vAlign w:val="bottom"/>
          </w:tcPr>
          <w:p>
            <w:pPr>
              <w:spacing w:after="0"/>
              <w:rPr>
                <w:sz w:val="20"/>
                <w:szCs w:val="20"/>
                <w:color w:val="auto"/>
              </w:rPr>
            </w:pPr>
          </w:p>
        </w:tc>
        <w:tc>
          <w:tcPr>
            <w:tcW w:w="17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20" w:type="dxa"/>
            <w:vAlign w:val="bottom"/>
            <w:shd w:val="clear" w:color="auto" w:fill="CCFFCC"/>
          </w:tcPr>
          <w:p>
            <w:pPr>
              <w:spacing w:after="0"/>
              <w:rPr>
                <w:sz w:val="20"/>
                <w:szCs w:val="20"/>
                <w:color w:val="auto"/>
              </w:rPr>
            </w:pPr>
            <w:r>
              <w:rPr>
                <w:rFonts w:ascii="Arial" w:cs="Arial" w:eastAsia="Arial" w:hAnsi="Arial"/>
                <w:sz w:val="18"/>
                <w:szCs w:val="18"/>
                <w:color w:val="auto"/>
              </w:rPr>
              <w:t>Part I.</w:t>
            </w:r>
          </w:p>
        </w:tc>
        <w:tc>
          <w:tcPr>
            <w:tcW w:w="8960" w:type="dxa"/>
            <w:vAlign w:val="bottom"/>
            <w:gridSpan w:val="4"/>
            <w:shd w:val="clear" w:color="auto" w:fill="CCFFCC"/>
          </w:tcPr>
          <w:p>
            <w:pPr>
              <w:ind w:left="220"/>
              <w:spacing w:after="0"/>
              <w:rPr>
                <w:sz w:val="20"/>
                <w:szCs w:val="20"/>
                <w:color w:val="auto"/>
              </w:rPr>
            </w:pPr>
            <w:r>
              <w:rPr>
                <w:rFonts w:ascii="Arial" w:cs="Arial" w:eastAsia="Arial" w:hAnsi="Arial"/>
                <w:sz w:val="18"/>
                <w:szCs w:val="18"/>
                <w:color w:val="auto"/>
              </w:rPr>
              <w:t>Financial Information</w:t>
            </w:r>
          </w:p>
        </w:tc>
        <w:tc>
          <w:tcPr>
            <w:tcW w:w="17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1100" w:type="dxa"/>
            <w:vAlign w:val="bottom"/>
          </w:tcPr>
          <w:p>
            <w:pPr>
              <w:ind w:left="220"/>
              <w:spacing w:after="0"/>
              <w:rPr>
                <w:sz w:val="20"/>
                <w:szCs w:val="20"/>
                <w:color w:val="auto"/>
              </w:rPr>
            </w:pPr>
            <w:r>
              <w:rPr>
                <w:rFonts w:ascii="Arial" w:cs="Arial" w:eastAsia="Arial" w:hAnsi="Arial"/>
                <w:sz w:val="18"/>
                <w:szCs w:val="18"/>
                <w:color w:val="auto"/>
              </w:rPr>
              <w:t>Item 1.</w:t>
            </w:r>
          </w:p>
        </w:tc>
        <w:tc>
          <w:tcPr>
            <w:tcW w:w="7860" w:type="dxa"/>
            <w:vAlign w:val="bottom"/>
            <w:gridSpan w:val="3"/>
          </w:tcPr>
          <w:p>
            <w:pPr>
              <w:ind w:left="260"/>
              <w:spacing w:after="0"/>
              <w:rPr>
                <w:sz w:val="20"/>
                <w:szCs w:val="20"/>
                <w:color w:val="auto"/>
              </w:rPr>
            </w:pPr>
            <w:r>
              <w:rPr>
                <w:rFonts w:ascii="Arial" w:cs="Arial" w:eastAsia="Arial" w:hAnsi="Arial"/>
                <w:sz w:val="18"/>
                <w:szCs w:val="18"/>
                <w:color w:val="auto"/>
              </w:rPr>
              <w:t>Financial Statements</w:t>
            </w: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7860" w:type="dxa"/>
            <w:vAlign w:val="bottom"/>
            <w:gridSpan w:val="3"/>
            <w:shd w:val="clear" w:color="auto" w:fill="CCFFCC"/>
          </w:tcPr>
          <w:p>
            <w:pPr>
              <w:ind w:left="260"/>
              <w:spacing w:after="0"/>
              <w:rPr>
                <w:sz w:val="20"/>
                <w:szCs w:val="20"/>
                <w:color w:val="auto"/>
              </w:rPr>
            </w:pPr>
            <w:r>
              <w:rPr>
                <w:rFonts w:ascii="Arial" w:cs="Arial" w:eastAsia="Arial" w:hAnsi="Arial"/>
                <w:sz w:val="18"/>
                <w:szCs w:val="18"/>
                <w:color w:val="auto"/>
              </w:rPr>
              <w:t>Condensed Consolidated Balance Sheets</w:t>
            </w:r>
          </w:p>
        </w:tc>
        <w:tc>
          <w:tcPr>
            <w:tcW w:w="17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60" w:type="dxa"/>
            <w:vAlign w:val="bottom"/>
            <w:gridSpan w:val="3"/>
          </w:tcPr>
          <w:p>
            <w:pPr>
              <w:ind w:left="260"/>
              <w:spacing w:after="0"/>
              <w:rPr>
                <w:sz w:val="20"/>
                <w:szCs w:val="20"/>
                <w:color w:val="auto"/>
              </w:rPr>
            </w:pPr>
            <w:r>
              <w:rPr>
                <w:rFonts w:ascii="Arial" w:cs="Arial" w:eastAsia="Arial" w:hAnsi="Arial"/>
                <w:sz w:val="18"/>
                <w:szCs w:val="18"/>
                <w:color w:val="auto"/>
              </w:rPr>
              <w:t>Condensed Consolidated Statements of Operations</w:t>
            </w:r>
          </w:p>
        </w:tc>
        <w:tc>
          <w:tcPr>
            <w:tcW w:w="174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72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7860" w:type="dxa"/>
            <w:vAlign w:val="bottom"/>
            <w:gridSpan w:val="3"/>
            <w:shd w:val="clear" w:color="auto" w:fill="CCFFCC"/>
          </w:tcPr>
          <w:p>
            <w:pPr>
              <w:ind w:left="260"/>
              <w:spacing w:after="0"/>
              <w:rPr>
                <w:sz w:val="20"/>
                <w:szCs w:val="20"/>
                <w:color w:val="auto"/>
              </w:rPr>
            </w:pPr>
            <w:r>
              <w:rPr>
                <w:rFonts w:ascii="Arial" w:cs="Arial" w:eastAsia="Arial" w:hAnsi="Arial"/>
                <w:sz w:val="18"/>
                <w:szCs w:val="18"/>
                <w:color w:val="auto"/>
              </w:rPr>
              <w:t>Condensed Consolidated Statements of Comprehensive Income</w:t>
            </w:r>
          </w:p>
        </w:tc>
        <w:tc>
          <w:tcPr>
            <w:tcW w:w="17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60" w:type="dxa"/>
            <w:vAlign w:val="bottom"/>
            <w:gridSpan w:val="3"/>
          </w:tcPr>
          <w:p>
            <w:pPr>
              <w:ind w:left="260"/>
              <w:spacing w:after="0"/>
              <w:rPr>
                <w:sz w:val="20"/>
                <w:szCs w:val="20"/>
                <w:color w:val="auto"/>
              </w:rPr>
            </w:pPr>
            <w:r>
              <w:rPr>
                <w:rFonts w:ascii="Arial" w:cs="Arial" w:eastAsia="Arial" w:hAnsi="Arial"/>
                <w:sz w:val="18"/>
                <w:szCs w:val="18"/>
                <w:color w:val="auto"/>
              </w:rPr>
              <w:t>Condensed Consolidated Statements of Cash Flows</w:t>
            </w:r>
          </w:p>
        </w:tc>
        <w:tc>
          <w:tcPr>
            <w:tcW w:w="174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72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7860" w:type="dxa"/>
            <w:vAlign w:val="bottom"/>
            <w:gridSpan w:val="3"/>
            <w:shd w:val="clear" w:color="auto" w:fill="CCFFCC"/>
          </w:tcPr>
          <w:p>
            <w:pPr>
              <w:ind w:left="260"/>
              <w:spacing w:after="0"/>
              <w:rPr>
                <w:sz w:val="20"/>
                <w:szCs w:val="20"/>
                <w:color w:val="auto"/>
              </w:rPr>
            </w:pPr>
            <w:r>
              <w:rPr>
                <w:rFonts w:ascii="Arial" w:cs="Arial" w:eastAsia="Arial" w:hAnsi="Arial"/>
                <w:sz w:val="18"/>
                <w:szCs w:val="18"/>
                <w:color w:val="auto"/>
              </w:rPr>
              <w:t>Notes to Condensed Consolidated Financial Statements</w:t>
            </w:r>
          </w:p>
        </w:tc>
        <w:tc>
          <w:tcPr>
            <w:tcW w:w="17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1100" w:type="dxa"/>
            <w:vAlign w:val="bottom"/>
          </w:tcPr>
          <w:p>
            <w:pPr>
              <w:ind w:left="220"/>
              <w:spacing w:after="0"/>
              <w:rPr>
                <w:sz w:val="20"/>
                <w:szCs w:val="20"/>
                <w:color w:val="auto"/>
              </w:rPr>
            </w:pPr>
            <w:r>
              <w:rPr>
                <w:rFonts w:ascii="Arial" w:cs="Arial" w:eastAsia="Arial" w:hAnsi="Arial"/>
                <w:sz w:val="18"/>
                <w:szCs w:val="18"/>
                <w:color w:val="auto"/>
              </w:rPr>
              <w:t>Item 2.</w:t>
            </w:r>
          </w:p>
        </w:tc>
        <w:tc>
          <w:tcPr>
            <w:tcW w:w="7860" w:type="dxa"/>
            <w:vAlign w:val="bottom"/>
            <w:gridSpan w:val="3"/>
          </w:tcPr>
          <w:p>
            <w:pPr>
              <w:ind w:left="26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74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720" w:type="dxa"/>
            <w:vAlign w:val="bottom"/>
            <w:shd w:val="clear" w:color="auto" w:fill="CCFFCC"/>
          </w:tcPr>
          <w:p>
            <w:pPr>
              <w:spacing w:after="0"/>
              <w:rPr>
                <w:sz w:val="18"/>
                <w:szCs w:val="18"/>
                <w:color w:val="auto"/>
              </w:rPr>
            </w:pPr>
          </w:p>
        </w:tc>
        <w:tc>
          <w:tcPr>
            <w:tcW w:w="1100" w:type="dxa"/>
            <w:vAlign w:val="bottom"/>
            <w:shd w:val="clear" w:color="auto" w:fill="CCFFCC"/>
          </w:tcPr>
          <w:p>
            <w:pPr>
              <w:ind w:left="220"/>
              <w:spacing w:after="0"/>
              <w:rPr>
                <w:sz w:val="20"/>
                <w:szCs w:val="20"/>
                <w:color w:val="auto"/>
              </w:rPr>
            </w:pPr>
            <w:r>
              <w:rPr>
                <w:rFonts w:ascii="Arial" w:cs="Arial" w:eastAsia="Arial" w:hAnsi="Arial"/>
                <w:sz w:val="18"/>
                <w:szCs w:val="18"/>
                <w:color w:val="auto"/>
              </w:rPr>
              <w:t>Item 4.</w:t>
            </w:r>
          </w:p>
        </w:tc>
        <w:tc>
          <w:tcPr>
            <w:tcW w:w="7860" w:type="dxa"/>
            <w:vAlign w:val="bottom"/>
            <w:gridSpan w:val="3"/>
            <w:shd w:val="clear" w:color="auto" w:fill="CCFFCC"/>
          </w:tcPr>
          <w:p>
            <w:pPr>
              <w:ind w:left="260"/>
              <w:spacing w:after="0"/>
              <w:rPr>
                <w:sz w:val="20"/>
                <w:szCs w:val="20"/>
                <w:color w:val="auto"/>
              </w:rPr>
            </w:pPr>
            <w:r>
              <w:rPr>
                <w:rFonts w:ascii="Arial" w:cs="Arial" w:eastAsia="Arial" w:hAnsi="Arial"/>
                <w:sz w:val="18"/>
                <w:szCs w:val="18"/>
                <w:color w:val="auto"/>
              </w:rPr>
              <w:t>Controls and Procedures</w:t>
            </w:r>
          </w:p>
        </w:tc>
        <w:tc>
          <w:tcPr>
            <w:tcW w:w="17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Part II.</w:t>
            </w:r>
          </w:p>
        </w:tc>
        <w:tc>
          <w:tcPr>
            <w:tcW w:w="8960" w:type="dxa"/>
            <w:vAlign w:val="bottom"/>
            <w:gridSpan w:val="4"/>
          </w:tcPr>
          <w:p>
            <w:pPr>
              <w:ind w:left="220"/>
              <w:spacing w:after="0"/>
              <w:rPr>
                <w:sz w:val="20"/>
                <w:szCs w:val="20"/>
                <w:color w:val="auto"/>
              </w:rPr>
            </w:pPr>
            <w:r>
              <w:rPr>
                <w:rFonts w:ascii="Arial" w:cs="Arial" w:eastAsia="Arial" w:hAnsi="Arial"/>
                <w:sz w:val="18"/>
                <w:szCs w:val="18"/>
                <w:color w:val="auto"/>
              </w:rPr>
              <w:t>Other Information</w:t>
            </w: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shd w:val="clear" w:color="auto" w:fill="CCFFCC"/>
          </w:tcPr>
          <w:p>
            <w:pPr>
              <w:spacing w:after="0"/>
              <w:rPr>
                <w:sz w:val="18"/>
                <w:szCs w:val="18"/>
                <w:color w:val="auto"/>
              </w:rPr>
            </w:pPr>
          </w:p>
        </w:tc>
        <w:tc>
          <w:tcPr>
            <w:tcW w:w="1100" w:type="dxa"/>
            <w:vAlign w:val="bottom"/>
            <w:shd w:val="clear" w:color="auto" w:fill="CCFFCC"/>
          </w:tcPr>
          <w:p>
            <w:pPr>
              <w:ind w:left="220"/>
              <w:spacing w:after="0"/>
              <w:rPr>
                <w:sz w:val="20"/>
                <w:szCs w:val="20"/>
                <w:color w:val="auto"/>
              </w:rPr>
            </w:pPr>
            <w:r>
              <w:rPr>
                <w:rFonts w:ascii="Arial" w:cs="Arial" w:eastAsia="Arial" w:hAnsi="Arial"/>
                <w:sz w:val="18"/>
                <w:szCs w:val="18"/>
                <w:color w:val="auto"/>
              </w:rPr>
              <w:t>Item 1.</w:t>
            </w:r>
          </w:p>
        </w:tc>
        <w:tc>
          <w:tcPr>
            <w:tcW w:w="7860" w:type="dxa"/>
            <w:vAlign w:val="bottom"/>
            <w:gridSpan w:val="3"/>
            <w:shd w:val="clear" w:color="auto" w:fill="CCFFCC"/>
          </w:tcPr>
          <w:p>
            <w:pPr>
              <w:ind w:left="260"/>
              <w:spacing w:after="0"/>
              <w:rPr>
                <w:sz w:val="20"/>
                <w:szCs w:val="20"/>
                <w:color w:val="auto"/>
              </w:rPr>
            </w:pPr>
            <w:r>
              <w:rPr>
                <w:rFonts w:ascii="Arial" w:cs="Arial" w:eastAsia="Arial" w:hAnsi="Arial"/>
                <w:sz w:val="18"/>
                <w:szCs w:val="18"/>
                <w:color w:val="auto"/>
              </w:rPr>
              <w:t>Legal Proceedings</w:t>
            </w:r>
          </w:p>
        </w:tc>
        <w:tc>
          <w:tcPr>
            <w:tcW w:w="17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1100" w:type="dxa"/>
            <w:vAlign w:val="bottom"/>
          </w:tcPr>
          <w:p>
            <w:pPr>
              <w:ind w:left="220"/>
              <w:spacing w:after="0"/>
              <w:rPr>
                <w:sz w:val="20"/>
                <w:szCs w:val="20"/>
                <w:color w:val="auto"/>
              </w:rPr>
            </w:pPr>
            <w:r>
              <w:rPr>
                <w:rFonts w:ascii="Arial" w:cs="Arial" w:eastAsia="Arial" w:hAnsi="Arial"/>
                <w:sz w:val="18"/>
                <w:szCs w:val="18"/>
                <w:color w:val="auto"/>
              </w:rPr>
              <w:t>Item 1A.</w:t>
            </w:r>
          </w:p>
        </w:tc>
        <w:tc>
          <w:tcPr>
            <w:tcW w:w="7860" w:type="dxa"/>
            <w:vAlign w:val="bottom"/>
            <w:gridSpan w:val="3"/>
          </w:tcPr>
          <w:p>
            <w:pPr>
              <w:ind w:left="260"/>
              <w:spacing w:after="0"/>
              <w:rPr>
                <w:sz w:val="20"/>
                <w:szCs w:val="20"/>
                <w:color w:val="auto"/>
              </w:rPr>
            </w:pPr>
            <w:r>
              <w:rPr>
                <w:rFonts w:ascii="Arial" w:cs="Arial" w:eastAsia="Arial" w:hAnsi="Arial"/>
                <w:sz w:val="18"/>
                <w:szCs w:val="18"/>
                <w:color w:val="auto"/>
              </w:rPr>
              <w:t>Risk Factors</w:t>
            </w:r>
          </w:p>
        </w:tc>
        <w:tc>
          <w:tcPr>
            <w:tcW w:w="174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720" w:type="dxa"/>
            <w:vAlign w:val="bottom"/>
            <w:shd w:val="clear" w:color="auto" w:fill="CCFFCC"/>
          </w:tcPr>
          <w:p>
            <w:pPr>
              <w:spacing w:after="0"/>
              <w:rPr>
                <w:sz w:val="18"/>
                <w:szCs w:val="18"/>
                <w:color w:val="auto"/>
              </w:rPr>
            </w:pPr>
          </w:p>
        </w:tc>
        <w:tc>
          <w:tcPr>
            <w:tcW w:w="1100" w:type="dxa"/>
            <w:vAlign w:val="bottom"/>
            <w:shd w:val="clear" w:color="auto" w:fill="CCFFCC"/>
          </w:tcPr>
          <w:p>
            <w:pPr>
              <w:ind w:left="220"/>
              <w:spacing w:after="0"/>
              <w:rPr>
                <w:sz w:val="20"/>
                <w:szCs w:val="20"/>
                <w:color w:val="auto"/>
              </w:rPr>
            </w:pPr>
            <w:r>
              <w:rPr>
                <w:rFonts w:ascii="Arial" w:cs="Arial" w:eastAsia="Arial" w:hAnsi="Arial"/>
                <w:sz w:val="18"/>
                <w:szCs w:val="18"/>
                <w:color w:val="auto"/>
              </w:rPr>
              <w:t>Item 2.</w:t>
            </w:r>
          </w:p>
        </w:tc>
        <w:tc>
          <w:tcPr>
            <w:tcW w:w="7860" w:type="dxa"/>
            <w:vAlign w:val="bottom"/>
            <w:gridSpan w:val="3"/>
            <w:shd w:val="clear" w:color="auto" w:fill="CCFFCC"/>
          </w:tcPr>
          <w:p>
            <w:pPr>
              <w:ind w:left="260"/>
              <w:spacing w:after="0"/>
              <w:rPr>
                <w:sz w:val="20"/>
                <w:szCs w:val="20"/>
                <w:color w:val="auto"/>
              </w:rPr>
            </w:pPr>
            <w:r>
              <w:rPr>
                <w:rFonts w:ascii="Arial" w:cs="Arial" w:eastAsia="Arial" w:hAnsi="Arial"/>
                <w:sz w:val="18"/>
                <w:szCs w:val="18"/>
                <w:color w:val="auto"/>
              </w:rPr>
              <w:t>Unregistered Sales of Equity Securities and Use of Proceeds</w:t>
            </w:r>
          </w:p>
        </w:tc>
        <w:tc>
          <w:tcPr>
            <w:tcW w:w="17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1100" w:type="dxa"/>
            <w:vAlign w:val="bottom"/>
          </w:tcPr>
          <w:p>
            <w:pPr>
              <w:ind w:left="220"/>
              <w:spacing w:after="0"/>
              <w:rPr>
                <w:sz w:val="20"/>
                <w:szCs w:val="20"/>
                <w:color w:val="auto"/>
              </w:rPr>
            </w:pPr>
            <w:r>
              <w:rPr>
                <w:rFonts w:ascii="Arial" w:cs="Arial" w:eastAsia="Arial" w:hAnsi="Arial"/>
                <w:sz w:val="18"/>
                <w:szCs w:val="18"/>
                <w:color w:val="auto"/>
              </w:rPr>
              <w:t>Item 6.</w:t>
            </w:r>
          </w:p>
        </w:tc>
        <w:tc>
          <w:tcPr>
            <w:tcW w:w="7860" w:type="dxa"/>
            <w:vAlign w:val="bottom"/>
            <w:gridSpan w:val="3"/>
          </w:tcPr>
          <w:p>
            <w:pPr>
              <w:ind w:left="260"/>
              <w:spacing w:after="0"/>
              <w:rPr>
                <w:sz w:val="20"/>
                <w:szCs w:val="20"/>
                <w:color w:val="auto"/>
              </w:rPr>
            </w:pPr>
            <w:r>
              <w:rPr>
                <w:rFonts w:ascii="Arial" w:cs="Arial" w:eastAsia="Arial" w:hAnsi="Arial"/>
                <w:sz w:val="18"/>
                <w:szCs w:val="18"/>
                <w:color w:val="auto"/>
              </w:rPr>
              <w:t>Exhibits</w:t>
            </w:r>
          </w:p>
        </w:tc>
        <w:tc>
          <w:tcPr>
            <w:tcW w:w="174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72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7860" w:type="dxa"/>
            <w:vAlign w:val="bottom"/>
            <w:gridSpan w:val="3"/>
            <w:shd w:val="clear" w:color="auto" w:fill="CCFFCC"/>
          </w:tcPr>
          <w:p>
            <w:pPr>
              <w:ind w:left="260"/>
              <w:spacing w:after="0"/>
              <w:rPr>
                <w:sz w:val="20"/>
                <w:szCs w:val="20"/>
                <w:color w:val="auto"/>
              </w:rPr>
            </w:pPr>
            <w:r>
              <w:rPr>
                <w:rFonts w:ascii="Arial" w:cs="Arial" w:eastAsia="Arial" w:hAnsi="Arial"/>
                <w:sz w:val="18"/>
                <w:szCs w:val="18"/>
                <w:color w:val="auto"/>
              </w:rPr>
              <w:t>Signature</w:t>
            </w:r>
          </w:p>
        </w:tc>
        <w:tc>
          <w:tcPr>
            <w:tcW w:w="17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860" w:type="dxa"/>
            <w:vAlign w:val="bottom"/>
            <w:gridSpan w:val="3"/>
          </w:tcPr>
          <w:p>
            <w:pPr>
              <w:ind w:left="260"/>
              <w:spacing w:after="0"/>
              <w:rPr>
                <w:sz w:val="20"/>
                <w:szCs w:val="20"/>
                <w:color w:val="auto"/>
              </w:rPr>
            </w:pPr>
            <w:r>
              <w:rPr>
                <w:rFonts w:ascii="Arial" w:cs="Arial" w:eastAsia="Arial" w:hAnsi="Arial"/>
                <w:sz w:val="18"/>
                <w:szCs w:val="18"/>
                <w:color w:val="auto"/>
              </w:rPr>
              <w:t>Index of Exhibits</w:t>
            </w:r>
          </w:p>
        </w:tc>
        <w:tc>
          <w:tcPr>
            <w:tcW w:w="174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634"/>
        </w:trPr>
        <w:tc>
          <w:tcPr>
            <w:tcW w:w="7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gridSpan w:val="2"/>
          </w:tcPr>
          <w:p>
            <w:pPr>
              <w:jc w:val="center"/>
              <w:ind w:left="2830"/>
              <w:spacing w:after="0"/>
              <w:rPr>
                <w:sz w:val="20"/>
                <w:szCs w:val="20"/>
                <w:color w:val="auto"/>
              </w:rPr>
            </w:pPr>
            <w:r>
              <w:rPr>
                <w:rFonts w:ascii="Arial" w:cs="Arial" w:eastAsia="Arial" w:hAnsi="Arial"/>
                <w:sz w:val="18"/>
                <w:szCs w:val="18"/>
                <w:color w:val="auto"/>
                <w:w w:val="99"/>
              </w:rPr>
              <w:t>2</w:t>
            </w:r>
          </w:p>
        </w:tc>
        <w:tc>
          <w:tcPr>
            <w:tcW w:w="30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u w:val="single" w:color="auto"/>
          <w:color w:val="auto"/>
        </w:rPr>
        <w:t>PART I - FINANCIAL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Item 1. Financial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225"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(in millions, except shares)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6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August 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July 28,</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4"/>
              </w:rPr>
              <w:t>February 2,</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2013</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2012</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ind w:right="30"/>
              <w:spacing w:after="0"/>
              <w:rPr>
                <w:sz w:val="20"/>
                <w:szCs w:val="20"/>
                <w:color w:val="auto"/>
              </w:rPr>
            </w:pPr>
            <w:r>
              <w:rPr>
                <w:rFonts w:ascii="Arial" w:cs="Arial" w:eastAsia="Arial" w:hAnsi="Arial"/>
                <w:sz w:val="18"/>
                <w:szCs w:val="18"/>
                <w:b w:val="1"/>
                <w:bCs w:val="1"/>
                <w:color w:val="auto"/>
                <w:w w:val="93"/>
              </w:rPr>
              <w:t>(Unaudited)</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ind w:right="50"/>
              <w:spacing w:after="0"/>
              <w:rPr>
                <w:sz w:val="20"/>
                <w:szCs w:val="20"/>
                <w:color w:val="auto"/>
              </w:rPr>
            </w:pPr>
            <w:r>
              <w:rPr>
                <w:rFonts w:ascii="Arial" w:cs="Arial" w:eastAsia="Arial" w:hAnsi="Arial"/>
                <w:sz w:val="18"/>
                <w:szCs w:val="18"/>
                <w:b w:val="1"/>
                <w:bCs w:val="1"/>
                <w:color w:val="auto"/>
                <w:w w:val="93"/>
              </w:rPr>
              <w:t>(Unaudited)</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49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Current assets</w:t>
            </w:r>
          </w:p>
        </w:tc>
        <w:tc>
          <w:tcPr>
            <w:tcW w:w="2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160"/>
              <w:spacing w:after="0"/>
              <w:rPr>
                <w:sz w:val="20"/>
                <w:szCs w:val="20"/>
                <w:color w:val="auto"/>
              </w:rPr>
            </w:pPr>
            <w:r>
              <w:rPr>
                <w:rFonts w:ascii="Arial" w:cs="Arial" w:eastAsia="Arial" w:hAnsi="Arial"/>
                <w:sz w:val="18"/>
                <w:szCs w:val="18"/>
                <w:color w:val="auto"/>
              </w:rPr>
              <w:t>Cash and cash equivalents</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789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770</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880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Short-term investments</w:t>
            </w:r>
          </w:p>
        </w:tc>
        <w:tc>
          <w:tcPr>
            <w:tcW w:w="2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50</w:t>
            </w:r>
          </w:p>
        </w:tc>
        <w:tc>
          <w:tcPr>
            <w:tcW w:w="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48</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160"/>
              <w:spacing w:after="0"/>
              <w:rPr>
                <w:sz w:val="20"/>
                <w:szCs w:val="20"/>
                <w:color w:val="auto"/>
              </w:rPr>
            </w:pPr>
            <w:r>
              <w:rPr>
                <w:rFonts w:ascii="Arial" w:cs="Arial" w:eastAsia="Arial" w:hAnsi="Arial"/>
                <w:sz w:val="18"/>
                <w:szCs w:val="18"/>
                <w:color w:val="auto"/>
              </w:rPr>
              <w:t>Merchandise inventories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1,306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1,231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1,167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Other current assets</w:t>
            </w:r>
          </w:p>
        </w:tc>
        <w:tc>
          <w:tcPr>
            <w:tcW w:w="26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243</w:t>
            </w:r>
          </w:p>
        </w:tc>
        <w:tc>
          <w:tcPr>
            <w:tcW w:w="10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3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199</w:t>
            </w:r>
          </w:p>
        </w:tc>
        <w:tc>
          <w:tcPr>
            <w:tcW w:w="2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1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268</w:t>
            </w:r>
          </w:p>
        </w:tc>
        <w:tc>
          <w:tcPr>
            <w:tcW w:w="8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2,385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2,250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2,363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Property and equipment, net</w:t>
            </w:r>
          </w:p>
        </w:tc>
        <w:tc>
          <w:tcPr>
            <w:tcW w:w="2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552</w:t>
            </w: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447</w:t>
            </w:r>
          </w:p>
        </w:tc>
        <w:tc>
          <w:tcPr>
            <w:tcW w:w="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490</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b w:val="1"/>
                <w:bCs w:val="1"/>
                <w:color w:val="auto"/>
              </w:rPr>
              <w:t>Deferred taxes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284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257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Goodwill</w:t>
            </w:r>
          </w:p>
        </w:tc>
        <w:tc>
          <w:tcPr>
            <w:tcW w:w="2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194</w:t>
            </w: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143</w:t>
            </w:r>
          </w:p>
        </w:tc>
        <w:tc>
          <w:tcPr>
            <w:tcW w:w="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145</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20" w:type="dxa"/>
            <w:vAlign w:val="bottom"/>
          </w:tcPr>
          <w:p>
            <w:pPr>
              <w:spacing w:after="0"/>
              <w:rPr>
                <w:sz w:val="20"/>
                <w:szCs w:val="20"/>
                <w:color w:val="auto"/>
              </w:rPr>
            </w:pPr>
            <w:r>
              <w:rPr>
                <w:rFonts w:ascii="Arial" w:cs="Arial" w:eastAsia="Arial" w:hAnsi="Arial"/>
                <w:sz w:val="18"/>
                <w:szCs w:val="18"/>
                <w:b w:val="1"/>
                <w:bCs w:val="1"/>
                <w:color w:val="auto"/>
              </w:rPr>
              <w:t>Other intangibles and other assets</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110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20" w:type="dxa"/>
            <w:vAlign w:val="bottom"/>
            <w:tcBorders>
              <w:top w:val="single" w:sz="8" w:color="CCFFCC"/>
              <w:bottom w:val="single" w:sz="8" w:color="CCFFCC"/>
            </w:tcBorders>
            <w:shd w:val="clear" w:color="auto" w:fill="CCFFCC"/>
          </w:tcPr>
          <w:p>
            <w:pPr>
              <w:spacing w:after="0"/>
              <w:rPr>
                <w:sz w:val="19"/>
                <w:szCs w:val="19"/>
                <w:color w:val="auto"/>
              </w:rPr>
            </w:pPr>
          </w:p>
        </w:tc>
        <w:tc>
          <w:tcPr>
            <w:tcW w:w="260" w:type="dxa"/>
            <w:vAlign w:val="bottom"/>
            <w:tcBorders>
              <w:top w:val="single" w:sz="8" w:color="CCFFCC"/>
              <w:bottom w:val="single" w:sz="8" w:color="CCFFCC"/>
            </w:tcBorders>
            <w:shd w:val="clear" w:color="auto" w:fill="CCFFCC"/>
          </w:tcPr>
          <w:p>
            <w:pPr>
              <w:spacing w:after="0"/>
              <w:rPr>
                <w:sz w:val="19"/>
                <w:szCs w:val="19"/>
                <w:color w:val="auto"/>
              </w:rPr>
            </w:pPr>
          </w:p>
        </w:tc>
        <w:tc>
          <w:tcPr>
            <w:tcW w:w="1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3,511</w:t>
            </w:r>
          </w:p>
        </w:tc>
        <w:tc>
          <w:tcPr>
            <w:tcW w:w="160" w:type="dxa"/>
            <w:vAlign w:val="bottom"/>
            <w:tcBorders>
              <w:top w:val="single" w:sz="8" w:color="CCFFCC"/>
              <w:bottom w:val="single" w:sz="8" w:color="CCFFCC"/>
            </w:tcBorders>
            <w:shd w:val="clear" w:color="auto" w:fill="CCFFCC"/>
          </w:tcPr>
          <w:p>
            <w:pPr>
              <w:spacing w:after="0"/>
              <w:rPr>
                <w:sz w:val="19"/>
                <w:szCs w:val="19"/>
                <w:color w:val="auto"/>
              </w:rPr>
            </w:pPr>
          </w:p>
        </w:tc>
        <w:tc>
          <w:tcPr>
            <w:tcW w:w="100" w:type="dxa"/>
            <w:vAlign w:val="bottom"/>
            <w:tcBorders>
              <w:top w:val="single" w:sz="8" w:color="CCFFCC"/>
              <w:bottom w:val="single" w:sz="8" w:color="CCFFCC"/>
            </w:tcBorders>
            <w:shd w:val="clear" w:color="auto" w:fill="CCFFCC"/>
          </w:tcPr>
          <w:p>
            <w:pPr>
              <w:spacing w:after="0"/>
              <w:rPr>
                <w:sz w:val="19"/>
                <w:szCs w:val="19"/>
                <w:color w:val="auto"/>
              </w:rPr>
            </w:pPr>
          </w:p>
        </w:tc>
        <w:tc>
          <w:tcPr>
            <w:tcW w:w="1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3,234</w:t>
            </w:r>
          </w:p>
        </w:tc>
        <w:tc>
          <w:tcPr>
            <w:tcW w:w="200" w:type="dxa"/>
            <w:vAlign w:val="bottom"/>
            <w:tcBorders>
              <w:top w:val="single" w:sz="8" w:color="CCFFCC"/>
              <w:bottom w:val="single" w:sz="8" w:color="CCFFCC"/>
            </w:tcBorders>
            <w:shd w:val="clear" w:color="auto" w:fill="CCFFCC"/>
          </w:tcPr>
          <w:p>
            <w:pPr>
              <w:spacing w:after="0"/>
              <w:rPr>
                <w:sz w:val="19"/>
                <w:szCs w:val="19"/>
                <w:color w:val="auto"/>
              </w:rPr>
            </w:pPr>
          </w:p>
        </w:tc>
        <w:tc>
          <w:tcPr>
            <w:tcW w:w="20" w:type="dxa"/>
            <w:vAlign w:val="bottom"/>
            <w:tcBorders>
              <w:top w:val="single" w:sz="8" w:color="CCFFCC"/>
              <w:bottom w:val="single" w:sz="8" w:color="CCFFCC"/>
            </w:tcBorders>
            <w:shd w:val="clear" w:color="auto" w:fill="CCFFCC"/>
          </w:tcPr>
          <w:p>
            <w:pPr>
              <w:spacing w:after="0"/>
              <w:rPr>
                <w:sz w:val="19"/>
                <w:szCs w:val="19"/>
                <w:color w:val="auto"/>
              </w:rPr>
            </w:pPr>
          </w:p>
        </w:tc>
        <w:tc>
          <w:tcPr>
            <w:tcW w:w="1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3,367</w:t>
            </w:r>
          </w:p>
        </w:tc>
        <w:tc>
          <w:tcPr>
            <w:tcW w:w="20" w:type="dxa"/>
            <w:vAlign w:val="bottom"/>
            <w:tcBorders>
              <w:top w:val="single" w:sz="8" w:color="CCFFCC"/>
              <w:bottom w:val="single" w:sz="8" w:color="CCFFCC"/>
            </w:tcBorders>
            <w:shd w:val="clear" w:color="auto" w:fill="CCFFCC"/>
          </w:tcPr>
          <w:p>
            <w:pPr>
              <w:spacing w:after="0"/>
              <w:rPr>
                <w:sz w:val="19"/>
                <w:szCs w:val="19"/>
                <w:color w:val="auto"/>
              </w:rPr>
            </w:pPr>
          </w:p>
        </w:tc>
        <w:tc>
          <w:tcPr>
            <w:tcW w:w="80" w:type="dxa"/>
            <w:vAlign w:val="bottom"/>
            <w:tcBorders>
              <w:top w:val="single" w:sz="8" w:color="CCFFCC"/>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84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Accounts payable</w:t>
            </w:r>
          </w:p>
        </w:tc>
        <w:tc>
          <w:tcPr>
            <w:tcW w:w="3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418</w:t>
            </w:r>
          </w:p>
        </w:tc>
        <w:tc>
          <w:tcPr>
            <w:tcW w:w="2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391</w:t>
            </w:r>
          </w:p>
        </w:tc>
        <w:tc>
          <w:tcPr>
            <w:tcW w:w="1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298</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160"/>
              <w:spacing w:after="0"/>
              <w:rPr>
                <w:sz w:val="20"/>
                <w:szCs w:val="20"/>
                <w:color w:val="auto"/>
              </w:rPr>
            </w:pPr>
            <w:r>
              <w:rPr>
                <w:rFonts w:ascii="Arial" w:cs="Arial" w:eastAsia="Arial" w:hAnsi="Arial"/>
                <w:sz w:val="18"/>
                <w:szCs w:val="18"/>
                <w:color w:val="auto"/>
              </w:rPr>
              <w:t>Accrued expenses and other current liabilities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309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278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338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Current portion of capital lease obligations</w:t>
            </w:r>
          </w:p>
        </w:tc>
        <w:tc>
          <w:tcPr>
            <w:tcW w:w="26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3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22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Long-term debt and obligations under capital leases</w:t>
            </w:r>
          </w:p>
        </w:tc>
        <w:tc>
          <w:tcPr>
            <w:tcW w:w="2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138</w:t>
            </w: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133</w:t>
            </w:r>
          </w:p>
        </w:tc>
        <w:tc>
          <w:tcPr>
            <w:tcW w:w="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133</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20" w:type="dxa"/>
            <w:vAlign w:val="bottom"/>
          </w:tcPr>
          <w:p>
            <w:pPr>
              <w:spacing w:after="0"/>
              <w:rPr>
                <w:sz w:val="20"/>
                <w:szCs w:val="20"/>
                <w:color w:val="auto"/>
              </w:rPr>
            </w:pPr>
            <w:r>
              <w:rPr>
                <w:rFonts w:ascii="Arial" w:cs="Arial" w:eastAsia="Arial" w:hAnsi="Arial"/>
                <w:sz w:val="18"/>
                <w:szCs w:val="18"/>
                <w:b w:val="1"/>
                <w:bCs w:val="1"/>
                <w:color w:val="auto"/>
              </w:rPr>
              <w:t>Other liabilities</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253</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221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20" w:type="dxa"/>
            <w:vAlign w:val="bottom"/>
            <w:tcBorders>
              <w:top w:val="single" w:sz="8" w:color="CCFFCC"/>
            </w:tcBorders>
            <w:shd w:val="clear" w:color="auto" w:fill="CCFFCC"/>
          </w:tcPr>
          <w:p>
            <w:pPr>
              <w:spacing w:after="0"/>
              <w:rPr>
                <w:sz w:val="18"/>
                <w:szCs w:val="18"/>
                <w:color w:val="auto"/>
              </w:rPr>
            </w:pPr>
          </w:p>
        </w:tc>
        <w:tc>
          <w:tcPr>
            <w:tcW w:w="26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1,085</w:t>
            </w:r>
          </w:p>
        </w:tc>
        <w:tc>
          <w:tcPr>
            <w:tcW w:w="16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spacing w:after="0"/>
              <w:rPr>
                <w:sz w:val="18"/>
                <w:szCs w:val="18"/>
                <w:color w:val="auto"/>
              </w:rPr>
            </w:pPr>
          </w:p>
        </w:tc>
        <w:tc>
          <w:tcPr>
            <w:tcW w:w="11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1,055</w:t>
            </w:r>
          </w:p>
        </w:tc>
        <w:tc>
          <w:tcPr>
            <w:tcW w:w="200" w:type="dxa"/>
            <w:vAlign w:val="bottom"/>
            <w:tcBorders>
              <w:top w:val="single" w:sz="8" w:color="CCFFCC"/>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spacing w:after="0"/>
              <w:rPr>
                <w:sz w:val="18"/>
                <w:szCs w:val="18"/>
                <w:color w:val="auto"/>
              </w:rPr>
            </w:pPr>
          </w:p>
        </w:tc>
        <w:tc>
          <w:tcPr>
            <w:tcW w:w="11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990</w:t>
            </w:r>
          </w:p>
        </w:tc>
        <w:tc>
          <w:tcPr>
            <w:tcW w:w="2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Shareholders’ equity</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20" w:type="dxa"/>
            <w:vAlign w:val="bottom"/>
            <w:shd w:val="clear" w:color="auto" w:fill="CCFFCC"/>
          </w:tcPr>
          <w:p>
            <w:pPr>
              <w:ind w:left="160"/>
              <w:spacing w:after="0" w:line="201" w:lineRule="exact"/>
              <w:rPr>
                <w:sz w:val="20"/>
                <w:szCs w:val="20"/>
                <w:color w:val="auto"/>
              </w:rPr>
            </w:pPr>
            <w:r>
              <w:rPr>
                <w:rFonts w:ascii="Arial" w:cs="Arial" w:eastAsia="Arial" w:hAnsi="Arial"/>
                <w:sz w:val="18"/>
                <w:szCs w:val="18"/>
                <w:color w:val="auto"/>
                <w:w w:val="95"/>
              </w:rPr>
              <w:t>Common stock and paid-in capital: 168,480,940, 165,819,340 and 166,909,151 shares,</w:t>
            </w:r>
          </w:p>
        </w:tc>
        <w:tc>
          <w:tcPr>
            <w:tcW w:w="26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14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12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2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120" w:type="dxa"/>
            <w:vAlign w:val="bottom"/>
            <w:shd w:val="clear" w:color="auto" w:fill="CCFFCC"/>
          </w:tcPr>
          <w:p>
            <w:pPr>
              <w:spacing w:after="0"/>
              <w:rPr>
                <w:sz w:val="17"/>
                <w:szCs w:val="17"/>
                <w:color w:val="auto"/>
              </w:rPr>
            </w:pPr>
          </w:p>
        </w:tc>
        <w:tc>
          <w:tcPr>
            <w:tcW w:w="2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respectively</w:t>
            </w:r>
          </w:p>
        </w:tc>
        <w:tc>
          <w:tcPr>
            <w:tcW w:w="26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895</w:t>
            </w:r>
          </w:p>
        </w:tc>
        <w:tc>
          <w:tcPr>
            <w:tcW w:w="10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3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819</w:t>
            </w:r>
          </w:p>
        </w:tc>
        <w:tc>
          <w:tcPr>
            <w:tcW w:w="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1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856</w:t>
            </w:r>
          </w:p>
        </w:tc>
        <w:tc>
          <w:tcPr>
            <w:tcW w:w="8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160"/>
              <w:spacing w:after="0"/>
              <w:rPr>
                <w:sz w:val="20"/>
                <w:szCs w:val="20"/>
                <w:color w:val="auto"/>
              </w:rPr>
            </w:pPr>
            <w:r>
              <w:rPr>
                <w:rFonts w:ascii="Arial" w:cs="Arial" w:eastAsia="Arial" w:hAnsi="Arial"/>
                <w:sz w:val="18"/>
                <w:szCs w:val="18"/>
                <w:color w:val="auto"/>
              </w:rPr>
              <w:t>Retained earnings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2,220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1,920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2,076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Accumulated other comprehensive loss</w:t>
            </w:r>
          </w:p>
        </w:tc>
        <w:tc>
          <w:tcPr>
            <w:tcW w:w="2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(192)</w:t>
            </w: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(241)</w:t>
            </w:r>
          </w:p>
        </w:tc>
        <w:tc>
          <w:tcPr>
            <w:tcW w:w="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20" w:type="dxa"/>
            <w:vAlign w:val="bottom"/>
            <w:gridSpan w:val="3"/>
            <w:shd w:val="clear" w:color="auto" w:fill="CCFFCC"/>
          </w:tcPr>
          <w:p>
            <w:pPr>
              <w:jc w:val="right"/>
              <w:ind w:right="4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20" w:type="dxa"/>
            <w:vAlign w:val="bottom"/>
          </w:tcPr>
          <w:p>
            <w:pPr>
              <w:ind w:left="160"/>
              <w:spacing w:after="0"/>
              <w:rPr>
                <w:sz w:val="20"/>
                <w:szCs w:val="20"/>
                <w:color w:val="auto"/>
              </w:rPr>
            </w:pPr>
            <w:r>
              <w:rPr>
                <w:rFonts w:ascii="Arial" w:cs="Arial" w:eastAsia="Arial" w:hAnsi="Arial"/>
                <w:sz w:val="18"/>
                <w:szCs w:val="18"/>
                <w:color w:val="auto"/>
                <w:w w:val="92"/>
              </w:rPr>
              <w:t>Less: Treasury stock at cost: 20,005,809, 14,959,322 and 16,839,222 shares, respectively</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(497)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(319)</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3"/>
          </w:tcPr>
          <w:p>
            <w:pPr>
              <w:jc w:val="right"/>
              <w:ind w:right="40"/>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2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Total shareholders’ equity</w:t>
            </w:r>
          </w:p>
        </w:tc>
        <w:tc>
          <w:tcPr>
            <w:tcW w:w="26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auto"/>
              <w:bottom w:val="single" w:sz="8" w:color="auto"/>
            </w:tcBorders>
            <w:shd w:val="clear" w:color="auto" w:fill="CCFFCC"/>
          </w:tcPr>
          <w:p>
            <w:pPr>
              <w:spacing w:after="0"/>
              <w:rPr>
                <w:sz w:val="18"/>
                <w:szCs w:val="18"/>
                <w:color w:val="auto"/>
              </w:rPr>
            </w:pPr>
          </w:p>
        </w:tc>
        <w:tc>
          <w:tcPr>
            <w:tcW w:w="11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2,426</w:t>
            </w:r>
          </w:p>
        </w:tc>
        <w:tc>
          <w:tcPr>
            <w:tcW w:w="16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auto"/>
              <w:bottom w:val="single" w:sz="8" w:color="auto"/>
            </w:tcBorders>
            <w:shd w:val="clear" w:color="auto" w:fill="CCFFCC"/>
          </w:tcPr>
          <w:p>
            <w:pPr>
              <w:spacing w:after="0"/>
              <w:rPr>
                <w:sz w:val="18"/>
                <w:szCs w:val="18"/>
                <w:color w:val="auto"/>
              </w:rPr>
            </w:pPr>
          </w:p>
        </w:tc>
        <w:tc>
          <w:tcPr>
            <w:tcW w:w="11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2,179</w:t>
            </w:r>
          </w:p>
        </w:tc>
        <w:tc>
          <w:tcPr>
            <w:tcW w:w="200" w:type="dxa"/>
            <w:vAlign w:val="bottom"/>
            <w:tcBorders>
              <w:top w:val="single" w:sz="8" w:color="CCFFCC"/>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auto"/>
              <w:bottom w:val="single" w:sz="8" w:color="auto"/>
            </w:tcBorders>
            <w:shd w:val="clear" w:color="auto" w:fill="CCFFCC"/>
          </w:tcPr>
          <w:p>
            <w:pPr>
              <w:spacing w:after="0"/>
              <w:rPr>
                <w:sz w:val="18"/>
                <w:szCs w:val="18"/>
                <w:color w:val="auto"/>
              </w:rPr>
            </w:pPr>
          </w:p>
        </w:tc>
        <w:tc>
          <w:tcPr>
            <w:tcW w:w="11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2,377</w:t>
            </w:r>
          </w:p>
        </w:tc>
        <w:tc>
          <w:tcPr>
            <w:tcW w:w="2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3,234</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3" w:lineRule="exact"/>
        <w:rPr>
          <w:sz w:val="20"/>
          <w:szCs w:val="20"/>
          <w:color w:val="auto"/>
        </w:rPr>
      </w:pPr>
    </w:p>
    <w:p>
      <w:pPr>
        <w:jc w:val="both"/>
        <w:ind w:right="20" w:firstLine="8"/>
        <w:spacing w:after="0" w:line="311" w:lineRule="auto"/>
        <w:tabs>
          <w:tab w:leader="none" w:pos="137"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balance sheet at February 2, 2013 has been derived from the previously reported audited financial statements at that date, but does not include all of the information and footnotes required by U.S. generally accepted accounting principles for complete financial statements. For further information, refer to the consolidated financial statements and footnotes thereto included in the Company’s Annual Report on Form 10-K for the year ended February 2,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-453390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225"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(in millions, except per share amounts)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740" w:type="dxa"/>
            <w:vAlign w:val="bottom"/>
            <w:gridSpan w:val="6"/>
          </w:tcPr>
          <w:p>
            <w:pPr>
              <w:jc w:val="right"/>
              <w:ind w:right="700"/>
              <w:spacing w:after="0"/>
              <w:rPr>
                <w:sz w:val="20"/>
                <w:szCs w:val="20"/>
                <w:color w:val="auto"/>
              </w:rPr>
            </w:pPr>
            <w:r>
              <w:rPr>
                <w:rFonts w:ascii="Arial" w:cs="Arial" w:eastAsia="Arial" w:hAnsi="Arial"/>
                <w:sz w:val="18"/>
                <w:szCs w:val="18"/>
                <w:b w:val="1"/>
                <w:bCs w:val="1"/>
                <w:color w:val="auto"/>
              </w:rPr>
              <w:t>Thirteen weeks ended</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40" w:type="dxa"/>
            <w:vAlign w:val="bottom"/>
            <w:gridSpan w:val="6"/>
          </w:tcPr>
          <w:p>
            <w:pPr>
              <w:jc w:val="right"/>
              <w:ind w:right="540"/>
              <w:spacing w:after="0"/>
              <w:rPr>
                <w:sz w:val="20"/>
                <w:szCs w:val="20"/>
                <w:color w:val="auto"/>
              </w:rPr>
            </w:pPr>
            <w:r>
              <w:rPr>
                <w:rFonts w:ascii="Arial" w:cs="Arial" w:eastAsia="Arial" w:hAnsi="Arial"/>
                <w:sz w:val="18"/>
                <w:szCs w:val="18"/>
                <w:b w:val="1"/>
                <w:bCs w:val="1"/>
                <w:color w:val="auto"/>
                <w:w w:val="98"/>
              </w:rPr>
              <w:t>Twenty-six weeks ended</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6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gridSpan w:val="2"/>
          </w:tcPr>
          <w:p>
            <w:pPr>
              <w:jc w:val="right"/>
              <w:ind w:right="420"/>
              <w:spacing w:after="0" w:line="205" w:lineRule="exact"/>
              <w:rPr>
                <w:sz w:val="20"/>
                <w:szCs w:val="20"/>
                <w:color w:val="auto"/>
              </w:rPr>
            </w:pPr>
            <w:r>
              <w:rPr>
                <w:rFonts w:ascii="Arial" w:cs="Arial" w:eastAsia="Arial" w:hAnsi="Arial"/>
                <w:sz w:val="18"/>
                <w:szCs w:val="18"/>
                <w:b w:val="1"/>
                <w:bCs w:val="1"/>
                <w:color w:val="auto"/>
                <w:w w:val="97"/>
              </w:rPr>
              <w:t>August 3,</w:t>
            </w:r>
          </w:p>
        </w:tc>
        <w:tc>
          <w:tcPr>
            <w:tcW w:w="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ind w:right="250"/>
              <w:spacing w:after="0" w:line="205" w:lineRule="exact"/>
              <w:rPr>
                <w:sz w:val="20"/>
                <w:szCs w:val="20"/>
                <w:color w:val="auto"/>
              </w:rPr>
            </w:pPr>
            <w:r>
              <w:rPr>
                <w:rFonts w:ascii="Arial" w:cs="Arial" w:eastAsia="Arial" w:hAnsi="Arial"/>
                <w:sz w:val="18"/>
                <w:szCs w:val="18"/>
                <w:b w:val="1"/>
                <w:bCs w:val="1"/>
                <w:color w:val="auto"/>
              </w:rPr>
              <w:t>July 28,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gridSpan w:val="2"/>
          </w:tcPr>
          <w:p>
            <w:pPr>
              <w:jc w:val="right"/>
              <w:ind w:right="400"/>
              <w:spacing w:after="0" w:line="205" w:lineRule="exact"/>
              <w:rPr>
                <w:sz w:val="20"/>
                <w:szCs w:val="20"/>
                <w:color w:val="auto"/>
              </w:rPr>
            </w:pPr>
            <w:r>
              <w:rPr>
                <w:rFonts w:ascii="Arial" w:cs="Arial" w:eastAsia="Arial" w:hAnsi="Arial"/>
                <w:sz w:val="18"/>
                <w:szCs w:val="18"/>
                <w:b w:val="1"/>
                <w:bCs w:val="1"/>
                <w:color w:val="auto"/>
                <w:w w:val="97"/>
              </w:rPr>
              <w:t>August 3,</w:t>
            </w:r>
          </w:p>
        </w:tc>
        <w:tc>
          <w:tcPr>
            <w:tcW w:w="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230"/>
              <w:spacing w:after="0" w:line="205" w:lineRule="exact"/>
              <w:rPr>
                <w:sz w:val="20"/>
                <w:szCs w:val="20"/>
                <w:color w:val="auto"/>
              </w:rPr>
            </w:pPr>
            <w:r>
              <w:rPr>
                <w:rFonts w:ascii="Arial" w:cs="Arial" w:eastAsia="Arial" w:hAnsi="Arial"/>
                <w:sz w:val="18"/>
                <w:szCs w:val="18"/>
                <w:b w:val="1"/>
                <w:bCs w:val="1"/>
                <w:color w:val="auto"/>
              </w:rPr>
              <w:t>July 28,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0" w:type="dxa"/>
            <w:vAlign w:val="bottom"/>
            <w:tcBorders>
              <w:bottom w:val="single" w:sz="8" w:color="CCFFC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160" w:type="dxa"/>
            <w:vAlign w:val="bottom"/>
            <w:tcBorders>
              <w:bottom w:val="single" w:sz="8" w:color="CCFFCC"/>
            </w:tcBorders>
          </w:tcPr>
          <w:p>
            <w:pPr>
              <w:spacing w:after="0"/>
              <w:rPr>
                <w:sz w:val="20"/>
                <w:szCs w:val="20"/>
                <w:color w:val="auto"/>
              </w:rPr>
            </w:pPr>
          </w:p>
        </w:tc>
        <w:tc>
          <w:tcPr>
            <w:tcW w:w="80" w:type="dxa"/>
            <w:vAlign w:val="bottom"/>
            <w:tcBorders>
              <w:bottom w:val="single" w:sz="8" w:color="CCFFC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2012</w:t>
            </w:r>
          </w:p>
        </w:tc>
        <w:tc>
          <w:tcPr>
            <w:tcW w:w="140" w:type="dxa"/>
            <w:vAlign w:val="bottom"/>
            <w:tcBorders>
              <w:bottom w:val="single" w:sz="8" w:color="CCFFCC"/>
            </w:tcBorders>
          </w:tcPr>
          <w:p>
            <w:pPr>
              <w:spacing w:after="0"/>
              <w:rPr>
                <w:sz w:val="20"/>
                <w:szCs w:val="20"/>
                <w:color w:val="auto"/>
              </w:rPr>
            </w:pPr>
          </w:p>
        </w:tc>
        <w:tc>
          <w:tcPr>
            <w:tcW w:w="80" w:type="dxa"/>
            <w:vAlign w:val="bottom"/>
            <w:tcBorders>
              <w:bottom w:val="single" w:sz="8" w:color="CCFFC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140" w:type="dxa"/>
            <w:vAlign w:val="bottom"/>
            <w:tcBorders>
              <w:bottom w:val="single" w:sz="8" w:color="CCFFCC"/>
            </w:tcBorders>
          </w:tcPr>
          <w:p>
            <w:pPr>
              <w:spacing w:after="0"/>
              <w:rPr>
                <w:sz w:val="20"/>
                <w:szCs w:val="20"/>
                <w:color w:val="auto"/>
              </w:rPr>
            </w:pPr>
          </w:p>
        </w:tc>
        <w:tc>
          <w:tcPr>
            <w:tcW w:w="60" w:type="dxa"/>
            <w:vAlign w:val="bottom"/>
            <w:tcBorders>
              <w:bottom w:val="single" w:sz="8" w:color="CCFFC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100" w:type="dxa"/>
            <w:vAlign w:val="bottom"/>
            <w:tcBorders>
              <w:bottom w:val="single" w:sz="8" w:color="CCFFCC"/>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Sales</w:t>
            </w:r>
          </w:p>
        </w:tc>
        <w:tc>
          <w:tcPr>
            <w:tcW w:w="180" w:type="dxa"/>
            <w:vAlign w:val="bottom"/>
            <w:shd w:val="clear" w:color="auto" w:fill="CCFFCC"/>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1,454</w:t>
            </w:r>
          </w:p>
        </w:tc>
        <w:tc>
          <w:tcPr>
            <w:tcW w:w="1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1,367</w:t>
            </w: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3,092</w:t>
            </w: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2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2,945</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FFCC"/>
          </w:tcPr>
          <w:p>
            <w:pPr>
              <w:spacing w:after="0"/>
              <w:rPr>
                <w:sz w:val="20"/>
                <w:szCs w:val="20"/>
                <w:color w:val="auto"/>
              </w:rPr>
            </w:pPr>
            <w:r>
              <w:rPr>
                <w:rFonts w:ascii="Arial" w:cs="Arial" w:eastAsia="Arial" w:hAnsi="Arial"/>
                <w:sz w:val="18"/>
                <w:szCs w:val="18"/>
                <w:color w:val="auto"/>
              </w:rPr>
              <w:t>Cost of sales</w:t>
            </w:r>
          </w:p>
        </w:tc>
        <w:tc>
          <w:tcPr>
            <w:tcW w:w="180" w:type="dxa"/>
            <w:vAlign w:val="bottom"/>
            <w:shd w:val="clear" w:color="auto" w:fill="CCFFCC"/>
          </w:tcPr>
          <w:p>
            <w:pPr>
              <w:spacing w:after="0"/>
              <w:rPr>
                <w:sz w:val="18"/>
                <w:szCs w:val="18"/>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1,001</w:t>
            </w:r>
          </w:p>
        </w:tc>
        <w:tc>
          <w:tcPr>
            <w:tcW w:w="1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939</w:t>
            </w: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2,078</w:t>
            </w:r>
          </w:p>
        </w:tc>
        <w:tc>
          <w:tcPr>
            <w:tcW w:w="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1,980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314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306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629</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FFCC"/>
          </w:tcPr>
          <w:p>
            <w:pPr>
              <w:spacing w:after="0"/>
              <w:rPr>
                <w:sz w:val="20"/>
                <w:szCs w:val="20"/>
                <w:color w:val="auto"/>
              </w:rPr>
            </w:pPr>
            <w:r>
              <w:rPr>
                <w:rFonts w:ascii="Arial" w:cs="Arial" w:eastAsia="Arial" w:hAnsi="Arial"/>
                <w:sz w:val="18"/>
                <w:szCs w:val="18"/>
                <w:color w:val="auto"/>
              </w:rPr>
              <w:t>Depreciation and amortization</w:t>
            </w:r>
          </w:p>
        </w:tc>
        <w:tc>
          <w:tcPr>
            <w:tcW w:w="180" w:type="dxa"/>
            <w:vAlign w:val="bottom"/>
            <w:shd w:val="clear" w:color="auto" w:fill="CCFFCC"/>
          </w:tcPr>
          <w:p>
            <w:pPr>
              <w:spacing w:after="0"/>
              <w:rPr>
                <w:sz w:val="18"/>
                <w:szCs w:val="18"/>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31</w:t>
            </w:r>
          </w:p>
        </w:tc>
        <w:tc>
          <w:tcPr>
            <w:tcW w:w="1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29</w:t>
            </w: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62</w:t>
            </w:r>
          </w:p>
        </w:tc>
        <w:tc>
          <w:tcPr>
            <w:tcW w:w="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Other charges</w:t>
            </w:r>
          </w:p>
        </w:tc>
        <w:tc>
          <w:tcPr>
            <w:tcW w:w="18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FFCC"/>
          </w:tcPr>
          <w:p>
            <w:pPr>
              <w:spacing w:after="0"/>
              <w:rPr>
                <w:sz w:val="20"/>
                <w:szCs w:val="20"/>
                <w:color w:val="auto"/>
              </w:rPr>
            </w:pPr>
            <w:r>
              <w:rPr>
                <w:rFonts w:ascii="Arial" w:cs="Arial" w:eastAsia="Arial" w:hAnsi="Arial"/>
                <w:sz w:val="18"/>
                <w:szCs w:val="18"/>
                <w:color w:val="auto"/>
              </w:rPr>
              <w:t>Interest expense, net</w:t>
            </w:r>
          </w:p>
        </w:tc>
        <w:tc>
          <w:tcPr>
            <w:tcW w:w="18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w:t>
            </w:r>
          </w:p>
        </w:tc>
        <w:tc>
          <w:tcPr>
            <w:tcW w:w="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Other income</w:t>
            </w:r>
          </w:p>
        </w:tc>
        <w:tc>
          <w:tcPr>
            <w:tcW w:w="18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FFCC"/>
            </w:tcBorders>
            <w:shd w:val="clear" w:color="auto" w:fill="CCFFCC"/>
          </w:tcPr>
          <w:p>
            <w:pPr>
              <w:spacing w:after="0"/>
              <w:rPr>
                <w:sz w:val="18"/>
                <w:szCs w:val="18"/>
                <w:color w:val="auto"/>
              </w:rPr>
            </w:pPr>
          </w:p>
        </w:tc>
        <w:tc>
          <w:tcPr>
            <w:tcW w:w="180" w:type="dxa"/>
            <w:vAlign w:val="bottom"/>
            <w:tcBorders>
              <w:top w:val="single" w:sz="8" w:color="auto"/>
            </w:tcBorders>
            <w:shd w:val="clear" w:color="auto" w:fill="CCFFCC"/>
          </w:tcPr>
          <w:p>
            <w:pPr>
              <w:spacing w:after="0"/>
              <w:rPr>
                <w:sz w:val="18"/>
                <w:szCs w:val="18"/>
                <w:color w:val="auto"/>
              </w:rPr>
            </w:pPr>
          </w:p>
        </w:tc>
        <w:tc>
          <w:tcPr>
            <w:tcW w:w="10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1,348</w:t>
            </w:r>
          </w:p>
        </w:tc>
        <w:tc>
          <w:tcPr>
            <w:tcW w:w="16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220" w:type="dxa"/>
            <w:vAlign w:val="bottom"/>
            <w:tcBorders>
              <w:top w:val="single" w:sz="8" w:color="auto"/>
            </w:tcBorders>
            <w:shd w:val="clear" w:color="auto" w:fill="CCFFCC"/>
          </w:tcPr>
          <w:p>
            <w:pPr>
              <w:spacing w:after="0"/>
              <w:rPr>
                <w:sz w:val="18"/>
                <w:szCs w:val="18"/>
                <w:color w:val="auto"/>
              </w:rPr>
            </w:pPr>
          </w:p>
        </w:tc>
        <w:tc>
          <w:tcPr>
            <w:tcW w:w="10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1,274</w:t>
            </w:r>
          </w:p>
        </w:tc>
        <w:tc>
          <w:tcPr>
            <w:tcW w:w="14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auto"/>
            </w:tcBorders>
            <w:shd w:val="clear" w:color="auto" w:fill="CCFFCC"/>
          </w:tcPr>
          <w:p>
            <w:pPr>
              <w:spacing w:after="0"/>
              <w:rPr>
                <w:sz w:val="18"/>
                <w:szCs w:val="18"/>
                <w:color w:val="auto"/>
              </w:rPr>
            </w:pPr>
          </w:p>
        </w:tc>
        <w:tc>
          <w:tcPr>
            <w:tcW w:w="10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2,770</w:t>
            </w:r>
          </w:p>
        </w:tc>
        <w:tc>
          <w:tcPr>
            <w:tcW w:w="140" w:type="dxa"/>
            <w:vAlign w:val="bottom"/>
            <w:tcBorders>
              <w:top w:val="single" w:sz="8" w:color="CCFFCC"/>
            </w:tcBorders>
            <w:shd w:val="clear" w:color="auto" w:fill="CCFFCC"/>
          </w:tcPr>
          <w:p>
            <w:pPr>
              <w:spacing w:after="0"/>
              <w:rPr>
                <w:sz w:val="18"/>
                <w:szCs w:val="18"/>
                <w:color w:val="auto"/>
              </w:rPr>
            </w:pPr>
          </w:p>
        </w:tc>
        <w:tc>
          <w:tcPr>
            <w:tcW w:w="60" w:type="dxa"/>
            <w:vAlign w:val="bottom"/>
            <w:tcBorders>
              <w:top w:val="single" w:sz="8" w:color="CCFFCC"/>
            </w:tcBorders>
            <w:shd w:val="clear" w:color="auto" w:fill="CCFFCC"/>
          </w:tcPr>
          <w:p>
            <w:pPr>
              <w:spacing w:after="0"/>
              <w:rPr>
                <w:sz w:val="18"/>
                <w:szCs w:val="18"/>
                <w:color w:val="auto"/>
              </w:rPr>
            </w:pPr>
          </w:p>
        </w:tc>
        <w:tc>
          <w:tcPr>
            <w:tcW w:w="220" w:type="dxa"/>
            <w:vAlign w:val="bottom"/>
            <w:tcBorders>
              <w:top w:val="single" w:sz="8" w:color="auto"/>
            </w:tcBorders>
            <w:shd w:val="clear" w:color="auto" w:fill="CCFFCC"/>
          </w:tcPr>
          <w:p>
            <w:pPr>
              <w:spacing w:after="0"/>
              <w:rPr>
                <w:sz w:val="18"/>
                <w:szCs w:val="18"/>
                <w:color w:val="auto"/>
              </w:rPr>
            </w:pPr>
          </w:p>
        </w:tc>
        <w:tc>
          <w:tcPr>
            <w:tcW w:w="10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2,651</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FFCC"/>
          </w:tcPr>
          <w:p>
            <w:pPr>
              <w:spacing w:after="0"/>
              <w:rPr>
                <w:sz w:val="20"/>
                <w:szCs w:val="20"/>
                <w:color w:val="auto"/>
              </w:rPr>
            </w:pPr>
            <w:r>
              <w:rPr>
                <w:rFonts w:ascii="Arial" w:cs="Arial" w:eastAsia="Arial" w:hAnsi="Arial"/>
                <w:sz w:val="18"/>
                <w:szCs w:val="18"/>
                <w:color w:val="auto"/>
              </w:rPr>
              <w:t>Income before income taxes</w:t>
            </w:r>
          </w:p>
        </w:tc>
        <w:tc>
          <w:tcPr>
            <w:tcW w:w="18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106</w:t>
            </w:r>
          </w:p>
        </w:tc>
        <w:tc>
          <w:tcPr>
            <w:tcW w:w="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93</w:t>
            </w: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322</w:t>
            </w:r>
          </w:p>
        </w:tc>
        <w:tc>
          <w:tcPr>
            <w:tcW w:w="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Income tax expense</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118</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top w:val="single" w:sz="8" w:color="CCFFCC"/>
              <w:bottom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Net income</w:t>
            </w:r>
          </w:p>
        </w:tc>
        <w:tc>
          <w:tcPr>
            <w:tcW w:w="180" w:type="dxa"/>
            <w:vAlign w:val="bottom"/>
            <w:tcBorders>
              <w:top w:val="single" w:sz="8" w:color="auto"/>
              <w:bottom w:val="single" w:sz="8" w:color="auto"/>
            </w:tcBorders>
            <w:shd w:val="clear" w:color="auto" w:fill="CCFFCC"/>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66</w:t>
            </w:r>
          </w:p>
        </w:tc>
        <w:tc>
          <w:tcPr>
            <w:tcW w:w="160" w:type="dxa"/>
            <w:vAlign w:val="bottom"/>
            <w:tcBorders>
              <w:top w:val="single" w:sz="8" w:color="CCFFCC"/>
              <w:bottom w:val="single" w:sz="8" w:color="CCFFCC"/>
            </w:tcBorders>
            <w:shd w:val="clear" w:color="auto" w:fill="CCFFCC"/>
          </w:tcPr>
          <w:p>
            <w:pPr>
              <w:spacing w:after="0"/>
              <w:rPr>
                <w:sz w:val="19"/>
                <w:szCs w:val="19"/>
                <w:color w:val="auto"/>
              </w:rPr>
            </w:pPr>
          </w:p>
        </w:tc>
        <w:tc>
          <w:tcPr>
            <w:tcW w:w="80" w:type="dxa"/>
            <w:vAlign w:val="bottom"/>
            <w:tcBorders>
              <w:top w:val="single" w:sz="8" w:color="CCFFCC"/>
              <w:bottom w:val="single" w:sz="8" w:color="CCFFCC"/>
            </w:tcBorders>
            <w:shd w:val="clear" w:color="auto" w:fill="CCFFCC"/>
          </w:tcPr>
          <w:p>
            <w:pPr>
              <w:spacing w:after="0"/>
              <w:rPr>
                <w:sz w:val="19"/>
                <w:szCs w:val="19"/>
                <w:color w:val="auto"/>
              </w:rPr>
            </w:pPr>
          </w:p>
        </w:tc>
        <w:tc>
          <w:tcPr>
            <w:tcW w:w="220" w:type="dxa"/>
            <w:vAlign w:val="bottom"/>
            <w:tcBorders>
              <w:top w:val="single" w:sz="8" w:color="auto"/>
              <w:bottom w:val="single" w:sz="8" w:color="auto"/>
            </w:tcBorders>
            <w:shd w:val="clear" w:color="auto" w:fill="CCFFCC"/>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59</w:t>
            </w:r>
          </w:p>
        </w:tc>
        <w:tc>
          <w:tcPr>
            <w:tcW w:w="140" w:type="dxa"/>
            <w:vAlign w:val="bottom"/>
            <w:tcBorders>
              <w:top w:val="single" w:sz="8" w:color="CCFFCC"/>
              <w:bottom w:val="single" w:sz="8" w:color="CCFFCC"/>
            </w:tcBorders>
            <w:shd w:val="clear" w:color="auto" w:fill="CCFFCC"/>
          </w:tcPr>
          <w:p>
            <w:pPr>
              <w:spacing w:after="0"/>
              <w:rPr>
                <w:sz w:val="19"/>
                <w:szCs w:val="19"/>
                <w:color w:val="auto"/>
              </w:rPr>
            </w:pPr>
          </w:p>
        </w:tc>
        <w:tc>
          <w:tcPr>
            <w:tcW w:w="80" w:type="dxa"/>
            <w:vAlign w:val="bottom"/>
            <w:tcBorders>
              <w:top w:val="single" w:sz="8" w:color="CCFFCC"/>
              <w:bottom w:val="single" w:sz="8" w:color="CCFFCC"/>
            </w:tcBorders>
            <w:shd w:val="clear" w:color="auto" w:fill="CCFFCC"/>
          </w:tcPr>
          <w:p>
            <w:pPr>
              <w:spacing w:after="0"/>
              <w:rPr>
                <w:sz w:val="19"/>
                <w:szCs w:val="19"/>
                <w:color w:val="auto"/>
              </w:rPr>
            </w:pPr>
          </w:p>
        </w:tc>
        <w:tc>
          <w:tcPr>
            <w:tcW w:w="160" w:type="dxa"/>
            <w:vAlign w:val="bottom"/>
            <w:tcBorders>
              <w:top w:val="single" w:sz="8" w:color="auto"/>
              <w:bottom w:val="single" w:sz="8" w:color="auto"/>
            </w:tcBorders>
            <w:shd w:val="clear" w:color="auto" w:fill="CCFFCC"/>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204</w:t>
            </w:r>
          </w:p>
        </w:tc>
        <w:tc>
          <w:tcPr>
            <w:tcW w:w="140" w:type="dxa"/>
            <w:vAlign w:val="bottom"/>
            <w:tcBorders>
              <w:top w:val="single" w:sz="8" w:color="CCFFCC"/>
              <w:bottom w:val="single" w:sz="8" w:color="CCFFCC"/>
            </w:tcBorders>
            <w:shd w:val="clear" w:color="auto" w:fill="CCFFCC"/>
          </w:tcPr>
          <w:p>
            <w:pPr>
              <w:spacing w:after="0"/>
              <w:rPr>
                <w:sz w:val="19"/>
                <w:szCs w:val="19"/>
                <w:color w:val="auto"/>
              </w:rPr>
            </w:pPr>
          </w:p>
        </w:tc>
        <w:tc>
          <w:tcPr>
            <w:tcW w:w="60" w:type="dxa"/>
            <w:vAlign w:val="bottom"/>
            <w:tcBorders>
              <w:top w:val="single" w:sz="8" w:color="CCFFCC"/>
              <w:bottom w:val="single" w:sz="8" w:color="CCFFCC"/>
            </w:tcBorders>
            <w:shd w:val="clear" w:color="auto" w:fill="CCFFCC"/>
          </w:tcPr>
          <w:p>
            <w:pPr>
              <w:spacing w:after="0"/>
              <w:rPr>
                <w:sz w:val="19"/>
                <w:szCs w:val="19"/>
                <w:color w:val="auto"/>
              </w:rPr>
            </w:pPr>
          </w:p>
        </w:tc>
        <w:tc>
          <w:tcPr>
            <w:tcW w:w="220" w:type="dxa"/>
            <w:vAlign w:val="bottom"/>
            <w:tcBorders>
              <w:top w:val="single" w:sz="8" w:color="auto"/>
              <w:bottom w:val="single" w:sz="8" w:color="auto"/>
            </w:tcBorders>
            <w:shd w:val="clear" w:color="auto" w:fill="CCFFCC"/>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Borders>
              <w:top w:val="single" w:sz="8" w:color="CCFFCC"/>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Basic earnings per share</w:t>
            </w:r>
          </w:p>
        </w:tc>
        <w:tc>
          <w:tcPr>
            <w:tcW w:w="180" w:type="dxa"/>
            <w:vAlign w:val="bottom"/>
            <w:shd w:val="clear" w:color="auto" w:fill="CCFFCC"/>
          </w:tcPr>
          <w:p>
            <w:pPr>
              <w:jc w:val="right"/>
              <w:ind w:right="25"/>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0.44</w:t>
            </w:r>
          </w:p>
        </w:tc>
        <w:tc>
          <w:tcPr>
            <w:tcW w:w="300" w:type="dxa"/>
            <w:vAlign w:val="bottom"/>
            <w:gridSpan w:val="2"/>
            <w:shd w:val="clear" w:color="auto" w:fill="CCFFCC"/>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0.39</w:t>
            </w:r>
          </w:p>
        </w:tc>
        <w:tc>
          <w:tcPr>
            <w:tcW w:w="240" w:type="dxa"/>
            <w:vAlign w:val="bottom"/>
            <w:gridSpan w:val="2"/>
            <w:shd w:val="clear" w:color="auto" w:fill="CCFFCC"/>
          </w:tcPr>
          <w:p>
            <w:pPr>
              <w:jc w:val="right"/>
              <w:ind w:right="5"/>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1.36</w:t>
            </w:r>
          </w:p>
        </w:tc>
        <w:tc>
          <w:tcPr>
            <w:tcW w:w="280" w:type="dxa"/>
            <w:vAlign w:val="bottom"/>
            <w:gridSpan w:val="2"/>
            <w:shd w:val="clear" w:color="auto" w:fill="CCFFCC"/>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Weighted-average common shares outstanding</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149.5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151.4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149.9</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151.6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Diluted earnings per share</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0.44</w:t>
            </w:r>
          </w:p>
        </w:tc>
        <w:tc>
          <w:tcPr>
            <w:tcW w:w="3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0.39</w:t>
            </w:r>
          </w:p>
        </w:tc>
        <w:tc>
          <w:tcPr>
            <w:tcW w:w="2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1.34</w:t>
            </w:r>
          </w:p>
        </w:tc>
        <w:tc>
          <w:tcPr>
            <w:tcW w:w="2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Weighted-average common shares assuming dilution</w:t>
            </w:r>
          </w:p>
        </w:tc>
        <w:tc>
          <w:tcPr>
            <w:tcW w:w="180" w:type="dxa"/>
            <w:vAlign w:val="bottom"/>
            <w:shd w:val="clear" w:color="auto" w:fill="CCFFCC"/>
          </w:tcPr>
          <w:p>
            <w:pPr>
              <w:spacing w:after="0"/>
              <w:rPr>
                <w:sz w:val="18"/>
                <w:szCs w:val="18"/>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151.4</w:t>
            </w:r>
          </w:p>
        </w:tc>
        <w:tc>
          <w:tcPr>
            <w:tcW w:w="1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153.9</w:t>
            </w: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152.1</w:t>
            </w:r>
          </w:p>
        </w:tc>
        <w:tc>
          <w:tcPr>
            <w:tcW w:w="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154.1</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27"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2480" w:type="dxa"/>
            <w:vAlign w:val="bottom"/>
            <w:gridSpan w:val="5"/>
          </w:tcPr>
          <w:p>
            <w:pPr>
              <w:jc w:val="right"/>
              <w:ind w:right="170"/>
              <w:spacing w:after="0"/>
              <w:rPr>
                <w:sz w:val="20"/>
                <w:szCs w:val="20"/>
                <w:color w:val="auto"/>
              </w:rPr>
            </w:pPr>
            <w:r>
              <w:rPr>
                <w:rFonts w:ascii="Arial" w:cs="Arial" w:eastAsia="Arial" w:hAnsi="Arial"/>
                <w:sz w:val="18"/>
                <w:szCs w:val="18"/>
                <w:b w:val="1"/>
                <w:bCs w:val="1"/>
                <w:color w:val="auto"/>
              </w:rPr>
              <w:t>Thirteen weeks ended</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40" w:type="dxa"/>
            <w:vAlign w:val="bottom"/>
            <w:gridSpan w:val="6"/>
          </w:tcPr>
          <w:p>
            <w:pPr>
              <w:jc w:val="right"/>
              <w:ind w:right="540"/>
              <w:spacing w:after="0"/>
              <w:rPr>
                <w:sz w:val="20"/>
                <w:szCs w:val="20"/>
                <w:color w:val="auto"/>
              </w:rPr>
            </w:pPr>
            <w:r>
              <w:rPr>
                <w:rFonts w:ascii="Arial" w:cs="Arial" w:eastAsia="Arial" w:hAnsi="Arial"/>
                <w:sz w:val="18"/>
                <w:szCs w:val="18"/>
                <w:b w:val="1"/>
                <w:bCs w:val="1"/>
                <w:color w:val="auto"/>
                <w:w w:val="98"/>
              </w:rPr>
              <w:t>Twenty-six weeks ended</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600" w:type="dxa"/>
            <w:vAlign w:val="bottom"/>
          </w:tcPr>
          <w:p>
            <w:pPr>
              <w:spacing w:after="0"/>
              <w:rPr>
                <w:sz w:val="17"/>
                <w:szCs w:val="17"/>
                <w:color w:val="auto"/>
              </w:rPr>
            </w:pPr>
          </w:p>
        </w:tc>
        <w:tc>
          <w:tcPr>
            <w:tcW w:w="1040" w:type="dxa"/>
            <w:vAlign w:val="bottom"/>
            <w:tcBorders>
              <w:top w:val="single" w:sz="8" w:color="auto"/>
            </w:tcBorders>
          </w:tcPr>
          <w:p>
            <w:pPr>
              <w:jc w:val="right"/>
              <w:spacing w:after="0" w:line="205" w:lineRule="exact"/>
              <w:rPr>
                <w:sz w:val="20"/>
                <w:szCs w:val="20"/>
                <w:color w:val="auto"/>
              </w:rPr>
            </w:pPr>
            <w:r>
              <w:rPr>
                <w:rFonts w:ascii="Arial" w:cs="Arial" w:eastAsia="Arial" w:hAnsi="Arial"/>
                <w:sz w:val="18"/>
                <w:szCs w:val="18"/>
                <w:b w:val="1"/>
                <w:bCs w:val="1"/>
                <w:color w:val="auto"/>
              </w:rPr>
              <w:t>August 3,</w:t>
            </w:r>
          </w:p>
        </w:tc>
        <w:tc>
          <w:tcPr>
            <w:tcW w:w="2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line="205" w:lineRule="exact"/>
              <w:rPr>
                <w:sz w:val="20"/>
                <w:szCs w:val="20"/>
                <w:color w:val="auto"/>
              </w:rPr>
            </w:pPr>
            <w:r>
              <w:rPr>
                <w:rFonts w:ascii="Arial" w:cs="Arial" w:eastAsia="Arial" w:hAnsi="Arial"/>
                <w:sz w:val="18"/>
                <w:szCs w:val="18"/>
                <w:b w:val="1"/>
                <w:bCs w:val="1"/>
                <w:color w:val="auto"/>
              </w:rPr>
              <w:t>July 28,</w:t>
            </w:r>
          </w:p>
        </w:tc>
        <w:tc>
          <w:tcPr>
            <w:tcW w:w="3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gridSpan w:val="2"/>
          </w:tcPr>
          <w:p>
            <w:pPr>
              <w:jc w:val="right"/>
              <w:ind w:right="400"/>
              <w:spacing w:after="0" w:line="205" w:lineRule="exact"/>
              <w:rPr>
                <w:sz w:val="20"/>
                <w:szCs w:val="20"/>
                <w:color w:val="auto"/>
              </w:rPr>
            </w:pPr>
            <w:r>
              <w:rPr>
                <w:rFonts w:ascii="Arial" w:cs="Arial" w:eastAsia="Arial" w:hAnsi="Arial"/>
                <w:sz w:val="18"/>
                <w:szCs w:val="18"/>
                <w:b w:val="1"/>
                <w:bCs w:val="1"/>
                <w:color w:val="auto"/>
                <w:w w:val="97"/>
              </w:rPr>
              <w:t>August 3,</w:t>
            </w:r>
          </w:p>
        </w:tc>
        <w:tc>
          <w:tcPr>
            <w:tcW w:w="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230"/>
              <w:spacing w:after="0" w:line="205" w:lineRule="exact"/>
              <w:rPr>
                <w:sz w:val="20"/>
                <w:szCs w:val="20"/>
                <w:color w:val="auto"/>
              </w:rPr>
            </w:pPr>
            <w:r>
              <w:rPr>
                <w:rFonts w:ascii="Arial" w:cs="Arial" w:eastAsia="Arial" w:hAnsi="Arial"/>
                <w:sz w:val="18"/>
                <w:szCs w:val="18"/>
                <w:b w:val="1"/>
                <w:bCs w:val="1"/>
                <w:color w:val="auto"/>
              </w:rPr>
              <w:t>July 28,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1040" w:type="dxa"/>
            <w:vAlign w:val="bottom"/>
          </w:tcPr>
          <w:p>
            <w:pPr>
              <w:jc w:val="right"/>
              <w:ind w:right="156"/>
              <w:spacing w:after="0"/>
              <w:rPr>
                <w:sz w:val="20"/>
                <w:szCs w:val="20"/>
                <w:color w:val="auto"/>
              </w:rPr>
            </w:pPr>
            <w:r>
              <w:rPr>
                <w:rFonts w:ascii="Arial" w:cs="Arial" w:eastAsia="Arial" w:hAnsi="Arial"/>
                <w:sz w:val="18"/>
                <w:szCs w:val="18"/>
                <w:b w:val="1"/>
                <w:bCs w:val="1"/>
                <w:color w:val="auto"/>
              </w:rPr>
              <w:t>2013</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2012</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Net income</w:t>
            </w:r>
          </w:p>
        </w:tc>
        <w:tc>
          <w:tcPr>
            <w:tcW w:w="1040" w:type="dxa"/>
            <w:vAlign w:val="bottom"/>
            <w:tcBorders>
              <w:top w:val="single" w:sz="8" w:color="auto"/>
            </w:tcBorders>
            <w:shd w:val="clear" w:color="auto" w:fill="CCFFCC"/>
          </w:tcPr>
          <w:p>
            <w:pPr>
              <w:jc w:val="right"/>
              <w:ind w:right="876"/>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9"/>
              </w:rPr>
              <w:t>66</w:t>
            </w:r>
          </w:p>
        </w:tc>
        <w:tc>
          <w:tcPr>
            <w:tcW w:w="16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980" w:type="dxa"/>
            <w:vAlign w:val="bottom"/>
            <w:tcBorders>
              <w:top w:val="single" w:sz="8" w:color="auto"/>
            </w:tcBorders>
            <w:shd w:val="clear" w:color="auto" w:fill="CCFFCC"/>
          </w:tcPr>
          <w:p>
            <w:pPr>
              <w:jc w:val="right"/>
              <w:ind w:right="790"/>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59</w:t>
            </w:r>
          </w:p>
        </w:tc>
        <w:tc>
          <w:tcPr>
            <w:tcW w:w="14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auto"/>
            </w:tcBorders>
            <w:shd w:val="clear" w:color="auto" w:fill="CCFFCC"/>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204</w:t>
            </w:r>
          </w:p>
        </w:tc>
        <w:tc>
          <w:tcPr>
            <w:tcW w:w="140" w:type="dxa"/>
            <w:vAlign w:val="bottom"/>
            <w:tcBorders>
              <w:top w:val="single" w:sz="8" w:color="CCFFCC"/>
            </w:tcBorders>
            <w:shd w:val="clear" w:color="auto" w:fill="CCFFCC"/>
          </w:tcPr>
          <w:p>
            <w:pPr>
              <w:spacing w:after="0"/>
              <w:rPr>
                <w:sz w:val="18"/>
                <w:szCs w:val="18"/>
                <w:color w:val="auto"/>
              </w:rPr>
            </w:pPr>
          </w:p>
        </w:tc>
        <w:tc>
          <w:tcPr>
            <w:tcW w:w="60" w:type="dxa"/>
            <w:vAlign w:val="bottom"/>
            <w:tcBorders>
              <w:top w:val="single" w:sz="8" w:color="CCFFCC"/>
            </w:tcBorders>
            <w:shd w:val="clear" w:color="auto" w:fill="CCFFCC"/>
          </w:tcPr>
          <w:p>
            <w:pPr>
              <w:spacing w:after="0"/>
              <w:rPr>
                <w:sz w:val="18"/>
                <w:szCs w:val="18"/>
                <w:color w:val="auto"/>
              </w:rPr>
            </w:pPr>
          </w:p>
        </w:tc>
        <w:tc>
          <w:tcPr>
            <w:tcW w:w="220" w:type="dxa"/>
            <w:vAlign w:val="bottom"/>
            <w:tcBorders>
              <w:top w:val="single" w:sz="8" w:color="auto"/>
            </w:tcBorders>
            <w:shd w:val="clear" w:color="auto" w:fill="CCFFCC"/>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FFCC"/>
          </w:tcPr>
          <w:p>
            <w:pPr>
              <w:spacing w:after="0"/>
              <w:rPr>
                <w:sz w:val="20"/>
                <w:szCs w:val="20"/>
                <w:color w:val="auto"/>
              </w:rPr>
            </w:pPr>
            <w:r>
              <w:rPr>
                <w:rFonts w:ascii="Arial" w:cs="Arial" w:eastAsia="Arial" w:hAnsi="Arial"/>
                <w:sz w:val="18"/>
                <w:szCs w:val="18"/>
                <w:color w:val="auto"/>
              </w:rPr>
              <w:t>Other comprehensive income (loss), net of income tax</w:t>
            </w:r>
          </w:p>
        </w:tc>
        <w:tc>
          <w:tcPr>
            <w:tcW w:w="10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FFCC"/>
          </w:tcPr>
          <w:p>
            <w:pPr>
              <w:spacing w:after="0"/>
              <w:rPr>
                <w:sz w:val="20"/>
                <w:szCs w:val="20"/>
                <w:color w:val="auto"/>
              </w:rPr>
            </w:pPr>
            <w:r>
              <w:rPr>
                <w:rFonts w:ascii="Arial" w:cs="Arial" w:eastAsia="Arial" w:hAnsi="Arial"/>
                <w:sz w:val="18"/>
                <w:szCs w:val="18"/>
                <w:i w:val="1"/>
                <w:iCs w:val="1"/>
                <w:color w:val="auto"/>
              </w:rPr>
              <w:t>Foreign currency translation adjustment:</w:t>
            </w:r>
          </w:p>
        </w:tc>
        <w:tc>
          <w:tcPr>
            <w:tcW w:w="10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Translation adjustment arising during the period, net of income tax</w:t>
            </w:r>
          </w:p>
        </w:tc>
        <w:tc>
          <w:tcPr>
            <w:tcW w:w="104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(49)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(27)</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i w:val="1"/>
                <w:iCs w:val="1"/>
                <w:color w:val="auto"/>
              </w:rPr>
              <w:t>Cash flow hedges:</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FFCC"/>
          </w:tcPr>
          <w:p>
            <w:pPr>
              <w:spacing w:after="0"/>
              <w:rPr>
                <w:sz w:val="20"/>
                <w:szCs w:val="20"/>
                <w:color w:val="auto"/>
              </w:rPr>
            </w:pPr>
            <w:r>
              <w:rPr>
                <w:rFonts w:ascii="Arial" w:cs="Arial" w:eastAsia="Arial" w:hAnsi="Arial"/>
                <w:sz w:val="18"/>
                <w:szCs w:val="18"/>
                <w:color w:val="auto"/>
              </w:rPr>
              <w:t>Change in fair value of derivatives, net of income tax</w:t>
            </w:r>
          </w:p>
        </w:tc>
        <w:tc>
          <w:tcPr>
            <w:tcW w:w="1040" w:type="dxa"/>
            <w:vAlign w:val="bottom"/>
            <w:shd w:val="clear" w:color="auto" w:fill="CCFFCC"/>
          </w:tcPr>
          <w:p>
            <w:pPr>
              <w:spacing w:after="0"/>
              <w:rPr>
                <w:sz w:val="18"/>
                <w:szCs w:val="18"/>
                <w:color w:val="auto"/>
              </w:rPr>
            </w:pPr>
          </w:p>
        </w:tc>
        <w:tc>
          <w:tcPr>
            <w:tcW w:w="3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4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FFCC"/>
          </w:tcPr>
          <w:p>
            <w:pPr>
              <w:spacing w:after="0"/>
              <w:rPr>
                <w:sz w:val="20"/>
                <w:szCs w:val="20"/>
                <w:color w:val="auto"/>
              </w:rPr>
            </w:pPr>
            <w:r>
              <w:rPr>
                <w:rFonts w:ascii="Arial" w:cs="Arial" w:eastAsia="Arial" w:hAnsi="Arial"/>
                <w:sz w:val="18"/>
                <w:szCs w:val="18"/>
                <w:i w:val="1"/>
                <w:iCs w:val="1"/>
                <w:color w:val="auto"/>
              </w:rPr>
              <w:t>Available for sale securities:</w:t>
            </w:r>
          </w:p>
        </w:tc>
        <w:tc>
          <w:tcPr>
            <w:tcW w:w="10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Unrealized gain/(loss)</w:t>
            </w:r>
          </w:p>
        </w:tc>
        <w:tc>
          <w:tcPr>
            <w:tcW w:w="104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i w:val="1"/>
                <w:iCs w:val="1"/>
                <w:color w:val="auto"/>
              </w:rPr>
              <w:t>Pension and postretirement adjustments:</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0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rPr>
              <w:t>Amortization of net actuarial gain/loss included in net periodic benefit</w:t>
            </w:r>
          </w:p>
        </w:tc>
        <w:tc>
          <w:tcPr>
            <w:tcW w:w="104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c>
          <w:tcPr>
            <w:tcW w:w="30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08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0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600" w:type="dxa"/>
            <w:vAlign w:val="bottom"/>
            <w:shd w:val="clear" w:color="auto" w:fill="CCFFCC"/>
          </w:tcPr>
          <w:p>
            <w:pPr>
              <w:spacing w:after="0"/>
              <w:rPr>
                <w:sz w:val="20"/>
                <w:szCs w:val="20"/>
                <w:color w:val="auto"/>
              </w:rPr>
            </w:pPr>
            <w:r>
              <w:rPr>
                <w:rFonts w:ascii="Arial" w:cs="Arial" w:eastAsia="Arial" w:hAnsi="Arial"/>
                <w:sz w:val="18"/>
                <w:szCs w:val="18"/>
                <w:color w:val="auto"/>
                <w:w w:val="94"/>
              </w:rPr>
              <w:t>costs, net of income tax expense of $2, $1, $3, and $2 million, respectively</w:t>
            </w:r>
          </w:p>
        </w:tc>
        <w:tc>
          <w:tcPr>
            <w:tcW w:w="1040" w:type="dxa"/>
            <w:vAlign w:val="bottom"/>
            <w:shd w:val="clear" w:color="auto" w:fill="CCFFCC"/>
          </w:tcPr>
          <w:p>
            <w:pPr>
              <w:spacing w:after="0"/>
              <w:rPr>
                <w:sz w:val="21"/>
                <w:szCs w:val="21"/>
                <w:color w:val="auto"/>
              </w:rPr>
            </w:pPr>
          </w:p>
        </w:tc>
        <w:tc>
          <w:tcPr>
            <w:tcW w:w="3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FFCC"/>
          </w:tcPr>
          <w:p>
            <w:pPr>
              <w:spacing w:after="0"/>
              <w:rPr>
                <w:sz w:val="21"/>
                <w:szCs w:val="21"/>
                <w:color w:val="auto"/>
              </w:rPr>
            </w:pPr>
          </w:p>
        </w:tc>
        <w:tc>
          <w:tcPr>
            <w:tcW w:w="980" w:type="dxa"/>
            <w:vAlign w:val="bottom"/>
            <w:shd w:val="clear" w:color="auto" w:fill="CCFFCC"/>
          </w:tcPr>
          <w:p>
            <w:pPr>
              <w:spacing w:after="0"/>
              <w:rPr>
                <w:sz w:val="21"/>
                <w:szCs w:val="21"/>
                <w:color w:val="auto"/>
              </w:rPr>
            </w:pPr>
          </w:p>
        </w:tc>
        <w:tc>
          <w:tcPr>
            <w:tcW w:w="4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2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w:t>
            </w:r>
          </w:p>
        </w:tc>
        <w:tc>
          <w:tcPr>
            <w:tcW w:w="6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6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Comprehensive income</w:t>
            </w:r>
          </w:p>
        </w:tc>
        <w:tc>
          <w:tcPr>
            <w:tcW w:w="1040" w:type="dxa"/>
            <w:vAlign w:val="bottom"/>
            <w:shd w:val="clear" w:color="auto" w:fill="CCFFCC"/>
          </w:tcPr>
          <w:p>
            <w:pPr>
              <w:jc w:val="right"/>
              <w:ind w:right="876"/>
              <w:spacing w:after="0"/>
              <w:rPr>
                <w:sz w:val="20"/>
                <w:szCs w:val="20"/>
                <w:color w:val="auto"/>
              </w:rPr>
            </w:pPr>
            <w:r>
              <w:rPr>
                <w:rFonts w:ascii="Arial" w:cs="Arial" w:eastAsia="Arial" w:hAnsi="Arial"/>
                <w:sz w:val="15"/>
                <w:szCs w:val="15"/>
                <w:color w:val="auto"/>
                <w:w w:val="71"/>
              </w:rPr>
              <w:t>$</w:t>
            </w:r>
          </w:p>
        </w:tc>
        <w:tc>
          <w:tcPr>
            <w:tcW w:w="2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9"/>
              </w:rPr>
              <w:t>62</w:t>
            </w:r>
          </w:p>
        </w:tc>
        <w:tc>
          <w:tcPr>
            <w:tcW w:w="160" w:type="dxa"/>
            <w:vAlign w:val="bottom"/>
            <w:shd w:val="clear" w:color="auto" w:fill="CCFFCC"/>
          </w:tcPr>
          <w:p>
            <w:pPr>
              <w:spacing w:after="0"/>
              <w:rPr>
                <w:sz w:val="21"/>
                <w:szCs w:val="21"/>
                <w:color w:val="auto"/>
              </w:rPr>
            </w:pPr>
          </w:p>
        </w:tc>
        <w:tc>
          <w:tcPr>
            <w:tcW w:w="1060" w:type="dxa"/>
            <w:vAlign w:val="bottom"/>
            <w:gridSpan w:val="2"/>
            <w:shd w:val="clear" w:color="auto" w:fill="CCFFCC"/>
          </w:tcPr>
          <w:p>
            <w:pPr>
              <w:jc w:val="right"/>
              <w:ind w:right="79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12</w:t>
            </w:r>
          </w:p>
        </w:tc>
        <w:tc>
          <w:tcPr>
            <w:tcW w:w="240" w:type="dxa"/>
            <w:vAlign w:val="bottom"/>
            <w:gridSpan w:val="2"/>
            <w:shd w:val="clear" w:color="auto" w:fill="CCFFCC"/>
          </w:tcPr>
          <w:p>
            <w:pPr>
              <w:jc w:val="right"/>
              <w:ind w:right="5"/>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181</w:t>
            </w:r>
          </w:p>
        </w:tc>
        <w:tc>
          <w:tcPr>
            <w:tcW w:w="280" w:type="dxa"/>
            <w:vAlign w:val="bottom"/>
            <w:gridSpan w:val="2"/>
            <w:shd w:val="clear" w:color="auto" w:fill="CCFFCC"/>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Borders>
              <w:top w:val="single" w:sz="8" w:color="CCFFC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FFCC"/>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60" w:type="dxa"/>
            <w:vAlign w:val="bottom"/>
            <w:tcBorders>
              <w:top w:val="single" w:sz="8" w:color="CCFFC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480" w:type="dxa"/>
            <w:vAlign w:val="bottom"/>
          </w:tcPr>
          <w:p>
            <w:pPr>
              <w:jc w:val="center"/>
              <w:ind w:left="2830"/>
              <w:spacing w:after="0"/>
              <w:rPr>
                <w:sz w:val="20"/>
                <w:szCs w:val="20"/>
                <w:color w:val="auto"/>
              </w:rPr>
            </w:pPr>
            <w:r>
              <w:rPr>
                <w:rFonts w:ascii="Arial" w:cs="Arial" w:eastAsia="Arial" w:hAnsi="Arial"/>
                <w:sz w:val="18"/>
                <w:szCs w:val="18"/>
                <w:b w:val="1"/>
                <w:bCs w:val="1"/>
                <w:color w:val="auto"/>
              </w:rPr>
              <w:t>FOOT LOCKER, INC.</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8480" w:type="dxa"/>
            <w:vAlign w:val="bottom"/>
          </w:tcPr>
          <w:p>
            <w:pPr>
              <w:jc w:val="center"/>
              <w:ind w:left="2830"/>
              <w:spacing w:after="0"/>
              <w:rPr>
                <w:sz w:val="20"/>
                <w:szCs w:val="20"/>
                <w:color w:val="auto"/>
              </w:rPr>
            </w:pPr>
            <w:r>
              <w:rPr>
                <w:rFonts w:ascii="Arial" w:cs="Arial" w:eastAsia="Arial" w:hAnsi="Arial"/>
                <w:sz w:val="18"/>
                <w:szCs w:val="18"/>
                <w:b w:val="1"/>
                <w:bCs w:val="1"/>
                <w:color w:val="auto"/>
                <w:w w:val="98"/>
              </w:rPr>
              <w:t>CONDENSED CONSOLIDATED STATEMENTS OF CASH FLOWS</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jc w:val="center"/>
              <w:ind w:left="2810"/>
              <w:spacing w:after="0"/>
              <w:rPr>
                <w:sz w:val="20"/>
                <w:szCs w:val="20"/>
                <w:color w:val="auto"/>
              </w:rPr>
            </w:pPr>
            <w:r>
              <w:rPr>
                <w:rFonts w:ascii="Arial" w:cs="Arial" w:eastAsia="Arial" w:hAnsi="Arial"/>
                <w:sz w:val="18"/>
                <w:szCs w:val="18"/>
                <w:color w:val="auto"/>
                <w:w w:val="91"/>
              </w:rPr>
              <w:t>(Unaudited)</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80" w:type="dxa"/>
            <w:vAlign w:val="bottom"/>
          </w:tcPr>
          <w:p>
            <w:pPr>
              <w:jc w:val="center"/>
              <w:ind w:left="2770"/>
              <w:spacing w:after="0"/>
              <w:rPr>
                <w:sz w:val="20"/>
                <w:szCs w:val="20"/>
                <w:color w:val="auto"/>
              </w:rPr>
            </w:pPr>
            <w:r>
              <w:rPr>
                <w:rFonts w:ascii="Arial" w:cs="Arial" w:eastAsia="Arial" w:hAnsi="Arial"/>
                <w:sz w:val="18"/>
                <w:szCs w:val="18"/>
                <w:color w:val="auto"/>
                <w:w w:val="98"/>
              </w:rPr>
              <w:t>(in millions)</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60" w:type="dxa"/>
            <w:vAlign w:val="bottom"/>
            <w:gridSpan w:val="6"/>
            <w:vMerge w:val="restart"/>
          </w:tcPr>
          <w:p>
            <w:pPr>
              <w:jc w:val="right"/>
              <w:ind w:right="460"/>
              <w:spacing w:after="0"/>
              <w:rPr>
                <w:sz w:val="20"/>
                <w:szCs w:val="20"/>
                <w:color w:val="auto"/>
              </w:rPr>
            </w:pPr>
            <w:r>
              <w:rPr>
                <w:rFonts w:ascii="Arial" w:cs="Arial" w:eastAsia="Arial" w:hAnsi="Arial"/>
                <w:sz w:val="18"/>
                <w:szCs w:val="18"/>
                <w:b w:val="1"/>
                <w:bCs w:val="1"/>
                <w:color w:val="auto"/>
                <w:w w:val="99"/>
              </w:rPr>
              <w:t>Twenty-six weeks 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60" w:type="dxa"/>
            <w:vAlign w:val="bottom"/>
            <w:gridSpan w:val="6"/>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gridSpan w:val="2"/>
          </w:tcPr>
          <w:p>
            <w:pPr>
              <w:jc w:val="right"/>
              <w:ind w:right="340"/>
              <w:spacing w:after="0" w:line="205" w:lineRule="exact"/>
              <w:rPr>
                <w:sz w:val="20"/>
                <w:szCs w:val="20"/>
                <w:color w:val="auto"/>
              </w:rPr>
            </w:pPr>
            <w:r>
              <w:rPr>
                <w:rFonts w:ascii="Arial" w:cs="Arial" w:eastAsia="Arial" w:hAnsi="Arial"/>
                <w:sz w:val="18"/>
                <w:szCs w:val="18"/>
                <w:b w:val="1"/>
                <w:bCs w:val="1"/>
                <w:color w:val="auto"/>
                <w:w w:val="97"/>
              </w:rPr>
              <w:t>August 3,</w:t>
            </w:r>
          </w:p>
        </w:tc>
        <w:tc>
          <w:tcPr>
            <w:tcW w:w="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270"/>
              <w:spacing w:after="0" w:line="205" w:lineRule="exact"/>
              <w:rPr>
                <w:sz w:val="20"/>
                <w:szCs w:val="20"/>
                <w:color w:val="auto"/>
              </w:rPr>
            </w:pPr>
            <w:r>
              <w:rPr>
                <w:rFonts w:ascii="Arial" w:cs="Arial" w:eastAsia="Arial" w:hAnsi="Arial"/>
                <w:sz w:val="18"/>
                <w:szCs w:val="18"/>
                <w:b w:val="1"/>
                <w:bCs w:val="1"/>
                <w:color w:val="auto"/>
              </w:rPr>
              <w:t>July 28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480" w:type="dxa"/>
            <w:vAlign w:val="bottom"/>
            <w:tcBorders>
              <w:bottom w:val="single" w:sz="8" w:color="CCFFCC"/>
            </w:tcBorders>
          </w:tcPr>
          <w:p>
            <w:pPr>
              <w:spacing w:after="0"/>
              <w:rPr>
                <w:sz w:val="20"/>
                <w:szCs w:val="20"/>
                <w:color w:val="auto"/>
              </w:rPr>
            </w:pPr>
          </w:p>
        </w:tc>
        <w:tc>
          <w:tcPr>
            <w:tcW w:w="80" w:type="dxa"/>
            <w:vAlign w:val="bottom"/>
            <w:tcBorders>
              <w:bottom w:val="single" w:sz="8" w:color="CCFFC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140" w:type="dxa"/>
            <w:vAlign w:val="bottom"/>
            <w:tcBorders>
              <w:bottom w:val="single" w:sz="8" w:color="CCFFCC"/>
            </w:tcBorders>
          </w:tcPr>
          <w:p>
            <w:pPr>
              <w:spacing w:after="0"/>
              <w:rPr>
                <w:sz w:val="20"/>
                <w:szCs w:val="20"/>
                <w:color w:val="auto"/>
              </w:rPr>
            </w:pPr>
          </w:p>
        </w:tc>
        <w:tc>
          <w:tcPr>
            <w:tcW w:w="60" w:type="dxa"/>
            <w:vAlign w:val="bottom"/>
            <w:tcBorders>
              <w:bottom w:val="single" w:sz="8" w:color="CCFFC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100" w:type="dxa"/>
            <w:vAlign w:val="bottom"/>
            <w:tcBorders>
              <w:bottom w:val="single" w:sz="8" w:color="CCFFCC"/>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From Operating Activities:</w:t>
            </w:r>
          </w:p>
        </w:tc>
        <w:tc>
          <w:tcPr>
            <w:tcW w:w="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204</w:t>
            </w:r>
          </w:p>
        </w:tc>
        <w:tc>
          <w:tcPr>
            <w:tcW w:w="2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ind w:left="320"/>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62</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FFCC"/>
          </w:tcPr>
          <w:p>
            <w:pPr>
              <w:ind w:left="320"/>
              <w:spacing w:after="0"/>
              <w:rPr>
                <w:sz w:val="20"/>
                <w:szCs w:val="20"/>
                <w:color w:val="auto"/>
              </w:rPr>
            </w:pPr>
            <w:r>
              <w:rPr>
                <w:rFonts w:ascii="Arial" w:cs="Arial" w:eastAsia="Arial" w:hAnsi="Arial"/>
                <w:sz w:val="18"/>
                <w:szCs w:val="18"/>
                <w:color w:val="auto"/>
              </w:rPr>
              <w:t>Share-based compensation expense</w:t>
            </w:r>
          </w:p>
        </w:tc>
        <w:tc>
          <w:tcPr>
            <w:tcW w:w="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13</w:t>
            </w:r>
          </w:p>
        </w:tc>
        <w:tc>
          <w:tcPr>
            <w:tcW w:w="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ind w:left="320"/>
              <w:spacing w:after="0"/>
              <w:rPr>
                <w:sz w:val="20"/>
                <w:szCs w:val="20"/>
                <w:color w:val="auto"/>
              </w:rPr>
            </w:pPr>
            <w:r>
              <w:rPr>
                <w:rFonts w:ascii="Arial" w:cs="Arial" w:eastAsia="Arial" w:hAnsi="Arial"/>
                <w:sz w:val="18"/>
                <w:szCs w:val="18"/>
                <w:color w:val="auto"/>
              </w:rPr>
              <w:t>Qualified pension plan contributions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FFCC"/>
          </w:tcPr>
          <w:p>
            <w:pPr>
              <w:ind w:left="320"/>
              <w:spacing w:after="0"/>
              <w:rPr>
                <w:sz w:val="20"/>
                <w:szCs w:val="20"/>
                <w:color w:val="auto"/>
              </w:rPr>
            </w:pPr>
            <w:r>
              <w:rPr>
                <w:rFonts w:ascii="Arial" w:cs="Arial" w:eastAsia="Arial" w:hAnsi="Arial"/>
                <w:sz w:val="18"/>
                <w:szCs w:val="18"/>
                <w:color w:val="auto"/>
              </w:rPr>
              <w:t>Excess tax benefits on share-based compensation</w:t>
            </w:r>
          </w:p>
        </w:tc>
        <w:tc>
          <w:tcPr>
            <w:tcW w:w="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(7)</w:t>
            </w:r>
          </w:p>
        </w:tc>
        <w:tc>
          <w:tcPr>
            <w:tcW w:w="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ind w:left="320"/>
              <w:spacing w:after="0"/>
              <w:rPr>
                <w:sz w:val="20"/>
                <w:szCs w:val="20"/>
                <w:color w:val="auto"/>
              </w:rPr>
            </w:pPr>
            <w:r>
              <w:rPr>
                <w:rFonts w:ascii="Arial" w:cs="Arial" w:eastAsia="Arial" w:hAnsi="Arial"/>
                <w:sz w:val="18"/>
                <w:szCs w:val="18"/>
                <w:color w:val="auto"/>
              </w:rPr>
              <w:t>Change in assets and liabilities: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FFCC"/>
          </w:tcPr>
          <w:p>
            <w:pPr>
              <w:ind w:left="480"/>
              <w:spacing w:after="0"/>
              <w:rPr>
                <w:sz w:val="20"/>
                <w:szCs w:val="20"/>
                <w:color w:val="auto"/>
              </w:rPr>
            </w:pPr>
            <w:r>
              <w:rPr>
                <w:rFonts w:ascii="Arial" w:cs="Arial" w:eastAsia="Arial" w:hAnsi="Arial"/>
                <w:sz w:val="18"/>
                <w:szCs w:val="18"/>
                <w:color w:val="auto"/>
              </w:rPr>
              <w:t>Merchandise inventories</w:t>
            </w:r>
          </w:p>
        </w:tc>
        <w:tc>
          <w:tcPr>
            <w:tcW w:w="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(109)</w:t>
            </w:r>
          </w:p>
        </w:tc>
        <w:tc>
          <w:tcPr>
            <w:tcW w:w="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ind w:left="480"/>
              <w:spacing w:after="0"/>
              <w:rPr>
                <w:sz w:val="20"/>
                <w:szCs w:val="20"/>
                <w:color w:val="auto"/>
              </w:rPr>
            </w:pPr>
            <w:r>
              <w:rPr>
                <w:rFonts w:ascii="Arial" w:cs="Arial" w:eastAsia="Arial" w:hAnsi="Arial"/>
                <w:sz w:val="18"/>
                <w:szCs w:val="18"/>
                <w:color w:val="auto"/>
              </w:rPr>
              <w:t>Accounts payable</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FFCC"/>
          </w:tcPr>
          <w:p>
            <w:pPr>
              <w:ind w:left="480"/>
              <w:spacing w:after="0"/>
              <w:rPr>
                <w:sz w:val="20"/>
                <w:szCs w:val="20"/>
                <w:color w:val="auto"/>
              </w:rPr>
            </w:pPr>
            <w:r>
              <w:rPr>
                <w:rFonts w:ascii="Arial" w:cs="Arial" w:eastAsia="Arial" w:hAnsi="Arial"/>
                <w:sz w:val="18"/>
                <w:szCs w:val="18"/>
                <w:color w:val="auto"/>
              </w:rPr>
              <w:t>Other accruals</w:t>
            </w:r>
          </w:p>
        </w:tc>
        <w:tc>
          <w:tcPr>
            <w:tcW w:w="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(28)</w:t>
            </w:r>
          </w:p>
        </w:tc>
        <w:tc>
          <w:tcPr>
            <w:tcW w:w="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80" w:type="dxa"/>
            <w:vAlign w:val="bottom"/>
          </w:tcPr>
          <w:p>
            <w:pPr>
              <w:ind w:left="480"/>
              <w:spacing w:after="0"/>
              <w:rPr>
                <w:sz w:val="20"/>
                <w:szCs w:val="20"/>
                <w:color w:val="auto"/>
              </w:rPr>
            </w:pPr>
            <w:r>
              <w:rPr>
                <w:rFonts w:ascii="Arial" w:cs="Arial" w:eastAsia="Arial" w:hAnsi="Arial"/>
                <w:sz w:val="18"/>
                <w:szCs w:val="18"/>
                <w:color w:val="auto"/>
              </w:rPr>
              <w:t>Other, net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80" w:type="dxa"/>
            <w:vAlign w:val="bottom"/>
            <w:tcBorders>
              <w:top w:val="single" w:sz="8" w:color="CCFFCC"/>
            </w:tcBorders>
            <w:shd w:val="clear" w:color="auto" w:fill="CCFFCC"/>
          </w:tcPr>
          <w:p>
            <w:pPr>
              <w:ind w:left="160"/>
              <w:spacing w:after="0"/>
              <w:rPr>
                <w:sz w:val="20"/>
                <w:szCs w:val="20"/>
                <w:color w:val="auto"/>
              </w:rPr>
            </w:pPr>
            <w:r>
              <w:rPr>
                <w:rFonts w:ascii="Arial" w:cs="Arial" w:eastAsia="Arial" w:hAnsi="Arial"/>
                <w:sz w:val="18"/>
                <w:szCs w:val="18"/>
                <w:color w:val="auto"/>
              </w:rPr>
              <w:t>Net cash provided by operating activities</w:t>
            </w:r>
          </w:p>
        </w:tc>
        <w:tc>
          <w:tcPr>
            <w:tcW w:w="80" w:type="dxa"/>
            <w:vAlign w:val="bottom"/>
            <w:tcBorders>
              <w:top w:val="single" w:sz="8" w:color="CCFFCC"/>
            </w:tcBorders>
            <w:shd w:val="clear" w:color="auto" w:fill="CCFFCC"/>
          </w:tcPr>
          <w:p>
            <w:pPr>
              <w:spacing w:after="0"/>
              <w:rPr>
                <w:sz w:val="18"/>
                <w:szCs w:val="18"/>
                <w:color w:val="auto"/>
              </w:rPr>
            </w:pPr>
          </w:p>
        </w:tc>
        <w:tc>
          <w:tcPr>
            <w:tcW w:w="180" w:type="dxa"/>
            <w:vAlign w:val="bottom"/>
            <w:tcBorders>
              <w:top w:val="single" w:sz="8" w:color="auto"/>
              <w:bottom w:val="single" w:sz="8" w:color="auto"/>
            </w:tcBorders>
            <w:shd w:val="clear" w:color="auto" w:fill="CCFFCC"/>
          </w:tcPr>
          <w:p>
            <w:pPr>
              <w:spacing w:after="0"/>
              <w:rPr>
                <w:sz w:val="18"/>
                <w:szCs w:val="18"/>
                <w:color w:val="auto"/>
              </w:rPr>
            </w:pPr>
          </w:p>
        </w:tc>
        <w:tc>
          <w:tcPr>
            <w:tcW w:w="11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240</w:t>
            </w:r>
          </w:p>
        </w:tc>
        <w:tc>
          <w:tcPr>
            <w:tcW w:w="140" w:type="dxa"/>
            <w:vAlign w:val="bottom"/>
            <w:tcBorders>
              <w:top w:val="single" w:sz="8" w:color="CCFFCC"/>
            </w:tcBorders>
            <w:shd w:val="clear" w:color="auto" w:fill="CCFFCC"/>
          </w:tcPr>
          <w:p>
            <w:pPr>
              <w:spacing w:after="0"/>
              <w:rPr>
                <w:sz w:val="18"/>
                <w:szCs w:val="18"/>
                <w:color w:val="auto"/>
              </w:rPr>
            </w:pPr>
          </w:p>
        </w:tc>
        <w:tc>
          <w:tcPr>
            <w:tcW w:w="60" w:type="dxa"/>
            <w:vAlign w:val="bottom"/>
            <w:tcBorders>
              <w:top w:val="single" w:sz="8" w:color="CCFFCC"/>
            </w:tcBorders>
            <w:shd w:val="clear" w:color="auto" w:fill="CCFFCC"/>
          </w:tcPr>
          <w:p>
            <w:pPr>
              <w:spacing w:after="0"/>
              <w:rPr>
                <w:sz w:val="18"/>
                <w:szCs w:val="18"/>
                <w:color w:val="auto"/>
              </w:rPr>
            </w:pPr>
          </w:p>
        </w:tc>
        <w:tc>
          <w:tcPr>
            <w:tcW w:w="220" w:type="dxa"/>
            <w:vAlign w:val="bottom"/>
            <w:tcBorders>
              <w:top w:val="single" w:sz="8" w:color="auto"/>
              <w:bottom w:val="single" w:sz="8" w:color="auto"/>
            </w:tcBorders>
            <w:shd w:val="clear" w:color="auto" w:fill="CCFFCC"/>
          </w:tcPr>
          <w:p>
            <w:pPr>
              <w:spacing w:after="0"/>
              <w:rPr>
                <w:sz w:val="18"/>
                <w:szCs w:val="18"/>
                <w:color w:val="auto"/>
              </w:rPr>
            </w:pPr>
          </w:p>
        </w:tc>
        <w:tc>
          <w:tcPr>
            <w:tcW w:w="10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From Investing Activities:</w:t>
            </w:r>
          </w:p>
        </w:tc>
        <w:tc>
          <w:tcPr>
            <w:tcW w:w="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ind w:left="160"/>
              <w:spacing w:after="0"/>
              <w:rPr>
                <w:sz w:val="20"/>
                <w:szCs w:val="20"/>
                <w:color w:val="auto"/>
              </w:rPr>
            </w:pPr>
            <w:r>
              <w:rPr>
                <w:rFonts w:ascii="Arial" w:cs="Arial" w:eastAsia="Arial" w:hAnsi="Arial"/>
                <w:sz w:val="18"/>
                <w:szCs w:val="18"/>
                <w:color w:val="auto"/>
              </w:rPr>
              <w:t>Lease termination gains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Sales and maturities of short-term investments</w:t>
            </w:r>
          </w:p>
        </w:tc>
        <w:tc>
          <w:tcPr>
            <w:tcW w:w="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23</w:t>
            </w:r>
          </w:p>
        </w:tc>
        <w:tc>
          <w:tcPr>
            <w:tcW w:w="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ind w:left="160"/>
              <w:spacing w:after="0"/>
              <w:rPr>
                <w:sz w:val="20"/>
                <w:szCs w:val="20"/>
                <w:color w:val="auto"/>
              </w:rPr>
            </w:pPr>
            <w:r>
              <w:rPr>
                <w:rFonts w:ascii="Arial" w:cs="Arial" w:eastAsia="Arial" w:hAnsi="Arial"/>
                <w:sz w:val="18"/>
                <w:szCs w:val="18"/>
                <w:color w:val="auto"/>
              </w:rPr>
              <w:t>Purchases of short-term investments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Capital expenditures</w:t>
            </w:r>
          </w:p>
        </w:tc>
        <w:tc>
          <w:tcPr>
            <w:tcW w:w="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(107)</w:t>
            </w:r>
          </w:p>
        </w:tc>
        <w:tc>
          <w:tcPr>
            <w:tcW w:w="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80" w:type="dxa"/>
            <w:vAlign w:val="bottom"/>
          </w:tcPr>
          <w:p>
            <w:pPr>
              <w:ind w:left="160"/>
              <w:spacing w:after="0"/>
              <w:rPr>
                <w:sz w:val="20"/>
                <w:szCs w:val="20"/>
                <w:color w:val="auto"/>
              </w:rPr>
            </w:pPr>
            <w:r>
              <w:rPr>
                <w:rFonts w:ascii="Arial" w:cs="Arial" w:eastAsia="Arial" w:hAnsi="Arial"/>
                <w:sz w:val="18"/>
                <w:szCs w:val="18"/>
                <w:color w:val="auto"/>
              </w:rPr>
              <w:t>Purchase of business, net of cash acquired</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(84)</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80" w:type="dxa"/>
            <w:vAlign w:val="bottom"/>
            <w:tcBorders>
              <w:top w:val="single" w:sz="8" w:color="CCFFCC"/>
            </w:tcBorders>
            <w:shd w:val="clear" w:color="auto" w:fill="CCFFCC"/>
          </w:tcPr>
          <w:p>
            <w:pPr>
              <w:ind w:left="160"/>
              <w:spacing w:after="0"/>
              <w:rPr>
                <w:sz w:val="20"/>
                <w:szCs w:val="20"/>
                <w:color w:val="auto"/>
              </w:rPr>
            </w:pPr>
            <w:r>
              <w:rPr>
                <w:rFonts w:ascii="Arial" w:cs="Arial" w:eastAsia="Arial" w:hAnsi="Arial"/>
                <w:sz w:val="18"/>
                <w:szCs w:val="18"/>
                <w:color w:val="auto"/>
              </w:rPr>
              <w:t>Net cash used in investing activities</w:t>
            </w:r>
          </w:p>
        </w:tc>
        <w:tc>
          <w:tcPr>
            <w:tcW w:w="80" w:type="dxa"/>
            <w:vAlign w:val="bottom"/>
            <w:tcBorders>
              <w:top w:val="single" w:sz="8" w:color="CCFFCC"/>
            </w:tcBorders>
            <w:shd w:val="clear" w:color="auto" w:fill="CCFFCC"/>
          </w:tcPr>
          <w:p>
            <w:pPr>
              <w:spacing w:after="0"/>
              <w:rPr>
                <w:sz w:val="18"/>
                <w:szCs w:val="18"/>
                <w:color w:val="auto"/>
              </w:rPr>
            </w:pPr>
          </w:p>
        </w:tc>
        <w:tc>
          <w:tcPr>
            <w:tcW w:w="180" w:type="dxa"/>
            <w:vAlign w:val="bottom"/>
            <w:tcBorders>
              <w:top w:val="single" w:sz="8" w:color="auto"/>
              <w:bottom w:val="single" w:sz="8" w:color="auto"/>
            </w:tcBorders>
            <w:shd w:val="clear" w:color="auto" w:fill="CCFFCC"/>
          </w:tcPr>
          <w:p>
            <w:pPr>
              <w:spacing w:after="0"/>
              <w:rPr>
                <w:sz w:val="18"/>
                <w:szCs w:val="18"/>
                <w:color w:val="auto"/>
              </w:rPr>
            </w:pPr>
          </w:p>
        </w:tc>
        <w:tc>
          <w:tcPr>
            <w:tcW w:w="11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(189</w:t>
            </w:r>
          </w:p>
        </w:tc>
        <w:tc>
          <w:tcPr>
            <w:tcW w:w="140" w:type="dxa"/>
            <w:vAlign w:val="bottom"/>
            <w:tcBorders>
              <w:top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FFCC"/>
            </w:tcBorders>
            <w:shd w:val="clear" w:color="auto" w:fill="CCFFCC"/>
          </w:tcPr>
          <w:p>
            <w:pPr>
              <w:spacing w:after="0"/>
              <w:rPr>
                <w:sz w:val="18"/>
                <w:szCs w:val="18"/>
                <w:color w:val="auto"/>
              </w:rPr>
            </w:pPr>
          </w:p>
        </w:tc>
        <w:tc>
          <w:tcPr>
            <w:tcW w:w="220" w:type="dxa"/>
            <w:vAlign w:val="bottom"/>
            <w:tcBorders>
              <w:top w:val="single" w:sz="8" w:color="auto"/>
              <w:bottom w:val="single" w:sz="8" w:color="auto"/>
            </w:tcBorders>
            <w:shd w:val="clear" w:color="auto" w:fill="CCFFCC"/>
          </w:tcPr>
          <w:p>
            <w:pPr>
              <w:spacing w:after="0"/>
              <w:rPr>
                <w:sz w:val="18"/>
                <w:szCs w:val="18"/>
                <w:color w:val="auto"/>
              </w:rPr>
            </w:pPr>
          </w:p>
        </w:tc>
        <w:tc>
          <w:tcPr>
            <w:tcW w:w="10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Borders>
              <w:top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From Financing Activities:</w:t>
            </w:r>
          </w:p>
        </w:tc>
        <w:tc>
          <w:tcPr>
            <w:tcW w:w="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ind w:left="160"/>
              <w:spacing w:after="0"/>
              <w:rPr>
                <w:sz w:val="20"/>
                <w:szCs w:val="20"/>
                <w:color w:val="auto"/>
              </w:rPr>
            </w:pPr>
            <w:r>
              <w:rPr>
                <w:rFonts w:ascii="Arial" w:cs="Arial" w:eastAsia="Arial" w:hAnsi="Arial"/>
                <w:sz w:val="18"/>
                <w:szCs w:val="18"/>
                <w:color w:val="auto"/>
              </w:rPr>
              <w:t>Purchase of treasury shares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Dividends paid</w:t>
            </w:r>
          </w:p>
        </w:tc>
        <w:tc>
          <w:tcPr>
            <w:tcW w:w="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(60)</w:t>
            </w:r>
          </w:p>
        </w:tc>
        <w:tc>
          <w:tcPr>
            <w:tcW w:w="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ind w:left="160"/>
              <w:spacing w:after="0"/>
              <w:rPr>
                <w:sz w:val="20"/>
                <w:szCs w:val="20"/>
                <w:color w:val="auto"/>
              </w:rPr>
            </w:pPr>
            <w:r>
              <w:rPr>
                <w:rFonts w:ascii="Arial" w:cs="Arial" w:eastAsia="Arial" w:hAnsi="Arial"/>
                <w:sz w:val="18"/>
                <w:szCs w:val="18"/>
                <w:color w:val="auto"/>
              </w:rPr>
              <w:t>Issuance of common stock</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Treasury stock issued under employee stock purchase plan</w:t>
            </w:r>
          </w:p>
        </w:tc>
        <w:tc>
          <w:tcPr>
            <w:tcW w:w="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3</w:t>
            </w:r>
          </w:p>
        </w:tc>
        <w:tc>
          <w:tcPr>
            <w:tcW w:w="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ind w:left="160"/>
              <w:spacing w:after="0"/>
              <w:rPr>
                <w:sz w:val="20"/>
                <w:szCs w:val="20"/>
                <w:color w:val="auto"/>
              </w:rPr>
            </w:pPr>
            <w:r>
              <w:rPr>
                <w:rFonts w:ascii="Arial" w:cs="Arial" w:eastAsia="Arial" w:hAnsi="Arial"/>
                <w:sz w:val="18"/>
                <w:szCs w:val="18"/>
                <w:color w:val="auto"/>
              </w:rPr>
              <w:t>Excess tax benefits on share-based compensation</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Reduction in long-term debt</w:t>
            </w:r>
          </w:p>
        </w:tc>
        <w:tc>
          <w:tcPr>
            <w:tcW w:w="80" w:type="dxa"/>
            <w:vAlign w:val="bottom"/>
            <w:shd w:val="clear" w:color="auto" w:fill="CCFFCC"/>
          </w:tcPr>
          <w:p>
            <w:pPr>
              <w:spacing w:after="0"/>
              <w:rPr>
                <w:sz w:val="19"/>
                <w:szCs w:val="19"/>
                <w:color w:val="auto"/>
              </w:rPr>
            </w:pPr>
          </w:p>
        </w:tc>
        <w:tc>
          <w:tcPr>
            <w:tcW w:w="180" w:type="dxa"/>
            <w:vAlign w:val="bottom"/>
            <w:shd w:val="clear" w:color="auto" w:fill="CCFFCC"/>
          </w:tcPr>
          <w:p>
            <w:pPr>
              <w:spacing w:after="0"/>
              <w:rPr>
                <w:sz w:val="19"/>
                <w:szCs w:val="19"/>
                <w:color w:val="auto"/>
              </w:rPr>
            </w:pPr>
          </w:p>
        </w:tc>
        <w:tc>
          <w:tcPr>
            <w:tcW w:w="12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FFCC"/>
          </w:tcPr>
          <w:p>
            <w:pPr>
              <w:spacing w:after="0"/>
              <w:rPr>
                <w:sz w:val="19"/>
                <w:szCs w:val="19"/>
                <w:color w:val="auto"/>
              </w:rPr>
            </w:pPr>
          </w:p>
        </w:tc>
        <w:tc>
          <w:tcPr>
            <w:tcW w:w="220" w:type="dxa"/>
            <w:vAlign w:val="bottom"/>
            <w:shd w:val="clear" w:color="auto" w:fill="CCFFCC"/>
          </w:tcPr>
          <w:p>
            <w:pPr>
              <w:spacing w:after="0"/>
              <w:rPr>
                <w:sz w:val="19"/>
                <w:szCs w:val="19"/>
                <w:color w:val="auto"/>
              </w:rPr>
            </w:pP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80" w:type="dxa"/>
            <w:vAlign w:val="bottom"/>
            <w:tcBorders>
              <w:bottom w:val="single" w:sz="8" w:color="CCFFCC"/>
            </w:tcBorders>
          </w:tcPr>
          <w:p>
            <w:pPr>
              <w:ind w:left="160"/>
              <w:spacing w:after="0"/>
              <w:rPr>
                <w:sz w:val="20"/>
                <w:szCs w:val="20"/>
                <w:color w:val="auto"/>
              </w:rPr>
            </w:pPr>
            <w:r>
              <w:rPr>
                <w:rFonts w:ascii="Arial" w:cs="Arial" w:eastAsia="Arial" w:hAnsi="Arial"/>
                <w:sz w:val="18"/>
                <w:szCs w:val="18"/>
                <w:color w:val="auto"/>
              </w:rPr>
              <w:t>Net cash used in financing activities</w:t>
            </w:r>
          </w:p>
        </w:tc>
        <w:tc>
          <w:tcPr>
            <w:tcW w:w="80" w:type="dxa"/>
            <w:vAlign w:val="bottom"/>
            <w:tcBorders>
              <w:bottom w:val="single" w:sz="8" w:color="CCFFCC"/>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140" w:type="dxa"/>
            <w:vAlign w:val="bottom"/>
            <w:tcBorders>
              <w:bottom w:val="single" w:sz="8" w:color="CCFFCC"/>
            </w:tcBorders>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CCFFC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FFCC"/>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4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8480" w:type="dxa"/>
            <w:vAlign w:val="bottom"/>
          </w:tcPr>
          <w:p>
            <w:pPr>
              <w:spacing w:after="0"/>
              <w:rPr>
                <w:sz w:val="20"/>
                <w:szCs w:val="20"/>
                <w:color w:val="auto"/>
              </w:rPr>
            </w:pPr>
            <w:r>
              <w:rPr>
                <w:rFonts w:ascii="Arial" w:cs="Arial" w:eastAsia="Arial" w:hAnsi="Arial"/>
                <w:sz w:val="18"/>
                <w:szCs w:val="18"/>
                <w:b w:val="1"/>
                <w:bCs w:val="1"/>
                <w:color w:val="auto"/>
              </w:rPr>
              <w:t>Effect of exchange rate fluctuations on Cash and Cash Equivalents</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8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Net change in Cash and Cash Equivalents</w:t>
            </w:r>
          </w:p>
        </w:tc>
        <w:tc>
          <w:tcPr>
            <w:tcW w:w="80" w:type="dxa"/>
            <w:vAlign w:val="bottom"/>
            <w:tcBorders>
              <w:top w:val="single" w:sz="8" w:color="CCFFCC"/>
            </w:tcBorders>
            <w:shd w:val="clear" w:color="auto" w:fill="CCFFCC"/>
          </w:tcPr>
          <w:p>
            <w:pPr>
              <w:spacing w:after="0"/>
              <w:rPr>
                <w:sz w:val="18"/>
                <w:szCs w:val="18"/>
                <w:color w:val="auto"/>
              </w:rPr>
            </w:pPr>
          </w:p>
        </w:tc>
        <w:tc>
          <w:tcPr>
            <w:tcW w:w="180" w:type="dxa"/>
            <w:vAlign w:val="bottom"/>
            <w:tcBorders>
              <w:top w:val="single" w:sz="8" w:color="auto"/>
            </w:tcBorders>
            <w:shd w:val="clear" w:color="auto" w:fill="CCFFCC"/>
          </w:tcPr>
          <w:p>
            <w:pPr>
              <w:spacing w:after="0"/>
              <w:rPr>
                <w:sz w:val="18"/>
                <w:szCs w:val="18"/>
                <w:color w:val="auto"/>
              </w:rPr>
            </w:pPr>
          </w:p>
        </w:tc>
        <w:tc>
          <w:tcPr>
            <w:tcW w:w="11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(91)</w:t>
            </w:r>
          </w:p>
        </w:tc>
        <w:tc>
          <w:tcPr>
            <w:tcW w:w="140" w:type="dxa"/>
            <w:vAlign w:val="bottom"/>
            <w:tcBorders>
              <w:top w:val="single" w:sz="8" w:color="CCFFCC"/>
            </w:tcBorders>
            <w:shd w:val="clear" w:color="auto" w:fill="CCFFCC"/>
          </w:tcPr>
          <w:p>
            <w:pPr>
              <w:spacing w:after="0"/>
              <w:rPr>
                <w:sz w:val="18"/>
                <w:szCs w:val="18"/>
                <w:color w:val="auto"/>
              </w:rPr>
            </w:pPr>
          </w:p>
        </w:tc>
        <w:tc>
          <w:tcPr>
            <w:tcW w:w="60" w:type="dxa"/>
            <w:vAlign w:val="bottom"/>
            <w:tcBorders>
              <w:top w:val="single" w:sz="8" w:color="CCFFCC"/>
            </w:tcBorders>
            <w:shd w:val="clear" w:color="auto" w:fill="CCFFCC"/>
          </w:tcPr>
          <w:p>
            <w:pPr>
              <w:spacing w:after="0"/>
              <w:rPr>
                <w:sz w:val="18"/>
                <w:szCs w:val="18"/>
                <w:color w:val="auto"/>
              </w:rPr>
            </w:pPr>
          </w:p>
        </w:tc>
        <w:tc>
          <w:tcPr>
            <w:tcW w:w="220" w:type="dxa"/>
            <w:vAlign w:val="bottom"/>
            <w:tcBorders>
              <w:top w:val="single" w:sz="8" w:color="auto"/>
            </w:tcBorders>
            <w:shd w:val="clear" w:color="auto" w:fill="CCFFCC"/>
          </w:tcPr>
          <w:p>
            <w:pPr>
              <w:spacing w:after="0"/>
              <w:rPr>
                <w:sz w:val="18"/>
                <w:szCs w:val="18"/>
                <w:color w:val="auto"/>
              </w:rPr>
            </w:pPr>
          </w:p>
        </w:tc>
        <w:tc>
          <w:tcPr>
            <w:tcW w:w="10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80" w:type="dxa"/>
            <w:vAlign w:val="bottom"/>
          </w:tcPr>
          <w:p>
            <w:pPr>
              <w:spacing w:after="0"/>
              <w:rPr>
                <w:sz w:val="20"/>
                <w:szCs w:val="20"/>
                <w:color w:val="auto"/>
              </w:rPr>
            </w:pPr>
            <w:r>
              <w:rPr>
                <w:rFonts w:ascii="Arial" w:cs="Arial" w:eastAsia="Arial" w:hAnsi="Arial"/>
                <w:sz w:val="18"/>
                <w:szCs w:val="18"/>
                <w:b w:val="1"/>
                <w:bCs w:val="1"/>
                <w:color w:val="auto"/>
              </w:rPr>
              <w:t>Cash and Cash Equivalents at beginning of year</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880</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851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80" w:type="dxa"/>
            <w:vAlign w:val="bottom"/>
            <w:tcBorders>
              <w:top w:val="single" w:sz="8" w:color="CCFFCC"/>
              <w:bottom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Cash and Cash Equivalents at end of interim period</w:t>
            </w:r>
          </w:p>
        </w:tc>
        <w:tc>
          <w:tcPr>
            <w:tcW w:w="80" w:type="dxa"/>
            <w:vAlign w:val="bottom"/>
            <w:tcBorders>
              <w:top w:val="single" w:sz="8" w:color="CCFFCC"/>
              <w:bottom w:val="single" w:sz="8" w:color="CCFFCC"/>
            </w:tcBorders>
            <w:shd w:val="clear" w:color="auto" w:fill="CCFFCC"/>
          </w:tcPr>
          <w:p>
            <w:pPr>
              <w:spacing w:after="0"/>
              <w:rPr>
                <w:sz w:val="19"/>
                <w:szCs w:val="19"/>
                <w:color w:val="auto"/>
              </w:rPr>
            </w:pPr>
          </w:p>
        </w:tc>
        <w:tc>
          <w:tcPr>
            <w:tcW w:w="1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789</w:t>
            </w:r>
          </w:p>
        </w:tc>
        <w:tc>
          <w:tcPr>
            <w:tcW w:w="140" w:type="dxa"/>
            <w:vAlign w:val="bottom"/>
            <w:tcBorders>
              <w:top w:val="single" w:sz="8" w:color="CCFFCC"/>
              <w:bottom w:val="single" w:sz="8" w:color="CCFFCC"/>
            </w:tcBorders>
            <w:shd w:val="clear" w:color="auto" w:fill="CCFFCC"/>
          </w:tcPr>
          <w:p>
            <w:pPr>
              <w:spacing w:after="0"/>
              <w:rPr>
                <w:sz w:val="19"/>
                <w:szCs w:val="19"/>
                <w:color w:val="auto"/>
              </w:rPr>
            </w:pPr>
          </w:p>
        </w:tc>
        <w:tc>
          <w:tcPr>
            <w:tcW w:w="60" w:type="dxa"/>
            <w:vAlign w:val="bottom"/>
            <w:tcBorders>
              <w:top w:val="single" w:sz="8" w:color="CCFFCC"/>
              <w:bottom w:val="single" w:sz="8" w:color="CCFFCC"/>
            </w:tcBorders>
            <w:shd w:val="clear" w:color="auto" w:fill="CCFFCC"/>
          </w:tcPr>
          <w:p>
            <w:pPr>
              <w:spacing w:after="0"/>
              <w:rPr>
                <w:sz w:val="19"/>
                <w:szCs w:val="19"/>
                <w:color w:val="auto"/>
              </w:rPr>
            </w:pPr>
          </w:p>
        </w:tc>
        <w:tc>
          <w:tcPr>
            <w:tcW w:w="220" w:type="dxa"/>
            <w:vAlign w:val="bottom"/>
            <w:tcBorders>
              <w:top w:val="single" w:sz="8" w:color="auto"/>
              <w:bottom w:val="single" w:sz="8" w:color="auto"/>
            </w:tcBorders>
            <w:shd w:val="clear" w:color="auto" w:fill="CCFFCC"/>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770</w:t>
            </w:r>
          </w:p>
        </w:tc>
        <w:tc>
          <w:tcPr>
            <w:tcW w:w="100" w:type="dxa"/>
            <w:vAlign w:val="bottom"/>
            <w:tcBorders>
              <w:top w:val="single" w:sz="8" w:color="CCFFCC"/>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Cash paid during the period:</w:t>
            </w:r>
          </w:p>
        </w:tc>
        <w:tc>
          <w:tcPr>
            <w:tcW w:w="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ind w:left="160"/>
              <w:spacing w:after="0"/>
              <w:rPr>
                <w:sz w:val="20"/>
                <w:szCs w:val="20"/>
                <w:color w:val="auto"/>
              </w:rPr>
            </w:pPr>
            <w:r>
              <w:rPr>
                <w:rFonts w:ascii="Arial" w:cs="Arial" w:eastAsia="Arial" w:hAnsi="Arial"/>
                <w:sz w:val="18"/>
                <w:szCs w:val="18"/>
                <w:color w:val="auto"/>
              </w:rPr>
              <w:t>Interest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2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Income taxes</w:t>
            </w:r>
          </w:p>
        </w:tc>
        <w:tc>
          <w:tcPr>
            <w:tcW w:w="2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99</w:t>
            </w:r>
          </w:p>
        </w:tc>
        <w:tc>
          <w:tcPr>
            <w:tcW w:w="280" w:type="dxa"/>
            <w:vAlign w:val="bottom"/>
            <w:gridSpan w:val="2"/>
            <w:shd w:val="clear" w:color="auto" w:fill="CCFFCC"/>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5" w:lineRule="exact"/>
        <w:rPr>
          <w:sz w:val="20"/>
          <w:szCs w:val="20"/>
          <w:color w:val="auto"/>
        </w:rPr>
      </w:pPr>
    </w:p>
    <w:p>
      <w:pPr>
        <w:ind w:left="180" w:hanging="172"/>
        <w:spacing w:after="0"/>
        <w:tabs>
          <w:tab w:leader="none" w:pos="1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accompanying condensed consolidated financial statements contained in this report are unaudited. In the opinion of management, the condensed consolidated financial statements include all adjustments, which are of a normal recurring nature, necessary for a fair presentation of the results for the interim periods of the fiscal year ending February 1, 2014 and of the fiscal year ended February 2, 2013. Certain items included in these statements are based on management’s estimates. Actual results may differ from those estimates. The results of operations for any interim period are not necessarily indicative of the results expected for the year. The accompanying unaudited condensed consolidated financial statements should be read in conjunction with the Notes to Consolidated Financial Statements contained in the Company’s Form 10-K for the year ended February 2, 2013, as filed with the Securities and Exchange Commission (the “SEC”) on April 1, 2013.</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During the first quarter of 2013, the Company adopted Accounting Standards Update 2013-02, </w:t>
      </w:r>
      <w:r>
        <w:rPr>
          <w:rFonts w:ascii="Arial" w:cs="Arial" w:eastAsia="Arial" w:hAnsi="Arial"/>
          <w:sz w:val="17"/>
          <w:szCs w:val="17"/>
          <w:i w:val="1"/>
          <w:iCs w:val="1"/>
          <w:color w:val="auto"/>
        </w:rPr>
        <w:t>Comprehensive Income (Topic 220): Reporting of Amounts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Reclassified out of Accumulated Other Comprehensive Income </w:t>
      </w:r>
      <w:r>
        <w:rPr>
          <w:rFonts w:ascii="Arial" w:cs="Arial" w:eastAsia="Arial" w:hAnsi="Arial"/>
          <w:sz w:val="17"/>
          <w:szCs w:val="17"/>
          <w:color w:val="auto"/>
        </w:rPr>
        <w:t>(“ASU 2013-02”). ASU 2013-02 amended existing guidance by requiring additional disclosure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either on the face of the income statement or in the notes to the financial statements of significant amounts reclassified out of accumulated other comprehensive income. The provisions of this new guidance were effective prospectively as of the beginning of 2013. Accordingly, enhanced footnote disclosure is included in </w:t>
      </w:r>
      <w:r>
        <w:rPr>
          <w:rFonts w:ascii="Arial" w:cs="Arial" w:eastAsia="Arial" w:hAnsi="Arial"/>
          <w:sz w:val="17"/>
          <w:szCs w:val="17"/>
          <w:i w:val="1"/>
          <w:iCs w:val="1"/>
          <w:color w:val="auto"/>
        </w:rPr>
        <w:t>Note 5</w:t>
      </w:r>
      <w:r>
        <w:rPr>
          <w:rFonts w:ascii="Arial" w:cs="Arial" w:eastAsia="Arial" w:hAnsi="Arial"/>
          <w:sz w:val="17"/>
          <w:szCs w:val="17"/>
          <w:color w:val="auto"/>
        </w:rPr>
        <w:t>. The adoption of ASU 2013-02 had no effect on our results of operations or financial position.</w:t>
      </w:r>
    </w:p>
    <w:p>
      <w:pPr>
        <w:spacing w:after="0" w:line="17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We performed our annual goodwill impairment assessment during the first quarter of 2013, using a qualitative approach as permitted under Accounting Standards Update No. 2011-08, </w:t>
      </w:r>
      <w:r>
        <w:rPr>
          <w:rFonts w:ascii="Arial" w:cs="Arial" w:eastAsia="Arial" w:hAnsi="Arial"/>
          <w:sz w:val="17"/>
          <w:szCs w:val="17"/>
          <w:i w:val="1"/>
          <w:iCs w:val="1"/>
          <w:color w:val="auto"/>
        </w:rPr>
        <w:t>Testing Goodwill for Impairment</w:t>
      </w:r>
      <w:r>
        <w:rPr>
          <w:rFonts w:ascii="Arial" w:cs="Arial" w:eastAsia="Arial" w:hAnsi="Arial"/>
          <w:sz w:val="17"/>
          <w:szCs w:val="17"/>
          <w:color w:val="auto"/>
        </w:rPr>
        <w:t>. In performing the assessment, we identified and considered the significance of relevant key factors, events, and circumstances that affected the fair value and/or carrying amounts of our reporting units. These factors included external factors such as macroeconomic, industry and market conditions, as well as entity-specific factors, such as our actual and planned financial performance. Based on the results of the impairment assessment performed, we concluded that it is more likely than not that the fair values of our reporting units substantially exceeded their respective carrying values and there are no reporting units at risk of impairment.</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recently issued accounting pronouncements did not, or are not believed by management to, have a material effect on the Company’s present or future consolidated financial statements.</w:t>
      </w:r>
    </w:p>
    <w:p>
      <w:pPr>
        <w:spacing w:after="0" w:line="166" w:lineRule="exact"/>
        <w:rPr>
          <w:sz w:val="20"/>
          <w:szCs w:val="20"/>
          <w:color w:val="auto"/>
        </w:rPr>
      </w:pPr>
    </w:p>
    <w:p>
      <w:pPr>
        <w:ind w:left="180" w:hanging="172"/>
        <w:spacing w:after="0"/>
        <w:tabs>
          <w:tab w:leader="none" w:pos="1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Acquisition</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Effective beginning on July 7, 2013, the Company completed its acquisition of 100 percent of the shares of Runners Point Warenhandelsgesellschaft mbH, (“Runners Point Group”) a specialty athletic store and online retailer based in Recklinghausen, Germany. The aggregate purchase price paid for the acquisition was $87 million in cash, subject to adjustment for finalization of the value of the net assets acquired. Runners Point Group operates 194 stores in Germany, Austria, and the Netherlands. Additionally, there are 24 Runners Point Group franchise stores operating in Germany and Switzerland. The acquisition is intended to enhance the Company’s position in Germany and also provide additional banners to further diversify and expand the Company’s European business. Also, the addition of the strong digital capabilities of Tredex, the e-commerce subsidiary of Runners Point Group, allows for the potential of accelerated e-commerce growth in Europe.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results of Runners Point Group are included in our consolidated financial statements since the acquisition date.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5" w:lineRule="exact"/>
        <w:rPr>
          <w:sz w:val="20"/>
          <w:szCs w:val="20"/>
          <w:color w:val="auto"/>
        </w:rPr>
      </w:pPr>
    </w:p>
    <w:p>
      <w:pPr>
        <w:ind w:left="180" w:hanging="172"/>
        <w:spacing w:after="0"/>
        <w:tabs>
          <w:tab w:leader="none" w:pos="1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Acquisition – (continued)</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following table summarizes the preliminary allocation of the purchase price to the fair value of assets acquired, based on the exchange rate in effect at the date of our acquisition of Runners Point Group. The allocation of the purchase price shown in the table below is preliminary and subject to change based on the finalization of our detailed valuations, including the valuations of trademarks, tradenames, customer lists, and other intangibles.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3"/>
              </w:rPr>
              <w:t>(in millions)</w:t>
            </w:r>
          </w:p>
        </w:tc>
      </w:tr>
      <w:tr>
        <w:trPr>
          <w:trHeight w:val="210"/>
        </w:trPr>
        <w:tc>
          <w:tcPr>
            <w:tcW w:w="1006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Cash and cash equivalents</w:t>
            </w:r>
          </w:p>
        </w:tc>
        <w:tc>
          <w:tcPr>
            <w:tcW w:w="2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w:t>
            </w:r>
          </w:p>
        </w:tc>
        <w:tc>
          <w:tcPr>
            <w:tcW w:w="2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r>
      <w:tr>
        <w:trPr>
          <w:trHeight w:val="216"/>
        </w:trPr>
        <w:tc>
          <w:tcPr>
            <w:tcW w:w="10060" w:type="dxa"/>
            <w:vAlign w:val="bottom"/>
          </w:tcPr>
          <w:p>
            <w:pPr>
              <w:spacing w:after="0"/>
              <w:rPr>
                <w:sz w:val="20"/>
                <w:szCs w:val="20"/>
                <w:color w:val="auto"/>
              </w:rPr>
            </w:pPr>
            <w:r>
              <w:rPr>
                <w:rFonts w:ascii="Arial" w:cs="Arial" w:eastAsia="Arial" w:hAnsi="Arial"/>
                <w:sz w:val="18"/>
                <w:szCs w:val="18"/>
                <w:color w:val="auto"/>
              </w:rPr>
              <w:t>Inventory</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c>
          <w:tcPr>
            <w:tcW w:w="80" w:type="dxa"/>
            <w:vAlign w:val="bottom"/>
          </w:tcPr>
          <w:p>
            <w:pPr>
              <w:spacing w:after="0"/>
              <w:rPr>
                <w:sz w:val="18"/>
                <w:szCs w:val="18"/>
                <w:color w:val="auto"/>
              </w:rPr>
            </w:pPr>
          </w:p>
        </w:tc>
      </w:tr>
      <w:tr>
        <w:trPr>
          <w:trHeight w:val="216"/>
        </w:trPr>
        <w:tc>
          <w:tcPr>
            <w:tcW w:w="10060" w:type="dxa"/>
            <w:vAlign w:val="bottom"/>
            <w:shd w:val="clear" w:color="auto" w:fill="CCFFCC"/>
          </w:tcPr>
          <w:p>
            <w:pPr>
              <w:spacing w:after="0"/>
              <w:rPr>
                <w:sz w:val="20"/>
                <w:szCs w:val="20"/>
                <w:color w:val="auto"/>
              </w:rPr>
            </w:pPr>
            <w:r>
              <w:rPr>
                <w:rFonts w:ascii="Arial" w:cs="Arial" w:eastAsia="Arial" w:hAnsi="Arial"/>
                <w:sz w:val="18"/>
                <w:szCs w:val="18"/>
                <w:color w:val="auto"/>
              </w:rPr>
              <w:t>Other current assets</w:t>
            </w:r>
          </w:p>
        </w:tc>
        <w:tc>
          <w:tcPr>
            <w:tcW w:w="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FFCC"/>
          </w:tcPr>
          <w:p>
            <w:pPr>
              <w:spacing w:after="0"/>
              <w:rPr>
                <w:sz w:val="18"/>
                <w:szCs w:val="18"/>
                <w:color w:val="auto"/>
              </w:rPr>
            </w:pPr>
          </w:p>
        </w:tc>
      </w:tr>
      <w:tr>
        <w:trPr>
          <w:trHeight w:val="216"/>
        </w:trPr>
        <w:tc>
          <w:tcPr>
            <w:tcW w:w="10060" w:type="dxa"/>
            <w:vAlign w:val="bottom"/>
          </w:tcPr>
          <w:p>
            <w:pPr>
              <w:spacing w:after="0"/>
              <w:rPr>
                <w:sz w:val="20"/>
                <w:szCs w:val="20"/>
                <w:color w:val="auto"/>
              </w:rPr>
            </w:pPr>
            <w:r>
              <w:rPr>
                <w:rFonts w:ascii="Arial" w:cs="Arial" w:eastAsia="Arial" w:hAnsi="Arial"/>
                <w:sz w:val="18"/>
                <w:szCs w:val="18"/>
                <w:color w:val="auto"/>
              </w:rPr>
              <w:t>Property and equipment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8"/>
                <w:szCs w:val="18"/>
                <w:color w:val="auto"/>
              </w:rPr>
            </w:pPr>
          </w:p>
        </w:tc>
      </w:tr>
      <w:tr>
        <w:trPr>
          <w:trHeight w:val="216"/>
        </w:trPr>
        <w:tc>
          <w:tcPr>
            <w:tcW w:w="10060" w:type="dxa"/>
            <w:vAlign w:val="bottom"/>
            <w:shd w:val="clear" w:color="auto" w:fill="CCFFCC"/>
          </w:tcPr>
          <w:p>
            <w:pPr>
              <w:spacing w:after="0"/>
              <w:rPr>
                <w:sz w:val="20"/>
                <w:szCs w:val="20"/>
                <w:color w:val="auto"/>
              </w:rPr>
            </w:pPr>
            <w:r>
              <w:rPr>
                <w:rFonts w:ascii="Arial" w:cs="Arial" w:eastAsia="Arial" w:hAnsi="Arial"/>
                <w:sz w:val="18"/>
                <w:szCs w:val="18"/>
                <w:color w:val="auto"/>
              </w:rPr>
              <w:t>Other long-term assets</w:t>
            </w:r>
          </w:p>
        </w:tc>
        <w:tc>
          <w:tcPr>
            <w:tcW w:w="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9</w:t>
            </w:r>
          </w:p>
        </w:tc>
        <w:tc>
          <w:tcPr>
            <w:tcW w:w="80" w:type="dxa"/>
            <w:vAlign w:val="bottom"/>
            <w:shd w:val="clear" w:color="auto" w:fill="CCFFCC"/>
          </w:tcPr>
          <w:p>
            <w:pPr>
              <w:spacing w:after="0"/>
              <w:rPr>
                <w:sz w:val="18"/>
                <w:szCs w:val="18"/>
                <w:color w:val="auto"/>
              </w:rPr>
            </w:pPr>
          </w:p>
        </w:tc>
      </w:tr>
      <w:tr>
        <w:trPr>
          <w:trHeight w:val="216"/>
        </w:trPr>
        <w:tc>
          <w:tcPr>
            <w:tcW w:w="10060" w:type="dxa"/>
            <w:vAlign w:val="bottom"/>
          </w:tcPr>
          <w:p>
            <w:pPr>
              <w:spacing w:after="0"/>
              <w:rPr>
                <w:sz w:val="20"/>
                <w:szCs w:val="20"/>
                <w:color w:val="auto"/>
              </w:rPr>
            </w:pPr>
            <w:r>
              <w:rPr>
                <w:rFonts w:ascii="Arial" w:cs="Arial" w:eastAsia="Arial" w:hAnsi="Arial"/>
                <w:sz w:val="18"/>
                <w:szCs w:val="18"/>
                <w:color w:val="auto"/>
              </w:rPr>
              <w:t>Accounts payable and other accruals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jc w:val="right"/>
              <w:ind w:right="40"/>
              <w:spacing w:after="0"/>
              <w:rPr>
                <w:sz w:val="20"/>
                <w:szCs w:val="20"/>
                <w:color w:val="auto"/>
              </w:rPr>
            </w:pPr>
            <w:r>
              <w:rPr>
                <w:rFonts w:ascii="Arial" w:cs="Arial" w:eastAsia="Arial" w:hAnsi="Arial"/>
                <w:sz w:val="18"/>
                <w:szCs w:val="18"/>
                <w:color w:val="auto"/>
              </w:rPr>
              <w:t>(34)</w:t>
            </w:r>
          </w:p>
        </w:tc>
      </w:tr>
      <w:tr>
        <w:trPr>
          <w:trHeight w:val="216"/>
        </w:trPr>
        <w:tc>
          <w:tcPr>
            <w:tcW w:w="10060" w:type="dxa"/>
            <w:vAlign w:val="bottom"/>
            <w:shd w:val="clear" w:color="auto" w:fill="CCFFCC"/>
          </w:tcPr>
          <w:p>
            <w:pPr>
              <w:spacing w:after="0"/>
              <w:rPr>
                <w:sz w:val="20"/>
                <w:szCs w:val="20"/>
                <w:color w:val="auto"/>
              </w:rPr>
            </w:pPr>
            <w:r>
              <w:rPr>
                <w:rFonts w:ascii="Arial" w:cs="Arial" w:eastAsia="Arial" w:hAnsi="Arial"/>
                <w:sz w:val="18"/>
                <w:szCs w:val="18"/>
                <w:color w:val="auto"/>
              </w:rPr>
              <w:t>Obligations under capital leases</w:t>
            </w:r>
          </w:p>
        </w:tc>
        <w:tc>
          <w:tcPr>
            <w:tcW w:w="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20" w:type="dxa"/>
            <w:vAlign w:val="bottom"/>
            <w:gridSpan w:val="3"/>
            <w:shd w:val="clear" w:color="auto" w:fill="CCFFCC"/>
          </w:tcPr>
          <w:p>
            <w:pPr>
              <w:jc w:val="right"/>
              <w:ind w:right="40"/>
              <w:spacing w:after="0"/>
              <w:rPr>
                <w:sz w:val="20"/>
                <w:szCs w:val="20"/>
                <w:color w:val="auto"/>
              </w:rPr>
            </w:pPr>
            <w:r>
              <w:rPr>
                <w:rFonts w:ascii="Arial" w:cs="Arial" w:eastAsia="Arial" w:hAnsi="Arial"/>
                <w:sz w:val="18"/>
                <w:szCs w:val="18"/>
                <w:color w:val="auto"/>
              </w:rPr>
              <w:t>(9)</w:t>
            </w:r>
          </w:p>
        </w:tc>
      </w:tr>
      <w:tr>
        <w:trPr>
          <w:trHeight w:val="216"/>
        </w:trPr>
        <w:tc>
          <w:tcPr>
            <w:tcW w:w="1006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jc w:val="right"/>
              <w:ind w:right="40"/>
              <w:spacing w:after="0"/>
              <w:rPr>
                <w:sz w:val="20"/>
                <w:szCs w:val="20"/>
                <w:color w:val="auto"/>
              </w:rPr>
            </w:pPr>
            <w:r>
              <w:rPr>
                <w:rFonts w:ascii="Arial" w:cs="Arial" w:eastAsia="Arial" w:hAnsi="Arial"/>
                <w:sz w:val="18"/>
                <w:szCs w:val="18"/>
                <w:color w:val="auto"/>
              </w:rPr>
              <w:t>(1)</w:t>
            </w:r>
          </w:p>
        </w:tc>
      </w:tr>
      <w:tr>
        <w:trPr>
          <w:trHeight w:val="270"/>
        </w:trPr>
        <w:tc>
          <w:tcPr>
            <w:tcW w:w="10060" w:type="dxa"/>
            <w:vAlign w:val="bottom"/>
            <w:shd w:val="clear" w:color="auto" w:fill="CCFFCC"/>
          </w:tcPr>
          <w:p>
            <w:pPr>
              <w:spacing w:after="0" w:line="269" w:lineRule="exact"/>
              <w:rPr>
                <w:sz w:val="20"/>
                <w:szCs w:val="20"/>
                <w:color w:val="auto"/>
              </w:rPr>
            </w:pPr>
            <w:r>
              <w:rPr>
                <w:rFonts w:ascii="Arial" w:cs="Arial" w:eastAsia="Arial" w:hAnsi="Arial"/>
                <w:sz w:val="18"/>
                <w:szCs w:val="18"/>
                <w:color w:val="auto"/>
              </w:rPr>
              <w:t xml:space="preserve">Goodwill </w:t>
            </w:r>
            <w:r>
              <w:rPr>
                <w:rFonts w:ascii="Arial" w:cs="Arial" w:eastAsia="Arial" w:hAnsi="Arial"/>
                <w:sz w:val="30"/>
                <w:szCs w:val="30"/>
                <w:color w:val="auto"/>
                <w:vertAlign w:val="superscript"/>
              </w:rPr>
              <w:t>(1)</w:t>
            </w:r>
          </w:p>
        </w:tc>
        <w:tc>
          <w:tcPr>
            <w:tcW w:w="20" w:type="dxa"/>
            <w:vAlign w:val="bottom"/>
            <w:shd w:val="clear" w:color="auto" w:fill="CCFFCC"/>
          </w:tcPr>
          <w:p>
            <w:pPr>
              <w:spacing w:after="0"/>
              <w:rPr>
                <w:sz w:val="23"/>
                <w:szCs w:val="23"/>
                <w:color w:val="auto"/>
              </w:rPr>
            </w:pPr>
          </w:p>
        </w:tc>
        <w:tc>
          <w:tcPr>
            <w:tcW w:w="120" w:type="dxa"/>
            <w:vAlign w:val="bottom"/>
            <w:shd w:val="clear" w:color="auto" w:fill="CCFFCC"/>
          </w:tcPr>
          <w:p>
            <w:pPr>
              <w:spacing w:after="0"/>
              <w:rPr>
                <w:sz w:val="23"/>
                <w:szCs w:val="23"/>
                <w:color w:val="auto"/>
              </w:rPr>
            </w:pPr>
          </w:p>
        </w:tc>
        <w:tc>
          <w:tcPr>
            <w:tcW w:w="11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49</w:t>
            </w:r>
          </w:p>
        </w:tc>
        <w:tc>
          <w:tcPr>
            <w:tcW w:w="80" w:type="dxa"/>
            <w:vAlign w:val="bottom"/>
            <w:shd w:val="clear" w:color="auto" w:fill="CCFFCC"/>
          </w:tcPr>
          <w:p>
            <w:pPr>
              <w:spacing w:after="0"/>
              <w:rPr>
                <w:sz w:val="23"/>
                <w:szCs w:val="23"/>
                <w:color w:val="auto"/>
              </w:rPr>
            </w:pPr>
          </w:p>
        </w:tc>
      </w:tr>
      <w:tr>
        <w:trPr>
          <w:trHeight w:val="223"/>
        </w:trPr>
        <w:tc>
          <w:tcPr>
            <w:tcW w:w="10060" w:type="dxa"/>
            <w:vAlign w:val="bottom"/>
          </w:tcPr>
          <w:p>
            <w:pPr>
              <w:ind w:left="180"/>
              <w:spacing w:after="0"/>
              <w:rPr>
                <w:sz w:val="20"/>
                <w:szCs w:val="20"/>
                <w:color w:val="auto"/>
              </w:rPr>
            </w:pPr>
            <w:r>
              <w:rPr>
                <w:rFonts w:ascii="Arial" w:cs="Arial" w:eastAsia="Arial" w:hAnsi="Arial"/>
                <w:sz w:val="18"/>
                <w:szCs w:val="18"/>
                <w:color w:val="auto"/>
              </w:rPr>
              <w:t>Total purchase price</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0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5020" w:firstLine="8"/>
        <w:spacing w:after="0" w:line="427" w:lineRule="auto"/>
        <w:tabs>
          <w:tab w:leader="none" w:pos="324" w:val="left"/>
        </w:tabs>
        <w:numPr>
          <w:ilvl w:val="0"/>
          <w:numId w:val="7"/>
        </w:numPr>
        <w:rPr>
          <w:rFonts w:ascii="Arial" w:cs="Arial" w:eastAsia="Arial" w:hAnsi="Arial"/>
          <w:sz w:val="26"/>
          <w:szCs w:val="26"/>
          <w:color w:val="auto"/>
          <w:vertAlign w:val="superscript"/>
        </w:rPr>
      </w:pPr>
      <w:r>
        <w:rPr>
          <w:rFonts w:ascii="Arial" w:cs="Arial" w:eastAsia="Arial" w:hAnsi="Arial"/>
          <w:sz w:val="16"/>
          <w:szCs w:val="16"/>
          <w:color w:val="auto"/>
        </w:rPr>
        <w:t>As of August 3, 2013, the U.S. dollar value of goodwill increased to $50 million. The Company is assessing the tax deductibility of the goodwill related to the acquisition.</w:t>
      </w:r>
    </w:p>
    <w:p>
      <w:pPr>
        <w:spacing w:after="0" w:line="1" w:lineRule="exact"/>
        <w:rPr>
          <w:sz w:val="20"/>
          <w:szCs w:val="20"/>
          <w:color w:val="auto"/>
        </w:rPr>
      </w:pPr>
    </w:p>
    <w:p>
      <w:pPr>
        <w:ind w:left="180" w:hanging="172"/>
        <w:spacing w:after="0"/>
        <w:tabs>
          <w:tab w:leader="none" w:pos="1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Segment Information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determined that its reportable segments are those that are based on its method of internal reporting. As of August 3, 2013, the Company has two reportable segments, Athletic Stores and Direct-to-Customers. Sales and division results for the Company’s reportable segments for the thirteen weeks and twenty-six weeks ended August 3, 2013 and July 28, 2012 are presented below. Division profit reflects income before income taxes, corporate expense, net interest expense, and net non-operating income.</w:t>
      </w:r>
    </w:p>
    <w:p>
      <w:pPr>
        <w:spacing w:after="0" w:line="187"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 xml:space="preserve">As discussed in Note 2, </w:t>
      </w:r>
      <w:r>
        <w:rPr>
          <w:rFonts w:ascii="Arial" w:cs="Arial" w:eastAsia="Arial" w:hAnsi="Arial"/>
          <w:sz w:val="18"/>
          <w:szCs w:val="18"/>
          <w:i w:val="1"/>
          <w:iCs w:val="1"/>
          <w:color w:val="auto"/>
        </w:rPr>
        <w:t>Acquisition,</w:t>
      </w:r>
      <w:r>
        <w:rPr>
          <w:rFonts w:ascii="Arial" w:cs="Arial" w:eastAsia="Arial" w:hAnsi="Arial"/>
          <w:sz w:val="18"/>
          <w:szCs w:val="18"/>
          <w:color w:val="auto"/>
        </w:rPr>
        <w:t xml:space="preserve"> the Company acquired Runners Point Group during the second quarter of 2013. Sales and division results for the Runners Point Group stores, including Runners Point, Sidestep and Run</w:t>
      </w:r>
      <w:r>
        <w:rPr>
          <w:rFonts w:ascii="Arial" w:cs="Arial" w:eastAsia="Arial" w:hAnsi="Arial"/>
          <w:sz w:val="30"/>
          <w:szCs w:val="30"/>
          <w:color w:val="auto"/>
          <w:vertAlign w:val="superscript"/>
        </w:rPr>
        <w:t>2</w:t>
      </w:r>
      <w:r>
        <w:rPr>
          <w:rFonts w:ascii="Arial" w:cs="Arial" w:eastAsia="Arial" w:hAnsi="Arial"/>
          <w:sz w:val="18"/>
          <w:szCs w:val="18"/>
          <w:color w:val="auto"/>
        </w:rPr>
        <w:t>, are included in the Athletic Stores segment since the date of acquisition. Sales and division results for Tredex, a direct-to-customer subsidiary of Runners Point Group, are included in the Direct-to-Customers segment since the date of acquisition.</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Sales</w:t>
            </w:r>
          </w:p>
        </w:tc>
        <w:tc>
          <w:tcPr>
            <w:tcW w:w="200" w:type="dxa"/>
            <w:vAlign w:val="bottom"/>
          </w:tcPr>
          <w:p>
            <w:pPr>
              <w:spacing w:after="0"/>
              <w:rPr>
                <w:sz w:val="20"/>
                <w:szCs w:val="20"/>
                <w:color w:val="auto"/>
              </w:rPr>
            </w:pPr>
          </w:p>
        </w:tc>
        <w:tc>
          <w:tcPr>
            <w:tcW w:w="2680" w:type="dxa"/>
            <w:vAlign w:val="bottom"/>
            <w:gridSpan w:val="6"/>
          </w:tcPr>
          <w:p>
            <w:pPr>
              <w:ind w:left="340"/>
              <w:spacing w:after="0"/>
              <w:rPr>
                <w:sz w:val="20"/>
                <w:szCs w:val="20"/>
                <w:color w:val="auto"/>
              </w:rPr>
            </w:pPr>
            <w:r>
              <w:rPr>
                <w:rFonts w:ascii="Arial" w:cs="Arial" w:eastAsia="Arial" w:hAnsi="Arial"/>
                <w:sz w:val="18"/>
                <w:szCs w:val="18"/>
                <w:b w:val="1"/>
                <w:bCs w:val="1"/>
                <w:color w:val="auto"/>
              </w:rPr>
              <w:t>Thirteen weeks ended</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40" w:type="dxa"/>
            <w:vAlign w:val="bottom"/>
            <w:gridSpan w:val="5"/>
          </w:tcPr>
          <w:p>
            <w:pPr>
              <w:ind w:left="260"/>
              <w:spacing w:after="0"/>
              <w:rPr>
                <w:sz w:val="20"/>
                <w:szCs w:val="20"/>
                <w:color w:val="auto"/>
              </w:rPr>
            </w:pPr>
            <w:r>
              <w:rPr>
                <w:rFonts w:ascii="Arial" w:cs="Arial" w:eastAsia="Arial" w:hAnsi="Arial"/>
                <w:sz w:val="18"/>
                <w:szCs w:val="18"/>
                <w:b w:val="1"/>
                <w:bCs w:val="1"/>
                <w:color w:val="auto"/>
              </w:rPr>
              <w:t>Twenty-six weeks ended</w:t>
            </w:r>
          </w:p>
        </w:tc>
        <w:tc>
          <w:tcPr>
            <w:tcW w:w="0" w:type="dxa"/>
            <w:vAlign w:val="bottom"/>
          </w:tcPr>
          <w:p>
            <w:pPr>
              <w:spacing w:after="0"/>
              <w:rPr>
                <w:sz w:val="1"/>
                <w:szCs w:val="1"/>
                <w:color w:val="auto"/>
              </w:rPr>
            </w:pPr>
          </w:p>
        </w:tc>
      </w:tr>
      <w:tr>
        <w:trPr>
          <w:trHeight w:val="205"/>
        </w:trPr>
        <w:tc>
          <w:tcPr>
            <w:tcW w:w="5620" w:type="dxa"/>
            <w:vAlign w:val="bottom"/>
            <w:gridSpan w:val="2"/>
            <w:vMerge w:val="continue"/>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gridSpan w:val="2"/>
          </w:tcPr>
          <w:p>
            <w:pPr>
              <w:jc w:val="right"/>
              <w:ind w:right="380"/>
              <w:spacing w:after="0" w:line="205" w:lineRule="exact"/>
              <w:rPr>
                <w:sz w:val="20"/>
                <w:szCs w:val="20"/>
                <w:color w:val="auto"/>
              </w:rPr>
            </w:pPr>
            <w:r>
              <w:rPr>
                <w:rFonts w:ascii="Arial" w:cs="Arial" w:eastAsia="Arial" w:hAnsi="Arial"/>
                <w:sz w:val="18"/>
                <w:szCs w:val="18"/>
                <w:b w:val="1"/>
                <w:bCs w:val="1"/>
                <w:color w:val="auto"/>
                <w:w w:val="95"/>
              </w:rPr>
              <w:t>August 3,</w:t>
            </w:r>
          </w:p>
        </w:tc>
        <w:tc>
          <w:tcPr>
            <w:tcW w:w="1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ind w:right="250"/>
              <w:spacing w:after="0" w:line="205" w:lineRule="exact"/>
              <w:rPr>
                <w:sz w:val="20"/>
                <w:szCs w:val="20"/>
                <w:color w:val="auto"/>
              </w:rPr>
            </w:pPr>
            <w:r>
              <w:rPr>
                <w:rFonts w:ascii="Arial" w:cs="Arial" w:eastAsia="Arial" w:hAnsi="Arial"/>
                <w:sz w:val="18"/>
                <w:szCs w:val="18"/>
                <w:b w:val="1"/>
                <w:bCs w:val="1"/>
                <w:color w:val="auto"/>
              </w:rPr>
              <w:t>July 28,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gridSpan w:val="2"/>
          </w:tcPr>
          <w:p>
            <w:pPr>
              <w:ind w:left="80"/>
              <w:spacing w:after="0" w:line="205" w:lineRule="exact"/>
              <w:rPr>
                <w:sz w:val="20"/>
                <w:szCs w:val="20"/>
                <w:color w:val="auto"/>
              </w:rPr>
            </w:pPr>
            <w:r>
              <w:rPr>
                <w:rFonts w:ascii="Arial" w:cs="Arial" w:eastAsia="Arial" w:hAnsi="Arial"/>
                <w:sz w:val="18"/>
                <w:szCs w:val="18"/>
                <w:b w:val="1"/>
                <w:bCs w:val="1"/>
                <w:color w:val="auto"/>
              </w:rPr>
              <w:t>August 3,</w:t>
            </w:r>
          </w:p>
        </w:tc>
        <w:tc>
          <w:tcPr>
            <w:tcW w:w="2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230"/>
              <w:spacing w:after="0" w:line="205" w:lineRule="exact"/>
              <w:rPr>
                <w:sz w:val="20"/>
                <w:szCs w:val="20"/>
                <w:color w:val="auto"/>
              </w:rPr>
            </w:pPr>
            <w:r>
              <w:rPr>
                <w:rFonts w:ascii="Arial" w:cs="Arial" w:eastAsia="Arial" w:hAnsi="Arial"/>
                <w:sz w:val="18"/>
                <w:szCs w:val="18"/>
                <w:b w:val="1"/>
                <w:bCs w:val="1"/>
                <w:color w:val="auto"/>
              </w:rPr>
              <w:t>July 28,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620" w:type="dxa"/>
            <w:vAlign w:val="bottom"/>
            <w:gridSpan w:val="2"/>
          </w:tcPr>
          <w:p>
            <w:pPr>
              <w:spacing w:after="0"/>
              <w:rPr>
                <w:sz w:val="20"/>
                <w:szCs w:val="20"/>
                <w:color w:val="auto"/>
              </w:rPr>
            </w:pPr>
            <w:r>
              <w:rPr>
                <w:rFonts w:ascii="Arial" w:cs="Arial" w:eastAsia="Arial" w:hAnsi="Arial"/>
                <w:sz w:val="18"/>
                <w:szCs w:val="18"/>
                <w:b w:val="1"/>
                <w:bCs w:val="1"/>
                <w:color w:val="auto"/>
              </w:rPr>
              <w:t>(in millions)</w:t>
            </w:r>
          </w:p>
        </w:tc>
        <w:tc>
          <w:tcPr>
            <w:tcW w:w="200" w:type="dxa"/>
            <w:vAlign w:val="bottom"/>
          </w:tcPr>
          <w:p>
            <w:pPr>
              <w:spacing w:after="0"/>
              <w:rPr>
                <w:sz w:val="20"/>
                <w:szCs w:val="20"/>
                <w:color w:val="auto"/>
              </w:rPr>
            </w:pPr>
          </w:p>
        </w:tc>
        <w:tc>
          <w:tcPr>
            <w:tcW w:w="1060" w:type="dxa"/>
            <w:vAlign w:val="bottom"/>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ind w:right="37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50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Athletic Stores</w:t>
            </w:r>
          </w:p>
        </w:tc>
        <w:tc>
          <w:tcPr>
            <w:tcW w:w="120" w:type="dxa"/>
            <w:vAlign w:val="bottom"/>
            <w:tcBorders>
              <w:top w:val="single" w:sz="8" w:color="CCFFCC"/>
            </w:tcBorders>
            <w:shd w:val="clear" w:color="auto" w:fill="CCFFCC"/>
          </w:tcPr>
          <w:p>
            <w:pPr>
              <w:spacing w:after="0"/>
              <w:rPr>
                <w:sz w:val="18"/>
                <w:szCs w:val="18"/>
                <w:color w:val="auto"/>
              </w:rPr>
            </w:pPr>
          </w:p>
        </w:tc>
        <w:tc>
          <w:tcPr>
            <w:tcW w:w="200" w:type="dxa"/>
            <w:vAlign w:val="bottom"/>
            <w:tcBorders>
              <w:top w:val="single" w:sz="8" w:color="auto"/>
            </w:tcBorders>
            <w:shd w:val="clear" w:color="auto" w:fill="CCFFCC"/>
          </w:tcPr>
          <w:p>
            <w:pPr>
              <w:jc w:val="right"/>
              <w:ind w:right="40"/>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1,313</w:t>
            </w:r>
          </w:p>
        </w:tc>
        <w:tc>
          <w:tcPr>
            <w:tcW w:w="12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220" w:type="dxa"/>
            <w:vAlign w:val="bottom"/>
            <w:tcBorders>
              <w:top w:val="single" w:sz="8" w:color="auto"/>
            </w:tcBorders>
            <w:shd w:val="clear" w:color="auto" w:fill="CCFFCC"/>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1,248</w:t>
            </w:r>
          </w:p>
        </w:tc>
        <w:tc>
          <w:tcPr>
            <w:tcW w:w="10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auto"/>
            </w:tcBorders>
            <w:shd w:val="clear" w:color="auto" w:fill="CCFFCC"/>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2,784</w:t>
            </w:r>
          </w:p>
        </w:tc>
        <w:tc>
          <w:tcPr>
            <w:tcW w:w="200" w:type="dxa"/>
            <w:vAlign w:val="bottom"/>
            <w:tcBorders>
              <w:top w:val="single" w:sz="8" w:color="CCFFCC"/>
            </w:tcBorders>
            <w:shd w:val="clear" w:color="auto" w:fill="CCFFCC"/>
          </w:tcPr>
          <w:p>
            <w:pPr>
              <w:spacing w:after="0"/>
              <w:rPr>
                <w:sz w:val="18"/>
                <w:szCs w:val="18"/>
                <w:color w:val="auto"/>
              </w:rPr>
            </w:pPr>
          </w:p>
        </w:tc>
        <w:tc>
          <w:tcPr>
            <w:tcW w:w="220" w:type="dxa"/>
            <w:vAlign w:val="bottom"/>
            <w:tcBorders>
              <w:top w:val="single" w:sz="8" w:color="auto"/>
            </w:tcBorders>
            <w:shd w:val="clear" w:color="auto" w:fill="CCFFCC"/>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2,685</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20" w:type="dxa"/>
            <w:vAlign w:val="bottom"/>
            <w:gridSpan w:val="2"/>
          </w:tcPr>
          <w:p>
            <w:pPr>
              <w:spacing w:after="0"/>
              <w:rPr>
                <w:sz w:val="20"/>
                <w:szCs w:val="20"/>
                <w:color w:val="auto"/>
              </w:rPr>
            </w:pPr>
            <w:r>
              <w:rPr>
                <w:rFonts w:ascii="Arial" w:cs="Arial" w:eastAsia="Arial" w:hAnsi="Arial"/>
                <w:sz w:val="18"/>
                <w:szCs w:val="18"/>
                <w:color w:val="auto"/>
              </w:rPr>
              <w:t>Direct-to-Customers</w:t>
            </w:r>
          </w:p>
        </w:tc>
        <w:tc>
          <w:tcPr>
            <w:tcW w:w="2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308</w:t>
            </w:r>
          </w:p>
        </w:tc>
        <w:tc>
          <w:tcPr>
            <w:tcW w:w="22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23"/>
        </w:trPr>
        <w:tc>
          <w:tcPr>
            <w:tcW w:w="5620" w:type="dxa"/>
            <w:vAlign w:val="bottom"/>
            <w:tcBorders>
              <w:top w:val="single" w:sz="8" w:color="CCFFCC"/>
              <w:bottom w:val="single" w:sz="8" w:color="CCFFCC"/>
            </w:tcBorders>
            <w:gridSpan w:val="2"/>
            <w:shd w:val="clear" w:color="auto" w:fill="CCFFCC"/>
          </w:tcPr>
          <w:p>
            <w:pPr>
              <w:spacing w:after="0"/>
              <w:rPr>
                <w:sz w:val="20"/>
                <w:szCs w:val="20"/>
                <w:color w:val="auto"/>
              </w:rPr>
            </w:pPr>
            <w:r>
              <w:rPr>
                <w:rFonts w:ascii="Arial" w:cs="Arial" w:eastAsia="Arial" w:hAnsi="Arial"/>
                <w:sz w:val="18"/>
                <w:szCs w:val="18"/>
                <w:color w:val="auto"/>
              </w:rPr>
              <w:t>Total sales</w:t>
            </w:r>
          </w:p>
        </w:tc>
        <w:tc>
          <w:tcPr>
            <w:tcW w:w="200" w:type="dxa"/>
            <w:vAlign w:val="bottom"/>
            <w:tcBorders>
              <w:top w:val="single" w:sz="8" w:color="auto"/>
              <w:bottom w:val="single" w:sz="8" w:color="auto"/>
            </w:tcBorders>
            <w:shd w:val="clear" w:color="auto" w:fill="CCFFCC"/>
          </w:tcPr>
          <w:p>
            <w:pPr>
              <w:jc w:val="right"/>
              <w:ind w:right="40"/>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1,454</w:t>
            </w:r>
          </w:p>
        </w:tc>
        <w:tc>
          <w:tcPr>
            <w:tcW w:w="120" w:type="dxa"/>
            <w:vAlign w:val="bottom"/>
            <w:tcBorders>
              <w:top w:val="single" w:sz="8" w:color="CCFFCC"/>
              <w:bottom w:val="single" w:sz="8" w:color="CCFFCC"/>
            </w:tcBorders>
            <w:shd w:val="clear" w:color="auto" w:fill="CCFFCC"/>
          </w:tcPr>
          <w:p>
            <w:pPr>
              <w:spacing w:after="0"/>
              <w:rPr>
                <w:sz w:val="19"/>
                <w:szCs w:val="19"/>
                <w:color w:val="auto"/>
              </w:rPr>
            </w:pPr>
          </w:p>
        </w:tc>
        <w:tc>
          <w:tcPr>
            <w:tcW w:w="120" w:type="dxa"/>
            <w:vAlign w:val="bottom"/>
            <w:tcBorders>
              <w:top w:val="single" w:sz="8" w:color="CCFFCC"/>
              <w:bottom w:val="single" w:sz="8" w:color="CCFFCC"/>
            </w:tcBorders>
            <w:shd w:val="clear" w:color="auto" w:fill="CCFFCC"/>
          </w:tcPr>
          <w:p>
            <w:pPr>
              <w:spacing w:after="0"/>
              <w:rPr>
                <w:sz w:val="19"/>
                <w:szCs w:val="19"/>
                <w:color w:val="auto"/>
              </w:rPr>
            </w:pPr>
          </w:p>
        </w:tc>
        <w:tc>
          <w:tcPr>
            <w:tcW w:w="220" w:type="dxa"/>
            <w:vAlign w:val="bottom"/>
            <w:tcBorders>
              <w:top w:val="single" w:sz="8" w:color="auto"/>
              <w:bottom w:val="single" w:sz="8" w:color="auto"/>
            </w:tcBorders>
            <w:shd w:val="clear" w:color="auto" w:fill="CCFFCC"/>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1,367</w:t>
            </w:r>
          </w:p>
        </w:tc>
        <w:tc>
          <w:tcPr>
            <w:tcW w:w="100" w:type="dxa"/>
            <w:vAlign w:val="bottom"/>
            <w:tcBorders>
              <w:top w:val="single" w:sz="8" w:color="CCFFCC"/>
              <w:bottom w:val="single" w:sz="8" w:color="CCFFCC"/>
            </w:tcBorders>
            <w:shd w:val="clear" w:color="auto" w:fill="CCFFCC"/>
          </w:tcPr>
          <w:p>
            <w:pPr>
              <w:spacing w:after="0"/>
              <w:rPr>
                <w:sz w:val="19"/>
                <w:szCs w:val="19"/>
                <w:color w:val="auto"/>
              </w:rPr>
            </w:pPr>
          </w:p>
        </w:tc>
        <w:tc>
          <w:tcPr>
            <w:tcW w:w="120" w:type="dxa"/>
            <w:vAlign w:val="bottom"/>
            <w:tcBorders>
              <w:top w:val="single" w:sz="8" w:color="CCFFCC"/>
              <w:bottom w:val="single" w:sz="8" w:color="CCFFCC"/>
            </w:tcBorders>
            <w:shd w:val="clear" w:color="auto" w:fill="CCFFCC"/>
          </w:tcPr>
          <w:p>
            <w:pPr>
              <w:spacing w:after="0"/>
              <w:rPr>
                <w:sz w:val="19"/>
                <w:szCs w:val="19"/>
                <w:color w:val="auto"/>
              </w:rPr>
            </w:pPr>
          </w:p>
        </w:tc>
        <w:tc>
          <w:tcPr>
            <w:tcW w:w="160" w:type="dxa"/>
            <w:vAlign w:val="bottom"/>
            <w:tcBorders>
              <w:top w:val="single" w:sz="8" w:color="auto"/>
              <w:bottom w:val="single" w:sz="8" w:color="auto"/>
            </w:tcBorders>
            <w:shd w:val="clear" w:color="auto" w:fill="CCFFCC"/>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3,092</w:t>
            </w:r>
          </w:p>
        </w:tc>
        <w:tc>
          <w:tcPr>
            <w:tcW w:w="200" w:type="dxa"/>
            <w:vAlign w:val="bottom"/>
            <w:tcBorders>
              <w:top w:val="single" w:sz="8" w:color="CCFFCC"/>
              <w:bottom w:val="single" w:sz="8" w:color="CCFFCC"/>
            </w:tcBorders>
            <w:shd w:val="clear" w:color="auto" w:fill="CCFFCC"/>
          </w:tcPr>
          <w:p>
            <w:pPr>
              <w:spacing w:after="0"/>
              <w:rPr>
                <w:sz w:val="19"/>
                <w:szCs w:val="19"/>
                <w:color w:val="auto"/>
              </w:rPr>
            </w:pPr>
          </w:p>
        </w:tc>
        <w:tc>
          <w:tcPr>
            <w:tcW w:w="220" w:type="dxa"/>
            <w:vAlign w:val="bottom"/>
            <w:tcBorders>
              <w:top w:val="single" w:sz="8" w:color="auto"/>
              <w:bottom w:val="single" w:sz="8" w:color="auto"/>
            </w:tcBorders>
            <w:shd w:val="clear" w:color="auto" w:fill="CCFFCC"/>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2,945</w:t>
            </w:r>
          </w:p>
        </w:tc>
        <w:tc>
          <w:tcPr>
            <w:tcW w:w="100" w:type="dxa"/>
            <w:vAlign w:val="bottom"/>
            <w:tcBorders>
              <w:top w:val="single" w:sz="8" w:color="CCFFCC"/>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5" w:lineRule="exact"/>
        <w:rPr>
          <w:sz w:val="20"/>
          <w:szCs w:val="20"/>
          <w:color w:val="auto"/>
        </w:rPr>
      </w:pPr>
    </w:p>
    <w:p>
      <w:pPr>
        <w:ind w:left="180" w:hanging="172"/>
        <w:spacing w:after="0"/>
        <w:tabs>
          <w:tab w:leader="none" w:pos="1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Segment Information - (continued)</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Operating Results</w:t>
            </w:r>
          </w:p>
        </w:tc>
        <w:tc>
          <w:tcPr>
            <w:tcW w:w="2480" w:type="dxa"/>
            <w:vAlign w:val="bottom"/>
            <w:gridSpan w:val="5"/>
          </w:tcPr>
          <w:p>
            <w:pPr>
              <w:jc w:val="right"/>
              <w:ind w:right="170"/>
              <w:spacing w:after="0"/>
              <w:rPr>
                <w:sz w:val="20"/>
                <w:szCs w:val="20"/>
                <w:color w:val="auto"/>
              </w:rPr>
            </w:pPr>
            <w:r>
              <w:rPr>
                <w:rFonts w:ascii="Arial" w:cs="Arial" w:eastAsia="Arial" w:hAnsi="Arial"/>
                <w:sz w:val="18"/>
                <w:szCs w:val="18"/>
                <w:b w:val="1"/>
                <w:bCs w:val="1"/>
                <w:color w:val="auto"/>
              </w:rPr>
              <w:t>Thirteen weeks ended</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40" w:type="dxa"/>
            <w:vAlign w:val="bottom"/>
            <w:gridSpan w:val="7"/>
          </w:tcPr>
          <w:p>
            <w:pPr>
              <w:ind w:left="260"/>
              <w:spacing w:after="0"/>
              <w:rPr>
                <w:sz w:val="20"/>
                <w:szCs w:val="20"/>
                <w:color w:val="auto"/>
              </w:rPr>
            </w:pPr>
            <w:r>
              <w:rPr>
                <w:rFonts w:ascii="Arial" w:cs="Arial" w:eastAsia="Arial" w:hAnsi="Arial"/>
                <w:sz w:val="18"/>
                <w:szCs w:val="18"/>
                <w:b w:val="1"/>
                <w:bCs w:val="1"/>
                <w:color w:val="auto"/>
              </w:rPr>
              <w:t>Twenty-six weeks ended</w:t>
            </w:r>
          </w:p>
        </w:tc>
        <w:tc>
          <w:tcPr>
            <w:tcW w:w="0" w:type="dxa"/>
            <w:vAlign w:val="bottom"/>
          </w:tcPr>
          <w:p>
            <w:pPr>
              <w:spacing w:after="0"/>
              <w:rPr>
                <w:sz w:val="1"/>
                <w:szCs w:val="1"/>
                <w:color w:val="auto"/>
              </w:rPr>
            </w:pPr>
          </w:p>
        </w:tc>
      </w:tr>
      <w:tr>
        <w:trPr>
          <w:trHeight w:val="205"/>
        </w:trPr>
        <w:tc>
          <w:tcPr>
            <w:tcW w:w="5620" w:type="dxa"/>
            <w:vAlign w:val="bottom"/>
            <w:gridSpan w:val="2"/>
            <w:vMerge w:val="continue"/>
          </w:tcPr>
          <w:p>
            <w:pPr>
              <w:spacing w:after="0"/>
              <w:rPr>
                <w:sz w:val="17"/>
                <w:szCs w:val="17"/>
                <w:color w:val="auto"/>
              </w:rPr>
            </w:pPr>
          </w:p>
        </w:tc>
        <w:tc>
          <w:tcPr>
            <w:tcW w:w="1000" w:type="dxa"/>
            <w:vAlign w:val="bottom"/>
            <w:tcBorders>
              <w:top w:val="single" w:sz="8" w:color="auto"/>
            </w:tcBorders>
          </w:tcPr>
          <w:p>
            <w:pPr>
              <w:jc w:val="right"/>
              <w:spacing w:after="0" w:line="205" w:lineRule="exact"/>
              <w:rPr>
                <w:sz w:val="20"/>
                <w:szCs w:val="20"/>
                <w:color w:val="auto"/>
              </w:rPr>
            </w:pPr>
            <w:r>
              <w:rPr>
                <w:rFonts w:ascii="Arial" w:cs="Arial" w:eastAsia="Arial" w:hAnsi="Arial"/>
                <w:sz w:val="18"/>
                <w:szCs w:val="18"/>
                <w:b w:val="1"/>
                <w:bCs w:val="1"/>
                <w:color w:val="auto"/>
              </w:rPr>
              <w:t>August 3,</w:t>
            </w:r>
          </w:p>
        </w:tc>
        <w:tc>
          <w:tcPr>
            <w:tcW w:w="2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line="205" w:lineRule="exact"/>
              <w:rPr>
                <w:sz w:val="20"/>
                <w:szCs w:val="20"/>
                <w:color w:val="auto"/>
              </w:rPr>
            </w:pPr>
            <w:r>
              <w:rPr>
                <w:rFonts w:ascii="Arial" w:cs="Arial" w:eastAsia="Arial" w:hAnsi="Arial"/>
                <w:sz w:val="18"/>
                <w:szCs w:val="18"/>
                <w:b w:val="1"/>
                <w:bCs w:val="1"/>
                <w:color w:val="auto"/>
              </w:rPr>
              <w:t>July 28,</w:t>
            </w:r>
          </w:p>
        </w:tc>
        <w:tc>
          <w:tcPr>
            <w:tcW w:w="3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gridSpan w:val="2"/>
          </w:tcPr>
          <w:p>
            <w:pPr>
              <w:ind w:left="80"/>
              <w:spacing w:after="0" w:line="205" w:lineRule="exact"/>
              <w:rPr>
                <w:sz w:val="20"/>
                <w:szCs w:val="20"/>
                <w:color w:val="auto"/>
              </w:rPr>
            </w:pPr>
            <w:r>
              <w:rPr>
                <w:rFonts w:ascii="Arial" w:cs="Arial" w:eastAsia="Arial" w:hAnsi="Arial"/>
                <w:sz w:val="18"/>
                <w:szCs w:val="18"/>
                <w:b w:val="1"/>
                <w:bCs w:val="1"/>
                <w:color w:val="auto"/>
              </w:rPr>
              <w:t>August 3,</w:t>
            </w:r>
          </w:p>
        </w:tc>
        <w:tc>
          <w:tcPr>
            <w:tcW w:w="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230"/>
              <w:spacing w:after="0" w:line="205" w:lineRule="exact"/>
              <w:rPr>
                <w:sz w:val="20"/>
                <w:szCs w:val="20"/>
                <w:color w:val="auto"/>
              </w:rPr>
            </w:pPr>
            <w:r>
              <w:rPr>
                <w:rFonts w:ascii="Arial" w:cs="Arial" w:eastAsia="Arial" w:hAnsi="Arial"/>
                <w:sz w:val="18"/>
                <w:szCs w:val="18"/>
                <w:b w:val="1"/>
                <w:bCs w:val="1"/>
                <w:color w:val="auto"/>
              </w:rPr>
              <w:t>July 28,</w:t>
            </w:r>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5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millions)</w:t>
            </w:r>
          </w:p>
        </w:tc>
        <w:tc>
          <w:tcPr>
            <w:tcW w:w="120" w:type="dxa"/>
            <w:vAlign w:val="bottom"/>
            <w:tcBorders>
              <w:bottom w:val="single" w:sz="8" w:color="CCFFCC"/>
            </w:tcBorders>
          </w:tcPr>
          <w:p>
            <w:pPr>
              <w:spacing w:after="0"/>
              <w:rPr>
                <w:sz w:val="20"/>
                <w:szCs w:val="20"/>
                <w:color w:val="auto"/>
              </w:rPr>
            </w:pPr>
          </w:p>
        </w:tc>
        <w:tc>
          <w:tcPr>
            <w:tcW w:w="100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b w:val="1"/>
                <w:bCs w:val="1"/>
                <w:color w:val="auto"/>
              </w:rPr>
              <w:t>2013</w:t>
            </w:r>
          </w:p>
        </w:tc>
        <w:tc>
          <w:tcPr>
            <w:tcW w:w="260" w:type="dxa"/>
            <w:vAlign w:val="bottom"/>
            <w:tcBorders>
              <w:bottom w:val="single" w:sz="8" w:color="auto"/>
            </w:tcBorders>
          </w:tcPr>
          <w:p>
            <w:pPr>
              <w:spacing w:after="0"/>
              <w:rPr>
                <w:sz w:val="20"/>
                <w:szCs w:val="20"/>
                <w:color w:val="auto"/>
              </w:rPr>
            </w:pPr>
          </w:p>
        </w:tc>
        <w:tc>
          <w:tcPr>
            <w:tcW w:w="120" w:type="dxa"/>
            <w:vAlign w:val="bottom"/>
            <w:tcBorders>
              <w:bottom w:val="single" w:sz="8" w:color="CCFFCC"/>
            </w:tcBorders>
          </w:tcPr>
          <w:p>
            <w:pPr>
              <w:spacing w:after="0"/>
              <w:rPr>
                <w:sz w:val="20"/>
                <w:szCs w:val="20"/>
                <w:color w:val="auto"/>
              </w:rPr>
            </w:pPr>
          </w:p>
        </w:tc>
        <w:tc>
          <w:tcPr>
            <w:tcW w:w="120" w:type="dxa"/>
            <w:vAlign w:val="bottom"/>
            <w:tcBorders>
              <w:bottom w:val="single" w:sz="8" w:color="CCFFCC"/>
            </w:tcBorders>
          </w:tcPr>
          <w:p>
            <w:pPr>
              <w:spacing w:after="0"/>
              <w:rPr>
                <w:sz w:val="20"/>
                <w:szCs w:val="20"/>
                <w:color w:val="auto"/>
              </w:rPr>
            </w:pPr>
          </w:p>
        </w:tc>
        <w:tc>
          <w:tcPr>
            <w:tcW w:w="9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2012</w:t>
            </w:r>
          </w:p>
        </w:tc>
        <w:tc>
          <w:tcPr>
            <w:tcW w:w="300" w:type="dxa"/>
            <w:vAlign w:val="bottom"/>
            <w:tcBorders>
              <w:bottom w:val="single" w:sz="8" w:color="auto"/>
            </w:tcBorders>
          </w:tcPr>
          <w:p>
            <w:pPr>
              <w:spacing w:after="0"/>
              <w:rPr>
                <w:sz w:val="20"/>
                <w:szCs w:val="20"/>
                <w:color w:val="auto"/>
              </w:rPr>
            </w:pPr>
          </w:p>
        </w:tc>
        <w:tc>
          <w:tcPr>
            <w:tcW w:w="100" w:type="dxa"/>
            <w:vAlign w:val="bottom"/>
            <w:tcBorders>
              <w:bottom w:val="single" w:sz="8" w:color="CCFFCC"/>
            </w:tcBorders>
          </w:tcPr>
          <w:p>
            <w:pPr>
              <w:spacing w:after="0"/>
              <w:rPr>
                <w:sz w:val="20"/>
                <w:szCs w:val="20"/>
                <w:color w:val="auto"/>
              </w:rPr>
            </w:pPr>
          </w:p>
        </w:tc>
        <w:tc>
          <w:tcPr>
            <w:tcW w:w="120" w:type="dxa"/>
            <w:vAlign w:val="bottom"/>
            <w:tcBorders>
              <w:bottom w:val="single" w:sz="8" w:color="CCFFC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200" w:type="dxa"/>
            <w:vAlign w:val="bottom"/>
            <w:tcBorders>
              <w:bottom w:val="single" w:sz="8" w:color="CCFFCC"/>
            </w:tcBorders>
          </w:tcPr>
          <w:p>
            <w:pPr>
              <w:spacing w:after="0"/>
              <w:rPr>
                <w:sz w:val="20"/>
                <w:szCs w:val="20"/>
                <w:color w:val="auto"/>
              </w:rPr>
            </w:pPr>
          </w:p>
        </w:tc>
        <w:tc>
          <w:tcPr>
            <w:tcW w:w="20" w:type="dxa"/>
            <w:vAlign w:val="bottom"/>
            <w:tcBorders>
              <w:bottom w:val="single" w:sz="8" w:color="CCFFC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20" w:type="dxa"/>
            <w:vAlign w:val="bottom"/>
            <w:tcBorders>
              <w:bottom w:val="single" w:sz="8" w:color="CCFFCC"/>
            </w:tcBorders>
          </w:tcPr>
          <w:p>
            <w:pPr>
              <w:spacing w:after="0"/>
              <w:rPr>
                <w:sz w:val="20"/>
                <w:szCs w:val="20"/>
                <w:color w:val="auto"/>
              </w:rPr>
            </w:pPr>
          </w:p>
        </w:tc>
        <w:tc>
          <w:tcPr>
            <w:tcW w:w="80" w:type="dxa"/>
            <w:vAlign w:val="bottom"/>
            <w:tcBorders>
              <w:bottom w:val="single" w:sz="8" w:color="CCFFCC"/>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500" w:type="dxa"/>
            <w:vAlign w:val="bottom"/>
            <w:shd w:val="clear" w:color="auto" w:fill="CCFFCC"/>
          </w:tcPr>
          <w:p>
            <w:pPr>
              <w:spacing w:after="0" w:line="251" w:lineRule="exact"/>
              <w:rPr>
                <w:sz w:val="20"/>
                <w:szCs w:val="20"/>
                <w:color w:val="auto"/>
              </w:rPr>
            </w:pPr>
            <w:r>
              <w:rPr>
                <w:rFonts w:ascii="Arial" w:cs="Arial" w:eastAsia="Arial" w:hAnsi="Arial"/>
                <w:sz w:val="18"/>
                <w:szCs w:val="18"/>
                <w:color w:val="auto"/>
              </w:rPr>
              <w:t xml:space="preserve">Athletic Stores </w:t>
            </w:r>
            <w:r>
              <w:rPr>
                <w:rFonts w:ascii="Arial" w:cs="Arial" w:eastAsia="Arial" w:hAnsi="Arial"/>
                <w:sz w:val="29"/>
                <w:szCs w:val="29"/>
                <w:color w:val="auto"/>
                <w:vertAlign w:val="superscript"/>
              </w:rPr>
              <w:t>(1)</w:t>
            </w:r>
          </w:p>
        </w:tc>
        <w:tc>
          <w:tcPr>
            <w:tcW w:w="120" w:type="dxa"/>
            <w:vAlign w:val="bottom"/>
            <w:shd w:val="clear" w:color="auto" w:fill="CCFFCC"/>
          </w:tcPr>
          <w:p>
            <w:pPr>
              <w:spacing w:after="0"/>
              <w:rPr>
                <w:sz w:val="21"/>
                <w:szCs w:val="21"/>
                <w:color w:val="auto"/>
              </w:rPr>
            </w:pPr>
          </w:p>
        </w:tc>
        <w:tc>
          <w:tcPr>
            <w:tcW w:w="1000" w:type="dxa"/>
            <w:vAlign w:val="bottom"/>
            <w:shd w:val="clear" w:color="auto" w:fill="CCFFCC"/>
          </w:tcPr>
          <w:p>
            <w:pPr>
              <w:jc w:val="right"/>
              <w:ind w:right="836"/>
              <w:spacing w:after="0"/>
              <w:rPr>
                <w:sz w:val="20"/>
                <w:szCs w:val="20"/>
                <w:color w:val="auto"/>
              </w:rPr>
            </w:pPr>
            <w:r>
              <w:rPr>
                <w:rFonts w:ascii="Arial" w:cs="Arial" w:eastAsia="Arial" w:hAnsi="Arial"/>
                <w:sz w:val="15"/>
                <w:szCs w:val="15"/>
                <w:color w:val="auto"/>
                <w:w w:val="71"/>
              </w:rPr>
              <w:t>$</w:t>
            </w:r>
          </w:p>
        </w:tc>
        <w:tc>
          <w:tcPr>
            <w:tcW w:w="3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w w:val="79"/>
              </w:rPr>
              <w:t>116</w:t>
            </w:r>
          </w:p>
        </w:tc>
        <w:tc>
          <w:tcPr>
            <w:tcW w:w="1100" w:type="dxa"/>
            <w:vAlign w:val="bottom"/>
            <w:gridSpan w:val="2"/>
            <w:shd w:val="clear" w:color="auto" w:fill="CCFFCC"/>
          </w:tcPr>
          <w:p>
            <w:pPr>
              <w:jc w:val="right"/>
              <w:ind w:right="79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w w:val="93"/>
              </w:rPr>
              <w:t>107</w:t>
            </w:r>
          </w:p>
        </w:tc>
        <w:tc>
          <w:tcPr>
            <w:tcW w:w="280" w:type="dxa"/>
            <w:vAlign w:val="bottom"/>
            <w:gridSpan w:val="2"/>
            <w:shd w:val="clear" w:color="auto" w:fill="CCFFCC"/>
          </w:tcPr>
          <w:p>
            <w:pPr>
              <w:jc w:val="right"/>
              <w:ind w:right="5"/>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327</w:t>
            </w:r>
          </w:p>
        </w:tc>
        <w:tc>
          <w:tcPr>
            <w:tcW w:w="220" w:type="dxa"/>
            <w:vAlign w:val="bottom"/>
            <w:gridSpan w:val="2"/>
            <w:shd w:val="clear" w:color="auto" w:fill="CCFFCC"/>
          </w:tcPr>
          <w:p>
            <w:pPr>
              <w:jc w:val="right"/>
              <w:ind w:right="45"/>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314</w:t>
            </w:r>
          </w:p>
        </w:tc>
        <w:tc>
          <w:tcPr>
            <w:tcW w:w="8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620" w:type="dxa"/>
            <w:vAlign w:val="bottom"/>
            <w:gridSpan w:val="2"/>
          </w:tcPr>
          <w:p>
            <w:pPr>
              <w:spacing w:after="0"/>
              <w:rPr>
                <w:sz w:val="20"/>
                <w:szCs w:val="20"/>
                <w:color w:val="auto"/>
              </w:rPr>
            </w:pPr>
            <w:r>
              <w:rPr>
                <w:rFonts w:ascii="Arial" w:cs="Arial" w:eastAsia="Arial" w:hAnsi="Arial"/>
                <w:sz w:val="18"/>
                <w:szCs w:val="18"/>
                <w:color w:val="auto"/>
              </w:rPr>
              <w:t>Direct-to-Customers</w:t>
            </w:r>
          </w:p>
        </w:tc>
        <w:tc>
          <w:tcPr>
            <w:tcW w:w="100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620" w:type="dxa"/>
            <w:vAlign w:val="bottom"/>
            <w:tcBorders>
              <w:top w:val="single" w:sz="8" w:color="CCFFCC"/>
            </w:tcBorders>
            <w:gridSpan w:val="2"/>
            <w:shd w:val="clear" w:color="auto" w:fill="CCFFCC"/>
          </w:tcPr>
          <w:p>
            <w:pPr>
              <w:spacing w:after="0"/>
              <w:rPr>
                <w:sz w:val="20"/>
                <w:szCs w:val="20"/>
                <w:color w:val="auto"/>
              </w:rPr>
            </w:pPr>
            <w:r>
              <w:rPr>
                <w:rFonts w:ascii="Arial" w:cs="Arial" w:eastAsia="Arial" w:hAnsi="Arial"/>
                <w:sz w:val="18"/>
                <w:szCs w:val="18"/>
                <w:color w:val="auto"/>
              </w:rPr>
              <w:t>Division profit</w:t>
            </w:r>
          </w:p>
        </w:tc>
        <w:tc>
          <w:tcPr>
            <w:tcW w:w="1000" w:type="dxa"/>
            <w:vAlign w:val="bottom"/>
            <w:tcBorders>
              <w:top w:val="single" w:sz="8" w:color="auto"/>
            </w:tcBorders>
            <w:shd w:val="clear" w:color="auto" w:fill="CCFFCC"/>
          </w:tcPr>
          <w:p>
            <w:pPr>
              <w:spacing w:after="0"/>
              <w:rPr>
                <w:sz w:val="18"/>
                <w:szCs w:val="18"/>
                <w:color w:val="auto"/>
              </w:rPr>
            </w:pPr>
          </w:p>
        </w:tc>
        <w:tc>
          <w:tcPr>
            <w:tcW w:w="2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126</w:t>
            </w:r>
          </w:p>
        </w:tc>
        <w:tc>
          <w:tcPr>
            <w:tcW w:w="12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980" w:type="dxa"/>
            <w:vAlign w:val="bottom"/>
            <w:tcBorders>
              <w:top w:val="single" w:sz="8" w:color="auto"/>
            </w:tcBorders>
            <w:shd w:val="clear" w:color="auto" w:fill="CCFFCC"/>
          </w:tcPr>
          <w:p>
            <w:pPr>
              <w:spacing w:after="0"/>
              <w:rPr>
                <w:sz w:val="18"/>
                <w:szCs w:val="18"/>
                <w:color w:val="auto"/>
              </w:rPr>
            </w:pPr>
          </w:p>
        </w:tc>
        <w:tc>
          <w:tcPr>
            <w:tcW w:w="3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3"/>
              </w:rPr>
              <w:t>118</w:t>
            </w:r>
          </w:p>
        </w:tc>
        <w:tc>
          <w:tcPr>
            <w:tcW w:w="10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auto"/>
            </w:tcBorders>
            <w:shd w:val="clear" w:color="auto" w:fill="CCFFCC"/>
          </w:tcPr>
          <w:p>
            <w:pPr>
              <w:spacing w:after="0"/>
              <w:rPr>
                <w:sz w:val="18"/>
                <w:szCs w:val="18"/>
                <w:color w:val="auto"/>
              </w:rPr>
            </w:pPr>
          </w:p>
        </w:tc>
        <w:tc>
          <w:tcPr>
            <w:tcW w:w="10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360</w:t>
            </w:r>
          </w:p>
        </w:tc>
        <w:tc>
          <w:tcPr>
            <w:tcW w:w="200" w:type="dxa"/>
            <w:vAlign w:val="bottom"/>
            <w:tcBorders>
              <w:top w:val="single" w:sz="8" w:color="CCFFCC"/>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200" w:type="dxa"/>
            <w:vAlign w:val="bottom"/>
            <w:tcBorders>
              <w:top w:val="single" w:sz="8" w:color="auto"/>
            </w:tcBorders>
            <w:shd w:val="clear" w:color="auto" w:fill="CCFFCC"/>
          </w:tcPr>
          <w:p>
            <w:pPr>
              <w:spacing w:after="0"/>
              <w:rPr>
                <w:sz w:val="18"/>
                <w:szCs w:val="18"/>
                <w:color w:val="auto"/>
              </w:rPr>
            </w:pPr>
          </w:p>
        </w:tc>
        <w:tc>
          <w:tcPr>
            <w:tcW w:w="10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343</w:t>
            </w:r>
          </w:p>
        </w:tc>
        <w:tc>
          <w:tcPr>
            <w:tcW w:w="2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20" w:type="dxa"/>
            <w:vAlign w:val="bottom"/>
            <w:gridSpan w:val="2"/>
          </w:tcPr>
          <w:p>
            <w:pPr>
              <w:spacing w:after="0"/>
              <w:rPr>
                <w:sz w:val="20"/>
                <w:szCs w:val="20"/>
                <w:color w:val="auto"/>
              </w:rPr>
            </w:pPr>
            <w:r>
              <w:rPr>
                <w:rFonts w:ascii="Arial" w:cs="Arial" w:eastAsia="Arial" w:hAnsi="Arial"/>
                <w:sz w:val="18"/>
                <w:szCs w:val="18"/>
                <w:color w:val="auto"/>
              </w:rPr>
              <w:t>Less: Corporate expense, net</w:t>
            </w:r>
          </w:p>
        </w:tc>
        <w:tc>
          <w:tcPr>
            <w:tcW w:w="100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48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620" w:type="dxa"/>
            <w:vAlign w:val="bottom"/>
            <w:tcBorders>
              <w:top w:val="single" w:sz="8" w:color="CCFFCC"/>
            </w:tcBorders>
            <w:gridSpan w:val="2"/>
            <w:shd w:val="clear" w:color="auto" w:fill="CCFFCC"/>
          </w:tcPr>
          <w:p>
            <w:pPr>
              <w:spacing w:after="0"/>
              <w:rPr>
                <w:sz w:val="20"/>
                <w:szCs w:val="20"/>
                <w:color w:val="auto"/>
              </w:rPr>
            </w:pPr>
            <w:r>
              <w:rPr>
                <w:rFonts w:ascii="Arial" w:cs="Arial" w:eastAsia="Arial" w:hAnsi="Arial"/>
                <w:sz w:val="18"/>
                <w:szCs w:val="18"/>
                <w:color w:val="auto"/>
              </w:rPr>
              <w:t>Operating profit</w:t>
            </w:r>
          </w:p>
        </w:tc>
        <w:tc>
          <w:tcPr>
            <w:tcW w:w="1000" w:type="dxa"/>
            <w:vAlign w:val="bottom"/>
            <w:tcBorders>
              <w:top w:val="single" w:sz="8" w:color="auto"/>
            </w:tcBorders>
            <w:shd w:val="clear" w:color="auto" w:fill="CCFFCC"/>
          </w:tcPr>
          <w:p>
            <w:pPr>
              <w:spacing w:after="0"/>
              <w:rPr>
                <w:sz w:val="18"/>
                <w:szCs w:val="18"/>
                <w:color w:val="auto"/>
              </w:rPr>
            </w:pPr>
          </w:p>
        </w:tc>
        <w:tc>
          <w:tcPr>
            <w:tcW w:w="2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106</w:t>
            </w:r>
          </w:p>
        </w:tc>
        <w:tc>
          <w:tcPr>
            <w:tcW w:w="12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980" w:type="dxa"/>
            <w:vAlign w:val="bottom"/>
            <w:tcBorders>
              <w:top w:val="single" w:sz="8" w:color="auto"/>
            </w:tcBorders>
            <w:shd w:val="clear" w:color="auto" w:fill="CCFFCC"/>
          </w:tcPr>
          <w:p>
            <w:pPr>
              <w:spacing w:after="0"/>
              <w:rPr>
                <w:sz w:val="18"/>
                <w:szCs w:val="18"/>
                <w:color w:val="auto"/>
              </w:rPr>
            </w:pPr>
          </w:p>
        </w:tc>
        <w:tc>
          <w:tcPr>
            <w:tcW w:w="3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93</w:t>
            </w:r>
          </w:p>
        </w:tc>
        <w:tc>
          <w:tcPr>
            <w:tcW w:w="10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auto"/>
            </w:tcBorders>
            <w:shd w:val="clear" w:color="auto" w:fill="CCFFCC"/>
          </w:tcPr>
          <w:p>
            <w:pPr>
              <w:spacing w:after="0"/>
              <w:rPr>
                <w:sz w:val="18"/>
                <w:szCs w:val="18"/>
                <w:color w:val="auto"/>
              </w:rPr>
            </w:pPr>
          </w:p>
        </w:tc>
        <w:tc>
          <w:tcPr>
            <w:tcW w:w="10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321</w:t>
            </w:r>
          </w:p>
        </w:tc>
        <w:tc>
          <w:tcPr>
            <w:tcW w:w="200" w:type="dxa"/>
            <w:vAlign w:val="bottom"/>
            <w:tcBorders>
              <w:top w:val="single" w:sz="8" w:color="CCFFCC"/>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200" w:type="dxa"/>
            <w:vAlign w:val="bottom"/>
            <w:tcBorders>
              <w:top w:val="single" w:sz="8" w:color="auto"/>
            </w:tcBorders>
            <w:shd w:val="clear" w:color="auto" w:fill="CCFFCC"/>
          </w:tcPr>
          <w:p>
            <w:pPr>
              <w:spacing w:after="0"/>
              <w:rPr>
                <w:sz w:val="18"/>
                <w:szCs w:val="18"/>
                <w:color w:val="auto"/>
              </w:rPr>
            </w:pPr>
          </w:p>
        </w:tc>
        <w:tc>
          <w:tcPr>
            <w:tcW w:w="10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295</w:t>
            </w:r>
          </w:p>
        </w:tc>
        <w:tc>
          <w:tcPr>
            <w:tcW w:w="2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562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Other income </w:t>
            </w:r>
            <w:r>
              <w:rPr>
                <w:rFonts w:ascii="Arial" w:cs="Arial" w:eastAsia="Arial" w:hAnsi="Arial"/>
                <w:sz w:val="29"/>
                <w:szCs w:val="29"/>
                <w:color w:val="auto"/>
                <w:vertAlign w:val="superscript"/>
              </w:rPr>
              <w:t>(2)</w:t>
            </w:r>
          </w:p>
        </w:tc>
        <w:tc>
          <w:tcPr>
            <w:tcW w:w="1000" w:type="dxa"/>
            <w:vAlign w:val="bottom"/>
          </w:tcPr>
          <w:p>
            <w:pPr>
              <w:spacing w:after="0"/>
              <w:rPr>
                <w:sz w:val="22"/>
                <w:szCs w:val="22"/>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6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Interest expense, net</w:t>
            </w:r>
          </w:p>
        </w:tc>
        <w:tc>
          <w:tcPr>
            <w:tcW w:w="1000" w:type="dxa"/>
            <w:vAlign w:val="bottom"/>
            <w:shd w:val="clear" w:color="auto" w:fill="CCFFCC"/>
          </w:tcPr>
          <w:p>
            <w:pPr>
              <w:spacing w:after="0"/>
              <w:rPr>
                <w:sz w:val="19"/>
                <w:szCs w:val="19"/>
                <w:color w:val="auto"/>
              </w:rPr>
            </w:pPr>
          </w:p>
        </w:tc>
        <w:tc>
          <w:tcPr>
            <w:tcW w:w="3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FFCC"/>
          </w:tcPr>
          <w:p>
            <w:pPr>
              <w:spacing w:after="0"/>
              <w:rPr>
                <w:sz w:val="19"/>
                <w:szCs w:val="19"/>
                <w:color w:val="auto"/>
              </w:rPr>
            </w:pPr>
          </w:p>
        </w:tc>
        <w:tc>
          <w:tcPr>
            <w:tcW w:w="980" w:type="dxa"/>
            <w:vAlign w:val="bottom"/>
            <w:shd w:val="clear" w:color="auto" w:fill="CCFFCC"/>
          </w:tcPr>
          <w:p>
            <w:pPr>
              <w:spacing w:after="0"/>
              <w:rPr>
                <w:sz w:val="19"/>
                <w:szCs w:val="19"/>
                <w:color w:val="auto"/>
              </w:rPr>
            </w:pPr>
          </w:p>
        </w:tc>
        <w:tc>
          <w:tcPr>
            <w:tcW w:w="4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12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w:t>
            </w:r>
          </w:p>
        </w:tc>
        <w:tc>
          <w:tcPr>
            <w:tcW w:w="20" w:type="dxa"/>
            <w:vAlign w:val="bottom"/>
            <w:shd w:val="clear" w:color="auto" w:fill="CCFFCC"/>
          </w:tcPr>
          <w:p>
            <w:pPr>
              <w:spacing w:after="0"/>
              <w:rPr>
                <w:sz w:val="19"/>
                <w:szCs w:val="19"/>
                <w:color w:val="auto"/>
              </w:rPr>
            </w:pPr>
          </w:p>
        </w:tc>
        <w:tc>
          <w:tcPr>
            <w:tcW w:w="200" w:type="dxa"/>
            <w:vAlign w:val="bottom"/>
            <w:shd w:val="clear" w:color="auto" w:fill="CCFFCC"/>
          </w:tcPr>
          <w:p>
            <w:pPr>
              <w:spacing w:after="0"/>
              <w:rPr>
                <w:sz w:val="19"/>
                <w:szCs w:val="19"/>
                <w:color w:val="auto"/>
              </w:rPr>
            </w:pPr>
          </w:p>
        </w:tc>
        <w:tc>
          <w:tcPr>
            <w:tcW w:w="10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2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1000" w:type="dxa"/>
            <w:vAlign w:val="bottom"/>
            <w:tcBorders>
              <w:top w:val="single" w:sz="8" w:color="auto"/>
              <w:bottom w:val="single" w:sz="8" w:color="auto"/>
            </w:tcBorders>
          </w:tcPr>
          <w:p>
            <w:pPr>
              <w:jc w:val="right"/>
              <w:ind w:right="836"/>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106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ind w:right="790"/>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322</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hanging="332"/>
        <w:spacing w:after="0" w:line="194" w:lineRule="auto"/>
        <w:tabs>
          <w:tab w:leader="none" w:pos="340" w:val="left"/>
        </w:tabs>
        <w:numPr>
          <w:ilvl w:val="0"/>
          <w:numId w:val="10"/>
        </w:numPr>
        <w:rPr>
          <w:rFonts w:ascii="Arial" w:cs="Arial" w:eastAsia="Arial" w:hAnsi="Arial"/>
          <w:sz w:val="30"/>
          <w:szCs w:val="30"/>
          <w:color w:val="auto"/>
          <w:vertAlign w:val="superscript"/>
        </w:rPr>
      </w:pPr>
      <w:r>
        <w:rPr>
          <w:rFonts w:ascii="Arial" w:cs="Arial" w:eastAsia="Arial" w:hAnsi="Arial"/>
          <w:sz w:val="18"/>
          <w:szCs w:val="18"/>
          <w:color w:val="auto"/>
        </w:rPr>
        <w:t>Included in the Athletic Stores segment for both the thirteen and twenty-six weeks ended August 3, 2013 is a $2 million charge recorded in connection with the closure of all CCS stores.</w:t>
      </w:r>
    </w:p>
    <w:p>
      <w:pPr>
        <w:spacing w:after="0" w:line="202" w:lineRule="exact"/>
        <w:rPr>
          <w:rFonts w:ascii="Arial" w:cs="Arial" w:eastAsia="Arial" w:hAnsi="Arial"/>
          <w:sz w:val="30"/>
          <w:szCs w:val="30"/>
          <w:color w:val="auto"/>
          <w:vertAlign w:val="superscript"/>
        </w:rPr>
      </w:pPr>
    </w:p>
    <w:p>
      <w:pPr>
        <w:ind w:left="340" w:hanging="332"/>
        <w:spacing w:after="0" w:line="194" w:lineRule="auto"/>
        <w:tabs>
          <w:tab w:leader="none" w:pos="340" w:val="left"/>
        </w:tabs>
        <w:numPr>
          <w:ilvl w:val="0"/>
          <w:numId w:val="10"/>
        </w:numPr>
        <w:rPr>
          <w:rFonts w:ascii="Arial" w:cs="Arial" w:eastAsia="Arial" w:hAnsi="Arial"/>
          <w:sz w:val="30"/>
          <w:szCs w:val="30"/>
          <w:color w:val="auto"/>
          <w:vertAlign w:val="superscript"/>
        </w:rPr>
      </w:pPr>
      <w:r>
        <w:rPr>
          <w:rFonts w:ascii="Arial" w:cs="Arial" w:eastAsia="Arial" w:hAnsi="Arial"/>
          <w:sz w:val="18"/>
          <w:szCs w:val="18"/>
          <w:color w:val="auto"/>
        </w:rPr>
        <w:t>Other income includes non-operating items, such as lease termination gains, royalty income, and the changes in fair value, premiums paid and realized gains associated with foreign currency option contracts.</w:t>
      </w:r>
    </w:p>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second quarter of 2013 the Company closed all 22 of its CCS stores. Of these stores, 8 have been converted to other store formats as of August 3, 2013 and 6 will be converted to other store formats by the end of the year. The CCS store closures are not presented as part of discontinued operations as the operations and cash flows related to the majority of the closed stores are expected to continue through other store formats and the Company’s websites. The Company will continue to operate the CCS catalog and e-commerce website.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4. Goodwill and Other Intangible Assets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Annually during the first quarter, or more frequently if impairment indicators arise, the Company reviews goodwill and intangible assets with indefinite lives for impairment. The annual review of goodwill and assets with indefinite lives performed during the first quarters of 2013 and 2012 did not result in impairment charges. The fair value of each of the reporting units substantially exceeds its carrying value for both periods. The following table provides a summary of goodwill by reportable segment.</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Goodwill as of August 3, 2013 includes $50 million relating to the acquisition of Runners Point Group. Other changes include foreign exchange fluctuations.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August 3,</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July 28,</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rPr>
              <w:t>February 2,</w:t>
            </w:r>
          </w:p>
        </w:tc>
      </w:tr>
      <w:tr>
        <w:trPr>
          <w:trHeight w:val="234"/>
        </w:trPr>
        <w:tc>
          <w:tcPr>
            <w:tcW w:w="69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Goodwill (in millions)</w:t>
            </w:r>
          </w:p>
        </w:tc>
        <w:tc>
          <w:tcPr>
            <w:tcW w:w="120" w:type="dxa"/>
            <w:vAlign w:val="bottom"/>
            <w:tcBorders>
              <w:bottom w:val="single" w:sz="8" w:color="CCFFCC"/>
            </w:tcBorders>
          </w:tcPr>
          <w:p>
            <w:pPr>
              <w:spacing w:after="0"/>
              <w:rPr>
                <w:sz w:val="20"/>
                <w:szCs w:val="20"/>
                <w:color w:val="auto"/>
              </w:rPr>
            </w:pPr>
          </w:p>
        </w:tc>
        <w:tc>
          <w:tcPr>
            <w:tcW w:w="100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b w:val="1"/>
                <w:bCs w:val="1"/>
                <w:color w:val="auto"/>
              </w:rPr>
              <w:t>2013</w:t>
            </w:r>
          </w:p>
        </w:tc>
        <w:tc>
          <w:tcPr>
            <w:tcW w:w="260" w:type="dxa"/>
            <w:vAlign w:val="bottom"/>
            <w:tcBorders>
              <w:bottom w:val="single" w:sz="8" w:color="auto"/>
            </w:tcBorders>
          </w:tcPr>
          <w:p>
            <w:pPr>
              <w:spacing w:after="0"/>
              <w:rPr>
                <w:sz w:val="20"/>
                <w:szCs w:val="20"/>
                <w:color w:val="auto"/>
              </w:rPr>
            </w:pPr>
          </w:p>
        </w:tc>
        <w:tc>
          <w:tcPr>
            <w:tcW w:w="120" w:type="dxa"/>
            <w:vAlign w:val="bottom"/>
            <w:tcBorders>
              <w:bottom w:val="single" w:sz="8" w:color="CCFFCC"/>
            </w:tcBorders>
          </w:tcPr>
          <w:p>
            <w:pPr>
              <w:spacing w:after="0"/>
              <w:rPr>
                <w:sz w:val="20"/>
                <w:szCs w:val="20"/>
                <w:color w:val="auto"/>
              </w:rPr>
            </w:pPr>
          </w:p>
        </w:tc>
        <w:tc>
          <w:tcPr>
            <w:tcW w:w="140" w:type="dxa"/>
            <w:vAlign w:val="bottom"/>
            <w:tcBorders>
              <w:bottom w:val="single" w:sz="8" w:color="CCFFCC"/>
            </w:tcBorders>
          </w:tcPr>
          <w:p>
            <w:pPr>
              <w:spacing w:after="0"/>
              <w:rPr>
                <w:sz w:val="20"/>
                <w:szCs w:val="20"/>
                <w:color w:val="auto"/>
              </w:rPr>
            </w:pPr>
          </w:p>
        </w:tc>
        <w:tc>
          <w:tcPr>
            <w:tcW w:w="94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b w:val="1"/>
                <w:bCs w:val="1"/>
                <w:color w:val="auto"/>
              </w:rPr>
              <w:t>2012</w:t>
            </w:r>
          </w:p>
        </w:tc>
        <w:tc>
          <w:tcPr>
            <w:tcW w:w="300" w:type="dxa"/>
            <w:vAlign w:val="bottom"/>
            <w:tcBorders>
              <w:bottom w:val="single" w:sz="8" w:color="auto"/>
            </w:tcBorders>
          </w:tcPr>
          <w:p>
            <w:pPr>
              <w:spacing w:after="0"/>
              <w:rPr>
                <w:sz w:val="20"/>
                <w:szCs w:val="20"/>
                <w:color w:val="auto"/>
              </w:rPr>
            </w:pPr>
          </w:p>
        </w:tc>
        <w:tc>
          <w:tcPr>
            <w:tcW w:w="100" w:type="dxa"/>
            <w:vAlign w:val="bottom"/>
            <w:tcBorders>
              <w:bottom w:val="single" w:sz="8" w:color="CCFFCC"/>
            </w:tcBorders>
          </w:tcPr>
          <w:p>
            <w:pPr>
              <w:spacing w:after="0"/>
              <w:rPr>
                <w:sz w:val="20"/>
                <w:szCs w:val="20"/>
                <w:color w:val="auto"/>
              </w:rPr>
            </w:pPr>
          </w:p>
        </w:tc>
        <w:tc>
          <w:tcPr>
            <w:tcW w:w="100" w:type="dxa"/>
            <w:vAlign w:val="bottom"/>
            <w:tcBorders>
              <w:bottom w:val="single" w:sz="8" w:color="CCFFC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100" w:type="dxa"/>
            <w:vAlign w:val="bottom"/>
            <w:tcBorders>
              <w:bottom w:val="single" w:sz="8" w:color="CCFFCC"/>
            </w:tcBorders>
          </w:tcPr>
          <w:p>
            <w:pPr>
              <w:spacing w:after="0"/>
              <w:rPr>
                <w:sz w:val="20"/>
                <w:szCs w:val="20"/>
                <w:color w:val="auto"/>
              </w:rPr>
            </w:pPr>
          </w:p>
        </w:tc>
      </w:tr>
      <w:tr>
        <w:trPr>
          <w:trHeight w:val="250"/>
        </w:trPr>
        <w:tc>
          <w:tcPr>
            <w:tcW w:w="6980" w:type="dxa"/>
            <w:vAlign w:val="bottom"/>
            <w:shd w:val="clear" w:color="auto" w:fill="CCFFCC"/>
          </w:tcPr>
          <w:p>
            <w:pPr>
              <w:spacing w:after="0" w:line="251" w:lineRule="exact"/>
              <w:rPr>
                <w:sz w:val="20"/>
                <w:szCs w:val="20"/>
                <w:color w:val="auto"/>
              </w:rPr>
            </w:pPr>
            <w:r>
              <w:rPr>
                <w:rFonts w:ascii="Arial" w:cs="Arial" w:eastAsia="Arial" w:hAnsi="Arial"/>
                <w:sz w:val="18"/>
                <w:szCs w:val="18"/>
                <w:color w:val="auto"/>
              </w:rPr>
              <w:t xml:space="preserve">Athletic Stores </w:t>
            </w:r>
            <w:r>
              <w:rPr>
                <w:rFonts w:ascii="Arial" w:cs="Arial" w:eastAsia="Arial" w:hAnsi="Arial"/>
                <w:sz w:val="29"/>
                <w:szCs w:val="29"/>
                <w:color w:val="auto"/>
                <w:vertAlign w:val="superscript"/>
              </w:rPr>
              <w:t>(1)</w:t>
            </w:r>
          </w:p>
        </w:tc>
        <w:tc>
          <w:tcPr>
            <w:tcW w:w="1120" w:type="dxa"/>
            <w:vAlign w:val="bottom"/>
            <w:gridSpan w:val="2"/>
            <w:shd w:val="clear" w:color="auto" w:fill="CCFFCC"/>
          </w:tcPr>
          <w:p>
            <w:pPr>
              <w:jc w:val="right"/>
              <w:ind w:right="835"/>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67</w:t>
            </w:r>
          </w:p>
        </w:tc>
        <w:tc>
          <w:tcPr>
            <w:tcW w:w="1080" w:type="dxa"/>
            <w:vAlign w:val="bottom"/>
            <w:gridSpan w:val="2"/>
            <w:shd w:val="clear" w:color="auto" w:fill="CCFFCC"/>
          </w:tcPr>
          <w:p>
            <w:pPr>
              <w:jc w:val="right"/>
              <w:ind w:right="775"/>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16</w:t>
            </w:r>
          </w:p>
        </w:tc>
        <w:tc>
          <w:tcPr>
            <w:tcW w:w="2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18</w:t>
            </w:r>
          </w:p>
        </w:tc>
      </w:tr>
      <w:tr>
        <w:trPr>
          <w:trHeight w:val="230"/>
        </w:trPr>
        <w:tc>
          <w:tcPr>
            <w:tcW w:w="6980" w:type="dxa"/>
            <w:vAlign w:val="bottom"/>
          </w:tcPr>
          <w:p>
            <w:pPr>
              <w:spacing w:after="0"/>
              <w:rPr>
                <w:sz w:val="20"/>
                <w:szCs w:val="20"/>
                <w:color w:val="auto"/>
              </w:rPr>
            </w:pPr>
            <w:r>
              <w:rPr>
                <w:rFonts w:ascii="Arial" w:cs="Arial" w:eastAsia="Arial" w:hAnsi="Arial"/>
                <w:sz w:val="18"/>
                <w:szCs w:val="18"/>
                <w:color w:val="auto"/>
              </w:rPr>
              <w:t>Direct-to-Customers</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w w:val="79"/>
              </w:rPr>
              <w:t>127</w:t>
            </w: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127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127</w:t>
            </w:r>
          </w:p>
        </w:tc>
      </w:tr>
      <w:tr>
        <w:trPr>
          <w:trHeight w:val="223"/>
        </w:trPr>
        <w:tc>
          <w:tcPr>
            <w:tcW w:w="6980" w:type="dxa"/>
            <w:vAlign w:val="bottom"/>
            <w:tcBorders>
              <w:top w:val="single" w:sz="8" w:color="CCFFCC"/>
              <w:bottom w:val="single" w:sz="8" w:color="CCFFCC"/>
            </w:tcBorders>
            <w:shd w:val="clear" w:color="auto" w:fill="CCFFCC"/>
          </w:tcPr>
          <w:p>
            <w:pPr>
              <w:spacing w:after="0"/>
              <w:rPr>
                <w:sz w:val="19"/>
                <w:szCs w:val="19"/>
                <w:color w:val="auto"/>
              </w:rPr>
            </w:pPr>
          </w:p>
        </w:tc>
        <w:tc>
          <w:tcPr>
            <w:tcW w:w="120" w:type="dxa"/>
            <w:vAlign w:val="bottom"/>
            <w:tcBorders>
              <w:top w:val="single" w:sz="8" w:color="CCFFCC"/>
              <w:bottom w:val="single" w:sz="8" w:color="CCFFCC"/>
            </w:tcBorders>
            <w:shd w:val="clear" w:color="auto" w:fill="CCFFCC"/>
          </w:tcPr>
          <w:p>
            <w:pPr>
              <w:spacing w:after="0"/>
              <w:rPr>
                <w:sz w:val="19"/>
                <w:szCs w:val="19"/>
                <w:color w:val="auto"/>
              </w:rPr>
            </w:pPr>
          </w:p>
        </w:tc>
        <w:tc>
          <w:tcPr>
            <w:tcW w:w="1000" w:type="dxa"/>
            <w:vAlign w:val="bottom"/>
            <w:tcBorders>
              <w:top w:val="single" w:sz="8" w:color="auto"/>
              <w:bottom w:val="single" w:sz="8" w:color="auto"/>
            </w:tcBorders>
            <w:shd w:val="clear" w:color="auto" w:fill="CCFFCC"/>
          </w:tcPr>
          <w:p>
            <w:pPr>
              <w:jc w:val="right"/>
              <w:ind w:right="835"/>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194</w:t>
            </w:r>
          </w:p>
        </w:tc>
        <w:tc>
          <w:tcPr>
            <w:tcW w:w="120" w:type="dxa"/>
            <w:vAlign w:val="bottom"/>
            <w:tcBorders>
              <w:top w:val="single" w:sz="8" w:color="CCFFCC"/>
              <w:bottom w:val="single" w:sz="8" w:color="CCFFCC"/>
            </w:tcBorders>
            <w:shd w:val="clear" w:color="auto" w:fill="CCFFCC"/>
          </w:tcPr>
          <w:p>
            <w:pPr>
              <w:spacing w:after="0"/>
              <w:rPr>
                <w:sz w:val="19"/>
                <w:szCs w:val="19"/>
                <w:color w:val="auto"/>
              </w:rPr>
            </w:pPr>
          </w:p>
        </w:tc>
        <w:tc>
          <w:tcPr>
            <w:tcW w:w="140" w:type="dxa"/>
            <w:vAlign w:val="bottom"/>
            <w:tcBorders>
              <w:top w:val="single" w:sz="8" w:color="CCFFCC"/>
              <w:bottom w:val="single" w:sz="8" w:color="CCFFCC"/>
            </w:tcBorders>
            <w:shd w:val="clear" w:color="auto" w:fill="CCFFCC"/>
          </w:tcPr>
          <w:p>
            <w:pPr>
              <w:spacing w:after="0"/>
              <w:rPr>
                <w:sz w:val="19"/>
                <w:szCs w:val="19"/>
                <w:color w:val="auto"/>
              </w:rPr>
            </w:pPr>
          </w:p>
        </w:tc>
        <w:tc>
          <w:tcPr>
            <w:tcW w:w="940" w:type="dxa"/>
            <w:vAlign w:val="bottom"/>
            <w:tcBorders>
              <w:top w:val="single" w:sz="8" w:color="auto"/>
              <w:bottom w:val="single" w:sz="8" w:color="auto"/>
            </w:tcBorders>
            <w:shd w:val="clear" w:color="auto" w:fill="CCFFCC"/>
          </w:tcPr>
          <w:p>
            <w:pPr>
              <w:jc w:val="right"/>
              <w:ind w:right="775"/>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3"/>
              </w:rPr>
              <w:t>143</w:t>
            </w:r>
          </w:p>
        </w:tc>
        <w:tc>
          <w:tcPr>
            <w:tcW w:w="100" w:type="dxa"/>
            <w:vAlign w:val="bottom"/>
            <w:tcBorders>
              <w:top w:val="single" w:sz="8" w:color="CCFFCC"/>
              <w:bottom w:val="single" w:sz="8" w:color="CCFFCC"/>
            </w:tcBorders>
            <w:shd w:val="clear" w:color="auto" w:fill="CCFFCC"/>
          </w:tcPr>
          <w:p>
            <w:pPr>
              <w:spacing w:after="0"/>
              <w:rPr>
                <w:sz w:val="19"/>
                <w:szCs w:val="19"/>
                <w:color w:val="auto"/>
              </w:rPr>
            </w:pPr>
          </w:p>
        </w:tc>
        <w:tc>
          <w:tcPr>
            <w:tcW w:w="100" w:type="dxa"/>
            <w:vAlign w:val="bottom"/>
            <w:tcBorders>
              <w:top w:val="single" w:sz="8" w:color="CCFFCC"/>
              <w:bottom w:val="single" w:sz="8" w:color="CCFFCC"/>
            </w:tcBorders>
            <w:shd w:val="clear" w:color="auto" w:fill="CCFFCC"/>
          </w:tcPr>
          <w:p>
            <w:pPr>
              <w:spacing w:after="0"/>
              <w:rPr>
                <w:sz w:val="19"/>
                <w:szCs w:val="19"/>
                <w:color w:val="auto"/>
              </w:rPr>
            </w:pPr>
          </w:p>
        </w:tc>
        <w:tc>
          <w:tcPr>
            <w:tcW w:w="1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Borders>
              <w:top w:val="single" w:sz="8" w:color="CCFFCC"/>
              <w:bottom w:val="single" w:sz="8" w:color="CCFFCC"/>
            </w:tcBorders>
            <w:shd w:val="clear" w:color="auto" w:fill="CCFFCC"/>
          </w:tcPr>
          <w:p>
            <w:pPr>
              <w:spacing w:after="0"/>
              <w:rPr>
                <w:sz w:val="19"/>
                <w:szCs w:val="19"/>
                <w:color w:val="auto"/>
              </w:rPr>
            </w:pPr>
          </w:p>
        </w:tc>
      </w:tr>
      <w:tr>
        <w:trPr>
          <w:trHeight w:val="20"/>
        </w:trPr>
        <w:tc>
          <w:tcPr>
            <w:tcW w:w="6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hanging="332"/>
        <w:spacing w:after="0" w:line="194" w:lineRule="auto"/>
        <w:tabs>
          <w:tab w:leader="none" w:pos="340" w:val="left"/>
        </w:tabs>
        <w:numPr>
          <w:ilvl w:val="0"/>
          <w:numId w:val="11"/>
        </w:numPr>
        <w:rPr>
          <w:rFonts w:ascii="Arial" w:cs="Arial" w:eastAsia="Arial" w:hAnsi="Arial"/>
          <w:sz w:val="30"/>
          <w:szCs w:val="30"/>
          <w:color w:val="auto"/>
          <w:vertAlign w:val="superscript"/>
        </w:rPr>
      </w:pPr>
      <w:r>
        <w:rPr>
          <w:rFonts w:ascii="Arial" w:cs="Arial" w:eastAsia="Arial" w:hAnsi="Arial"/>
          <w:sz w:val="18"/>
          <w:szCs w:val="18"/>
          <w:color w:val="auto"/>
        </w:rPr>
        <w:t>The entire amount of goodwill related to the acquisition was preliminarily allocated to the Athletic Stores segment and is subject to change based on the finalization of our detailed valuations.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9" w:name="page10"/>
    <w:bookmarkEnd w:id="9"/>
    <w:p>
      <w:pPr>
        <w:jc w:val="center"/>
        <w:ind w:left="340"/>
        <w:spacing w:after="0"/>
        <w:rPr>
          <w:sz w:val="20"/>
          <w:szCs w:val="20"/>
          <w:color w:val="auto"/>
        </w:rPr>
      </w:pPr>
      <w:r>
        <w:rPr>
          <w:rFonts w:ascii="Arial" w:cs="Arial" w:eastAsia="Arial" w:hAnsi="Arial"/>
          <w:sz w:val="18"/>
          <w:szCs w:val="18"/>
          <w:b w:val="1"/>
          <w:bCs w:val="1"/>
          <w:color w:val="auto"/>
        </w:rPr>
        <w:t>FOOT LOCKER, INC.</w:t>
      </w:r>
    </w:p>
    <w:p>
      <w:pPr>
        <w:spacing w:after="0" w:line="225"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5" w:lineRule="exact"/>
        <w:rPr>
          <w:sz w:val="20"/>
          <w:szCs w:val="20"/>
          <w:color w:val="auto"/>
        </w:rPr>
      </w:pPr>
    </w:p>
    <w:p>
      <w:pPr>
        <w:ind w:left="180" w:hanging="172"/>
        <w:spacing w:after="0"/>
        <w:tabs>
          <w:tab w:leader="none" w:pos="18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Goodwill and Other Intangible Assets -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finite-lived intangible assets and intangible assets not subject to amortization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3"/>
              </w:rPr>
              <w:t>August 3, 2013</w:t>
            </w: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rPr>
              <w:t>July 28, 2012</w:t>
            </w: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4"/>
              </w:rPr>
              <w:t>February 2, 2013</w:t>
            </w: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line="133" w:lineRule="exact"/>
              <w:rPr>
                <w:sz w:val="20"/>
                <w:szCs w:val="20"/>
                <w:color w:val="auto"/>
              </w:rPr>
            </w:pPr>
            <w:r>
              <w:rPr>
                <w:rFonts w:ascii="Arial" w:cs="Arial" w:eastAsia="Arial" w:hAnsi="Arial"/>
                <w:sz w:val="14"/>
                <w:szCs w:val="14"/>
                <w:b w:val="1"/>
                <w:bCs w:val="1"/>
                <w:color w:val="auto"/>
              </w:rPr>
              <w:t>Gross</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center"/>
              <w:ind w:right="380"/>
              <w:spacing w:after="0" w:line="133" w:lineRule="exact"/>
              <w:rPr>
                <w:sz w:val="20"/>
                <w:szCs w:val="20"/>
                <w:color w:val="auto"/>
              </w:rPr>
            </w:pPr>
            <w:r>
              <w:rPr>
                <w:rFonts w:ascii="Arial" w:cs="Arial" w:eastAsia="Arial" w:hAnsi="Arial"/>
                <w:sz w:val="14"/>
                <w:szCs w:val="14"/>
                <w:b w:val="1"/>
                <w:bCs w:val="1"/>
                <w:color w:val="auto"/>
                <w:w w:val="94"/>
              </w:rPr>
              <w:t>Accum.</w:t>
            </w:r>
          </w:p>
        </w:tc>
        <w:tc>
          <w:tcPr>
            <w:tcW w:w="140" w:type="dxa"/>
            <w:vAlign w:val="bottom"/>
          </w:tcPr>
          <w:p>
            <w:pPr>
              <w:spacing w:after="0"/>
              <w:rPr>
                <w:sz w:val="11"/>
                <w:szCs w:val="11"/>
                <w:color w:val="auto"/>
              </w:rPr>
            </w:pPr>
          </w:p>
        </w:tc>
        <w:tc>
          <w:tcPr>
            <w:tcW w:w="660" w:type="dxa"/>
            <w:vAlign w:val="bottom"/>
          </w:tcPr>
          <w:p>
            <w:pPr>
              <w:jc w:val="right"/>
              <w:ind w:right="228"/>
              <w:spacing w:after="0" w:line="133" w:lineRule="exact"/>
              <w:rPr>
                <w:sz w:val="20"/>
                <w:szCs w:val="20"/>
                <w:color w:val="auto"/>
              </w:rPr>
            </w:pPr>
            <w:r>
              <w:rPr>
                <w:rFonts w:ascii="Arial" w:cs="Arial" w:eastAsia="Arial" w:hAnsi="Arial"/>
                <w:sz w:val="14"/>
                <w:szCs w:val="14"/>
                <w:b w:val="1"/>
                <w:bCs w:val="1"/>
                <w:color w:val="auto"/>
              </w:rPr>
              <w:t>Net</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jc w:val="right"/>
              <w:ind w:right="168"/>
              <w:spacing w:after="0" w:line="133" w:lineRule="exact"/>
              <w:rPr>
                <w:sz w:val="20"/>
                <w:szCs w:val="20"/>
                <w:color w:val="auto"/>
              </w:rPr>
            </w:pPr>
            <w:r>
              <w:rPr>
                <w:rFonts w:ascii="Arial" w:cs="Arial" w:eastAsia="Arial" w:hAnsi="Arial"/>
                <w:sz w:val="14"/>
                <w:szCs w:val="14"/>
                <w:b w:val="1"/>
                <w:bCs w:val="1"/>
                <w:color w:val="auto"/>
                <w:w w:val="98"/>
              </w:rPr>
              <w:t>Gross</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right"/>
              <w:ind w:right="300"/>
              <w:spacing w:after="0" w:line="133" w:lineRule="exact"/>
              <w:rPr>
                <w:sz w:val="20"/>
                <w:szCs w:val="20"/>
                <w:color w:val="auto"/>
              </w:rPr>
            </w:pPr>
            <w:r>
              <w:rPr>
                <w:rFonts w:ascii="Arial" w:cs="Arial" w:eastAsia="Arial" w:hAnsi="Arial"/>
                <w:sz w:val="14"/>
                <w:szCs w:val="14"/>
                <w:b w:val="1"/>
                <w:bCs w:val="1"/>
                <w:color w:val="auto"/>
                <w:w w:val="94"/>
              </w:rPr>
              <w:t>Accum.</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center"/>
              <w:ind w:right="68"/>
              <w:spacing w:after="0" w:line="133" w:lineRule="exact"/>
              <w:rPr>
                <w:sz w:val="20"/>
                <w:szCs w:val="20"/>
                <w:color w:val="auto"/>
              </w:rPr>
            </w:pPr>
            <w:r>
              <w:rPr>
                <w:rFonts w:ascii="Arial" w:cs="Arial" w:eastAsia="Arial" w:hAnsi="Arial"/>
                <w:sz w:val="14"/>
                <w:szCs w:val="14"/>
                <w:b w:val="1"/>
                <w:bCs w:val="1"/>
                <w:color w:val="auto"/>
                <w:w w:val="97"/>
              </w:rPr>
              <w:t>Net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4"/>
                <w:szCs w:val="14"/>
                <w:b w:val="1"/>
                <w:bCs w:val="1"/>
                <w:color w:val="auto"/>
              </w:rPr>
              <w:t>Gross</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w w:val="94"/>
              </w:rPr>
              <w:t>Accum.</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jc w:val="center"/>
              <w:ind w:right="88"/>
              <w:spacing w:after="0" w:line="133" w:lineRule="exact"/>
              <w:rPr>
                <w:sz w:val="20"/>
                <w:szCs w:val="20"/>
                <w:color w:val="auto"/>
              </w:rPr>
            </w:pPr>
            <w:r>
              <w:rPr>
                <w:rFonts w:ascii="Arial" w:cs="Arial" w:eastAsia="Arial" w:hAnsi="Arial"/>
                <w:sz w:val="14"/>
                <w:szCs w:val="14"/>
                <w:b w:val="1"/>
                <w:bCs w:val="1"/>
                <w:color w:val="auto"/>
                <w:w w:val="88"/>
              </w:rPr>
              <w:t>Net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30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value</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amort.</w:t>
            </w:r>
          </w:p>
        </w:tc>
        <w:tc>
          <w:tcPr>
            <w:tcW w:w="140" w:type="dxa"/>
            <w:vAlign w:val="bottom"/>
          </w:tcPr>
          <w:p>
            <w:pPr>
              <w:spacing w:after="0"/>
              <w:rPr>
                <w:sz w:val="14"/>
                <w:szCs w:val="14"/>
                <w:color w:val="auto"/>
              </w:rPr>
            </w:pPr>
          </w:p>
        </w:tc>
        <w:tc>
          <w:tcPr>
            <w:tcW w:w="9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value</w:t>
            </w:r>
          </w:p>
        </w:tc>
        <w:tc>
          <w:tcPr>
            <w:tcW w:w="160" w:type="dxa"/>
            <w:vAlign w:val="bottom"/>
          </w:tcPr>
          <w:p>
            <w:pPr>
              <w:spacing w:after="0"/>
              <w:rPr>
                <w:sz w:val="14"/>
                <w:szCs w:val="14"/>
                <w:color w:val="auto"/>
              </w:rPr>
            </w:pPr>
          </w:p>
        </w:tc>
        <w:tc>
          <w:tcPr>
            <w:tcW w:w="660" w:type="dxa"/>
            <w:vAlign w:val="bottom"/>
          </w:tcPr>
          <w:p>
            <w:pPr>
              <w:jc w:val="right"/>
              <w:ind w:right="168"/>
              <w:spacing w:after="0"/>
              <w:rPr>
                <w:sz w:val="20"/>
                <w:szCs w:val="20"/>
                <w:color w:val="auto"/>
              </w:rPr>
            </w:pPr>
            <w:r>
              <w:rPr>
                <w:rFonts w:ascii="Arial" w:cs="Arial" w:eastAsia="Arial" w:hAnsi="Arial"/>
                <w:sz w:val="14"/>
                <w:szCs w:val="14"/>
                <w:b w:val="1"/>
                <w:bCs w:val="1"/>
                <w:color w:val="auto"/>
              </w:rPr>
              <w:t>Value</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amort.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value</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4"/>
                <w:szCs w:val="14"/>
                <w:b w:val="1"/>
                <w:bCs w:val="1"/>
                <w:color w:val="auto"/>
              </w:rPr>
              <w:t>Value</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amort.</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60" w:type="dxa"/>
            <w:vAlign w:val="bottom"/>
            <w:tcBorders>
              <w:top w:val="single" w:sz="8" w:color="auto"/>
            </w:tcBorders>
            <w:shd w:val="clear" w:color="auto" w:fill="CCFFCC"/>
          </w:tcPr>
          <w:p>
            <w:pPr>
              <w:spacing w:after="0" w:line="142" w:lineRule="exact"/>
              <w:rPr>
                <w:sz w:val="20"/>
                <w:szCs w:val="20"/>
                <w:color w:val="auto"/>
              </w:rPr>
            </w:pPr>
            <w:r>
              <w:rPr>
                <w:rFonts w:ascii="Arial" w:cs="Arial" w:eastAsia="Arial" w:hAnsi="Arial"/>
                <w:sz w:val="14"/>
                <w:szCs w:val="14"/>
                <w:color w:val="auto"/>
              </w:rPr>
              <w:t>Amortized intangible assets:</w:t>
            </w:r>
          </w:p>
        </w:tc>
        <w:tc>
          <w:tcPr>
            <w:tcW w:w="120" w:type="dxa"/>
            <w:vAlign w:val="bottom"/>
            <w:tcBorders>
              <w:top w:val="single" w:sz="8" w:color="CCFFCC"/>
            </w:tcBorders>
            <w:shd w:val="clear" w:color="auto" w:fill="CCFFCC"/>
          </w:tcPr>
          <w:p>
            <w:pPr>
              <w:spacing w:after="0"/>
              <w:rPr>
                <w:sz w:val="12"/>
                <w:szCs w:val="12"/>
                <w:color w:val="auto"/>
              </w:rPr>
            </w:pPr>
          </w:p>
        </w:tc>
        <w:tc>
          <w:tcPr>
            <w:tcW w:w="600" w:type="dxa"/>
            <w:vAlign w:val="bottom"/>
            <w:tcBorders>
              <w:top w:val="single" w:sz="8" w:color="auto"/>
            </w:tcBorders>
            <w:shd w:val="clear" w:color="auto" w:fill="CCFFCC"/>
          </w:tcPr>
          <w:p>
            <w:pPr>
              <w:spacing w:after="0"/>
              <w:rPr>
                <w:sz w:val="12"/>
                <w:szCs w:val="12"/>
                <w:color w:val="auto"/>
              </w:rPr>
            </w:pPr>
          </w:p>
        </w:tc>
        <w:tc>
          <w:tcPr>
            <w:tcW w:w="220" w:type="dxa"/>
            <w:vAlign w:val="bottom"/>
            <w:tcBorders>
              <w:top w:val="single" w:sz="8" w:color="auto"/>
            </w:tcBorders>
            <w:shd w:val="clear" w:color="auto" w:fill="CCFFCC"/>
          </w:tcPr>
          <w:p>
            <w:pPr>
              <w:spacing w:after="0"/>
              <w:rPr>
                <w:sz w:val="12"/>
                <w:szCs w:val="12"/>
                <w:color w:val="auto"/>
              </w:rPr>
            </w:pPr>
          </w:p>
        </w:tc>
        <w:tc>
          <w:tcPr>
            <w:tcW w:w="240" w:type="dxa"/>
            <w:vAlign w:val="bottom"/>
            <w:tcBorders>
              <w:top w:val="single" w:sz="8" w:color="CCFFCC"/>
            </w:tcBorders>
            <w:shd w:val="clear" w:color="auto" w:fill="CCFFCC"/>
          </w:tcPr>
          <w:p>
            <w:pPr>
              <w:spacing w:after="0"/>
              <w:rPr>
                <w:sz w:val="12"/>
                <w:szCs w:val="12"/>
                <w:color w:val="auto"/>
              </w:rPr>
            </w:pPr>
          </w:p>
        </w:tc>
        <w:tc>
          <w:tcPr>
            <w:tcW w:w="120" w:type="dxa"/>
            <w:vAlign w:val="bottom"/>
            <w:tcBorders>
              <w:top w:val="single" w:sz="8" w:color="auto"/>
            </w:tcBorders>
            <w:shd w:val="clear" w:color="auto" w:fill="CCFFCC"/>
          </w:tcPr>
          <w:p>
            <w:pPr>
              <w:spacing w:after="0"/>
              <w:rPr>
                <w:sz w:val="12"/>
                <w:szCs w:val="12"/>
                <w:color w:val="auto"/>
              </w:rPr>
            </w:pPr>
          </w:p>
        </w:tc>
        <w:tc>
          <w:tcPr>
            <w:tcW w:w="680" w:type="dxa"/>
            <w:vAlign w:val="bottom"/>
            <w:tcBorders>
              <w:top w:val="single" w:sz="8" w:color="auto"/>
            </w:tcBorders>
            <w:shd w:val="clear" w:color="auto" w:fill="CCFFCC"/>
          </w:tcPr>
          <w:p>
            <w:pPr>
              <w:spacing w:after="0"/>
              <w:rPr>
                <w:sz w:val="12"/>
                <w:szCs w:val="12"/>
                <w:color w:val="auto"/>
              </w:rPr>
            </w:pPr>
          </w:p>
        </w:tc>
        <w:tc>
          <w:tcPr>
            <w:tcW w:w="260" w:type="dxa"/>
            <w:vAlign w:val="bottom"/>
            <w:tcBorders>
              <w:top w:val="single" w:sz="8" w:color="CCFFCC"/>
            </w:tcBorders>
            <w:shd w:val="clear" w:color="auto" w:fill="CCFFCC"/>
          </w:tcPr>
          <w:p>
            <w:pPr>
              <w:spacing w:after="0"/>
              <w:rPr>
                <w:sz w:val="12"/>
                <w:szCs w:val="12"/>
                <w:color w:val="auto"/>
              </w:rPr>
            </w:pPr>
          </w:p>
        </w:tc>
        <w:tc>
          <w:tcPr>
            <w:tcW w:w="140" w:type="dxa"/>
            <w:vAlign w:val="bottom"/>
            <w:tcBorders>
              <w:top w:val="single" w:sz="8" w:color="auto"/>
            </w:tcBorders>
            <w:shd w:val="clear" w:color="auto" w:fill="CCFFCC"/>
          </w:tcPr>
          <w:p>
            <w:pPr>
              <w:spacing w:after="0"/>
              <w:rPr>
                <w:sz w:val="12"/>
                <w:szCs w:val="12"/>
                <w:color w:val="auto"/>
              </w:rPr>
            </w:pPr>
          </w:p>
        </w:tc>
        <w:tc>
          <w:tcPr>
            <w:tcW w:w="660" w:type="dxa"/>
            <w:vAlign w:val="bottom"/>
            <w:tcBorders>
              <w:top w:val="single" w:sz="8" w:color="auto"/>
            </w:tcBorders>
            <w:shd w:val="clear" w:color="auto" w:fill="CCFFCC"/>
          </w:tcPr>
          <w:p>
            <w:pPr>
              <w:spacing w:after="0"/>
              <w:rPr>
                <w:sz w:val="12"/>
                <w:szCs w:val="12"/>
                <w:color w:val="auto"/>
              </w:rPr>
            </w:pPr>
          </w:p>
        </w:tc>
        <w:tc>
          <w:tcPr>
            <w:tcW w:w="240" w:type="dxa"/>
            <w:vAlign w:val="bottom"/>
            <w:tcBorders>
              <w:top w:val="single" w:sz="8" w:color="CCFFCC"/>
            </w:tcBorders>
            <w:shd w:val="clear" w:color="auto" w:fill="CCFFCC"/>
          </w:tcPr>
          <w:p>
            <w:pPr>
              <w:spacing w:after="0"/>
              <w:rPr>
                <w:sz w:val="12"/>
                <w:szCs w:val="12"/>
                <w:color w:val="auto"/>
              </w:rPr>
            </w:pPr>
          </w:p>
        </w:tc>
        <w:tc>
          <w:tcPr>
            <w:tcW w:w="160" w:type="dxa"/>
            <w:vAlign w:val="bottom"/>
            <w:tcBorders>
              <w:top w:val="single" w:sz="8" w:color="auto"/>
            </w:tcBorders>
            <w:shd w:val="clear" w:color="auto" w:fill="CCFFCC"/>
          </w:tcPr>
          <w:p>
            <w:pPr>
              <w:spacing w:after="0"/>
              <w:rPr>
                <w:sz w:val="12"/>
                <w:szCs w:val="12"/>
                <w:color w:val="auto"/>
              </w:rPr>
            </w:pPr>
          </w:p>
        </w:tc>
        <w:tc>
          <w:tcPr>
            <w:tcW w:w="660" w:type="dxa"/>
            <w:vAlign w:val="bottom"/>
            <w:tcBorders>
              <w:top w:val="single" w:sz="8" w:color="auto"/>
            </w:tcBorders>
            <w:shd w:val="clear" w:color="auto" w:fill="CCFFCC"/>
          </w:tcPr>
          <w:p>
            <w:pPr>
              <w:spacing w:after="0"/>
              <w:rPr>
                <w:sz w:val="12"/>
                <w:szCs w:val="12"/>
                <w:color w:val="auto"/>
              </w:rPr>
            </w:pPr>
          </w:p>
        </w:tc>
        <w:tc>
          <w:tcPr>
            <w:tcW w:w="240" w:type="dxa"/>
            <w:vAlign w:val="bottom"/>
            <w:tcBorders>
              <w:top w:val="single" w:sz="8" w:color="CCFFCC"/>
            </w:tcBorders>
            <w:shd w:val="clear" w:color="auto" w:fill="CCFFCC"/>
          </w:tcPr>
          <w:p>
            <w:pPr>
              <w:spacing w:after="0"/>
              <w:rPr>
                <w:sz w:val="12"/>
                <w:szCs w:val="12"/>
                <w:color w:val="auto"/>
              </w:rPr>
            </w:pPr>
          </w:p>
        </w:tc>
        <w:tc>
          <w:tcPr>
            <w:tcW w:w="120" w:type="dxa"/>
            <w:vAlign w:val="bottom"/>
            <w:tcBorders>
              <w:top w:val="single" w:sz="8" w:color="auto"/>
            </w:tcBorders>
            <w:shd w:val="clear" w:color="auto" w:fill="CCFFCC"/>
          </w:tcPr>
          <w:p>
            <w:pPr>
              <w:spacing w:after="0"/>
              <w:rPr>
                <w:sz w:val="12"/>
                <w:szCs w:val="12"/>
                <w:color w:val="auto"/>
              </w:rPr>
            </w:pPr>
          </w:p>
        </w:tc>
        <w:tc>
          <w:tcPr>
            <w:tcW w:w="680" w:type="dxa"/>
            <w:vAlign w:val="bottom"/>
            <w:tcBorders>
              <w:top w:val="single" w:sz="8" w:color="auto"/>
            </w:tcBorders>
            <w:shd w:val="clear" w:color="auto" w:fill="CCFFCC"/>
          </w:tcPr>
          <w:p>
            <w:pPr>
              <w:spacing w:after="0"/>
              <w:rPr>
                <w:sz w:val="12"/>
                <w:szCs w:val="12"/>
                <w:color w:val="auto"/>
              </w:rPr>
            </w:pPr>
          </w:p>
        </w:tc>
        <w:tc>
          <w:tcPr>
            <w:tcW w:w="120" w:type="dxa"/>
            <w:vAlign w:val="bottom"/>
            <w:tcBorders>
              <w:top w:val="single" w:sz="8" w:color="CCFFCC"/>
            </w:tcBorders>
            <w:shd w:val="clear" w:color="auto" w:fill="CCFFCC"/>
          </w:tcPr>
          <w:p>
            <w:pPr>
              <w:spacing w:after="0"/>
              <w:rPr>
                <w:sz w:val="12"/>
                <w:szCs w:val="12"/>
                <w:color w:val="auto"/>
              </w:rPr>
            </w:pPr>
          </w:p>
        </w:tc>
        <w:tc>
          <w:tcPr>
            <w:tcW w:w="100" w:type="dxa"/>
            <w:vAlign w:val="bottom"/>
            <w:tcBorders>
              <w:top w:val="single" w:sz="8" w:color="CCFFCC"/>
            </w:tcBorders>
            <w:shd w:val="clear" w:color="auto" w:fill="CCFFCC"/>
          </w:tcPr>
          <w:p>
            <w:pPr>
              <w:spacing w:after="0"/>
              <w:rPr>
                <w:sz w:val="12"/>
                <w:szCs w:val="12"/>
                <w:color w:val="auto"/>
              </w:rPr>
            </w:pPr>
          </w:p>
        </w:tc>
        <w:tc>
          <w:tcPr>
            <w:tcW w:w="140" w:type="dxa"/>
            <w:vAlign w:val="bottom"/>
            <w:tcBorders>
              <w:top w:val="single" w:sz="8" w:color="auto"/>
            </w:tcBorders>
            <w:shd w:val="clear" w:color="auto" w:fill="CCFFCC"/>
          </w:tcPr>
          <w:p>
            <w:pPr>
              <w:spacing w:after="0"/>
              <w:rPr>
                <w:sz w:val="12"/>
                <w:szCs w:val="12"/>
                <w:color w:val="auto"/>
              </w:rPr>
            </w:pPr>
          </w:p>
        </w:tc>
        <w:tc>
          <w:tcPr>
            <w:tcW w:w="640" w:type="dxa"/>
            <w:vAlign w:val="bottom"/>
            <w:tcBorders>
              <w:top w:val="single" w:sz="8" w:color="auto"/>
            </w:tcBorders>
            <w:shd w:val="clear" w:color="auto" w:fill="CCFFCC"/>
          </w:tcPr>
          <w:p>
            <w:pPr>
              <w:spacing w:after="0"/>
              <w:rPr>
                <w:sz w:val="12"/>
                <w:szCs w:val="12"/>
                <w:color w:val="auto"/>
              </w:rPr>
            </w:pPr>
          </w:p>
        </w:tc>
        <w:tc>
          <w:tcPr>
            <w:tcW w:w="100" w:type="dxa"/>
            <w:vAlign w:val="bottom"/>
            <w:tcBorders>
              <w:top w:val="single" w:sz="8" w:color="CCFFCC"/>
            </w:tcBorders>
            <w:shd w:val="clear" w:color="auto" w:fill="CCFFCC"/>
          </w:tcPr>
          <w:p>
            <w:pPr>
              <w:spacing w:after="0"/>
              <w:rPr>
                <w:sz w:val="12"/>
                <w:szCs w:val="12"/>
                <w:color w:val="auto"/>
              </w:rPr>
            </w:pPr>
          </w:p>
        </w:tc>
        <w:tc>
          <w:tcPr>
            <w:tcW w:w="100" w:type="dxa"/>
            <w:vAlign w:val="bottom"/>
            <w:tcBorders>
              <w:top w:val="single" w:sz="8" w:color="CCFFCC"/>
            </w:tcBorders>
            <w:shd w:val="clear" w:color="auto" w:fill="CCFFCC"/>
          </w:tcPr>
          <w:p>
            <w:pPr>
              <w:spacing w:after="0"/>
              <w:rPr>
                <w:sz w:val="12"/>
                <w:szCs w:val="12"/>
                <w:color w:val="auto"/>
              </w:rPr>
            </w:pPr>
          </w:p>
        </w:tc>
        <w:tc>
          <w:tcPr>
            <w:tcW w:w="160" w:type="dxa"/>
            <w:vAlign w:val="bottom"/>
            <w:tcBorders>
              <w:top w:val="single" w:sz="8" w:color="auto"/>
            </w:tcBorders>
            <w:shd w:val="clear" w:color="auto" w:fill="CCFFCC"/>
          </w:tcPr>
          <w:p>
            <w:pPr>
              <w:spacing w:after="0"/>
              <w:rPr>
                <w:sz w:val="12"/>
                <w:szCs w:val="12"/>
                <w:color w:val="auto"/>
              </w:rPr>
            </w:pPr>
          </w:p>
        </w:tc>
        <w:tc>
          <w:tcPr>
            <w:tcW w:w="640" w:type="dxa"/>
            <w:vAlign w:val="bottom"/>
            <w:tcBorders>
              <w:top w:val="single" w:sz="8" w:color="auto"/>
            </w:tcBorders>
            <w:shd w:val="clear" w:color="auto" w:fill="CCFFCC"/>
          </w:tcPr>
          <w:p>
            <w:pPr>
              <w:spacing w:after="0"/>
              <w:rPr>
                <w:sz w:val="12"/>
                <w:szCs w:val="12"/>
                <w:color w:val="auto"/>
              </w:rPr>
            </w:pPr>
          </w:p>
        </w:tc>
        <w:tc>
          <w:tcPr>
            <w:tcW w:w="40" w:type="dxa"/>
            <w:vAlign w:val="bottom"/>
            <w:tcBorders>
              <w:top w:val="single" w:sz="8" w:color="CCFFCC"/>
            </w:tcBorders>
            <w:shd w:val="clear" w:color="auto" w:fill="CCFFCC"/>
          </w:tcPr>
          <w:p>
            <w:pPr>
              <w:spacing w:after="0"/>
              <w:rPr>
                <w:sz w:val="12"/>
                <w:szCs w:val="12"/>
                <w:color w:val="auto"/>
              </w:rPr>
            </w:pPr>
          </w:p>
        </w:tc>
        <w:tc>
          <w:tcPr>
            <w:tcW w:w="160" w:type="dxa"/>
            <w:vAlign w:val="bottom"/>
            <w:tcBorders>
              <w:top w:val="single" w:sz="8" w:color="CCFFCC"/>
            </w:tcBorders>
            <w:shd w:val="clear" w:color="auto" w:fill="CCFFCC"/>
          </w:tcPr>
          <w:p>
            <w:pPr>
              <w:spacing w:after="0"/>
              <w:rPr>
                <w:sz w:val="12"/>
                <w:szCs w:val="12"/>
                <w:color w:val="auto"/>
              </w:rPr>
            </w:pPr>
          </w:p>
        </w:tc>
        <w:tc>
          <w:tcPr>
            <w:tcW w:w="120" w:type="dxa"/>
            <w:vAlign w:val="bottom"/>
            <w:tcBorders>
              <w:top w:val="single" w:sz="8" w:color="auto"/>
            </w:tcBorders>
            <w:shd w:val="clear" w:color="auto" w:fill="CCFFCC"/>
          </w:tcPr>
          <w:p>
            <w:pPr>
              <w:spacing w:after="0"/>
              <w:rPr>
                <w:sz w:val="12"/>
                <w:szCs w:val="12"/>
                <w:color w:val="auto"/>
              </w:rPr>
            </w:pPr>
          </w:p>
        </w:tc>
        <w:tc>
          <w:tcPr>
            <w:tcW w:w="680" w:type="dxa"/>
            <w:vAlign w:val="bottom"/>
            <w:tcBorders>
              <w:top w:val="single" w:sz="8" w:color="auto"/>
            </w:tcBorders>
            <w:shd w:val="clear" w:color="auto" w:fill="CCFFCC"/>
          </w:tcPr>
          <w:p>
            <w:pPr>
              <w:spacing w:after="0"/>
              <w:rPr>
                <w:sz w:val="12"/>
                <w:szCs w:val="12"/>
                <w:color w:val="auto"/>
              </w:rPr>
            </w:pPr>
          </w:p>
        </w:tc>
        <w:tc>
          <w:tcPr>
            <w:tcW w:w="160" w:type="dxa"/>
            <w:vAlign w:val="bottom"/>
            <w:tcBorders>
              <w:top w:val="single" w:sz="8" w:color="CCFFCC"/>
            </w:tcBorders>
            <w:shd w:val="clear" w:color="auto" w:fill="CCFFCC"/>
          </w:tcPr>
          <w:p>
            <w:pPr>
              <w:spacing w:after="0"/>
              <w:rPr>
                <w:sz w:val="12"/>
                <w:szCs w:val="12"/>
                <w:color w:val="auto"/>
              </w:rPr>
            </w:pPr>
          </w:p>
        </w:tc>
        <w:tc>
          <w:tcPr>
            <w:tcW w:w="40" w:type="dxa"/>
            <w:vAlign w:val="bottom"/>
            <w:tcBorders>
              <w:top w:val="single" w:sz="8" w:color="CCFFCC"/>
            </w:tcBorders>
            <w:shd w:val="clear" w:color="auto" w:fill="CCFFCC"/>
          </w:tcPr>
          <w:p>
            <w:pPr>
              <w:spacing w:after="0"/>
              <w:rPr>
                <w:sz w:val="12"/>
                <w:szCs w:val="12"/>
                <w:color w:val="auto"/>
              </w:rPr>
            </w:pPr>
          </w:p>
        </w:tc>
        <w:tc>
          <w:tcPr>
            <w:tcW w:w="160" w:type="dxa"/>
            <w:vAlign w:val="bottom"/>
            <w:tcBorders>
              <w:top w:val="single" w:sz="8" w:color="auto"/>
            </w:tcBorders>
            <w:shd w:val="clear" w:color="auto" w:fill="CCFFCC"/>
          </w:tcPr>
          <w:p>
            <w:pPr>
              <w:spacing w:after="0"/>
              <w:rPr>
                <w:sz w:val="12"/>
                <w:szCs w:val="12"/>
                <w:color w:val="auto"/>
              </w:rPr>
            </w:pPr>
          </w:p>
        </w:tc>
        <w:tc>
          <w:tcPr>
            <w:tcW w:w="640" w:type="dxa"/>
            <w:vAlign w:val="bottom"/>
            <w:tcBorders>
              <w:top w:val="single" w:sz="8" w:color="auto"/>
            </w:tcBorders>
            <w:shd w:val="clear" w:color="auto" w:fill="CCFFCC"/>
          </w:tcPr>
          <w:p>
            <w:pPr>
              <w:spacing w:after="0"/>
              <w:rPr>
                <w:sz w:val="12"/>
                <w:szCs w:val="12"/>
                <w:color w:val="auto"/>
              </w:rPr>
            </w:pPr>
          </w:p>
        </w:tc>
        <w:tc>
          <w:tcPr>
            <w:tcW w:w="100" w:type="dxa"/>
            <w:vAlign w:val="bottom"/>
            <w:tcBorders>
              <w:top w:val="single" w:sz="8" w:color="CCFFCC"/>
            </w:tcBorders>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gridSpan w:val="2"/>
          </w:tcPr>
          <w:p>
            <w:pPr>
              <w:spacing w:after="0" w:line="149" w:lineRule="exact"/>
              <w:rPr>
                <w:sz w:val="20"/>
                <w:szCs w:val="20"/>
                <w:color w:val="auto"/>
              </w:rPr>
            </w:pPr>
            <w:r>
              <w:rPr>
                <w:rFonts w:ascii="Arial" w:cs="Arial" w:eastAsia="Arial" w:hAnsi="Arial"/>
                <w:sz w:val="14"/>
                <w:szCs w:val="14"/>
                <w:color w:val="auto"/>
              </w:rPr>
              <w:t>Lease acquisition costs</w:t>
            </w:r>
          </w:p>
        </w:tc>
        <w:tc>
          <w:tcPr>
            <w:tcW w:w="600" w:type="dxa"/>
            <w:vAlign w:val="bottom"/>
          </w:tcPr>
          <w:p>
            <w:pPr>
              <w:jc w:val="right"/>
              <w:ind w:right="448"/>
              <w:spacing w:after="0" w:line="149" w:lineRule="exact"/>
              <w:rPr>
                <w:sz w:val="20"/>
                <w:szCs w:val="20"/>
                <w:color w:val="auto"/>
              </w:rPr>
            </w:pPr>
            <w:r>
              <w:rPr>
                <w:rFonts w:ascii="Arial" w:cs="Arial" w:eastAsia="Arial" w:hAnsi="Arial"/>
                <w:sz w:val="14"/>
                <w:szCs w:val="14"/>
                <w:color w:val="auto"/>
                <w:w w:val="76"/>
              </w:rPr>
              <w:t>$</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w w:val="85"/>
              </w:rPr>
              <w:t>154</w:t>
            </w:r>
          </w:p>
        </w:tc>
        <w:tc>
          <w:tcPr>
            <w:tcW w:w="3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(134)</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20</w:t>
            </w:r>
          </w:p>
        </w:tc>
        <w:tc>
          <w:tcPr>
            <w:tcW w:w="240" w:type="dxa"/>
            <w:vAlign w:val="bottom"/>
          </w:tcPr>
          <w:p>
            <w:pPr>
              <w:spacing w:after="0"/>
              <w:rPr>
                <w:sz w:val="12"/>
                <w:szCs w:val="12"/>
                <w:color w:val="auto"/>
              </w:rPr>
            </w:pPr>
          </w:p>
        </w:tc>
        <w:tc>
          <w:tcPr>
            <w:tcW w:w="160" w:type="dxa"/>
            <w:vAlign w:val="bottom"/>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152</w:t>
            </w:r>
          </w:p>
        </w:tc>
        <w:tc>
          <w:tcPr>
            <w:tcW w:w="3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(131)</w:t>
            </w:r>
          </w:p>
        </w:tc>
        <w:tc>
          <w:tcPr>
            <w:tcW w:w="240" w:type="dxa"/>
            <w:vAlign w:val="bottom"/>
            <w:gridSpan w:val="2"/>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21</w:t>
            </w:r>
          </w:p>
        </w:tc>
        <w:tc>
          <w:tcPr>
            <w:tcW w:w="2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158</w:t>
            </w:r>
          </w:p>
        </w:tc>
        <w:tc>
          <w:tcPr>
            <w:tcW w:w="2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(137)</w:t>
            </w:r>
          </w:p>
        </w:tc>
        <w:tc>
          <w:tcPr>
            <w:tcW w:w="20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Trademarks</w:t>
            </w:r>
          </w:p>
        </w:tc>
        <w:tc>
          <w:tcPr>
            <w:tcW w:w="600" w:type="dxa"/>
            <w:vAlign w:val="bottom"/>
            <w:shd w:val="clear" w:color="auto" w:fill="CCFFCC"/>
          </w:tcPr>
          <w:p>
            <w:pPr>
              <w:spacing w:after="0"/>
              <w:rPr>
                <w:sz w:val="12"/>
                <w:szCs w:val="12"/>
                <w:color w:val="auto"/>
              </w:rPr>
            </w:pPr>
          </w:p>
        </w:tc>
        <w:tc>
          <w:tcPr>
            <w:tcW w:w="2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21</w:t>
            </w:r>
          </w:p>
        </w:tc>
        <w:tc>
          <w:tcPr>
            <w:tcW w:w="24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94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(10)</w:t>
            </w:r>
          </w:p>
        </w:tc>
        <w:tc>
          <w:tcPr>
            <w:tcW w:w="14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11</w:t>
            </w:r>
          </w:p>
        </w:tc>
        <w:tc>
          <w:tcPr>
            <w:tcW w:w="160" w:type="dxa"/>
            <w:vAlign w:val="bottom"/>
            <w:shd w:val="clear" w:color="auto" w:fill="CCFFCC"/>
          </w:tcPr>
          <w:p>
            <w:pPr>
              <w:spacing w:after="0"/>
              <w:rPr>
                <w:sz w:val="12"/>
                <w:szCs w:val="12"/>
                <w:color w:val="auto"/>
              </w:rPr>
            </w:pPr>
          </w:p>
        </w:tc>
        <w:tc>
          <w:tcPr>
            <w:tcW w:w="6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21</w:t>
            </w:r>
          </w:p>
        </w:tc>
        <w:tc>
          <w:tcPr>
            <w:tcW w:w="24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80"/>
              <w:spacing w:after="0" w:line="149" w:lineRule="exact"/>
              <w:rPr>
                <w:sz w:val="20"/>
                <w:szCs w:val="20"/>
                <w:color w:val="auto"/>
              </w:rPr>
            </w:pPr>
            <w:r>
              <w:rPr>
                <w:rFonts w:ascii="Arial" w:cs="Arial" w:eastAsia="Arial" w:hAnsi="Arial"/>
                <w:sz w:val="14"/>
                <w:szCs w:val="14"/>
                <w:color w:val="auto"/>
              </w:rPr>
              <w:t>(9)</w:t>
            </w:r>
          </w:p>
        </w:tc>
        <w:tc>
          <w:tcPr>
            <w:tcW w:w="10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7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12</w:t>
            </w:r>
          </w:p>
        </w:tc>
        <w:tc>
          <w:tcPr>
            <w:tcW w:w="10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680" w:type="dxa"/>
            <w:vAlign w:val="bottom"/>
            <w:gridSpan w:val="2"/>
            <w:shd w:val="clear" w:color="auto" w:fill="CCFFCC"/>
          </w:tcPr>
          <w:p>
            <w:pPr>
              <w:jc w:val="right"/>
              <w:ind w:right="40"/>
              <w:spacing w:after="0" w:line="149" w:lineRule="exact"/>
              <w:rPr>
                <w:sz w:val="20"/>
                <w:szCs w:val="20"/>
                <w:color w:val="auto"/>
              </w:rPr>
            </w:pPr>
            <w:r>
              <w:rPr>
                <w:rFonts w:ascii="Arial" w:cs="Arial" w:eastAsia="Arial" w:hAnsi="Arial"/>
                <w:sz w:val="14"/>
                <w:szCs w:val="14"/>
                <w:color w:val="auto"/>
              </w:rPr>
              <w:t>21</w:t>
            </w:r>
          </w:p>
        </w:tc>
        <w:tc>
          <w:tcPr>
            <w:tcW w:w="16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8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(9)</w:t>
            </w:r>
          </w:p>
        </w:tc>
        <w:tc>
          <w:tcPr>
            <w:tcW w:w="4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7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gridSpan w:val="2"/>
          </w:tcPr>
          <w:p>
            <w:pPr>
              <w:spacing w:after="0" w:line="149" w:lineRule="exact"/>
              <w:rPr>
                <w:sz w:val="20"/>
                <w:szCs w:val="20"/>
                <w:color w:val="auto"/>
              </w:rPr>
            </w:pPr>
            <w:r>
              <w:rPr>
                <w:rFonts w:ascii="Arial" w:cs="Arial" w:eastAsia="Arial" w:hAnsi="Arial"/>
                <w:sz w:val="14"/>
                <w:szCs w:val="14"/>
                <w:color w:val="auto"/>
              </w:rPr>
              <w:t>Favorable leases</w:t>
            </w:r>
          </w:p>
        </w:tc>
        <w:tc>
          <w:tcPr>
            <w:tcW w:w="60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4</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w:t>
            </w:r>
          </w:p>
        </w:tc>
        <w:tc>
          <w:tcPr>
            <w:tcW w:w="14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5</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8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CCS customer relationships</w:t>
            </w:r>
          </w:p>
        </w:tc>
        <w:tc>
          <w:tcPr>
            <w:tcW w:w="600" w:type="dxa"/>
            <w:vAlign w:val="bottom"/>
            <w:shd w:val="clear" w:color="auto" w:fill="CCFFCC"/>
          </w:tcPr>
          <w:p>
            <w:pPr>
              <w:spacing w:after="0"/>
              <w:rPr>
                <w:sz w:val="14"/>
                <w:szCs w:val="14"/>
                <w:color w:val="auto"/>
              </w:rPr>
            </w:pPr>
          </w:p>
        </w:tc>
        <w:tc>
          <w:tcPr>
            <w:tcW w:w="2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21</w:t>
            </w:r>
          </w:p>
        </w:tc>
        <w:tc>
          <w:tcPr>
            <w:tcW w:w="24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94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(20)</w:t>
            </w:r>
          </w:p>
        </w:tc>
        <w:tc>
          <w:tcPr>
            <w:tcW w:w="140" w:type="dxa"/>
            <w:vAlign w:val="bottom"/>
            <w:shd w:val="clear" w:color="auto" w:fill="CCFFCC"/>
          </w:tcPr>
          <w:p>
            <w:pPr>
              <w:spacing w:after="0"/>
              <w:rPr>
                <w:sz w:val="14"/>
                <w:szCs w:val="14"/>
                <w:color w:val="auto"/>
              </w:rPr>
            </w:pPr>
          </w:p>
        </w:tc>
        <w:tc>
          <w:tcPr>
            <w:tcW w:w="6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w:t>
            </w:r>
          </w:p>
        </w:tc>
        <w:tc>
          <w:tcPr>
            <w:tcW w:w="24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6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21</w:t>
            </w:r>
          </w:p>
        </w:tc>
        <w:tc>
          <w:tcPr>
            <w:tcW w:w="24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80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74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680" w:type="dxa"/>
            <w:vAlign w:val="bottom"/>
            <w:gridSpan w:val="2"/>
            <w:shd w:val="clear" w:color="auto" w:fill="CCFFCC"/>
          </w:tcPr>
          <w:p>
            <w:pPr>
              <w:jc w:val="right"/>
              <w:ind w:right="40"/>
              <w:spacing w:after="0"/>
              <w:rPr>
                <w:sz w:val="20"/>
                <w:szCs w:val="20"/>
                <w:color w:val="auto"/>
              </w:rPr>
            </w:pPr>
            <w:r>
              <w:rPr>
                <w:rFonts w:ascii="Arial" w:cs="Arial" w:eastAsia="Arial" w:hAnsi="Arial"/>
                <w:sz w:val="14"/>
                <w:szCs w:val="14"/>
                <w:color w:val="auto"/>
              </w:rPr>
              <w:t>21</w:t>
            </w:r>
          </w:p>
        </w:tc>
        <w:tc>
          <w:tcPr>
            <w:tcW w:w="16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84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(18)</w:t>
            </w:r>
          </w:p>
        </w:tc>
        <w:tc>
          <w:tcPr>
            <w:tcW w:w="4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74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16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600" w:type="dxa"/>
            <w:vAlign w:val="bottom"/>
            <w:shd w:val="clear" w:color="auto" w:fill="CCFFCC"/>
          </w:tcPr>
          <w:p>
            <w:pPr>
              <w:jc w:val="right"/>
              <w:ind w:right="448"/>
              <w:spacing w:after="0"/>
              <w:rPr>
                <w:sz w:val="20"/>
                <w:szCs w:val="20"/>
                <w:color w:val="auto"/>
              </w:rPr>
            </w:pPr>
            <w:r>
              <w:rPr>
                <w:rFonts w:ascii="Arial" w:cs="Arial" w:eastAsia="Arial" w:hAnsi="Arial"/>
                <w:sz w:val="14"/>
                <w:szCs w:val="14"/>
                <w:color w:val="auto"/>
                <w:w w:val="76"/>
              </w:rPr>
              <w:t>$</w:t>
            </w:r>
          </w:p>
        </w:tc>
        <w:tc>
          <w:tcPr>
            <w:tcW w:w="220" w:type="dxa"/>
            <w:vAlign w:val="bottom"/>
            <w:shd w:val="clear" w:color="auto" w:fill="CCFFCC"/>
          </w:tcPr>
          <w:p>
            <w:pPr>
              <w:jc w:val="right"/>
              <w:spacing w:after="0"/>
              <w:rPr>
                <w:sz w:val="20"/>
                <w:szCs w:val="20"/>
                <w:color w:val="auto"/>
              </w:rPr>
            </w:pPr>
            <w:r>
              <w:rPr>
                <w:rFonts w:ascii="Arial" w:cs="Arial" w:eastAsia="Arial" w:hAnsi="Arial"/>
                <w:sz w:val="14"/>
                <w:szCs w:val="14"/>
                <w:color w:val="auto"/>
                <w:w w:val="85"/>
              </w:rPr>
              <w:t>200</w:t>
            </w:r>
          </w:p>
        </w:tc>
        <w:tc>
          <w:tcPr>
            <w:tcW w:w="36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(168)</w:t>
            </w:r>
          </w:p>
        </w:tc>
        <w:tc>
          <w:tcPr>
            <w:tcW w:w="140" w:type="dxa"/>
            <w:vAlign w:val="bottom"/>
            <w:shd w:val="clear" w:color="auto" w:fill="CCFFCC"/>
          </w:tcPr>
          <w:p>
            <w:pPr>
              <w:jc w:val="right"/>
              <w:ind w:right="29"/>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32</w:t>
            </w:r>
          </w:p>
        </w:tc>
        <w:tc>
          <w:tcPr>
            <w:tcW w:w="240" w:type="dxa"/>
            <w:vAlign w:val="bottom"/>
            <w:shd w:val="clear" w:color="auto" w:fill="CCFFCC"/>
          </w:tcPr>
          <w:p>
            <w:pPr>
              <w:spacing w:after="0"/>
              <w:rPr>
                <w:sz w:val="14"/>
                <w:szCs w:val="14"/>
                <w:color w:val="auto"/>
              </w:rPr>
            </w:pPr>
          </w:p>
        </w:tc>
        <w:tc>
          <w:tcPr>
            <w:tcW w:w="160" w:type="dxa"/>
            <w:vAlign w:val="bottom"/>
            <w:shd w:val="clear" w:color="auto" w:fill="CCFFCC"/>
          </w:tcPr>
          <w:p>
            <w:pPr>
              <w:jc w:val="right"/>
              <w:ind w:right="8"/>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199</w:t>
            </w:r>
          </w:p>
        </w:tc>
        <w:tc>
          <w:tcPr>
            <w:tcW w:w="36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(161)</w:t>
            </w:r>
          </w:p>
        </w:tc>
        <w:tc>
          <w:tcPr>
            <w:tcW w:w="240" w:type="dxa"/>
            <w:vAlign w:val="bottom"/>
            <w:gridSpan w:val="2"/>
            <w:shd w:val="clear" w:color="auto" w:fill="CCFFCC"/>
          </w:tcPr>
          <w:p>
            <w:pPr>
              <w:jc w:val="right"/>
              <w:ind w:right="29"/>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38</w:t>
            </w:r>
          </w:p>
        </w:tc>
        <w:tc>
          <w:tcPr>
            <w:tcW w:w="26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FFCC"/>
          </w:tcPr>
          <w:p>
            <w:pPr>
              <w:jc w:val="right"/>
              <w:ind w:right="40"/>
              <w:spacing w:after="0"/>
              <w:rPr>
                <w:sz w:val="20"/>
                <w:szCs w:val="20"/>
                <w:color w:val="auto"/>
              </w:rPr>
            </w:pPr>
            <w:r>
              <w:rPr>
                <w:rFonts w:ascii="Arial" w:cs="Arial" w:eastAsia="Arial" w:hAnsi="Arial"/>
                <w:sz w:val="14"/>
                <w:szCs w:val="14"/>
                <w:color w:val="auto"/>
              </w:rPr>
              <w:t>205</w:t>
            </w:r>
          </w:p>
        </w:tc>
        <w:tc>
          <w:tcPr>
            <w:tcW w:w="280" w:type="dxa"/>
            <w:vAlign w:val="bottom"/>
            <w:gridSpan w:val="2"/>
            <w:shd w:val="clear" w:color="auto" w:fill="CCFFCC"/>
          </w:tcPr>
          <w:p>
            <w:pPr>
              <w:jc w:val="right"/>
              <w:ind w:right="4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(169)</w:t>
            </w:r>
          </w:p>
        </w:tc>
        <w:tc>
          <w:tcPr>
            <w:tcW w:w="200" w:type="dxa"/>
            <w:vAlign w:val="bottom"/>
            <w:gridSpan w:val="2"/>
            <w:shd w:val="clear" w:color="auto" w:fill="CCFFCC"/>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28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Indefinite life intangible assets:</w:t>
            </w:r>
          </w:p>
        </w:tc>
        <w:tc>
          <w:tcPr>
            <w:tcW w:w="6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6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640" w:type="dxa"/>
            <w:vAlign w:val="bottom"/>
            <w:shd w:val="clear" w:color="auto" w:fill="CCFFCC"/>
          </w:tcPr>
          <w:p>
            <w:pPr>
              <w:spacing w:after="0"/>
              <w:rPr>
                <w:sz w:val="12"/>
                <w:szCs w:val="12"/>
                <w:color w:val="auto"/>
              </w:rPr>
            </w:pPr>
          </w:p>
        </w:tc>
        <w:tc>
          <w:tcPr>
            <w:tcW w:w="4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4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6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gridSpan w:val="2"/>
          </w:tcPr>
          <w:p>
            <w:pPr>
              <w:spacing w:after="0" w:line="149" w:lineRule="exact"/>
              <w:rPr>
                <w:sz w:val="20"/>
                <w:szCs w:val="20"/>
                <w:color w:val="auto"/>
              </w:rPr>
            </w:pPr>
            <w:r>
              <w:rPr>
                <w:rFonts w:ascii="Arial" w:cs="Arial" w:eastAsia="Arial" w:hAnsi="Arial"/>
                <w:sz w:val="14"/>
                <w:szCs w:val="14"/>
                <w:color w:val="auto"/>
              </w:rPr>
              <w:t>Republic of Ireland trademark</w:t>
            </w: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8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CCS tradename</w:t>
            </w:r>
          </w:p>
        </w:tc>
        <w:tc>
          <w:tcPr>
            <w:tcW w:w="600" w:type="dxa"/>
            <w:vAlign w:val="bottom"/>
            <w:shd w:val="clear" w:color="auto" w:fill="CCFFCC"/>
          </w:tcPr>
          <w:p>
            <w:pPr>
              <w:spacing w:after="0"/>
              <w:rPr>
                <w:sz w:val="14"/>
                <w:szCs w:val="14"/>
                <w:color w:val="auto"/>
              </w:rPr>
            </w:pPr>
          </w:p>
        </w:tc>
        <w:tc>
          <w:tcPr>
            <w:tcW w:w="220" w:type="dxa"/>
            <w:vAlign w:val="bottom"/>
            <w:shd w:val="clear" w:color="auto" w:fill="CCFFCC"/>
          </w:tcPr>
          <w:p>
            <w:pPr>
              <w:spacing w:after="0"/>
              <w:rPr>
                <w:sz w:val="14"/>
                <w:szCs w:val="14"/>
                <w:color w:val="auto"/>
              </w:rPr>
            </w:pPr>
          </w:p>
        </w:tc>
        <w:tc>
          <w:tcPr>
            <w:tcW w:w="24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68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6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3</w:t>
            </w:r>
          </w:p>
        </w:tc>
        <w:tc>
          <w:tcPr>
            <w:tcW w:w="24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660" w:type="dxa"/>
            <w:vAlign w:val="bottom"/>
            <w:shd w:val="clear" w:color="auto" w:fill="CCFFCC"/>
          </w:tcPr>
          <w:p>
            <w:pPr>
              <w:spacing w:after="0"/>
              <w:rPr>
                <w:sz w:val="14"/>
                <w:szCs w:val="14"/>
                <w:color w:val="auto"/>
              </w:rPr>
            </w:pPr>
          </w:p>
        </w:tc>
        <w:tc>
          <w:tcPr>
            <w:tcW w:w="24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68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74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64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68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74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60" w:type="dxa"/>
            <w:vAlign w:val="bottom"/>
            <w:tcBorders>
              <w:bottom w:val="single" w:sz="8" w:color="CCFFCC"/>
            </w:tcBorders>
          </w:tcPr>
          <w:p>
            <w:pPr>
              <w:spacing w:after="0"/>
              <w:rPr>
                <w:sz w:val="12"/>
                <w:szCs w:val="12"/>
                <w:color w:val="auto"/>
              </w:rPr>
            </w:pPr>
          </w:p>
        </w:tc>
        <w:tc>
          <w:tcPr>
            <w:tcW w:w="120" w:type="dxa"/>
            <w:vAlign w:val="bottom"/>
            <w:tcBorders>
              <w:bottom w:val="single" w:sz="8" w:color="CCFFCC"/>
            </w:tcBorders>
          </w:tcPr>
          <w:p>
            <w:pPr>
              <w:spacing w:after="0"/>
              <w:rPr>
                <w:sz w:val="12"/>
                <w:szCs w:val="12"/>
                <w:color w:val="auto"/>
              </w:rPr>
            </w:pPr>
          </w:p>
        </w:tc>
        <w:tc>
          <w:tcPr>
            <w:tcW w:w="600" w:type="dxa"/>
            <w:vAlign w:val="bottom"/>
            <w:tcBorders>
              <w:bottom w:val="single" w:sz="8" w:color="CCFFCC"/>
            </w:tcBorders>
          </w:tcPr>
          <w:p>
            <w:pPr>
              <w:spacing w:after="0"/>
              <w:rPr>
                <w:sz w:val="12"/>
                <w:szCs w:val="12"/>
                <w:color w:val="auto"/>
              </w:rPr>
            </w:pPr>
          </w:p>
        </w:tc>
        <w:tc>
          <w:tcPr>
            <w:tcW w:w="220" w:type="dxa"/>
            <w:vAlign w:val="bottom"/>
            <w:tcBorders>
              <w:bottom w:val="single" w:sz="8" w:color="CCFFCC"/>
            </w:tcBorders>
          </w:tcPr>
          <w:p>
            <w:pPr>
              <w:spacing w:after="0"/>
              <w:rPr>
                <w:sz w:val="12"/>
                <w:szCs w:val="12"/>
                <w:color w:val="auto"/>
              </w:rPr>
            </w:pPr>
          </w:p>
        </w:tc>
        <w:tc>
          <w:tcPr>
            <w:tcW w:w="240" w:type="dxa"/>
            <w:vAlign w:val="bottom"/>
            <w:tcBorders>
              <w:bottom w:val="single" w:sz="8" w:color="CCFFCC"/>
            </w:tcBorders>
          </w:tcPr>
          <w:p>
            <w:pPr>
              <w:spacing w:after="0"/>
              <w:rPr>
                <w:sz w:val="12"/>
                <w:szCs w:val="12"/>
                <w:color w:val="auto"/>
              </w:rPr>
            </w:pPr>
          </w:p>
        </w:tc>
        <w:tc>
          <w:tcPr>
            <w:tcW w:w="120" w:type="dxa"/>
            <w:vAlign w:val="bottom"/>
            <w:tcBorders>
              <w:bottom w:val="single" w:sz="8" w:color="CCFFCC"/>
            </w:tcBorders>
          </w:tcPr>
          <w:p>
            <w:pPr>
              <w:spacing w:after="0"/>
              <w:rPr>
                <w:sz w:val="12"/>
                <w:szCs w:val="12"/>
                <w:color w:val="auto"/>
              </w:rPr>
            </w:pPr>
          </w:p>
        </w:tc>
        <w:tc>
          <w:tcPr>
            <w:tcW w:w="680" w:type="dxa"/>
            <w:vAlign w:val="bottom"/>
            <w:tcBorders>
              <w:bottom w:val="single" w:sz="8" w:color="CCFFCC"/>
            </w:tcBorders>
          </w:tcPr>
          <w:p>
            <w:pPr>
              <w:spacing w:after="0"/>
              <w:rPr>
                <w:sz w:val="12"/>
                <w:szCs w:val="12"/>
                <w:color w:val="auto"/>
              </w:rPr>
            </w:pPr>
          </w:p>
        </w:tc>
        <w:tc>
          <w:tcPr>
            <w:tcW w:w="260" w:type="dxa"/>
            <w:vAlign w:val="bottom"/>
            <w:tcBorders>
              <w:bottom w:val="single" w:sz="8" w:color="CCFFCC"/>
            </w:tcBorders>
          </w:tcPr>
          <w:p>
            <w:pPr>
              <w:spacing w:after="0"/>
              <w:rPr>
                <w:sz w:val="12"/>
                <w:szCs w:val="12"/>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w:t>
            </w:r>
          </w:p>
        </w:tc>
        <w:tc>
          <w:tcPr>
            <w:tcW w:w="240" w:type="dxa"/>
            <w:vAlign w:val="bottom"/>
            <w:tcBorders>
              <w:bottom w:val="single" w:sz="8" w:color="CCFFCC"/>
            </w:tcBorders>
          </w:tcPr>
          <w:p>
            <w:pPr>
              <w:spacing w:after="0"/>
              <w:rPr>
                <w:sz w:val="12"/>
                <w:szCs w:val="12"/>
                <w:color w:val="auto"/>
              </w:rPr>
            </w:pPr>
          </w:p>
        </w:tc>
        <w:tc>
          <w:tcPr>
            <w:tcW w:w="160" w:type="dxa"/>
            <w:vAlign w:val="bottom"/>
            <w:tcBorders>
              <w:bottom w:val="single" w:sz="8" w:color="CCFFCC"/>
            </w:tcBorders>
          </w:tcPr>
          <w:p>
            <w:pPr>
              <w:spacing w:after="0"/>
              <w:rPr>
                <w:sz w:val="12"/>
                <w:szCs w:val="12"/>
                <w:color w:val="auto"/>
              </w:rPr>
            </w:pPr>
          </w:p>
        </w:tc>
        <w:tc>
          <w:tcPr>
            <w:tcW w:w="660" w:type="dxa"/>
            <w:vAlign w:val="bottom"/>
            <w:tcBorders>
              <w:bottom w:val="single" w:sz="8" w:color="CCFFCC"/>
            </w:tcBorders>
          </w:tcPr>
          <w:p>
            <w:pPr>
              <w:spacing w:after="0"/>
              <w:rPr>
                <w:sz w:val="12"/>
                <w:szCs w:val="12"/>
                <w:color w:val="auto"/>
              </w:rPr>
            </w:pPr>
          </w:p>
        </w:tc>
        <w:tc>
          <w:tcPr>
            <w:tcW w:w="240" w:type="dxa"/>
            <w:vAlign w:val="bottom"/>
            <w:tcBorders>
              <w:bottom w:val="single" w:sz="8" w:color="CCFFCC"/>
            </w:tcBorders>
          </w:tcPr>
          <w:p>
            <w:pPr>
              <w:spacing w:after="0"/>
              <w:rPr>
                <w:sz w:val="12"/>
                <w:szCs w:val="12"/>
                <w:color w:val="auto"/>
              </w:rPr>
            </w:pPr>
          </w:p>
        </w:tc>
        <w:tc>
          <w:tcPr>
            <w:tcW w:w="120" w:type="dxa"/>
            <w:vAlign w:val="bottom"/>
            <w:tcBorders>
              <w:bottom w:val="single" w:sz="8" w:color="CCFFCC"/>
            </w:tcBorders>
          </w:tcPr>
          <w:p>
            <w:pPr>
              <w:spacing w:after="0"/>
              <w:rPr>
                <w:sz w:val="12"/>
                <w:szCs w:val="12"/>
                <w:color w:val="auto"/>
              </w:rPr>
            </w:pPr>
          </w:p>
        </w:tc>
        <w:tc>
          <w:tcPr>
            <w:tcW w:w="680" w:type="dxa"/>
            <w:vAlign w:val="bottom"/>
            <w:tcBorders>
              <w:bottom w:val="single" w:sz="8" w:color="CCFFCC"/>
            </w:tcBorders>
          </w:tcPr>
          <w:p>
            <w:pPr>
              <w:spacing w:after="0"/>
              <w:rPr>
                <w:sz w:val="12"/>
                <w:szCs w:val="12"/>
                <w:color w:val="auto"/>
              </w:rPr>
            </w:pPr>
          </w:p>
        </w:tc>
        <w:tc>
          <w:tcPr>
            <w:tcW w:w="120" w:type="dxa"/>
            <w:vAlign w:val="bottom"/>
            <w:tcBorders>
              <w:bottom w:val="single" w:sz="8" w:color="CCFFCC"/>
            </w:tcBorders>
          </w:tcPr>
          <w:p>
            <w:pPr>
              <w:spacing w:after="0"/>
              <w:rPr>
                <w:sz w:val="12"/>
                <w:szCs w:val="12"/>
                <w:color w:val="auto"/>
              </w:rPr>
            </w:pPr>
          </w:p>
        </w:tc>
        <w:tc>
          <w:tcPr>
            <w:tcW w:w="100" w:type="dxa"/>
            <w:vAlign w:val="bottom"/>
            <w:tcBorders>
              <w:bottom w:val="single" w:sz="8" w:color="CCFFCC"/>
            </w:tcBorders>
          </w:tcPr>
          <w:p>
            <w:pPr>
              <w:spacing w:after="0"/>
              <w:rPr>
                <w:sz w:val="12"/>
                <w:szCs w:val="12"/>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11</w:t>
            </w:r>
          </w:p>
        </w:tc>
        <w:tc>
          <w:tcPr>
            <w:tcW w:w="100" w:type="dxa"/>
            <w:vAlign w:val="bottom"/>
            <w:tcBorders>
              <w:bottom w:val="single" w:sz="8" w:color="CCFFCC"/>
            </w:tcBorders>
          </w:tcPr>
          <w:p>
            <w:pPr>
              <w:spacing w:after="0"/>
              <w:rPr>
                <w:sz w:val="12"/>
                <w:szCs w:val="12"/>
                <w:color w:val="auto"/>
              </w:rPr>
            </w:pPr>
          </w:p>
        </w:tc>
        <w:tc>
          <w:tcPr>
            <w:tcW w:w="100" w:type="dxa"/>
            <w:vAlign w:val="bottom"/>
            <w:tcBorders>
              <w:bottom w:val="single" w:sz="8" w:color="CCFFCC"/>
            </w:tcBorders>
          </w:tcPr>
          <w:p>
            <w:pPr>
              <w:spacing w:after="0"/>
              <w:rPr>
                <w:sz w:val="12"/>
                <w:szCs w:val="12"/>
                <w:color w:val="auto"/>
              </w:rPr>
            </w:pPr>
          </w:p>
        </w:tc>
        <w:tc>
          <w:tcPr>
            <w:tcW w:w="160" w:type="dxa"/>
            <w:vAlign w:val="bottom"/>
            <w:tcBorders>
              <w:bottom w:val="single" w:sz="8" w:color="CCFFCC"/>
            </w:tcBorders>
          </w:tcPr>
          <w:p>
            <w:pPr>
              <w:spacing w:after="0"/>
              <w:rPr>
                <w:sz w:val="12"/>
                <w:szCs w:val="12"/>
                <w:color w:val="auto"/>
              </w:rPr>
            </w:pPr>
          </w:p>
        </w:tc>
        <w:tc>
          <w:tcPr>
            <w:tcW w:w="640" w:type="dxa"/>
            <w:vAlign w:val="bottom"/>
            <w:tcBorders>
              <w:bottom w:val="single" w:sz="8" w:color="CCFFCC"/>
            </w:tcBorders>
          </w:tcPr>
          <w:p>
            <w:pPr>
              <w:spacing w:after="0"/>
              <w:rPr>
                <w:sz w:val="12"/>
                <w:szCs w:val="12"/>
                <w:color w:val="auto"/>
              </w:rPr>
            </w:pPr>
          </w:p>
        </w:tc>
        <w:tc>
          <w:tcPr>
            <w:tcW w:w="40" w:type="dxa"/>
            <w:vAlign w:val="bottom"/>
            <w:tcBorders>
              <w:bottom w:val="single" w:sz="8" w:color="CCFFCC"/>
            </w:tcBorders>
          </w:tcPr>
          <w:p>
            <w:pPr>
              <w:spacing w:after="0"/>
              <w:rPr>
                <w:sz w:val="12"/>
                <w:szCs w:val="12"/>
                <w:color w:val="auto"/>
              </w:rPr>
            </w:pPr>
          </w:p>
        </w:tc>
        <w:tc>
          <w:tcPr>
            <w:tcW w:w="160" w:type="dxa"/>
            <w:vAlign w:val="bottom"/>
            <w:tcBorders>
              <w:bottom w:val="single" w:sz="8" w:color="CCFFCC"/>
            </w:tcBorders>
          </w:tcPr>
          <w:p>
            <w:pPr>
              <w:spacing w:after="0"/>
              <w:rPr>
                <w:sz w:val="12"/>
                <w:szCs w:val="12"/>
                <w:color w:val="auto"/>
              </w:rPr>
            </w:pPr>
          </w:p>
        </w:tc>
        <w:tc>
          <w:tcPr>
            <w:tcW w:w="120" w:type="dxa"/>
            <w:vAlign w:val="bottom"/>
            <w:tcBorders>
              <w:bottom w:val="single" w:sz="8" w:color="CCFFCC"/>
            </w:tcBorders>
          </w:tcPr>
          <w:p>
            <w:pPr>
              <w:spacing w:after="0"/>
              <w:rPr>
                <w:sz w:val="12"/>
                <w:szCs w:val="12"/>
                <w:color w:val="auto"/>
              </w:rPr>
            </w:pPr>
          </w:p>
        </w:tc>
        <w:tc>
          <w:tcPr>
            <w:tcW w:w="680" w:type="dxa"/>
            <w:vAlign w:val="bottom"/>
            <w:tcBorders>
              <w:bottom w:val="single" w:sz="8" w:color="CCFFCC"/>
            </w:tcBorders>
          </w:tcPr>
          <w:p>
            <w:pPr>
              <w:spacing w:after="0"/>
              <w:rPr>
                <w:sz w:val="12"/>
                <w:szCs w:val="12"/>
                <w:color w:val="auto"/>
              </w:rPr>
            </w:pPr>
          </w:p>
        </w:tc>
        <w:tc>
          <w:tcPr>
            <w:tcW w:w="160" w:type="dxa"/>
            <w:vAlign w:val="bottom"/>
            <w:tcBorders>
              <w:bottom w:val="single" w:sz="8" w:color="CCFFCC"/>
            </w:tcBorders>
          </w:tcPr>
          <w:p>
            <w:pPr>
              <w:spacing w:after="0"/>
              <w:rPr>
                <w:sz w:val="12"/>
                <w:szCs w:val="12"/>
                <w:color w:val="auto"/>
              </w:rPr>
            </w:pPr>
          </w:p>
        </w:tc>
        <w:tc>
          <w:tcPr>
            <w:tcW w:w="40" w:type="dxa"/>
            <w:vAlign w:val="bottom"/>
            <w:tcBorders>
              <w:bottom w:val="single" w:sz="8" w:color="CCFFCC"/>
            </w:tcBorders>
          </w:tcPr>
          <w:p>
            <w:pPr>
              <w:spacing w:after="0"/>
              <w:rPr>
                <w:sz w:val="12"/>
                <w:szCs w:val="12"/>
                <w:color w:val="auto"/>
              </w:rPr>
            </w:pPr>
          </w:p>
        </w:tc>
        <w:tc>
          <w:tcPr>
            <w:tcW w:w="160" w:type="dxa"/>
            <w:vAlign w:val="bottom"/>
            <w:tcBorders>
              <w:top w:val="single" w:sz="8" w:color="auto"/>
              <w:bottom w:val="single" w:sz="8" w:color="auto"/>
            </w:tcBorders>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w:t>
            </w:r>
          </w:p>
        </w:tc>
        <w:tc>
          <w:tcPr>
            <w:tcW w:w="100" w:type="dxa"/>
            <w:vAlign w:val="bottom"/>
            <w:tcBorders>
              <w:bottom w:val="single" w:sz="8" w:color="CCFFCC"/>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280" w:type="dxa"/>
            <w:vAlign w:val="bottom"/>
            <w:tcBorders>
              <w:bottom w:val="single" w:sz="8" w:color="CCFFCC"/>
            </w:tcBorders>
            <w:gridSpan w:val="2"/>
            <w:shd w:val="clear" w:color="auto" w:fill="CCFFCC"/>
          </w:tcPr>
          <w:p>
            <w:pPr>
              <w:spacing w:after="0" w:line="155" w:lineRule="exact"/>
              <w:rPr>
                <w:sz w:val="20"/>
                <w:szCs w:val="20"/>
                <w:color w:val="auto"/>
              </w:rPr>
            </w:pPr>
            <w:r>
              <w:rPr>
                <w:rFonts w:ascii="Arial" w:cs="Arial" w:eastAsia="Arial" w:hAnsi="Arial"/>
                <w:sz w:val="14"/>
                <w:szCs w:val="14"/>
                <w:b w:val="1"/>
                <w:bCs w:val="1"/>
                <w:color w:val="auto"/>
              </w:rPr>
              <w:t>Other intangible assets, net</w:t>
            </w:r>
          </w:p>
        </w:tc>
        <w:tc>
          <w:tcPr>
            <w:tcW w:w="600" w:type="dxa"/>
            <w:vAlign w:val="bottom"/>
            <w:tcBorders>
              <w:bottom w:val="single" w:sz="8" w:color="CCFFCC"/>
            </w:tcBorders>
            <w:shd w:val="clear" w:color="auto" w:fill="CCFFCC"/>
          </w:tcPr>
          <w:p>
            <w:pPr>
              <w:spacing w:after="0"/>
              <w:rPr>
                <w:sz w:val="13"/>
                <w:szCs w:val="13"/>
                <w:color w:val="auto"/>
              </w:rPr>
            </w:pPr>
          </w:p>
        </w:tc>
        <w:tc>
          <w:tcPr>
            <w:tcW w:w="220" w:type="dxa"/>
            <w:vAlign w:val="bottom"/>
            <w:tcBorders>
              <w:bottom w:val="single" w:sz="8" w:color="CCFFCC"/>
            </w:tcBorders>
            <w:shd w:val="clear" w:color="auto" w:fill="CCFFCC"/>
          </w:tcPr>
          <w:p>
            <w:pPr>
              <w:spacing w:after="0"/>
              <w:rPr>
                <w:sz w:val="13"/>
                <w:szCs w:val="13"/>
                <w:color w:val="auto"/>
              </w:rPr>
            </w:pPr>
          </w:p>
        </w:tc>
        <w:tc>
          <w:tcPr>
            <w:tcW w:w="240" w:type="dxa"/>
            <w:vAlign w:val="bottom"/>
            <w:tcBorders>
              <w:bottom w:val="single" w:sz="8" w:color="CCFFCC"/>
            </w:tcBorders>
            <w:shd w:val="clear" w:color="auto" w:fill="CCFFCC"/>
          </w:tcPr>
          <w:p>
            <w:pPr>
              <w:spacing w:after="0"/>
              <w:rPr>
                <w:sz w:val="13"/>
                <w:szCs w:val="13"/>
                <w:color w:val="auto"/>
              </w:rPr>
            </w:pPr>
          </w:p>
        </w:tc>
        <w:tc>
          <w:tcPr>
            <w:tcW w:w="120" w:type="dxa"/>
            <w:vAlign w:val="bottom"/>
            <w:tcBorders>
              <w:bottom w:val="single" w:sz="8" w:color="CCFFCC"/>
            </w:tcBorders>
            <w:shd w:val="clear" w:color="auto" w:fill="CCFFCC"/>
          </w:tcPr>
          <w:p>
            <w:pPr>
              <w:spacing w:after="0"/>
              <w:rPr>
                <w:sz w:val="13"/>
                <w:szCs w:val="13"/>
                <w:color w:val="auto"/>
              </w:rPr>
            </w:pPr>
          </w:p>
        </w:tc>
        <w:tc>
          <w:tcPr>
            <w:tcW w:w="680" w:type="dxa"/>
            <w:vAlign w:val="bottom"/>
            <w:tcBorders>
              <w:bottom w:val="single" w:sz="8" w:color="CCFFCC"/>
            </w:tcBorders>
            <w:shd w:val="clear" w:color="auto" w:fill="CCFFCC"/>
          </w:tcPr>
          <w:p>
            <w:pPr>
              <w:spacing w:after="0"/>
              <w:rPr>
                <w:sz w:val="13"/>
                <w:szCs w:val="13"/>
                <w:color w:val="auto"/>
              </w:rPr>
            </w:pPr>
          </w:p>
        </w:tc>
        <w:tc>
          <w:tcPr>
            <w:tcW w:w="260" w:type="dxa"/>
            <w:vAlign w:val="bottom"/>
            <w:tcBorders>
              <w:bottom w:val="single" w:sz="8" w:color="CCFFCC"/>
            </w:tcBorders>
            <w:shd w:val="clear" w:color="auto" w:fill="CCFFCC"/>
          </w:tcPr>
          <w:p>
            <w:pPr>
              <w:spacing w:after="0"/>
              <w:rPr>
                <w:sz w:val="13"/>
                <w:szCs w:val="13"/>
                <w:color w:val="auto"/>
              </w:rPr>
            </w:pPr>
          </w:p>
        </w:tc>
        <w:tc>
          <w:tcPr>
            <w:tcW w:w="140" w:type="dxa"/>
            <w:vAlign w:val="bottom"/>
            <w:tcBorders>
              <w:bottom w:val="single" w:sz="8" w:color="auto"/>
            </w:tcBorders>
            <w:shd w:val="clear" w:color="auto" w:fill="CCFFCC"/>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660" w:type="dxa"/>
            <w:vAlign w:val="bottom"/>
            <w:tcBorders>
              <w:bottom w:val="single" w:sz="8" w:color="auto"/>
            </w:tcBorders>
            <w:shd w:val="clear" w:color="auto" w:fill="CCFFCC"/>
          </w:tcPr>
          <w:p>
            <w:pPr>
              <w:jc w:val="right"/>
              <w:spacing w:after="0" w:line="155" w:lineRule="exact"/>
              <w:rPr>
                <w:sz w:val="20"/>
                <w:szCs w:val="20"/>
                <w:color w:val="auto"/>
              </w:rPr>
            </w:pPr>
            <w:r>
              <w:rPr>
                <w:rFonts w:ascii="Arial" w:cs="Arial" w:eastAsia="Arial" w:hAnsi="Arial"/>
                <w:sz w:val="14"/>
                <w:szCs w:val="14"/>
                <w:b w:val="1"/>
                <w:bCs w:val="1"/>
                <w:color w:val="auto"/>
              </w:rPr>
              <w:t>36</w:t>
            </w:r>
          </w:p>
        </w:tc>
        <w:tc>
          <w:tcPr>
            <w:tcW w:w="240" w:type="dxa"/>
            <w:vAlign w:val="bottom"/>
            <w:tcBorders>
              <w:bottom w:val="single" w:sz="8" w:color="CCFFCC"/>
            </w:tcBorders>
            <w:shd w:val="clear" w:color="auto" w:fill="CCFFCC"/>
          </w:tcPr>
          <w:p>
            <w:pPr>
              <w:spacing w:after="0"/>
              <w:rPr>
                <w:sz w:val="13"/>
                <w:szCs w:val="13"/>
                <w:color w:val="auto"/>
              </w:rPr>
            </w:pPr>
          </w:p>
        </w:tc>
        <w:tc>
          <w:tcPr>
            <w:tcW w:w="160" w:type="dxa"/>
            <w:vAlign w:val="bottom"/>
            <w:tcBorders>
              <w:bottom w:val="single" w:sz="8" w:color="CCFFCC"/>
            </w:tcBorders>
            <w:shd w:val="clear" w:color="auto" w:fill="CCFFCC"/>
          </w:tcPr>
          <w:p>
            <w:pPr>
              <w:spacing w:after="0"/>
              <w:rPr>
                <w:sz w:val="13"/>
                <w:szCs w:val="13"/>
                <w:color w:val="auto"/>
              </w:rPr>
            </w:pPr>
          </w:p>
        </w:tc>
        <w:tc>
          <w:tcPr>
            <w:tcW w:w="660" w:type="dxa"/>
            <w:vAlign w:val="bottom"/>
            <w:tcBorders>
              <w:bottom w:val="single" w:sz="8" w:color="CCFFCC"/>
            </w:tcBorders>
            <w:shd w:val="clear" w:color="auto" w:fill="CCFFCC"/>
          </w:tcPr>
          <w:p>
            <w:pPr>
              <w:spacing w:after="0"/>
              <w:rPr>
                <w:sz w:val="13"/>
                <w:szCs w:val="13"/>
                <w:color w:val="auto"/>
              </w:rPr>
            </w:pPr>
          </w:p>
        </w:tc>
        <w:tc>
          <w:tcPr>
            <w:tcW w:w="240" w:type="dxa"/>
            <w:vAlign w:val="bottom"/>
            <w:tcBorders>
              <w:bottom w:val="single" w:sz="8" w:color="CCFFCC"/>
            </w:tcBorders>
            <w:shd w:val="clear" w:color="auto" w:fill="CCFFCC"/>
          </w:tcPr>
          <w:p>
            <w:pPr>
              <w:spacing w:after="0"/>
              <w:rPr>
                <w:sz w:val="13"/>
                <w:szCs w:val="13"/>
                <w:color w:val="auto"/>
              </w:rPr>
            </w:pPr>
          </w:p>
        </w:tc>
        <w:tc>
          <w:tcPr>
            <w:tcW w:w="120" w:type="dxa"/>
            <w:vAlign w:val="bottom"/>
            <w:tcBorders>
              <w:bottom w:val="single" w:sz="8" w:color="CCFFCC"/>
            </w:tcBorders>
            <w:shd w:val="clear" w:color="auto" w:fill="CCFFCC"/>
          </w:tcPr>
          <w:p>
            <w:pPr>
              <w:spacing w:after="0"/>
              <w:rPr>
                <w:sz w:val="13"/>
                <w:szCs w:val="13"/>
                <w:color w:val="auto"/>
              </w:rPr>
            </w:pPr>
          </w:p>
        </w:tc>
        <w:tc>
          <w:tcPr>
            <w:tcW w:w="680" w:type="dxa"/>
            <w:vAlign w:val="bottom"/>
            <w:tcBorders>
              <w:bottom w:val="single" w:sz="8" w:color="CCFFCC"/>
            </w:tcBorders>
            <w:shd w:val="clear" w:color="auto" w:fill="CCFFCC"/>
          </w:tcPr>
          <w:p>
            <w:pPr>
              <w:spacing w:after="0"/>
              <w:rPr>
                <w:sz w:val="13"/>
                <w:szCs w:val="13"/>
                <w:color w:val="auto"/>
              </w:rPr>
            </w:pPr>
          </w:p>
        </w:tc>
        <w:tc>
          <w:tcPr>
            <w:tcW w:w="120" w:type="dxa"/>
            <w:vAlign w:val="bottom"/>
            <w:tcBorders>
              <w:bottom w:val="single" w:sz="8" w:color="CCFFCC"/>
            </w:tcBorders>
            <w:shd w:val="clear" w:color="auto" w:fill="CCFFCC"/>
          </w:tcPr>
          <w:p>
            <w:pPr>
              <w:spacing w:after="0"/>
              <w:rPr>
                <w:sz w:val="13"/>
                <w:szCs w:val="13"/>
                <w:color w:val="auto"/>
              </w:rPr>
            </w:pPr>
          </w:p>
        </w:tc>
        <w:tc>
          <w:tcPr>
            <w:tcW w:w="100" w:type="dxa"/>
            <w:vAlign w:val="bottom"/>
            <w:tcBorders>
              <w:bottom w:val="single" w:sz="8" w:color="CCFFCC"/>
            </w:tcBorders>
            <w:shd w:val="clear" w:color="auto" w:fill="CCFFCC"/>
          </w:tcPr>
          <w:p>
            <w:pPr>
              <w:spacing w:after="0"/>
              <w:rPr>
                <w:sz w:val="13"/>
                <w:szCs w:val="13"/>
                <w:color w:val="auto"/>
              </w:rPr>
            </w:pPr>
          </w:p>
        </w:tc>
        <w:tc>
          <w:tcPr>
            <w:tcW w:w="140" w:type="dxa"/>
            <w:vAlign w:val="bottom"/>
            <w:tcBorders>
              <w:bottom w:val="single" w:sz="8" w:color="auto"/>
            </w:tcBorders>
            <w:shd w:val="clear" w:color="auto" w:fill="CCFFCC"/>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bottom w:val="single" w:sz="8" w:color="auto"/>
            </w:tcBorders>
            <w:shd w:val="clear" w:color="auto" w:fill="CCFFCC"/>
          </w:tcPr>
          <w:p>
            <w:pPr>
              <w:jc w:val="right"/>
              <w:spacing w:after="0" w:line="155" w:lineRule="exact"/>
              <w:rPr>
                <w:sz w:val="20"/>
                <w:szCs w:val="20"/>
                <w:color w:val="auto"/>
              </w:rPr>
            </w:pPr>
            <w:r>
              <w:rPr>
                <w:rFonts w:ascii="Arial" w:cs="Arial" w:eastAsia="Arial" w:hAnsi="Arial"/>
                <w:sz w:val="14"/>
                <w:szCs w:val="14"/>
                <w:b w:val="1"/>
                <w:bCs w:val="1"/>
                <w:color w:val="auto"/>
              </w:rPr>
              <w:t>49</w:t>
            </w:r>
          </w:p>
        </w:tc>
        <w:tc>
          <w:tcPr>
            <w:tcW w:w="100" w:type="dxa"/>
            <w:vAlign w:val="bottom"/>
            <w:tcBorders>
              <w:bottom w:val="single" w:sz="8" w:color="CCFFCC"/>
            </w:tcBorders>
            <w:shd w:val="clear" w:color="auto" w:fill="CCFFCC"/>
          </w:tcPr>
          <w:p>
            <w:pPr>
              <w:spacing w:after="0"/>
              <w:rPr>
                <w:sz w:val="13"/>
                <w:szCs w:val="13"/>
                <w:color w:val="auto"/>
              </w:rPr>
            </w:pPr>
          </w:p>
        </w:tc>
        <w:tc>
          <w:tcPr>
            <w:tcW w:w="100" w:type="dxa"/>
            <w:vAlign w:val="bottom"/>
            <w:tcBorders>
              <w:bottom w:val="single" w:sz="8" w:color="CCFFCC"/>
            </w:tcBorders>
            <w:shd w:val="clear" w:color="auto" w:fill="CCFFCC"/>
          </w:tcPr>
          <w:p>
            <w:pPr>
              <w:spacing w:after="0"/>
              <w:rPr>
                <w:sz w:val="13"/>
                <w:szCs w:val="13"/>
                <w:color w:val="auto"/>
              </w:rPr>
            </w:pPr>
          </w:p>
        </w:tc>
        <w:tc>
          <w:tcPr>
            <w:tcW w:w="160" w:type="dxa"/>
            <w:vAlign w:val="bottom"/>
            <w:tcBorders>
              <w:bottom w:val="single" w:sz="8" w:color="CCFFCC"/>
            </w:tcBorders>
            <w:shd w:val="clear" w:color="auto" w:fill="CCFFCC"/>
          </w:tcPr>
          <w:p>
            <w:pPr>
              <w:spacing w:after="0"/>
              <w:rPr>
                <w:sz w:val="13"/>
                <w:szCs w:val="13"/>
                <w:color w:val="auto"/>
              </w:rPr>
            </w:pPr>
          </w:p>
        </w:tc>
        <w:tc>
          <w:tcPr>
            <w:tcW w:w="640" w:type="dxa"/>
            <w:vAlign w:val="bottom"/>
            <w:tcBorders>
              <w:bottom w:val="single" w:sz="8" w:color="CCFFCC"/>
            </w:tcBorders>
            <w:shd w:val="clear" w:color="auto" w:fill="CCFFCC"/>
          </w:tcPr>
          <w:p>
            <w:pPr>
              <w:spacing w:after="0"/>
              <w:rPr>
                <w:sz w:val="13"/>
                <w:szCs w:val="13"/>
                <w:color w:val="auto"/>
              </w:rPr>
            </w:pPr>
          </w:p>
        </w:tc>
        <w:tc>
          <w:tcPr>
            <w:tcW w:w="40" w:type="dxa"/>
            <w:vAlign w:val="bottom"/>
            <w:tcBorders>
              <w:bottom w:val="single" w:sz="8" w:color="CCFFCC"/>
            </w:tcBorders>
            <w:shd w:val="clear" w:color="auto" w:fill="CCFFCC"/>
          </w:tcPr>
          <w:p>
            <w:pPr>
              <w:spacing w:after="0"/>
              <w:rPr>
                <w:sz w:val="13"/>
                <w:szCs w:val="13"/>
                <w:color w:val="auto"/>
              </w:rPr>
            </w:pPr>
          </w:p>
        </w:tc>
        <w:tc>
          <w:tcPr>
            <w:tcW w:w="160" w:type="dxa"/>
            <w:vAlign w:val="bottom"/>
            <w:tcBorders>
              <w:bottom w:val="single" w:sz="8" w:color="CCFFCC"/>
            </w:tcBorders>
            <w:shd w:val="clear" w:color="auto" w:fill="CCFFCC"/>
          </w:tcPr>
          <w:p>
            <w:pPr>
              <w:spacing w:after="0"/>
              <w:rPr>
                <w:sz w:val="13"/>
                <w:szCs w:val="13"/>
                <w:color w:val="auto"/>
              </w:rPr>
            </w:pPr>
          </w:p>
        </w:tc>
        <w:tc>
          <w:tcPr>
            <w:tcW w:w="120" w:type="dxa"/>
            <w:vAlign w:val="bottom"/>
            <w:tcBorders>
              <w:bottom w:val="single" w:sz="8" w:color="CCFFCC"/>
            </w:tcBorders>
            <w:shd w:val="clear" w:color="auto" w:fill="CCFFCC"/>
          </w:tcPr>
          <w:p>
            <w:pPr>
              <w:spacing w:after="0"/>
              <w:rPr>
                <w:sz w:val="13"/>
                <w:szCs w:val="13"/>
                <w:color w:val="auto"/>
              </w:rPr>
            </w:pPr>
          </w:p>
        </w:tc>
        <w:tc>
          <w:tcPr>
            <w:tcW w:w="680" w:type="dxa"/>
            <w:vAlign w:val="bottom"/>
            <w:tcBorders>
              <w:bottom w:val="single" w:sz="8" w:color="CCFFCC"/>
            </w:tcBorders>
            <w:shd w:val="clear" w:color="auto" w:fill="CCFFCC"/>
          </w:tcPr>
          <w:p>
            <w:pPr>
              <w:spacing w:after="0"/>
              <w:rPr>
                <w:sz w:val="13"/>
                <w:szCs w:val="13"/>
                <w:color w:val="auto"/>
              </w:rPr>
            </w:pPr>
          </w:p>
        </w:tc>
        <w:tc>
          <w:tcPr>
            <w:tcW w:w="160" w:type="dxa"/>
            <w:vAlign w:val="bottom"/>
            <w:tcBorders>
              <w:bottom w:val="single" w:sz="8" w:color="CCFFCC"/>
            </w:tcBorders>
            <w:shd w:val="clear" w:color="auto" w:fill="CCFFCC"/>
          </w:tcPr>
          <w:p>
            <w:pPr>
              <w:spacing w:after="0"/>
              <w:rPr>
                <w:sz w:val="13"/>
                <w:szCs w:val="13"/>
                <w:color w:val="auto"/>
              </w:rPr>
            </w:pPr>
          </w:p>
        </w:tc>
        <w:tc>
          <w:tcPr>
            <w:tcW w:w="40" w:type="dxa"/>
            <w:vAlign w:val="bottom"/>
            <w:tcBorders>
              <w:bottom w:val="single" w:sz="8" w:color="CCFFCC"/>
            </w:tcBorders>
            <w:shd w:val="clear" w:color="auto" w:fill="CCFFCC"/>
          </w:tcPr>
          <w:p>
            <w:pPr>
              <w:spacing w:after="0"/>
              <w:rPr>
                <w:sz w:val="13"/>
                <w:szCs w:val="13"/>
                <w:color w:val="auto"/>
              </w:rPr>
            </w:pPr>
          </w:p>
        </w:tc>
        <w:tc>
          <w:tcPr>
            <w:tcW w:w="160" w:type="dxa"/>
            <w:vAlign w:val="bottom"/>
            <w:tcBorders>
              <w:bottom w:val="single" w:sz="8" w:color="auto"/>
            </w:tcBorders>
            <w:shd w:val="clear" w:color="auto" w:fill="CCFFCC"/>
          </w:tcPr>
          <w:p>
            <w:pPr>
              <w:jc w:val="right"/>
              <w:ind w:right="8"/>
              <w:spacing w:after="0" w:line="155" w:lineRule="exact"/>
              <w:rPr>
                <w:sz w:val="20"/>
                <w:szCs w:val="20"/>
                <w:color w:val="auto"/>
              </w:rPr>
            </w:pPr>
            <w:r>
              <w:rPr>
                <w:rFonts w:ascii="Arial" w:cs="Arial" w:eastAsia="Arial" w:hAnsi="Arial"/>
                <w:sz w:val="14"/>
                <w:szCs w:val="14"/>
                <w:b w:val="1"/>
                <w:bCs w:val="1"/>
                <w:color w:val="auto"/>
                <w:w w:val="76"/>
              </w:rPr>
              <w:t>$</w:t>
            </w:r>
          </w:p>
        </w:tc>
        <w:tc>
          <w:tcPr>
            <w:tcW w:w="640" w:type="dxa"/>
            <w:vAlign w:val="bottom"/>
            <w:tcBorders>
              <w:bottom w:val="single" w:sz="8" w:color="auto"/>
            </w:tcBorders>
            <w:shd w:val="clear" w:color="auto" w:fill="CCFFCC"/>
          </w:tcPr>
          <w:p>
            <w:pPr>
              <w:jc w:val="right"/>
              <w:spacing w:after="0" w:line="155" w:lineRule="exact"/>
              <w:rPr>
                <w:sz w:val="20"/>
                <w:szCs w:val="20"/>
                <w:color w:val="auto"/>
              </w:rPr>
            </w:pPr>
            <w:r>
              <w:rPr>
                <w:rFonts w:ascii="Arial" w:cs="Arial" w:eastAsia="Arial" w:hAnsi="Arial"/>
                <w:sz w:val="14"/>
                <w:szCs w:val="14"/>
                <w:b w:val="1"/>
                <w:bCs w:val="1"/>
                <w:color w:val="auto"/>
              </w:rPr>
              <w:t>40</w:t>
            </w:r>
          </w:p>
        </w:tc>
        <w:tc>
          <w:tcPr>
            <w:tcW w:w="100" w:type="dxa"/>
            <w:vAlign w:val="bottom"/>
            <w:tcBorders>
              <w:bottom w:val="single" w:sz="8" w:color="CCFFCC"/>
            </w:tcBorders>
            <w:shd w:val="clear" w:color="auto" w:fill="CCFFC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twenty-six week period ended August 3, 2013, activity included amortization of $6 million, partially offset by lease acquisition additions of $2 million. The lease acquisition additions recorded during the period are being amortized over a weighted-average of 10 years.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4"/>
          </w:tcPr>
          <w:p>
            <w:pPr>
              <w:jc w:val="right"/>
              <w:ind w:right="250"/>
              <w:spacing w:after="0"/>
              <w:rPr>
                <w:sz w:val="20"/>
                <w:szCs w:val="20"/>
                <w:color w:val="auto"/>
              </w:rPr>
            </w:pPr>
            <w:r>
              <w:rPr>
                <w:rFonts w:ascii="Arial" w:cs="Arial" w:eastAsia="Arial" w:hAnsi="Arial"/>
                <w:sz w:val="18"/>
                <w:szCs w:val="18"/>
                <w:b w:val="1"/>
                <w:bCs w:val="1"/>
                <w:color w:val="auto"/>
              </w:rPr>
              <w:t>Thirteen weeks ended</w:t>
            </w:r>
          </w:p>
        </w:tc>
        <w:tc>
          <w:tcPr>
            <w:tcW w:w="2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4"/>
          </w:tcPr>
          <w:p>
            <w:pPr>
              <w:ind w:left="260"/>
              <w:spacing w:after="0"/>
              <w:rPr>
                <w:sz w:val="20"/>
                <w:szCs w:val="20"/>
                <w:color w:val="auto"/>
              </w:rPr>
            </w:pPr>
            <w:r>
              <w:rPr>
                <w:rFonts w:ascii="Arial" w:cs="Arial" w:eastAsia="Arial" w:hAnsi="Arial"/>
                <w:sz w:val="18"/>
                <w:szCs w:val="18"/>
                <w:b w:val="1"/>
                <w:bCs w:val="1"/>
                <w:color w:val="auto"/>
                <w:w w:val="95"/>
              </w:rPr>
              <w:t>Twenty-six weeks ended</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5"/>
        </w:trPr>
        <w:tc>
          <w:tcPr>
            <w:tcW w:w="34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tcPr>
          <w:p>
            <w:pPr>
              <w:jc w:val="center"/>
              <w:ind w:right="340"/>
              <w:spacing w:after="0" w:line="205" w:lineRule="exact"/>
              <w:rPr>
                <w:sz w:val="20"/>
                <w:szCs w:val="20"/>
                <w:color w:val="auto"/>
              </w:rPr>
            </w:pPr>
            <w:r>
              <w:rPr>
                <w:rFonts w:ascii="Arial" w:cs="Arial" w:eastAsia="Arial" w:hAnsi="Arial"/>
                <w:sz w:val="18"/>
                <w:szCs w:val="18"/>
                <w:b w:val="1"/>
                <w:bCs w:val="1"/>
                <w:color w:val="auto"/>
                <w:w w:val="90"/>
              </w:rPr>
              <w:t>August 3,</w:t>
            </w:r>
          </w:p>
        </w:tc>
        <w:tc>
          <w:tcPr>
            <w:tcW w:w="120" w:type="dxa"/>
            <w:vAlign w:val="bottom"/>
          </w:tcPr>
          <w:p>
            <w:pPr>
              <w:spacing w:after="0"/>
              <w:rPr>
                <w:sz w:val="17"/>
                <w:szCs w:val="17"/>
                <w:color w:val="auto"/>
              </w:rPr>
            </w:pPr>
          </w:p>
        </w:tc>
        <w:tc>
          <w:tcPr>
            <w:tcW w:w="1060" w:type="dxa"/>
            <w:vAlign w:val="bottom"/>
          </w:tcPr>
          <w:p>
            <w:pPr>
              <w:jc w:val="center"/>
              <w:ind w:left="130"/>
              <w:spacing w:after="0" w:line="205" w:lineRule="exact"/>
              <w:rPr>
                <w:sz w:val="20"/>
                <w:szCs w:val="20"/>
                <w:color w:val="auto"/>
              </w:rPr>
            </w:pPr>
            <w:r>
              <w:rPr>
                <w:rFonts w:ascii="Arial" w:cs="Arial" w:eastAsia="Arial" w:hAnsi="Arial"/>
                <w:sz w:val="18"/>
                <w:szCs w:val="18"/>
                <w:b w:val="1"/>
                <w:bCs w:val="1"/>
                <w:color w:val="auto"/>
                <w:w w:val="90"/>
              </w:rPr>
              <w:t>July 28,</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3"/>
          </w:tcPr>
          <w:p>
            <w:pPr>
              <w:ind w:left="80"/>
              <w:spacing w:after="0" w:line="205" w:lineRule="exact"/>
              <w:rPr>
                <w:sz w:val="20"/>
                <w:szCs w:val="20"/>
                <w:color w:val="auto"/>
              </w:rPr>
            </w:pPr>
            <w:r>
              <w:rPr>
                <w:rFonts w:ascii="Arial" w:cs="Arial" w:eastAsia="Arial" w:hAnsi="Arial"/>
                <w:sz w:val="18"/>
                <w:szCs w:val="18"/>
                <w:b w:val="1"/>
                <w:bCs w:val="1"/>
                <w:color w:val="auto"/>
              </w:rPr>
              <w:t>August 3,</w:t>
            </w:r>
          </w:p>
        </w:tc>
        <w:tc>
          <w:tcPr>
            <w:tcW w:w="1000" w:type="dxa"/>
            <w:vAlign w:val="bottom"/>
          </w:tcPr>
          <w:p>
            <w:pPr>
              <w:jc w:val="center"/>
              <w:ind w:left="190"/>
              <w:spacing w:after="0" w:line="205" w:lineRule="exact"/>
              <w:rPr>
                <w:sz w:val="20"/>
                <w:szCs w:val="20"/>
                <w:color w:val="auto"/>
              </w:rPr>
            </w:pPr>
            <w:r>
              <w:rPr>
                <w:rFonts w:ascii="Arial" w:cs="Arial" w:eastAsia="Arial" w:hAnsi="Arial"/>
                <w:sz w:val="18"/>
                <w:szCs w:val="18"/>
                <w:b w:val="1"/>
                <w:bCs w:val="1"/>
                <w:color w:val="auto"/>
                <w:w w:val="90"/>
              </w:rPr>
              <w:t>July 28,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5620" w:type="dxa"/>
            <w:vAlign w:val="bottom"/>
            <w:gridSpan w:val="3"/>
          </w:tcPr>
          <w:p>
            <w:pPr>
              <w:spacing w:after="0"/>
              <w:rPr>
                <w:sz w:val="20"/>
                <w:szCs w:val="20"/>
                <w:color w:val="auto"/>
              </w:rPr>
            </w:pPr>
            <w:r>
              <w:rPr>
                <w:rFonts w:ascii="Arial" w:cs="Arial" w:eastAsia="Arial" w:hAnsi="Arial"/>
                <w:sz w:val="18"/>
                <w:szCs w:val="18"/>
                <w:b w:val="1"/>
                <w:bCs w:val="1"/>
                <w:color w:val="auto"/>
              </w:rPr>
              <w:t>(in millions)</w:t>
            </w:r>
          </w:p>
        </w:tc>
        <w:tc>
          <w:tcPr>
            <w:tcW w:w="220" w:type="dxa"/>
            <w:vAlign w:val="bottom"/>
          </w:tcPr>
          <w:p>
            <w:pPr>
              <w:spacing w:after="0"/>
              <w:rPr>
                <w:sz w:val="20"/>
                <w:szCs w:val="20"/>
                <w:color w:val="auto"/>
              </w:rPr>
            </w:pPr>
          </w:p>
        </w:tc>
        <w:tc>
          <w:tcPr>
            <w:tcW w:w="1040" w:type="dxa"/>
            <w:vAlign w:val="bottom"/>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118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2012</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ind w:left="28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500" w:type="dxa"/>
            <w:vAlign w:val="bottom"/>
            <w:tcBorders>
              <w:top w:val="single" w:sz="8" w:color="auto"/>
            </w:tcBorders>
            <w:gridSpan w:val="2"/>
            <w:shd w:val="clear" w:color="auto" w:fill="CCFFCC"/>
          </w:tcPr>
          <w:p>
            <w:pPr>
              <w:spacing w:after="0"/>
              <w:rPr>
                <w:sz w:val="20"/>
                <w:szCs w:val="20"/>
                <w:color w:val="auto"/>
              </w:rPr>
            </w:pPr>
            <w:r>
              <w:rPr>
                <w:rFonts w:ascii="Arial" w:cs="Arial" w:eastAsia="Arial" w:hAnsi="Arial"/>
                <w:sz w:val="18"/>
                <w:szCs w:val="18"/>
                <w:color w:val="auto"/>
              </w:rPr>
              <w:t>Amortization expense</w:t>
            </w:r>
          </w:p>
        </w:tc>
        <w:tc>
          <w:tcPr>
            <w:tcW w:w="120" w:type="dxa"/>
            <w:vAlign w:val="bottom"/>
            <w:tcBorders>
              <w:top w:val="single" w:sz="8" w:color="CCFFCC"/>
            </w:tcBorders>
            <w:shd w:val="clear" w:color="auto" w:fill="CCFFCC"/>
          </w:tcPr>
          <w:p>
            <w:pPr>
              <w:spacing w:after="0"/>
              <w:rPr>
                <w:sz w:val="18"/>
                <w:szCs w:val="18"/>
                <w:color w:val="auto"/>
              </w:rPr>
            </w:pPr>
          </w:p>
        </w:tc>
        <w:tc>
          <w:tcPr>
            <w:tcW w:w="22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1060" w:type="dxa"/>
            <w:vAlign w:val="bottom"/>
            <w:tcBorders>
              <w:top w:val="single" w:sz="8" w:color="auto"/>
            </w:tcBorders>
            <w:shd w:val="clear" w:color="auto" w:fill="CCFFCC"/>
          </w:tcPr>
          <w:p>
            <w:pPr>
              <w:jc w:val="right"/>
              <w:ind w:right="870"/>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w:t>
            </w:r>
          </w:p>
        </w:tc>
        <w:tc>
          <w:tcPr>
            <w:tcW w:w="22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auto"/>
            </w:tcBorders>
            <w:shd w:val="clear" w:color="auto" w:fill="CCFFCC"/>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1000" w:type="dxa"/>
            <w:vAlign w:val="bottom"/>
            <w:tcBorders>
              <w:top w:val="single" w:sz="8" w:color="auto"/>
            </w:tcBorders>
            <w:shd w:val="clear" w:color="auto" w:fill="CCFFCC"/>
          </w:tcPr>
          <w:p>
            <w:pPr>
              <w:jc w:val="right"/>
              <w:ind w:right="810"/>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tcBorders>
            <w:gridSpan w:val="3"/>
            <w:shd w:val="clear" w:color="auto" w:fill="CCFFCC"/>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top w:val="single" w:sz="8" w:color="CCFFCC"/>
            </w:tcBorders>
            <w:shd w:val="clear" w:color="auto" w:fill="CCFFCC"/>
          </w:tcPr>
          <w:p>
            <w:pPr>
              <w:spacing w:after="0"/>
              <w:rPr>
                <w:sz w:val="18"/>
                <w:szCs w:val="18"/>
                <w:color w:val="auto"/>
              </w:rPr>
            </w:pPr>
          </w:p>
        </w:tc>
      </w:tr>
      <w:tr>
        <w:trPr>
          <w:trHeight w:val="432"/>
        </w:trPr>
        <w:tc>
          <w:tcPr>
            <w:tcW w:w="7000" w:type="dxa"/>
            <w:vAlign w:val="bottom"/>
            <w:gridSpan w:val="6"/>
          </w:tcPr>
          <w:p>
            <w:pPr>
              <w:spacing w:after="0"/>
              <w:rPr>
                <w:sz w:val="20"/>
                <w:szCs w:val="20"/>
                <w:color w:val="auto"/>
              </w:rPr>
            </w:pPr>
            <w:r>
              <w:rPr>
                <w:rFonts w:ascii="Arial" w:cs="Arial" w:eastAsia="Arial" w:hAnsi="Arial"/>
                <w:sz w:val="18"/>
                <w:szCs w:val="18"/>
                <w:color w:val="auto"/>
                <w:w w:val="95"/>
              </w:rPr>
              <w:t>Future expected amortization expense for finite life intangible assets is estimated as follows:</w:t>
            </w: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6"/>
        </w:trPr>
        <w:tc>
          <w:tcPr>
            <w:tcW w:w="340" w:type="dxa"/>
            <w:vAlign w:val="bottom"/>
          </w:tcPr>
          <w:p>
            <w:pPr>
              <w:spacing w:after="0"/>
              <w:rPr>
                <w:sz w:val="24"/>
                <w:szCs w:val="24"/>
                <w:color w:val="auto"/>
              </w:rPr>
            </w:pPr>
          </w:p>
        </w:tc>
        <w:tc>
          <w:tcPr>
            <w:tcW w:w="5160" w:type="dxa"/>
            <w:vAlign w:val="bottom"/>
            <w:tcBorders>
              <w:bottom w:val="single" w:sz="8" w:color="CCFFCC"/>
            </w:tcBorders>
          </w:tcPr>
          <w:p>
            <w:pPr>
              <w:spacing w:after="0"/>
              <w:rPr>
                <w:sz w:val="24"/>
                <w:szCs w:val="24"/>
                <w:color w:val="auto"/>
              </w:rPr>
            </w:pPr>
          </w:p>
        </w:tc>
        <w:tc>
          <w:tcPr>
            <w:tcW w:w="120" w:type="dxa"/>
            <w:vAlign w:val="bottom"/>
            <w:tcBorders>
              <w:bottom w:val="single" w:sz="8" w:color="CCFFCC"/>
            </w:tcBorders>
          </w:tcPr>
          <w:p>
            <w:pPr>
              <w:spacing w:after="0"/>
              <w:rPr>
                <w:sz w:val="24"/>
                <w:szCs w:val="24"/>
                <w:color w:val="auto"/>
              </w:rPr>
            </w:pPr>
          </w:p>
        </w:tc>
        <w:tc>
          <w:tcPr>
            <w:tcW w:w="220" w:type="dxa"/>
            <w:vAlign w:val="bottom"/>
            <w:tcBorders>
              <w:bottom w:val="single" w:sz="8" w:color="CCFFCC"/>
            </w:tcBorders>
          </w:tcPr>
          <w:p>
            <w:pPr>
              <w:spacing w:after="0"/>
              <w:rPr>
                <w:sz w:val="24"/>
                <w:szCs w:val="24"/>
                <w:color w:val="auto"/>
              </w:rPr>
            </w:pPr>
          </w:p>
        </w:tc>
        <w:tc>
          <w:tcPr>
            <w:tcW w:w="1040" w:type="dxa"/>
            <w:vAlign w:val="bottom"/>
            <w:tcBorders>
              <w:bottom w:val="single" w:sz="8" w:color="CCFFCC"/>
            </w:tcBorders>
          </w:tcPr>
          <w:p>
            <w:pPr>
              <w:spacing w:after="0"/>
              <w:rPr>
                <w:sz w:val="24"/>
                <w:szCs w:val="24"/>
                <w:color w:val="auto"/>
              </w:rPr>
            </w:pPr>
          </w:p>
        </w:tc>
        <w:tc>
          <w:tcPr>
            <w:tcW w:w="120" w:type="dxa"/>
            <w:vAlign w:val="bottom"/>
            <w:tcBorders>
              <w:bottom w:val="single" w:sz="8" w:color="CCFFCC"/>
            </w:tcBorders>
          </w:tcPr>
          <w:p>
            <w:pPr>
              <w:spacing w:after="0"/>
              <w:rPr>
                <w:sz w:val="24"/>
                <w:szCs w:val="24"/>
                <w:color w:val="auto"/>
              </w:rPr>
            </w:pPr>
          </w:p>
        </w:tc>
        <w:tc>
          <w:tcPr>
            <w:tcW w:w="120" w:type="dxa"/>
            <w:vAlign w:val="bottom"/>
            <w:tcBorders>
              <w:bottom w:val="single" w:sz="8" w:color="CCFFCC"/>
            </w:tcBorders>
          </w:tcPr>
          <w:p>
            <w:pPr>
              <w:spacing w:after="0"/>
              <w:rPr>
                <w:sz w:val="24"/>
                <w:szCs w:val="24"/>
                <w:color w:val="auto"/>
              </w:rPr>
            </w:pPr>
          </w:p>
        </w:tc>
        <w:tc>
          <w:tcPr>
            <w:tcW w:w="1060" w:type="dxa"/>
            <w:vAlign w:val="bottom"/>
            <w:tcBorders>
              <w:bottom w:val="single" w:sz="8" w:color="CCFFCC"/>
            </w:tcBorders>
          </w:tcPr>
          <w:p>
            <w:pPr>
              <w:spacing w:after="0"/>
              <w:rPr>
                <w:sz w:val="24"/>
                <w:szCs w:val="24"/>
                <w:color w:val="auto"/>
              </w:rPr>
            </w:pPr>
          </w:p>
        </w:tc>
        <w:tc>
          <w:tcPr>
            <w:tcW w:w="220" w:type="dxa"/>
            <w:vAlign w:val="bottom"/>
            <w:tcBorders>
              <w:bottom w:val="single" w:sz="8" w:color="CCFFCC"/>
            </w:tcBorders>
          </w:tcPr>
          <w:p>
            <w:pPr>
              <w:spacing w:after="0"/>
              <w:rPr>
                <w:sz w:val="24"/>
                <w:szCs w:val="24"/>
                <w:color w:val="auto"/>
              </w:rPr>
            </w:pPr>
          </w:p>
        </w:tc>
        <w:tc>
          <w:tcPr>
            <w:tcW w:w="220" w:type="dxa"/>
            <w:vAlign w:val="bottom"/>
            <w:tcBorders>
              <w:bottom w:val="single" w:sz="8" w:color="CCFFCC"/>
            </w:tcBorders>
          </w:tcPr>
          <w:p>
            <w:pPr>
              <w:spacing w:after="0"/>
              <w:rPr>
                <w:sz w:val="24"/>
                <w:szCs w:val="24"/>
                <w:color w:val="auto"/>
              </w:rPr>
            </w:pPr>
          </w:p>
        </w:tc>
        <w:tc>
          <w:tcPr>
            <w:tcW w:w="160" w:type="dxa"/>
            <w:vAlign w:val="bottom"/>
            <w:tcBorders>
              <w:bottom w:val="single" w:sz="8" w:color="CCFFCC"/>
            </w:tcBorders>
          </w:tcPr>
          <w:p>
            <w:pPr>
              <w:spacing w:after="0"/>
              <w:rPr>
                <w:sz w:val="24"/>
                <w:szCs w:val="24"/>
                <w:color w:val="auto"/>
              </w:rPr>
            </w:pPr>
          </w:p>
        </w:tc>
        <w:tc>
          <w:tcPr>
            <w:tcW w:w="1080" w:type="dxa"/>
            <w:vAlign w:val="bottom"/>
            <w:tcBorders>
              <w:bottom w:val="single" w:sz="8" w:color="CCFFCC"/>
            </w:tcBorders>
          </w:tcPr>
          <w:p>
            <w:pPr>
              <w:spacing w:after="0"/>
              <w:rPr>
                <w:sz w:val="24"/>
                <w:szCs w:val="24"/>
                <w:color w:val="auto"/>
              </w:rPr>
            </w:pPr>
          </w:p>
        </w:tc>
        <w:tc>
          <w:tcPr>
            <w:tcW w:w="120" w:type="dxa"/>
            <w:vAlign w:val="bottom"/>
            <w:tcBorders>
              <w:bottom w:val="single" w:sz="8" w:color="CCFFCC"/>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(in millions)</w:t>
            </w: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CCFFCC"/>
            </w:tcBorders>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340" w:type="dxa"/>
            <w:vAlign w:val="bottom"/>
          </w:tcPr>
          <w:p>
            <w:pPr>
              <w:spacing w:after="0"/>
              <w:rPr>
                <w:sz w:val="18"/>
                <w:szCs w:val="18"/>
                <w:color w:val="auto"/>
              </w:rPr>
            </w:pPr>
          </w:p>
        </w:tc>
        <w:tc>
          <w:tcPr>
            <w:tcW w:w="52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Remainder of 2013</w:t>
            </w:r>
          </w:p>
        </w:tc>
        <w:tc>
          <w:tcPr>
            <w:tcW w:w="22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spacing w:after="0"/>
              <w:rPr>
                <w:sz w:val="18"/>
                <w:szCs w:val="18"/>
                <w:color w:val="auto"/>
              </w:rPr>
            </w:pPr>
          </w:p>
        </w:tc>
        <w:tc>
          <w:tcPr>
            <w:tcW w:w="8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FFCC"/>
          </w:tcPr>
          <w:p>
            <w:pPr>
              <w:spacing w:after="0"/>
              <w:rPr>
                <w:sz w:val="18"/>
                <w:szCs w:val="18"/>
                <w:color w:val="auto"/>
              </w:rPr>
            </w:pPr>
          </w:p>
        </w:tc>
        <w:tc>
          <w:tcPr>
            <w:tcW w:w="1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9"/>
              </w:rPr>
              <w:t>4</w:t>
            </w:r>
          </w:p>
        </w:tc>
        <w:tc>
          <w:tcPr>
            <w:tcW w:w="100" w:type="dxa"/>
            <w:vAlign w:val="bottom"/>
            <w:shd w:val="clear" w:color="auto" w:fill="CCFFCC"/>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5160" w:type="dxa"/>
            <w:vAlign w:val="bottom"/>
            <w:shd w:val="clear" w:color="auto" w:fill="CCFFCC"/>
          </w:tcPr>
          <w:p>
            <w:pPr>
              <w:spacing w:after="0"/>
              <w:rPr>
                <w:sz w:val="20"/>
                <w:szCs w:val="20"/>
                <w:color w:val="auto"/>
              </w:rPr>
            </w:pPr>
            <w:r>
              <w:rPr>
                <w:rFonts w:ascii="Arial" w:cs="Arial" w:eastAsia="Arial" w:hAnsi="Arial"/>
                <w:sz w:val="18"/>
                <w:szCs w:val="18"/>
                <w:color w:val="auto"/>
              </w:rPr>
              <w:t>2015</w:t>
            </w:r>
          </w:p>
        </w:tc>
        <w:tc>
          <w:tcPr>
            <w:tcW w:w="1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2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w w:val="99"/>
              </w:rPr>
              <w:t>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5160" w:type="dxa"/>
            <w:vAlign w:val="bottom"/>
            <w:shd w:val="clear" w:color="auto" w:fill="CCFFCC"/>
          </w:tcPr>
          <w:p>
            <w:pPr>
              <w:spacing w:after="0"/>
              <w:rPr>
                <w:sz w:val="20"/>
                <w:szCs w:val="20"/>
                <w:color w:val="auto"/>
              </w:rPr>
            </w:pPr>
            <w:r>
              <w:rPr>
                <w:rFonts w:ascii="Arial" w:cs="Arial" w:eastAsia="Arial" w:hAnsi="Arial"/>
                <w:sz w:val="18"/>
                <w:szCs w:val="18"/>
                <w:color w:val="auto"/>
              </w:rPr>
              <w:t>2017</w:t>
            </w:r>
          </w:p>
        </w:tc>
        <w:tc>
          <w:tcPr>
            <w:tcW w:w="1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2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w w:val="99"/>
              </w:rPr>
              <w:t>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3</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634"/>
        </w:trPr>
        <w:tc>
          <w:tcPr>
            <w:tcW w:w="340" w:type="dxa"/>
            <w:vAlign w:val="bottom"/>
            <w:tcBorders>
              <w:bottom w:val="single" w:sz="8" w:color="auto"/>
            </w:tcBorders>
          </w:tcPr>
          <w:p>
            <w:pPr>
              <w:spacing w:after="0"/>
              <w:rPr>
                <w:sz w:val="24"/>
                <w:szCs w:val="24"/>
                <w:color w:val="auto"/>
              </w:rPr>
            </w:pPr>
          </w:p>
        </w:tc>
        <w:tc>
          <w:tcPr>
            <w:tcW w:w="5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10</w:t>
            </w: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77"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980" w:type="dxa"/>
            <w:vAlign w:val="bottom"/>
            <w:gridSpan w:val="3"/>
          </w:tcPr>
          <w:p>
            <w:pPr>
              <w:spacing w:after="0"/>
              <w:rPr>
                <w:sz w:val="20"/>
                <w:szCs w:val="20"/>
                <w:color w:val="auto"/>
              </w:rPr>
            </w:pPr>
            <w:r>
              <w:rPr>
                <w:rFonts w:ascii="Arial" w:cs="Arial" w:eastAsia="Arial" w:hAnsi="Arial"/>
                <w:sz w:val="18"/>
                <w:szCs w:val="18"/>
                <w:b w:val="1"/>
                <w:bCs w:val="1"/>
                <w:color w:val="auto"/>
              </w:rPr>
              <w:t>5. Accumulated Other Comprehensive Loss</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80" w:type="dxa"/>
            <w:vAlign w:val="bottom"/>
          </w:tcPr>
          <w:p>
            <w:pPr>
              <w:spacing w:after="0" w:line="20" w:lineRule="exact"/>
              <w:rPr>
                <w:sz w:val="1"/>
                <w:szCs w:val="1"/>
                <w:color w:val="auto"/>
              </w:rPr>
            </w:pPr>
          </w:p>
        </w:tc>
        <w:tc>
          <w:tcPr>
            <w:tcW w:w="3160" w:type="dxa"/>
            <w:vAlign w:val="bottom"/>
            <w:shd w:val="clear" w:color="auto" w:fill="000000"/>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6980" w:type="dxa"/>
            <w:vAlign w:val="bottom"/>
            <w:gridSpan w:val="3"/>
          </w:tcPr>
          <w:p>
            <w:pPr>
              <w:spacing w:after="0"/>
              <w:rPr>
                <w:sz w:val="20"/>
                <w:szCs w:val="20"/>
                <w:color w:val="auto"/>
              </w:rPr>
            </w:pPr>
            <w:r>
              <w:rPr>
                <w:rFonts w:ascii="Arial" w:cs="Arial" w:eastAsia="Arial" w:hAnsi="Arial"/>
                <w:sz w:val="18"/>
                <w:szCs w:val="18"/>
                <w:color w:val="auto"/>
              </w:rPr>
              <w:t>Accumulated other comprehensive loss comprised the following:</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7"/>
        </w:trPr>
        <w:tc>
          <w:tcPr>
            <w:tcW w:w="1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7"/>
              </w:rPr>
              <w:t>August 3,</w:t>
            </w:r>
          </w:p>
        </w:tc>
        <w:tc>
          <w:tcPr>
            <w:tcW w:w="200" w:type="dxa"/>
            <w:vAlign w:val="bottom"/>
          </w:tcPr>
          <w:p>
            <w:pPr>
              <w:spacing w:after="0"/>
              <w:rPr>
                <w:sz w:val="24"/>
                <w:szCs w:val="24"/>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July 28,</w:t>
            </w:r>
          </w:p>
        </w:tc>
        <w:tc>
          <w:tcPr>
            <w:tcW w:w="140" w:type="dxa"/>
            <w:vAlign w:val="bottom"/>
          </w:tcPr>
          <w:p>
            <w:pPr>
              <w:spacing w:after="0"/>
              <w:rPr>
                <w:sz w:val="24"/>
                <w:szCs w:val="24"/>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4"/>
              </w:rPr>
              <w:t>February 2,</w:t>
            </w:r>
          </w:p>
        </w:tc>
      </w:tr>
      <w:tr>
        <w:trPr>
          <w:trHeight w:val="234"/>
        </w:trPr>
        <w:tc>
          <w:tcPr>
            <w:tcW w:w="698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(in millions)</w:t>
            </w:r>
          </w:p>
        </w:tc>
        <w:tc>
          <w:tcPr>
            <w:tcW w:w="120" w:type="dxa"/>
            <w:vAlign w:val="bottom"/>
            <w:tcBorders>
              <w:bottom w:val="single" w:sz="8" w:color="CCFFC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260" w:type="dxa"/>
            <w:vAlign w:val="bottom"/>
            <w:tcBorders>
              <w:bottom w:val="single" w:sz="8" w:color="CCFFC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200" w:type="dxa"/>
            <w:vAlign w:val="bottom"/>
            <w:tcBorders>
              <w:bottom w:val="single" w:sz="8" w:color="CCFFC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100" w:type="dxa"/>
            <w:vAlign w:val="bottom"/>
            <w:tcBorders>
              <w:bottom w:val="single" w:sz="8" w:color="CCFFCC"/>
            </w:tcBorders>
          </w:tcPr>
          <w:p>
            <w:pPr>
              <w:spacing w:after="0"/>
              <w:rPr>
                <w:sz w:val="20"/>
                <w:szCs w:val="20"/>
                <w:color w:val="auto"/>
              </w:rPr>
            </w:pPr>
          </w:p>
        </w:tc>
      </w:tr>
      <w:tr>
        <w:trPr>
          <w:trHeight w:val="210"/>
        </w:trPr>
        <w:tc>
          <w:tcPr>
            <w:tcW w:w="698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Foreign currency translation adjustments</w:t>
            </w:r>
          </w:p>
        </w:tc>
        <w:tc>
          <w:tcPr>
            <w:tcW w:w="120" w:type="dxa"/>
            <w:vAlign w:val="bottom"/>
            <w:shd w:val="clear" w:color="auto" w:fill="CCFFCC"/>
          </w:tcPr>
          <w:p>
            <w:pPr>
              <w:spacing w:after="0"/>
              <w:rPr>
                <w:sz w:val="18"/>
                <w:szCs w:val="18"/>
                <w:color w:val="auto"/>
              </w:rPr>
            </w:pPr>
          </w:p>
        </w:tc>
        <w:tc>
          <w:tcPr>
            <w:tcW w:w="180" w:type="dxa"/>
            <w:vAlign w:val="bottom"/>
            <w:shd w:val="clear" w:color="auto" w:fill="CCFFCC"/>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55</w:t>
            </w:r>
          </w:p>
        </w:tc>
        <w:tc>
          <w:tcPr>
            <w:tcW w:w="260" w:type="dxa"/>
            <w:vAlign w:val="bottom"/>
            <w:shd w:val="clear" w:color="auto" w:fill="CCFFCC"/>
          </w:tcPr>
          <w:p>
            <w:pPr>
              <w:spacing w:after="0"/>
              <w:rPr>
                <w:sz w:val="18"/>
                <w:szCs w:val="18"/>
                <w:color w:val="auto"/>
              </w:rPr>
            </w:pPr>
          </w:p>
        </w:tc>
        <w:tc>
          <w:tcPr>
            <w:tcW w:w="200" w:type="dxa"/>
            <w:vAlign w:val="bottom"/>
            <w:shd w:val="clear" w:color="auto" w:fill="CCFFCC"/>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21</w:t>
            </w:r>
          </w:p>
        </w:tc>
        <w:tc>
          <w:tcPr>
            <w:tcW w:w="200" w:type="dxa"/>
            <w:vAlign w:val="bottom"/>
            <w:shd w:val="clear" w:color="auto" w:fill="CCFFCC"/>
          </w:tcPr>
          <w:p>
            <w:pPr>
              <w:spacing w:after="0"/>
              <w:rPr>
                <w:sz w:val="18"/>
                <w:szCs w:val="18"/>
                <w:color w:val="auto"/>
              </w:rPr>
            </w:pPr>
          </w:p>
        </w:tc>
        <w:tc>
          <w:tcPr>
            <w:tcW w:w="14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FFCC"/>
          </w:tcPr>
          <w:p>
            <w:pPr>
              <w:spacing w:after="0"/>
              <w:rPr>
                <w:sz w:val="18"/>
                <w:szCs w:val="18"/>
                <w:color w:val="auto"/>
              </w:rPr>
            </w:pPr>
          </w:p>
        </w:tc>
      </w:tr>
      <w:tr>
        <w:trPr>
          <w:trHeight w:val="216"/>
        </w:trPr>
        <w:tc>
          <w:tcPr>
            <w:tcW w:w="6980" w:type="dxa"/>
            <w:vAlign w:val="bottom"/>
            <w:gridSpan w:val="3"/>
          </w:tcPr>
          <w:p>
            <w:pPr>
              <w:spacing w:after="0"/>
              <w:rPr>
                <w:sz w:val="20"/>
                <w:szCs w:val="20"/>
                <w:color w:val="auto"/>
              </w:rPr>
            </w:pPr>
            <w:r>
              <w:rPr>
                <w:rFonts w:ascii="Arial" w:cs="Arial" w:eastAsia="Arial" w:hAnsi="Arial"/>
                <w:sz w:val="18"/>
                <w:szCs w:val="18"/>
                <w:color w:val="auto"/>
              </w:rPr>
              <w:t>Cash flow hedges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r>
      <w:tr>
        <w:trPr>
          <w:trHeight w:val="216"/>
        </w:trPr>
        <w:tc>
          <w:tcPr>
            <w:tcW w:w="698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Unrecognized pension cost and postretirement benefit</w:t>
            </w:r>
          </w:p>
        </w:tc>
        <w:tc>
          <w:tcPr>
            <w:tcW w:w="1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(249)</w:t>
            </w:r>
          </w:p>
        </w:tc>
        <w:tc>
          <w:tcPr>
            <w:tcW w:w="20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(259)</w:t>
            </w:r>
          </w:p>
        </w:tc>
        <w:tc>
          <w:tcPr>
            <w:tcW w:w="14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(255)</w:t>
            </w:r>
          </w:p>
        </w:tc>
      </w:tr>
      <w:tr>
        <w:trPr>
          <w:trHeight w:val="230"/>
        </w:trPr>
        <w:tc>
          <w:tcPr>
            <w:tcW w:w="6980" w:type="dxa"/>
            <w:vAlign w:val="bottom"/>
            <w:gridSpan w:val="3"/>
          </w:tcPr>
          <w:p>
            <w:pPr>
              <w:spacing w:after="0"/>
              <w:rPr>
                <w:sz w:val="20"/>
                <w:szCs w:val="20"/>
                <w:color w:val="auto"/>
              </w:rPr>
            </w:pPr>
            <w:r>
              <w:rPr>
                <w:rFonts w:ascii="Arial" w:cs="Arial" w:eastAsia="Arial" w:hAnsi="Arial"/>
                <w:sz w:val="18"/>
                <w:szCs w:val="18"/>
                <w:color w:val="auto"/>
              </w:rPr>
              <w:t>Unrealized loss on available-for-sale security</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180" w:type="dxa"/>
            <w:vAlign w:val="bottom"/>
            <w:tcBorders>
              <w:top w:val="single" w:sz="8" w:color="CCFFCC"/>
              <w:bottom w:val="single" w:sz="8" w:color="CCFFCC"/>
            </w:tcBorders>
            <w:shd w:val="clear" w:color="auto" w:fill="CCFFCC"/>
          </w:tcPr>
          <w:p>
            <w:pPr>
              <w:spacing w:after="0"/>
              <w:rPr>
                <w:sz w:val="19"/>
                <w:szCs w:val="19"/>
                <w:color w:val="auto"/>
              </w:rPr>
            </w:pPr>
          </w:p>
        </w:tc>
        <w:tc>
          <w:tcPr>
            <w:tcW w:w="3160" w:type="dxa"/>
            <w:vAlign w:val="bottom"/>
            <w:tcBorders>
              <w:top w:val="single" w:sz="8" w:color="CCFFCC"/>
              <w:bottom w:val="single" w:sz="8" w:color="CCFFCC"/>
            </w:tcBorders>
            <w:shd w:val="clear" w:color="auto" w:fill="CCFFCC"/>
          </w:tcPr>
          <w:p>
            <w:pPr>
              <w:spacing w:after="0"/>
              <w:rPr>
                <w:sz w:val="19"/>
                <w:szCs w:val="19"/>
                <w:color w:val="auto"/>
              </w:rPr>
            </w:pPr>
          </w:p>
        </w:tc>
        <w:tc>
          <w:tcPr>
            <w:tcW w:w="3640" w:type="dxa"/>
            <w:vAlign w:val="bottom"/>
            <w:tcBorders>
              <w:top w:val="single" w:sz="8" w:color="CCFFCC"/>
              <w:bottom w:val="single" w:sz="8" w:color="CCFFCC"/>
            </w:tcBorders>
            <w:shd w:val="clear" w:color="auto" w:fill="CCFFCC"/>
          </w:tcPr>
          <w:p>
            <w:pPr>
              <w:spacing w:after="0"/>
              <w:rPr>
                <w:sz w:val="19"/>
                <w:szCs w:val="19"/>
                <w:color w:val="auto"/>
              </w:rPr>
            </w:pPr>
          </w:p>
        </w:tc>
        <w:tc>
          <w:tcPr>
            <w:tcW w:w="120" w:type="dxa"/>
            <w:vAlign w:val="bottom"/>
            <w:tcBorders>
              <w:top w:val="single" w:sz="8" w:color="CCFFCC"/>
              <w:bottom w:val="single" w:sz="8" w:color="CCFFCC"/>
            </w:tcBorders>
            <w:shd w:val="clear" w:color="auto" w:fill="CCFFCC"/>
          </w:tcPr>
          <w:p>
            <w:pPr>
              <w:spacing w:after="0"/>
              <w:rPr>
                <w:sz w:val="19"/>
                <w:szCs w:val="19"/>
                <w:color w:val="auto"/>
              </w:rPr>
            </w:pPr>
          </w:p>
        </w:tc>
        <w:tc>
          <w:tcPr>
            <w:tcW w:w="180" w:type="dxa"/>
            <w:vAlign w:val="bottom"/>
            <w:tcBorders>
              <w:top w:val="single" w:sz="8" w:color="auto"/>
              <w:bottom w:val="single" w:sz="8" w:color="auto"/>
            </w:tcBorders>
            <w:shd w:val="clear" w:color="auto" w:fill="CCFFCC"/>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(192</w:t>
            </w:r>
          </w:p>
        </w:tc>
        <w:tc>
          <w:tcPr>
            <w:tcW w:w="260" w:type="dxa"/>
            <w:vAlign w:val="bottom"/>
            <w:tcBorders>
              <w:top w:val="single" w:sz="8" w:color="CCFFCC"/>
              <w:bottom w:val="single" w:sz="8" w:color="CCFFCC"/>
            </w:tcBorders>
            <w:shd w:val="clear" w:color="auto" w:fill="CCFFCC"/>
          </w:tcPr>
          <w:p>
            <w:pPr>
              <w:jc w:val="right"/>
              <w:ind w:right="12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shd w:val="clear" w:color="auto" w:fill="CCFFCC"/>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(241</w:t>
            </w:r>
          </w:p>
        </w:tc>
        <w:tc>
          <w:tcPr>
            <w:tcW w:w="200" w:type="dxa"/>
            <w:vAlign w:val="bottom"/>
            <w:tcBorders>
              <w:top w:val="single" w:sz="8" w:color="CCFFCC"/>
              <w:bottom w:val="single" w:sz="8" w:color="CCFFCC"/>
            </w:tcBorders>
            <w:shd w:val="clear" w:color="auto" w:fill="CCFFCC"/>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Borders>
              <w:top w:val="single" w:sz="8" w:color="CCFFCC"/>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1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accumulated other comprehensive loss for the twenty-six week period ended August 3, 2013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Unrealized</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Foreign</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3"/>
          </w:tcPr>
          <w:p>
            <w:pPr>
              <w:ind w:left="20"/>
              <w:spacing w:after="0"/>
              <w:rPr>
                <w:sz w:val="20"/>
                <w:szCs w:val="20"/>
                <w:color w:val="auto"/>
              </w:rPr>
            </w:pPr>
            <w:r>
              <w:rPr>
                <w:rFonts w:ascii="Arial" w:cs="Arial" w:eastAsia="Arial" w:hAnsi="Arial"/>
                <w:sz w:val="18"/>
                <w:szCs w:val="18"/>
                <w:b w:val="1"/>
                <w:bCs w:val="1"/>
                <w:color w:val="auto"/>
              </w:rPr>
              <w:t>Items related to</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79"/>
              </w:rPr>
              <w:t>loss on</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currency</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8"/>
              </w:rPr>
              <w:t>pension and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available-</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translation</w:t>
            </w:r>
          </w:p>
        </w:tc>
        <w:tc>
          <w:tcPr>
            <w:tcW w:w="160" w:type="dxa"/>
            <w:vAlign w:val="bottom"/>
          </w:tcPr>
          <w:p>
            <w:pPr>
              <w:spacing w:after="0"/>
              <w:rPr>
                <w:sz w:val="18"/>
                <w:szCs w:val="18"/>
                <w:color w:val="auto"/>
              </w:rPr>
            </w:pPr>
          </w:p>
        </w:tc>
        <w:tc>
          <w:tcPr>
            <w:tcW w:w="13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w w:val="96"/>
              </w:rPr>
              <w:t>Cash flow</w:t>
            </w:r>
          </w:p>
        </w:tc>
        <w:tc>
          <w:tcPr>
            <w:tcW w:w="1380" w:type="dxa"/>
            <w:vAlign w:val="bottom"/>
            <w:gridSpan w:val="3"/>
          </w:tcPr>
          <w:p>
            <w:pPr>
              <w:ind w:left="20"/>
              <w:spacing w:after="0"/>
              <w:rPr>
                <w:sz w:val="20"/>
                <w:szCs w:val="20"/>
                <w:color w:val="auto"/>
              </w:rPr>
            </w:pPr>
            <w:r>
              <w:rPr>
                <w:rFonts w:ascii="Arial" w:cs="Arial" w:eastAsia="Arial" w:hAnsi="Arial"/>
                <w:sz w:val="18"/>
                <w:szCs w:val="18"/>
                <w:b w:val="1"/>
                <w:bCs w:val="1"/>
                <w:color w:val="auto"/>
              </w:rPr>
              <w:t>postretirement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for-sale</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120" w:type="dxa"/>
            <w:vAlign w:val="bottom"/>
            <w:gridSpan w:val="3"/>
          </w:tcPr>
          <w:p>
            <w:pPr>
              <w:spacing w:after="0"/>
              <w:rPr>
                <w:sz w:val="20"/>
                <w:szCs w:val="20"/>
                <w:color w:val="auto"/>
              </w:rPr>
            </w:pPr>
            <w:r>
              <w:rPr>
                <w:rFonts w:ascii="Arial" w:cs="Arial" w:eastAsia="Arial" w:hAnsi="Arial"/>
                <w:sz w:val="18"/>
                <w:szCs w:val="18"/>
                <w:b w:val="1"/>
                <w:bCs w:val="1"/>
                <w:color w:val="auto"/>
              </w:rPr>
              <w:t>(in millions)</w:t>
            </w:r>
          </w:p>
        </w:tc>
        <w:tc>
          <w:tcPr>
            <w:tcW w:w="140" w:type="dxa"/>
            <w:vAlign w:val="bottom"/>
          </w:tcPr>
          <w:p>
            <w:pPr>
              <w:spacing w:after="0"/>
              <w:rPr>
                <w:sz w:val="20"/>
                <w:szCs w:val="20"/>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0"/>
              </w:rPr>
              <w:t>adjustments</w:t>
            </w:r>
          </w:p>
        </w:tc>
        <w:tc>
          <w:tcPr>
            <w:tcW w:w="160" w:type="dxa"/>
            <w:vAlign w:val="bottom"/>
          </w:tcPr>
          <w:p>
            <w:pPr>
              <w:spacing w:after="0"/>
              <w:rPr>
                <w:sz w:val="20"/>
                <w:szCs w:val="20"/>
                <w:color w:val="auto"/>
              </w:rPr>
            </w:pPr>
          </w:p>
        </w:tc>
        <w:tc>
          <w:tcPr>
            <w:tcW w:w="136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hedges</w:t>
            </w:r>
          </w:p>
        </w:tc>
        <w:tc>
          <w:tcPr>
            <w:tcW w:w="100" w:type="dxa"/>
            <w:vAlign w:val="bottom"/>
          </w:tcPr>
          <w:p>
            <w:pPr>
              <w:spacing w:after="0"/>
              <w:rPr>
                <w:sz w:val="20"/>
                <w:szCs w:val="20"/>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benefits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security</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3"/>
          </w:tcPr>
          <w:p>
            <w:pPr>
              <w:jc w:val="right"/>
              <w:ind w:right="5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8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Balance as of February 2, 2013</w:t>
            </w:r>
          </w:p>
        </w:tc>
        <w:tc>
          <w:tcPr>
            <w:tcW w:w="120" w:type="dxa"/>
            <w:vAlign w:val="bottom"/>
            <w:tcBorders>
              <w:top w:val="single" w:sz="8" w:color="CCFFCC"/>
            </w:tcBorders>
            <w:shd w:val="clear" w:color="auto" w:fill="CCFFCC"/>
          </w:tcPr>
          <w:p>
            <w:pPr>
              <w:spacing w:after="0"/>
              <w:rPr>
                <w:sz w:val="19"/>
                <w:szCs w:val="19"/>
                <w:color w:val="auto"/>
              </w:rPr>
            </w:pPr>
          </w:p>
        </w:tc>
        <w:tc>
          <w:tcPr>
            <w:tcW w:w="1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82</w:t>
            </w:r>
          </w:p>
        </w:tc>
        <w:tc>
          <w:tcPr>
            <w:tcW w:w="240" w:type="dxa"/>
            <w:vAlign w:val="bottom"/>
            <w:tcBorders>
              <w:top w:val="single" w:sz="8" w:color="CCFFCC"/>
            </w:tcBorders>
            <w:shd w:val="clear" w:color="auto" w:fill="CCFFCC"/>
          </w:tcPr>
          <w:p>
            <w:pPr>
              <w:spacing w:after="0"/>
              <w:rPr>
                <w:sz w:val="19"/>
                <w:szCs w:val="19"/>
                <w:color w:val="auto"/>
              </w:rPr>
            </w:pPr>
          </w:p>
        </w:tc>
        <w:tc>
          <w:tcPr>
            <w:tcW w:w="160" w:type="dxa"/>
            <w:vAlign w:val="bottom"/>
            <w:tcBorders>
              <w:top w:val="single" w:sz="8" w:color="auto"/>
              <w:bottom w:val="single" w:sz="8" w:color="auto"/>
            </w:tcBorders>
            <w:shd w:val="clear" w:color="auto" w:fill="CCFFCC"/>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w:t>
            </w:r>
          </w:p>
        </w:tc>
        <w:tc>
          <w:tcPr>
            <w:tcW w:w="260" w:type="dxa"/>
            <w:vAlign w:val="bottom"/>
            <w:tcBorders>
              <w:top w:val="single" w:sz="8" w:color="CCFFCC"/>
            </w:tcBorders>
            <w:shd w:val="clear" w:color="auto" w:fill="CCFFCC"/>
          </w:tcPr>
          <w:p>
            <w:pPr>
              <w:spacing w:after="0"/>
              <w:rPr>
                <w:sz w:val="19"/>
                <w:szCs w:val="19"/>
                <w:color w:val="auto"/>
              </w:rPr>
            </w:pPr>
          </w:p>
        </w:tc>
        <w:tc>
          <w:tcPr>
            <w:tcW w:w="100" w:type="dxa"/>
            <w:vAlign w:val="bottom"/>
            <w:tcBorders>
              <w:top w:val="single" w:sz="8" w:color="auto"/>
              <w:bottom w:val="single" w:sz="8" w:color="auto"/>
            </w:tcBorders>
            <w:shd w:val="clear" w:color="auto" w:fill="CCFFCC"/>
          </w:tcPr>
          <w:p>
            <w:pPr>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(255</w:t>
            </w:r>
          </w:p>
        </w:tc>
        <w:tc>
          <w:tcPr>
            <w:tcW w:w="140" w:type="dxa"/>
            <w:vAlign w:val="bottom"/>
            <w:tcBorders>
              <w:top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FFCC"/>
            </w:tcBorders>
            <w:shd w:val="clear" w:color="auto" w:fill="CCFFCC"/>
          </w:tcPr>
          <w:p>
            <w:pPr>
              <w:spacing w:after="0"/>
              <w:rPr>
                <w:sz w:val="19"/>
                <w:szCs w:val="19"/>
                <w:color w:val="auto"/>
              </w:rPr>
            </w:pPr>
          </w:p>
        </w:tc>
        <w:tc>
          <w:tcPr>
            <w:tcW w:w="1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w:t>
            </w:r>
          </w:p>
        </w:tc>
        <w:tc>
          <w:tcPr>
            <w:tcW w:w="200" w:type="dxa"/>
            <w:vAlign w:val="bottom"/>
            <w:tcBorders>
              <w:top w:val="single" w:sz="8" w:color="CCFFCC"/>
            </w:tcBorders>
            <w:shd w:val="clear" w:color="auto" w:fill="CCFFCC"/>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FFCC"/>
            </w:tcBorders>
            <w:shd w:val="clear" w:color="auto" w:fill="CCFFCC"/>
          </w:tcPr>
          <w:p>
            <w:pPr>
              <w:spacing w:after="0"/>
              <w:rPr>
                <w:sz w:val="19"/>
                <w:szCs w:val="19"/>
                <w:color w:val="auto"/>
              </w:rPr>
            </w:pPr>
          </w:p>
        </w:tc>
        <w:tc>
          <w:tcPr>
            <w:tcW w:w="240" w:type="dxa"/>
            <w:vAlign w:val="bottom"/>
            <w:tcBorders>
              <w:top w:val="single" w:sz="8" w:color="auto"/>
              <w:bottom w:val="single" w:sz="8" w:color="auto"/>
            </w:tcBorders>
            <w:shd w:val="clear" w:color="auto" w:fill="CCFFCC"/>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Borders>
              <w:top w:val="single" w:sz="8" w:color="CCFFCC"/>
            </w:tcBorders>
            <w:gridSpan w:val="2"/>
            <w:shd w:val="clear" w:color="auto" w:fill="CCFFCC"/>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100" w:type="dxa"/>
            <w:vAlign w:val="bottom"/>
            <w:gridSpan w:val="2"/>
          </w:tcPr>
          <w:p>
            <w:pPr>
              <w:spacing w:after="0" w:line="182" w:lineRule="exact"/>
              <w:rPr>
                <w:sz w:val="20"/>
                <w:szCs w:val="20"/>
                <w:color w:val="auto"/>
              </w:rPr>
            </w:pPr>
            <w:r>
              <w:rPr>
                <w:rFonts w:ascii="Arial" w:cs="Arial" w:eastAsia="Arial" w:hAnsi="Arial"/>
                <w:sz w:val="18"/>
                <w:szCs w:val="18"/>
                <w:color w:val="auto"/>
              </w:rPr>
              <w:t>Other comprehensive income (loss) before</w:t>
            </w: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120" w:type="dxa"/>
            <w:vAlign w:val="bottom"/>
            <w:gridSpan w:val="3"/>
          </w:tcPr>
          <w:p>
            <w:pPr>
              <w:spacing w:after="0"/>
              <w:rPr>
                <w:sz w:val="20"/>
                <w:szCs w:val="20"/>
                <w:color w:val="auto"/>
              </w:rPr>
            </w:pPr>
            <w:r>
              <w:rPr>
                <w:rFonts w:ascii="Arial" w:cs="Arial" w:eastAsia="Arial" w:hAnsi="Arial"/>
                <w:sz w:val="18"/>
                <w:szCs w:val="18"/>
                <w:color w:val="auto"/>
              </w:rPr>
              <w:t>reclassification</w:t>
            </w:r>
          </w:p>
        </w:tc>
        <w:tc>
          <w:tcPr>
            <w:tcW w:w="140" w:type="dxa"/>
            <w:vAlign w:val="bottom"/>
          </w:tcPr>
          <w:p>
            <w:pPr>
              <w:spacing w:after="0"/>
              <w:rPr>
                <w:sz w:val="20"/>
                <w:szCs w:val="20"/>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c>
          <w:tcPr>
            <w:tcW w:w="160" w:type="dxa"/>
            <w:vAlign w:val="bottom"/>
          </w:tcPr>
          <w:p>
            <w:pPr>
              <w:spacing w:after="0"/>
              <w:rPr>
                <w:sz w:val="20"/>
                <w:szCs w:val="20"/>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00" w:type="dxa"/>
            <w:vAlign w:val="bottom"/>
            <w:gridSpan w:val="2"/>
            <w:shd w:val="clear" w:color="auto" w:fill="CCFFCC"/>
          </w:tcPr>
          <w:p>
            <w:pPr>
              <w:spacing w:after="0" w:line="201" w:lineRule="exact"/>
              <w:rPr>
                <w:sz w:val="20"/>
                <w:szCs w:val="20"/>
                <w:color w:val="auto"/>
              </w:rPr>
            </w:pPr>
            <w:r>
              <w:rPr>
                <w:rFonts w:ascii="Arial" w:cs="Arial" w:eastAsia="Arial" w:hAnsi="Arial"/>
                <w:sz w:val="18"/>
                <w:szCs w:val="18"/>
                <w:color w:val="auto"/>
              </w:rPr>
              <w:t>Amounts reclassified from accumulated other</w:t>
            </w:r>
          </w:p>
        </w:tc>
        <w:tc>
          <w:tcPr>
            <w:tcW w:w="140" w:type="dxa"/>
            <w:vAlign w:val="bottom"/>
            <w:shd w:val="clear" w:color="auto" w:fill="CCFFCC"/>
          </w:tcPr>
          <w:p>
            <w:pPr>
              <w:spacing w:after="0"/>
              <w:rPr>
                <w:sz w:val="17"/>
                <w:szCs w:val="17"/>
                <w:color w:val="auto"/>
              </w:rPr>
            </w:pPr>
          </w:p>
        </w:tc>
        <w:tc>
          <w:tcPr>
            <w:tcW w:w="114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10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14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12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2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1000" w:type="dxa"/>
            <w:vAlign w:val="bottom"/>
            <w:shd w:val="clear" w:color="auto" w:fill="CCFFCC"/>
          </w:tcPr>
          <w:p>
            <w:pPr>
              <w:spacing w:after="0"/>
              <w:rPr>
                <w:sz w:val="17"/>
                <w:szCs w:val="17"/>
                <w:color w:val="auto"/>
              </w:rPr>
            </w:pPr>
          </w:p>
        </w:tc>
        <w:tc>
          <w:tcPr>
            <w:tcW w:w="2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1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comprehensive income</w:t>
            </w:r>
          </w:p>
        </w:tc>
        <w:tc>
          <w:tcPr>
            <w:tcW w:w="140" w:type="dxa"/>
            <w:vAlign w:val="bottom"/>
            <w:shd w:val="clear" w:color="auto" w:fill="CCFFCC"/>
          </w:tcPr>
          <w:p>
            <w:pPr>
              <w:spacing w:after="0"/>
              <w:rPr>
                <w:sz w:val="21"/>
                <w:szCs w:val="21"/>
                <w:color w:val="auto"/>
              </w:rPr>
            </w:pPr>
          </w:p>
        </w:tc>
        <w:tc>
          <w:tcPr>
            <w:tcW w:w="13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21"/>
                <w:szCs w:val="21"/>
                <w:color w:val="auto"/>
              </w:rPr>
            </w:pPr>
          </w:p>
        </w:tc>
        <w:tc>
          <w:tcPr>
            <w:tcW w:w="136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21"/>
                <w:szCs w:val="21"/>
                <w:color w:val="auto"/>
              </w:rPr>
            </w:pPr>
          </w:p>
        </w:tc>
        <w:tc>
          <w:tcPr>
            <w:tcW w:w="12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3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FFCC"/>
          </w:tcPr>
          <w:p>
            <w:pPr>
              <w:spacing w:after="0"/>
              <w:rPr>
                <w:sz w:val="21"/>
                <w:szCs w:val="21"/>
                <w:color w:val="auto"/>
              </w:rPr>
            </w:pPr>
          </w:p>
        </w:tc>
        <w:tc>
          <w:tcPr>
            <w:tcW w:w="240" w:type="dxa"/>
            <w:vAlign w:val="bottom"/>
            <w:shd w:val="clear" w:color="auto" w:fill="CCFFCC"/>
          </w:tcPr>
          <w:p>
            <w:pPr>
              <w:spacing w:after="0"/>
              <w:rPr>
                <w:sz w:val="21"/>
                <w:szCs w:val="21"/>
                <w:color w:val="auto"/>
              </w:rPr>
            </w:pP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Borders>
              <w:bottom w:val="single" w:sz="8" w:color="CCFFCC"/>
            </w:tcBorders>
            <w:gridSpan w:val="2"/>
          </w:tcPr>
          <w:p>
            <w:pPr>
              <w:spacing w:after="0"/>
              <w:rPr>
                <w:sz w:val="20"/>
                <w:szCs w:val="20"/>
                <w:color w:val="auto"/>
              </w:rPr>
            </w:pPr>
            <w:r>
              <w:rPr>
                <w:rFonts w:ascii="Arial" w:cs="Arial" w:eastAsia="Arial" w:hAnsi="Arial"/>
                <w:sz w:val="18"/>
                <w:szCs w:val="18"/>
                <w:color w:val="auto"/>
              </w:rPr>
              <w:t>Other comprehensive income (loss)</w:t>
            </w:r>
          </w:p>
        </w:tc>
        <w:tc>
          <w:tcPr>
            <w:tcW w:w="1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240" w:type="dxa"/>
            <w:vAlign w:val="bottom"/>
            <w:tcBorders>
              <w:bottom w:val="single" w:sz="8" w:color="CCFFCC"/>
            </w:tcBorders>
          </w:tcPr>
          <w:p>
            <w:pPr>
              <w:jc w:val="right"/>
              <w:ind w:right="100"/>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FFCC"/>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40" w:type="dxa"/>
            <w:vAlign w:val="bottom"/>
            <w:tcBorders>
              <w:bottom w:val="single" w:sz="8" w:color="CCFFCC"/>
            </w:tcBorders>
          </w:tcPr>
          <w:p>
            <w:pPr>
              <w:spacing w:after="0"/>
              <w:rPr>
                <w:sz w:val="18"/>
                <w:szCs w:val="18"/>
                <w:color w:val="auto"/>
              </w:rPr>
            </w:pPr>
          </w:p>
        </w:tc>
        <w:tc>
          <w:tcPr>
            <w:tcW w:w="80" w:type="dxa"/>
            <w:vAlign w:val="bottom"/>
            <w:tcBorders>
              <w:bottom w:val="single" w:sz="8" w:color="CCFFC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FFCC"/>
            </w:tcBorders>
          </w:tcPr>
          <w:p>
            <w:pPr>
              <w:spacing w:after="0"/>
              <w:rPr>
                <w:sz w:val="18"/>
                <w:szCs w:val="18"/>
                <w:color w:val="auto"/>
              </w:rPr>
            </w:pPr>
          </w:p>
        </w:tc>
        <w:tc>
          <w:tcPr>
            <w:tcW w:w="20" w:type="dxa"/>
            <w:vAlign w:val="bottom"/>
            <w:tcBorders>
              <w:bottom w:val="single" w:sz="8" w:color="CCFFC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FFCC"/>
            </w:tcBorders>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Balance as of August 3, 2013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55</w:t>
            </w:r>
          </w:p>
        </w:tc>
        <w:tc>
          <w:tcPr>
            <w:tcW w:w="240" w:type="dxa"/>
            <w:vAlign w:val="bottom"/>
          </w:tcPr>
          <w:p>
            <w:pPr>
              <w:spacing w:after="0"/>
              <w:rPr>
                <w:sz w:val="21"/>
                <w:szCs w:val="21"/>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(249)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260" w:type="dxa"/>
            <w:vAlign w:val="bottom"/>
            <w:gridSpan w:val="2"/>
          </w:tcPr>
          <w:p>
            <w:pPr>
              <w:jc w:val="right"/>
              <w:ind w:right="85"/>
              <w:spacing w:after="0"/>
              <w:rPr>
                <w:sz w:val="20"/>
                <w:szCs w:val="20"/>
                <w:color w:val="auto"/>
              </w:rPr>
            </w:pPr>
            <w:r>
              <w:rPr>
                <w:rFonts w:ascii="Arial" w:cs="Arial" w:eastAsia="Arial" w:hAnsi="Arial"/>
                <w:sz w:val="18"/>
                <w:szCs w:val="18"/>
                <w:color w:val="auto"/>
                <w:w w:val="79"/>
              </w:rPr>
              <w:t>$</w:t>
            </w: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Reclassifications from accumulated other comprehensive loss for the twenty-six week period ended August 3, 2013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00" w:type="dxa"/>
            <w:vAlign w:val="bottom"/>
          </w:tcPr>
          <w:p>
            <w:pPr>
              <w:spacing w:after="0"/>
              <w:rPr>
                <w:sz w:val="20"/>
                <w:szCs w:val="20"/>
                <w:color w:val="auto"/>
              </w:rPr>
            </w:pPr>
            <w:r>
              <w:rPr>
                <w:rFonts w:ascii="Arial" w:cs="Arial" w:eastAsia="Arial" w:hAnsi="Arial"/>
                <w:sz w:val="18"/>
                <w:szCs w:val="18"/>
                <w:b w:val="1"/>
                <w:bCs w:val="1"/>
                <w:color w:val="auto"/>
              </w:rPr>
              <w:t>(in millions)</w:t>
            </w:r>
          </w:p>
        </w:tc>
        <w:tc>
          <w:tcPr>
            <w:tcW w:w="55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FFCC"/>
          </w:tcPr>
          <w:p>
            <w:pPr>
              <w:spacing w:after="0"/>
              <w:rPr>
                <w:sz w:val="20"/>
                <w:szCs w:val="20"/>
                <w:color w:val="auto"/>
              </w:rPr>
            </w:pPr>
            <w:r>
              <w:rPr>
                <w:rFonts w:ascii="Arial" w:cs="Arial" w:eastAsia="Arial" w:hAnsi="Arial"/>
                <w:sz w:val="18"/>
                <w:szCs w:val="18"/>
                <w:color w:val="auto"/>
              </w:rPr>
              <w:t>Amortization of actuarial (gain) loss:</w:t>
            </w:r>
          </w:p>
        </w:tc>
        <w:tc>
          <w:tcPr>
            <w:tcW w:w="5560" w:type="dxa"/>
            <w:vAlign w:val="bottom"/>
            <w:shd w:val="clear" w:color="auto" w:fill="CCFFCC"/>
          </w:tcPr>
          <w:p>
            <w:pPr>
              <w:spacing w:after="0"/>
              <w:rPr>
                <w:sz w:val="18"/>
                <w:szCs w:val="18"/>
                <w:color w:val="auto"/>
              </w:rPr>
            </w:pPr>
          </w:p>
        </w:tc>
        <w:tc>
          <w:tcPr>
            <w:tcW w:w="600" w:type="dxa"/>
            <w:vAlign w:val="bottom"/>
            <w:shd w:val="clear" w:color="auto" w:fill="CCFFCC"/>
          </w:tcPr>
          <w:p>
            <w:pPr>
              <w:spacing w:after="0"/>
              <w:rPr>
                <w:sz w:val="18"/>
                <w:szCs w:val="18"/>
                <w:color w:val="auto"/>
              </w:rPr>
            </w:pPr>
          </w:p>
        </w:tc>
        <w:tc>
          <w:tcPr>
            <w:tcW w:w="6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ind w:left="180"/>
              <w:spacing w:after="0"/>
              <w:rPr>
                <w:sz w:val="20"/>
                <w:szCs w:val="20"/>
                <w:color w:val="auto"/>
              </w:rPr>
            </w:pPr>
            <w:r>
              <w:rPr>
                <w:rFonts w:ascii="Arial" w:cs="Arial" w:eastAsia="Arial" w:hAnsi="Arial"/>
                <w:sz w:val="18"/>
                <w:szCs w:val="18"/>
                <w:color w:val="auto"/>
              </w:rPr>
              <w:t>Pension amortization of actuarial loss</w:t>
            </w:r>
          </w:p>
        </w:tc>
        <w:tc>
          <w:tcPr>
            <w:tcW w:w="6160" w:type="dxa"/>
            <w:vAlign w:val="bottom"/>
            <w:gridSpan w:val="2"/>
          </w:tcPr>
          <w:p>
            <w:pPr>
              <w:jc w:val="right"/>
              <w:ind w:right="41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4500" w:type="dxa"/>
            <w:vAlign w:val="bottom"/>
            <w:shd w:val="clear" w:color="auto" w:fill="CCFFCC"/>
          </w:tcPr>
          <w:p>
            <w:pPr>
              <w:ind w:left="180"/>
              <w:spacing w:after="0"/>
              <w:rPr>
                <w:sz w:val="20"/>
                <w:szCs w:val="20"/>
                <w:color w:val="auto"/>
              </w:rPr>
            </w:pPr>
            <w:r>
              <w:rPr>
                <w:rFonts w:ascii="Arial" w:cs="Arial" w:eastAsia="Arial" w:hAnsi="Arial"/>
                <w:sz w:val="18"/>
                <w:szCs w:val="18"/>
                <w:color w:val="auto"/>
              </w:rPr>
              <w:t>Postretirement amortization of actuarial gain</w:t>
            </w:r>
          </w:p>
        </w:tc>
        <w:tc>
          <w:tcPr>
            <w:tcW w:w="5560" w:type="dxa"/>
            <w:vAlign w:val="bottom"/>
            <w:shd w:val="clear" w:color="auto" w:fill="CCFFCC"/>
          </w:tcPr>
          <w:p>
            <w:pPr>
              <w:spacing w:after="0"/>
              <w:rPr>
                <w:sz w:val="19"/>
                <w:szCs w:val="19"/>
                <w:color w:val="auto"/>
              </w:rPr>
            </w:pPr>
          </w:p>
        </w:tc>
        <w:tc>
          <w:tcPr>
            <w:tcW w:w="600" w:type="dxa"/>
            <w:vAlign w:val="bottom"/>
            <w:shd w:val="clear" w:color="auto" w:fill="CCFFCC"/>
          </w:tcPr>
          <w:p>
            <w:pPr>
              <w:spacing w:after="0"/>
              <w:rPr>
                <w:sz w:val="19"/>
                <w:szCs w:val="19"/>
                <w:color w:val="auto"/>
              </w:rPr>
            </w:pPr>
          </w:p>
        </w:tc>
        <w:tc>
          <w:tcPr>
            <w:tcW w:w="7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4500" w:type="dxa"/>
            <w:vAlign w:val="bottom"/>
          </w:tcPr>
          <w:p>
            <w:pPr>
              <w:spacing w:after="0"/>
              <w:rPr>
                <w:sz w:val="20"/>
                <w:szCs w:val="20"/>
                <w:color w:val="auto"/>
              </w:rPr>
            </w:pPr>
            <w:r>
              <w:rPr>
                <w:rFonts w:ascii="Arial" w:cs="Arial" w:eastAsia="Arial" w:hAnsi="Arial"/>
                <w:sz w:val="18"/>
                <w:szCs w:val="18"/>
                <w:color w:val="auto"/>
              </w:rPr>
              <w:t>Net periodic benefit cost (see Note 9)</w:t>
            </w:r>
          </w:p>
        </w:tc>
        <w:tc>
          <w:tcPr>
            <w:tcW w:w="556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00" w:type="dxa"/>
            <w:vAlign w:val="bottom"/>
            <w:shd w:val="clear" w:color="auto" w:fill="CCFFCC"/>
          </w:tcPr>
          <w:p>
            <w:pPr>
              <w:spacing w:after="0"/>
              <w:rPr>
                <w:sz w:val="20"/>
                <w:szCs w:val="20"/>
                <w:color w:val="auto"/>
              </w:rPr>
            </w:pPr>
            <w:r>
              <w:rPr>
                <w:rFonts w:ascii="Arial" w:cs="Arial" w:eastAsia="Arial" w:hAnsi="Arial"/>
                <w:sz w:val="18"/>
                <w:szCs w:val="18"/>
                <w:color w:val="auto"/>
              </w:rPr>
              <w:t>Income tax expense</w:t>
            </w:r>
          </w:p>
        </w:tc>
        <w:tc>
          <w:tcPr>
            <w:tcW w:w="5560" w:type="dxa"/>
            <w:vAlign w:val="bottom"/>
            <w:shd w:val="clear" w:color="auto" w:fill="CCFFCC"/>
          </w:tcPr>
          <w:p>
            <w:pPr>
              <w:spacing w:after="0"/>
              <w:rPr>
                <w:sz w:val="19"/>
                <w:szCs w:val="19"/>
                <w:color w:val="auto"/>
              </w:rPr>
            </w:pPr>
          </w:p>
        </w:tc>
        <w:tc>
          <w:tcPr>
            <w:tcW w:w="600" w:type="dxa"/>
            <w:vAlign w:val="bottom"/>
            <w:shd w:val="clear" w:color="auto" w:fill="CCFFCC"/>
          </w:tcPr>
          <w:p>
            <w:pPr>
              <w:spacing w:after="0"/>
              <w:rPr>
                <w:sz w:val="19"/>
                <w:szCs w:val="19"/>
                <w:color w:val="auto"/>
              </w:rPr>
            </w:pPr>
          </w:p>
        </w:tc>
        <w:tc>
          <w:tcPr>
            <w:tcW w:w="7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4500" w:type="dxa"/>
            <w:vAlign w:val="bottom"/>
          </w:tcPr>
          <w:p>
            <w:pPr>
              <w:spacing w:after="0"/>
              <w:rPr>
                <w:sz w:val="20"/>
                <w:szCs w:val="20"/>
                <w:color w:val="auto"/>
              </w:rPr>
            </w:pPr>
            <w:r>
              <w:rPr>
                <w:rFonts w:ascii="Arial" w:cs="Arial" w:eastAsia="Arial" w:hAnsi="Arial"/>
                <w:sz w:val="18"/>
                <w:szCs w:val="18"/>
                <w:color w:val="auto"/>
              </w:rPr>
              <w:t>Net of tax</w:t>
            </w:r>
          </w:p>
        </w:tc>
        <w:tc>
          <w:tcPr>
            <w:tcW w:w="556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5560" w:type="dxa"/>
            <w:vAlign w:val="bottom"/>
            <w:vMerge w:val="restart"/>
          </w:tcPr>
          <w:p>
            <w:pPr>
              <w:jc w:val="right"/>
              <w:ind w:right="4170"/>
              <w:spacing w:after="0"/>
              <w:rPr>
                <w:sz w:val="20"/>
                <w:szCs w:val="20"/>
                <w:color w:val="auto"/>
              </w:rPr>
            </w:pPr>
            <w:r>
              <w:rPr>
                <w:rFonts w:ascii="Arial" w:cs="Arial" w:eastAsia="Arial" w:hAnsi="Arial"/>
                <w:sz w:val="18"/>
                <w:szCs w:val="18"/>
                <w:color w:val="auto"/>
              </w:rPr>
              <w:t>11</w:t>
            </w:r>
          </w:p>
        </w:tc>
        <w:tc>
          <w:tcPr>
            <w:tcW w:w="6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500" w:type="dxa"/>
            <w:vAlign w:val="bottom"/>
            <w:tcBorders>
              <w:bottom w:val="single" w:sz="8" w:color="auto"/>
            </w:tcBorders>
          </w:tcPr>
          <w:p>
            <w:pPr>
              <w:spacing w:after="0"/>
              <w:rPr>
                <w:sz w:val="24"/>
                <w:szCs w:val="24"/>
                <w:color w:val="auto"/>
              </w:rPr>
            </w:pPr>
          </w:p>
        </w:tc>
        <w:tc>
          <w:tcPr>
            <w:tcW w:w="5560" w:type="dxa"/>
            <w:vAlign w:val="bottom"/>
            <w:tcBorders>
              <w:bottom w:val="single" w:sz="8" w:color="auto"/>
            </w:tcBorders>
            <w:vMerge w:val="continue"/>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5" w:lineRule="exact"/>
        <w:rPr>
          <w:sz w:val="20"/>
          <w:szCs w:val="20"/>
          <w:color w:val="auto"/>
        </w:rPr>
      </w:pPr>
    </w:p>
    <w:p>
      <w:pPr>
        <w:ind w:left="180" w:hanging="172"/>
        <w:spacing w:after="0"/>
        <w:tabs>
          <w:tab w:leader="none" w:pos="18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Financial Instruments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operates internationally and utilizes certain derivative financial instruments to mitigate its foreign currency exposures, primarily related to third-party and intercompany forecasted transactions. As a result of the use of derivative instruments, the Company is exposed to the risk that counterparties will fail to meet their contractual obligations. To mitigate this counterparty credit risk, the Company has a policy of entering into contracts only with major financial institutions, selected based upon their credit ratings and other financial factors. The Company monitors the creditworthiness of counterparties throughout the duration of the derivative instrument.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Additional information is contained within Note 7, </w:t>
      </w:r>
      <w:r>
        <w:rPr>
          <w:rFonts w:ascii="Arial" w:cs="Arial" w:eastAsia="Arial" w:hAnsi="Arial"/>
          <w:sz w:val="18"/>
          <w:szCs w:val="18"/>
          <w:i w:val="1"/>
          <w:iCs w:val="1"/>
          <w:color w:val="auto"/>
        </w:rPr>
        <w:t>Fair Value Measurements</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Holdings Designated as Hedges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For a derivative to qualify as a hedge at inception and throughout the hedged period, the Company formally documents the nature of the hedged items and the relationships between the hedging instruments and the hedged items, as well as its risk-management objectives, strategies for undertaking the various hedge transactions, and the methods of assessing hedge effectiveness and hedge ineffectiveness. In addition, for hedges of forecasted transactions, the significant characteristics and expected terms of a forecasted transaction must be specifically identified, and it must be probable that each forecasted transaction would occur. If it were deemed probable that the forecasted transaction would not occur, the gain or loss on the derivative instrument would be recognized in earnings immediately. No such gains or losses were recognized in earnings for any of the periods presented. Derivative financial instruments qualifying for hedge accounting must maintain a specified level of effectiveness between the hedging instrument and the item being hedged, both at inception and throughout the hedged period, which management evaluates periodically.</w:t>
      </w:r>
    </w:p>
    <w:p>
      <w:pPr>
        <w:spacing w:after="0" w:line="17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primary currencies to which the Company is exposed are the euro, British pound, Canadian dollar, and Australian dollar. For option and foreign exchange forward contracts designated as cash flow hedges of the purchase of inventory, the effective portion of gains and losses is deferred as a component of Accumulated Other Comprehensive Loss (“AOCL”) and is recognized as a component of cost of sales when the related inventory is sold. The amount reclassified to cost of sales related to such contracts was not significant for any of the periods presented. The effective portion of gains or losses associated with other forward contracts is deferred as a component of AOCL until the underlying transaction is reported in earnings. The ineffective portion of gains and losses related to cash flow hedges recorded to earnings was also not significant for any of the periods presented. When using a forward contract as a hedging instrument, the Company excludes the time value of the contract from the assessment of effectiveness. At each quarter-end, the Company had not hedged forecasted transactions for more than the next twelve months, and the Company expects all derivative-related amounts reported in AOCL to be reclassified to earnings within twelve months. The net change in the fair value of foreign exchange derivative financial instruments designated as cash flow hedges of the purchase of inventory resulted in a loss of $1 million for the thirteen weeks ended August 3, 2013, and was not significant for the twenty-six weeks ended August 3, 2013. The net change resulted in a gain of $1 million for both the thirteen weeks and twenty-six weeks ended July 28, 2012. The notional value of the contracts outstanding at August 3, 2013 was $57 million and these contracts extend through July 2014.</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Holdings Designated as Non-Hedges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mitigates the effect of fluctuating foreign exchange rates on the reporting of foreign-currency denominated earnings by entering into currency option contracts. Changes in the fair value of these foreign currency option contracts, which are not designated as hedges, are recorded in earnings immediately within other income. The realized gains, premiums paid and changes in the fair market value were not significant for any of the periods presented. There were no options outstanding at August 3, 2013.</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5" w:lineRule="exact"/>
        <w:rPr>
          <w:sz w:val="20"/>
          <w:szCs w:val="20"/>
          <w:color w:val="auto"/>
        </w:rPr>
      </w:pPr>
    </w:p>
    <w:p>
      <w:pPr>
        <w:ind w:left="180" w:hanging="172"/>
        <w:spacing w:after="0"/>
        <w:tabs>
          <w:tab w:leader="none" w:pos="18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Financial Instruments - (continued)</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also enters into foreign exchange forward contracts to hedge foreign-currency denominated merchandise purchases and intercompany transactions that are not designated as hedges. The net change in fair value was not significant for any of the periods presented. The notional value of the contracts outstanding at August 3, 2013 was $32 million and these contracts extend through December 2013.</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Additionally, the Company enters into diesel fuel forward and option contracts to mitigate a portion of the Company’s freight expense due to the variability caused by fuel surcharges imposed by our third-party freight carriers. Changes in the fair value of these contracts are recorded in earnings immediately. The effect was not significant for any of the periods presented. The notional value of the contracts outstanding at August 3, 2013 was $1 million and these contracts extend through November 2013.</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Derivative Contracts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represents the fair value of the Company’s derivative contracts. Many of the Company’s agreements allow for a netting arrangement. The following is presented on a gross basis, by type of contract: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7"/>
              </w:rPr>
              <w:t>Balance Sheet</w:t>
            </w:r>
          </w:p>
        </w:tc>
        <w:tc>
          <w:tcPr>
            <w:tcW w:w="240" w:type="dxa"/>
            <w:vAlign w:val="bottom"/>
          </w:tcPr>
          <w:p>
            <w:pPr>
              <w:spacing w:after="0"/>
              <w:rPr>
                <w:sz w:val="19"/>
                <w:szCs w:val="19"/>
                <w:color w:val="auto"/>
              </w:rPr>
            </w:pPr>
          </w:p>
        </w:tc>
        <w:tc>
          <w:tcPr>
            <w:tcW w:w="1360" w:type="dxa"/>
            <w:vAlign w:val="bottom"/>
            <w:gridSpan w:val="2"/>
          </w:tcPr>
          <w:p>
            <w:pPr>
              <w:ind w:left="140"/>
              <w:spacing w:after="0"/>
              <w:rPr>
                <w:sz w:val="20"/>
                <w:szCs w:val="20"/>
                <w:color w:val="auto"/>
              </w:rPr>
            </w:pPr>
            <w:r>
              <w:rPr>
                <w:rFonts w:ascii="Arial" w:cs="Arial" w:eastAsia="Arial" w:hAnsi="Arial"/>
                <w:sz w:val="18"/>
                <w:szCs w:val="18"/>
                <w:b w:val="1"/>
                <w:bCs w:val="1"/>
                <w:color w:val="auto"/>
              </w:rPr>
              <w:t>August 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July 28,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ind w:left="100"/>
              <w:spacing w:after="0"/>
              <w:rPr>
                <w:sz w:val="20"/>
                <w:szCs w:val="20"/>
                <w:color w:val="auto"/>
              </w:rPr>
            </w:pPr>
            <w:r>
              <w:rPr>
                <w:rFonts w:ascii="Arial" w:cs="Arial" w:eastAsia="Arial" w:hAnsi="Arial"/>
                <w:sz w:val="18"/>
                <w:szCs w:val="18"/>
                <w:b w:val="1"/>
                <w:bCs w:val="1"/>
                <w:color w:val="auto"/>
              </w:rPr>
              <w:t>February 2,</w:t>
            </w:r>
          </w:p>
        </w:tc>
        <w:tc>
          <w:tcPr>
            <w:tcW w:w="0" w:type="dxa"/>
            <w:vAlign w:val="bottom"/>
          </w:tcPr>
          <w:p>
            <w:pPr>
              <w:spacing w:after="0"/>
              <w:rPr>
                <w:sz w:val="1"/>
                <w:szCs w:val="1"/>
                <w:color w:val="auto"/>
              </w:rPr>
            </w:pPr>
          </w:p>
        </w:tc>
      </w:tr>
      <w:tr>
        <w:trPr>
          <w:trHeight w:val="234"/>
        </w:trPr>
        <w:tc>
          <w:tcPr>
            <w:tcW w:w="4020" w:type="dxa"/>
            <w:vAlign w:val="bottom"/>
            <w:gridSpan w:val="5"/>
          </w:tcPr>
          <w:p>
            <w:pPr>
              <w:spacing w:after="0"/>
              <w:rPr>
                <w:sz w:val="20"/>
                <w:szCs w:val="20"/>
                <w:color w:val="auto"/>
              </w:rPr>
            </w:pPr>
            <w:r>
              <w:rPr>
                <w:rFonts w:ascii="Arial" w:cs="Arial" w:eastAsia="Arial" w:hAnsi="Arial"/>
                <w:sz w:val="18"/>
                <w:szCs w:val="18"/>
                <w:b w:val="1"/>
                <w:bCs w:val="1"/>
                <w:color w:val="auto"/>
              </w:rPr>
              <w:t>(in millions)</w:t>
            </w: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Caption</w:t>
            </w:r>
          </w:p>
        </w:tc>
        <w:tc>
          <w:tcPr>
            <w:tcW w:w="240" w:type="dxa"/>
            <w:vAlign w:val="bottom"/>
          </w:tcPr>
          <w:p>
            <w:pPr>
              <w:spacing w:after="0"/>
              <w:rPr>
                <w:sz w:val="20"/>
                <w:szCs w:val="20"/>
                <w:color w:val="auto"/>
              </w:rPr>
            </w:pPr>
          </w:p>
        </w:tc>
        <w:tc>
          <w:tcPr>
            <w:tcW w:w="12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tcBorders>
              <w:top w:val="single" w:sz="8" w:color="auto"/>
            </w:tcBorders>
            <w:gridSpan w:val="3"/>
            <w:shd w:val="clear" w:color="auto" w:fill="CCFFCC"/>
          </w:tcPr>
          <w:p>
            <w:pPr>
              <w:spacing w:after="0"/>
              <w:rPr>
                <w:sz w:val="20"/>
                <w:szCs w:val="20"/>
                <w:color w:val="auto"/>
              </w:rPr>
            </w:pPr>
            <w:r>
              <w:rPr>
                <w:rFonts w:ascii="Arial" w:cs="Arial" w:eastAsia="Arial" w:hAnsi="Arial"/>
                <w:sz w:val="18"/>
                <w:szCs w:val="18"/>
                <w:b w:val="1"/>
                <w:bCs w:val="1"/>
                <w:i w:val="1"/>
                <w:iCs w:val="1"/>
                <w:color w:val="auto"/>
              </w:rPr>
              <w:t>Hedging Instruments:</w:t>
            </w:r>
          </w:p>
        </w:tc>
        <w:tc>
          <w:tcPr>
            <w:tcW w:w="120" w:type="dxa"/>
            <w:vAlign w:val="bottom"/>
            <w:tcBorders>
              <w:top w:val="single" w:sz="8" w:color="CCFFCC"/>
            </w:tcBorders>
            <w:shd w:val="clear" w:color="auto" w:fill="CCFFCC"/>
          </w:tcPr>
          <w:p>
            <w:pPr>
              <w:spacing w:after="0"/>
              <w:rPr>
                <w:sz w:val="18"/>
                <w:szCs w:val="18"/>
                <w:color w:val="auto"/>
              </w:rPr>
            </w:pPr>
          </w:p>
        </w:tc>
        <w:tc>
          <w:tcPr>
            <w:tcW w:w="2300" w:type="dxa"/>
            <w:vAlign w:val="bottom"/>
            <w:tcBorders>
              <w:top w:val="single" w:sz="8" w:color="auto"/>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240" w:type="dxa"/>
            <w:vAlign w:val="bottom"/>
            <w:tcBorders>
              <w:top w:val="single" w:sz="8" w:color="auto"/>
            </w:tcBorders>
            <w:shd w:val="clear" w:color="auto" w:fill="CCFFCC"/>
          </w:tcPr>
          <w:p>
            <w:pPr>
              <w:spacing w:after="0"/>
              <w:rPr>
                <w:sz w:val="18"/>
                <w:szCs w:val="18"/>
                <w:color w:val="auto"/>
              </w:rPr>
            </w:pPr>
          </w:p>
        </w:tc>
        <w:tc>
          <w:tcPr>
            <w:tcW w:w="126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260" w:type="dxa"/>
            <w:vAlign w:val="bottom"/>
            <w:tcBorders>
              <w:top w:val="single" w:sz="8" w:color="auto"/>
            </w:tcBorders>
            <w:shd w:val="clear" w:color="auto" w:fill="CCFFCC"/>
          </w:tcPr>
          <w:p>
            <w:pPr>
              <w:spacing w:after="0"/>
              <w:rPr>
                <w:sz w:val="18"/>
                <w:szCs w:val="18"/>
                <w:color w:val="auto"/>
              </w:rPr>
            </w:pPr>
          </w:p>
        </w:tc>
        <w:tc>
          <w:tcPr>
            <w:tcW w:w="1200" w:type="dxa"/>
            <w:vAlign w:val="bottom"/>
            <w:tcBorders>
              <w:top w:val="single" w:sz="8" w:color="auto"/>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180" w:type="dxa"/>
            <w:vAlign w:val="bottom"/>
            <w:tcBorders>
              <w:top w:val="single" w:sz="8" w:color="auto"/>
            </w:tcBorders>
            <w:shd w:val="clear" w:color="auto" w:fill="CCFFCC"/>
          </w:tcPr>
          <w:p>
            <w:pPr>
              <w:spacing w:after="0"/>
              <w:rPr>
                <w:sz w:val="18"/>
                <w:szCs w:val="18"/>
                <w:color w:val="auto"/>
              </w:rPr>
            </w:pPr>
          </w:p>
        </w:tc>
        <w:tc>
          <w:tcPr>
            <w:tcW w:w="130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4"/>
          </w:tcPr>
          <w:p>
            <w:pPr>
              <w:spacing w:after="0"/>
              <w:rPr>
                <w:sz w:val="20"/>
                <w:szCs w:val="20"/>
                <w:color w:val="auto"/>
              </w:rPr>
            </w:pPr>
            <w:r>
              <w:rPr>
                <w:rFonts w:ascii="Arial" w:cs="Arial" w:eastAsia="Arial" w:hAnsi="Arial"/>
                <w:sz w:val="18"/>
                <w:szCs w:val="18"/>
                <w:color w:val="auto"/>
              </w:rPr>
              <w:t>Foreign exchange forward contracts</w:t>
            </w: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Current assets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4"/>
            <w:shd w:val="clear" w:color="auto" w:fill="CCFFCC"/>
          </w:tcPr>
          <w:p>
            <w:pPr>
              <w:spacing w:after="0"/>
              <w:rPr>
                <w:sz w:val="20"/>
                <w:szCs w:val="20"/>
                <w:color w:val="auto"/>
              </w:rPr>
            </w:pPr>
            <w:r>
              <w:rPr>
                <w:rFonts w:ascii="Arial" w:cs="Arial" w:eastAsia="Arial" w:hAnsi="Arial"/>
                <w:sz w:val="18"/>
                <w:szCs w:val="18"/>
                <w:color w:val="auto"/>
              </w:rPr>
              <w:t>Foreign exchange forward contracts</w:t>
            </w:r>
          </w:p>
        </w:tc>
        <w:tc>
          <w:tcPr>
            <w:tcW w:w="2420" w:type="dxa"/>
            <w:vAlign w:val="bottom"/>
            <w:gridSpan w:val="2"/>
            <w:shd w:val="clear" w:color="auto" w:fill="CCFFCC"/>
          </w:tcPr>
          <w:p>
            <w:pPr>
              <w:jc w:val="center"/>
              <w:ind w:right="120"/>
              <w:spacing w:after="0"/>
              <w:rPr>
                <w:sz w:val="20"/>
                <w:szCs w:val="20"/>
                <w:color w:val="auto"/>
              </w:rPr>
            </w:pPr>
            <w:r>
              <w:rPr>
                <w:rFonts w:ascii="Arial" w:cs="Arial" w:eastAsia="Arial" w:hAnsi="Arial"/>
                <w:sz w:val="18"/>
                <w:szCs w:val="18"/>
                <w:color w:val="auto"/>
                <w:w w:val="94"/>
              </w:rPr>
              <w:t>Current liabilities</w:t>
            </w:r>
          </w:p>
        </w:tc>
        <w:tc>
          <w:tcPr>
            <w:tcW w:w="240" w:type="dxa"/>
            <w:vAlign w:val="bottom"/>
            <w:shd w:val="clear" w:color="auto" w:fill="CCFFCC"/>
          </w:tcPr>
          <w:p>
            <w:pPr>
              <w:jc w:val="right"/>
              <w:ind w:right="85"/>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w:t>
            </w:r>
          </w:p>
        </w:tc>
        <w:tc>
          <w:tcPr>
            <w:tcW w:w="2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gridSpan w:val="4"/>
            <w:shd w:val="clear" w:color="auto" w:fill="CCFFCC"/>
          </w:tcPr>
          <w:p>
            <w:pPr>
              <w:spacing w:after="0"/>
              <w:rPr>
                <w:sz w:val="20"/>
                <w:szCs w:val="20"/>
                <w:color w:val="auto"/>
              </w:rPr>
            </w:pPr>
            <w:r>
              <w:rPr>
                <w:rFonts w:ascii="Arial" w:cs="Arial" w:eastAsia="Arial" w:hAnsi="Arial"/>
                <w:sz w:val="18"/>
                <w:szCs w:val="18"/>
                <w:b w:val="1"/>
                <w:bCs w:val="1"/>
                <w:i w:val="1"/>
                <w:iCs w:val="1"/>
                <w:color w:val="auto"/>
              </w:rPr>
              <w:t>Non-Hedging Instruments:</w:t>
            </w:r>
          </w:p>
        </w:tc>
        <w:tc>
          <w:tcPr>
            <w:tcW w:w="23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2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3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4"/>
          </w:tcPr>
          <w:p>
            <w:pPr>
              <w:spacing w:after="0"/>
              <w:rPr>
                <w:sz w:val="20"/>
                <w:szCs w:val="20"/>
                <w:color w:val="auto"/>
              </w:rPr>
            </w:pPr>
            <w:r>
              <w:rPr>
                <w:rFonts w:ascii="Arial" w:cs="Arial" w:eastAsia="Arial" w:hAnsi="Arial"/>
                <w:sz w:val="18"/>
                <w:szCs w:val="18"/>
                <w:color w:val="auto"/>
              </w:rPr>
              <w:t>Foreign exchange forward contracts</w:t>
            </w: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Current assets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4"/>
            <w:shd w:val="clear" w:color="auto" w:fill="CCFFCC"/>
          </w:tcPr>
          <w:p>
            <w:pPr>
              <w:spacing w:after="0"/>
              <w:rPr>
                <w:sz w:val="20"/>
                <w:szCs w:val="20"/>
                <w:color w:val="auto"/>
              </w:rPr>
            </w:pPr>
            <w:r>
              <w:rPr>
                <w:rFonts w:ascii="Arial" w:cs="Arial" w:eastAsia="Arial" w:hAnsi="Arial"/>
                <w:sz w:val="18"/>
                <w:szCs w:val="18"/>
                <w:color w:val="auto"/>
              </w:rPr>
              <w:t>Foreign exchange forward contracts</w:t>
            </w:r>
          </w:p>
        </w:tc>
        <w:tc>
          <w:tcPr>
            <w:tcW w:w="2420" w:type="dxa"/>
            <w:vAlign w:val="bottom"/>
            <w:gridSpan w:val="2"/>
            <w:shd w:val="clear" w:color="auto" w:fill="CCFFCC"/>
          </w:tcPr>
          <w:p>
            <w:pPr>
              <w:jc w:val="center"/>
              <w:ind w:right="120"/>
              <w:spacing w:after="0"/>
              <w:rPr>
                <w:sz w:val="20"/>
                <w:szCs w:val="20"/>
                <w:color w:val="auto"/>
              </w:rPr>
            </w:pPr>
            <w:r>
              <w:rPr>
                <w:rFonts w:ascii="Arial" w:cs="Arial" w:eastAsia="Arial" w:hAnsi="Arial"/>
                <w:sz w:val="18"/>
                <w:szCs w:val="18"/>
                <w:color w:val="auto"/>
                <w:w w:val="94"/>
              </w:rPr>
              <w:t>Current liabilities</w:t>
            </w:r>
          </w:p>
        </w:tc>
        <w:tc>
          <w:tcPr>
            <w:tcW w:w="240" w:type="dxa"/>
            <w:vAlign w:val="bottom"/>
            <w:shd w:val="clear" w:color="auto" w:fill="CCFFCC"/>
          </w:tcPr>
          <w:p>
            <w:pPr>
              <w:jc w:val="right"/>
              <w:ind w:right="85"/>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w:t>
            </w:r>
          </w:p>
        </w:tc>
        <w:tc>
          <w:tcPr>
            <w:tcW w:w="2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92"/>
        </w:trPr>
        <w:tc>
          <w:tcPr>
            <w:tcW w:w="4020" w:type="dxa"/>
            <w:vAlign w:val="bottom"/>
            <w:gridSpan w:val="5"/>
          </w:tcPr>
          <w:p>
            <w:pPr>
              <w:spacing w:after="0"/>
              <w:rPr>
                <w:sz w:val="20"/>
                <w:szCs w:val="20"/>
                <w:color w:val="auto"/>
              </w:rPr>
            </w:pPr>
            <w:r>
              <w:rPr>
                <w:rFonts w:ascii="Arial" w:cs="Arial" w:eastAsia="Arial" w:hAnsi="Arial"/>
                <w:sz w:val="18"/>
                <w:szCs w:val="18"/>
                <w:b w:val="1"/>
                <w:bCs w:val="1"/>
                <w:color w:val="auto"/>
              </w:rPr>
              <w:t>7. Fair Value Measurements</w:t>
            </w:r>
          </w:p>
        </w:tc>
        <w:tc>
          <w:tcPr>
            <w:tcW w:w="2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Company’s financial assets recorded at fair value are categorized as follows:</w:t>
      </w:r>
    </w:p>
    <w:p>
      <w:pPr>
        <w:spacing w:after="0" w:line="221" w:lineRule="exact"/>
        <w:rPr>
          <w:sz w:val="20"/>
          <w:szCs w:val="20"/>
          <w:color w:val="auto"/>
        </w:rPr>
      </w:pPr>
    </w:p>
    <w:p>
      <w:pPr>
        <w:ind w:left="700"/>
        <w:spacing w:after="0"/>
        <w:tabs>
          <w:tab w:leader="none" w:pos="1700" w:val="left"/>
        </w:tabs>
        <w:rPr>
          <w:sz w:val="20"/>
          <w:szCs w:val="20"/>
          <w:color w:val="auto"/>
        </w:rPr>
      </w:pPr>
      <w:r>
        <w:rPr>
          <w:rFonts w:ascii="Arial" w:cs="Arial" w:eastAsia="Arial" w:hAnsi="Arial"/>
          <w:sz w:val="18"/>
          <w:szCs w:val="18"/>
          <w:b w:val="1"/>
          <w:bCs w:val="1"/>
          <w:color w:val="auto"/>
        </w:rPr>
        <w:t>Level 1 –</w:t>
      </w:r>
      <w:r>
        <w:rPr>
          <w:sz w:val="20"/>
          <w:szCs w:val="20"/>
          <w:color w:val="auto"/>
        </w:rPr>
        <w:tab/>
      </w:r>
      <w:r>
        <w:rPr>
          <w:rFonts w:ascii="Arial" w:cs="Arial" w:eastAsia="Arial" w:hAnsi="Arial"/>
          <w:sz w:val="16"/>
          <w:szCs w:val="16"/>
          <w:color w:val="auto"/>
        </w:rPr>
        <w:t>Quoted prices for identical instruments in active markets.</w:t>
      </w:r>
    </w:p>
    <w:p>
      <w:pPr>
        <w:spacing w:after="0" w:line="225" w:lineRule="exact"/>
        <w:rPr>
          <w:sz w:val="20"/>
          <w:szCs w:val="20"/>
          <w:color w:val="auto"/>
        </w:rPr>
      </w:pPr>
    </w:p>
    <w:p>
      <w:pPr>
        <w:ind w:left="1720" w:hanging="1025"/>
        <w:spacing w:after="0" w:line="308" w:lineRule="auto"/>
        <w:tabs>
          <w:tab w:leader="none" w:pos="1700" w:val="left"/>
        </w:tabs>
        <w:rPr>
          <w:sz w:val="20"/>
          <w:szCs w:val="20"/>
          <w:color w:val="auto"/>
        </w:rPr>
      </w:pPr>
      <w:r>
        <w:rPr>
          <w:rFonts w:ascii="Arial" w:cs="Arial" w:eastAsia="Arial" w:hAnsi="Arial"/>
          <w:sz w:val="18"/>
          <w:szCs w:val="18"/>
          <w:b w:val="1"/>
          <w:bCs w:val="1"/>
          <w:color w:val="auto"/>
        </w:rPr>
        <w:t xml:space="preserve">Level 2 </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Quoted prices for similar instruments in active markets; quoted prices for identical or similar instruments in markets that are not active; and model-derived valuations in which all significant inputs or significant value-drivers are observable in active markets.</w:t>
      </w:r>
    </w:p>
    <w:p>
      <w:pPr>
        <w:spacing w:after="0" w:line="147" w:lineRule="exact"/>
        <w:rPr>
          <w:sz w:val="20"/>
          <w:szCs w:val="20"/>
          <w:color w:val="auto"/>
        </w:rPr>
      </w:pPr>
    </w:p>
    <w:p>
      <w:pPr>
        <w:ind w:left="700"/>
        <w:spacing w:after="0"/>
        <w:tabs>
          <w:tab w:leader="none" w:pos="1700" w:val="left"/>
        </w:tabs>
        <w:rPr>
          <w:sz w:val="20"/>
          <w:szCs w:val="20"/>
          <w:color w:val="auto"/>
        </w:rPr>
      </w:pPr>
      <w:r>
        <w:rPr>
          <w:rFonts w:ascii="Arial" w:cs="Arial" w:eastAsia="Arial" w:hAnsi="Arial"/>
          <w:sz w:val="18"/>
          <w:szCs w:val="18"/>
          <w:b w:val="1"/>
          <w:bCs w:val="1"/>
          <w:color w:val="auto"/>
        </w:rPr>
        <w:t>Level 3 –</w:t>
      </w:r>
      <w:r>
        <w:rPr>
          <w:sz w:val="20"/>
          <w:szCs w:val="20"/>
          <w:color w:val="auto"/>
        </w:rPr>
        <w:tab/>
      </w:r>
      <w:r>
        <w:rPr>
          <w:rFonts w:ascii="Arial" w:cs="Arial" w:eastAsia="Arial" w:hAnsi="Arial"/>
          <w:sz w:val="16"/>
          <w:szCs w:val="16"/>
          <w:color w:val="auto"/>
        </w:rPr>
        <w:t>Model-derived valuations in which one or more significant inputs or significant value-drivers are unobservable.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into or out of Level 1, Level 2, or Level 3 assets and liabilities for any of the periods presented.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5" w:lineRule="exact"/>
        <w:rPr>
          <w:sz w:val="20"/>
          <w:szCs w:val="20"/>
          <w:color w:val="auto"/>
        </w:rPr>
      </w:pPr>
    </w:p>
    <w:p>
      <w:pPr>
        <w:ind w:left="180" w:hanging="172"/>
        <w:spacing w:after="0"/>
        <w:tabs>
          <w:tab w:leader="none" w:pos="18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Fair Value Measurements –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provide a summary of the Company’s recognized assets and liabilities that are measured at fair value on a recurring basis: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3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At August 3, 2013</w:t>
            </w: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3"/>
              </w:rPr>
              <w:t>At July 28, 2012</w:t>
            </w: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8"/>
          </w:tcPr>
          <w:p>
            <w:pPr>
              <w:jc w:val="center"/>
              <w:ind w:left="468"/>
              <w:spacing w:after="0"/>
              <w:rPr>
                <w:sz w:val="20"/>
                <w:szCs w:val="20"/>
                <w:color w:val="auto"/>
              </w:rPr>
            </w:pPr>
            <w:r>
              <w:rPr>
                <w:rFonts w:ascii="Arial" w:cs="Arial" w:eastAsia="Arial" w:hAnsi="Arial"/>
                <w:sz w:val="14"/>
                <w:szCs w:val="14"/>
                <w:b w:val="1"/>
                <w:bCs w:val="1"/>
                <w:color w:val="auto"/>
                <w:w w:val="95"/>
              </w:rPr>
              <w:t>At February 2, 2013</w:t>
            </w: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30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ind w:left="40"/>
              <w:spacing w:after="0" w:line="155" w:lineRule="exact"/>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center"/>
              <w:ind w:right="380"/>
              <w:spacing w:after="0" w:line="155" w:lineRule="exact"/>
              <w:rPr>
                <w:sz w:val="20"/>
                <w:szCs w:val="20"/>
                <w:color w:val="auto"/>
              </w:rPr>
            </w:pPr>
            <w:r>
              <w:rPr>
                <w:rFonts w:ascii="Arial" w:cs="Arial" w:eastAsia="Arial" w:hAnsi="Arial"/>
                <w:sz w:val="14"/>
                <w:szCs w:val="14"/>
                <w:b w:val="1"/>
                <w:bCs w:val="1"/>
                <w:color w:val="auto"/>
                <w:w w:val="92"/>
              </w:rPr>
              <w:t>Level 2</w:t>
            </w:r>
          </w:p>
        </w:tc>
        <w:tc>
          <w:tcPr>
            <w:tcW w:w="120" w:type="dxa"/>
            <w:vAlign w:val="bottom"/>
          </w:tcPr>
          <w:p>
            <w:pPr>
              <w:spacing w:after="0"/>
              <w:rPr>
                <w:sz w:val="13"/>
                <w:szCs w:val="13"/>
                <w:color w:val="auto"/>
              </w:rPr>
            </w:pPr>
          </w:p>
        </w:tc>
        <w:tc>
          <w:tcPr>
            <w:tcW w:w="680" w:type="dxa"/>
            <w:vAlign w:val="bottom"/>
          </w:tcPr>
          <w:p>
            <w:pPr>
              <w:ind w:left="60"/>
              <w:spacing w:after="0" w:line="155" w:lineRule="exact"/>
              <w:rPr>
                <w:sz w:val="20"/>
                <w:szCs w:val="20"/>
                <w:color w:val="auto"/>
              </w:rPr>
            </w:pPr>
            <w:r>
              <w:rPr>
                <w:rFonts w:ascii="Arial" w:cs="Arial" w:eastAsia="Arial" w:hAnsi="Arial"/>
                <w:sz w:val="14"/>
                <w:szCs w:val="14"/>
                <w:b w:val="1"/>
                <w:bCs w:val="1"/>
                <w:color w:val="auto"/>
              </w:rPr>
              <w:t>Level 3</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ind w:left="40"/>
              <w:spacing w:after="0" w:line="155" w:lineRule="exact"/>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center"/>
              <w:ind w:right="260"/>
              <w:spacing w:after="0" w:line="155" w:lineRule="exact"/>
              <w:rPr>
                <w:sz w:val="20"/>
                <w:szCs w:val="20"/>
                <w:color w:val="auto"/>
              </w:rPr>
            </w:pPr>
            <w:r>
              <w:rPr>
                <w:rFonts w:ascii="Arial" w:cs="Arial" w:eastAsia="Arial" w:hAnsi="Arial"/>
                <w:sz w:val="14"/>
                <w:szCs w:val="14"/>
                <w:b w:val="1"/>
                <w:bCs w:val="1"/>
                <w:color w:val="auto"/>
                <w:w w:val="92"/>
              </w:rPr>
              <w:t>Level 2</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ind w:left="40"/>
              <w:spacing w:after="0" w:line="155"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ind w:left="40"/>
              <w:spacing w:after="0" w:line="155" w:lineRule="exact"/>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center"/>
              <w:ind w:right="240"/>
              <w:spacing w:after="0" w:line="155" w:lineRule="exact"/>
              <w:rPr>
                <w:sz w:val="20"/>
                <w:szCs w:val="20"/>
                <w:color w:val="auto"/>
              </w:rPr>
            </w:pPr>
            <w:r>
              <w:rPr>
                <w:rFonts w:ascii="Arial" w:cs="Arial" w:eastAsia="Arial" w:hAnsi="Arial"/>
                <w:sz w:val="14"/>
                <w:szCs w:val="14"/>
                <w:b w:val="1"/>
                <w:bCs w:val="1"/>
                <w:color w:val="auto"/>
                <w:w w:val="92"/>
              </w:rPr>
              <w:t>Level 2</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ind w:left="60"/>
              <w:spacing w:after="0" w:line="155"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60" w:type="dxa"/>
            <w:vAlign w:val="bottom"/>
            <w:tcBorders>
              <w:top w:val="single" w:sz="8" w:color="auto"/>
            </w:tcBorders>
            <w:shd w:val="clear" w:color="auto" w:fill="CCFFCC"/>
          </w:tcPr>
          <w:p>
            <w:pPr>
              <w:spacing w:after="0" w:line="142" w:lineRule="exact"/>
              <w:rPr>
                <w:sz w:val="20"/>
                <w:szCs w:val="20"/>
                <w:color w:val="auto"/>
              </w:rPr>
            </w:pPr>
            <w:r>
              <w:rPr>
                <w:rFonts w:ascii="Arial" w:cs="Arial" w:eastAsia="Arial" w:hAnsi="Arial"/>
                <w:sz w:val="14"/>
                <w:szCs w:val="14"/>
                <w:b w:val="1"/>
                <w:bCs w:val="1"/>
                <w:color w:val="auto"/>
              </w:rPr>
              <w:t>Assets</w:t>
            </w:r>
          </w:p>
        </w:tc>
        <w:tc>
          <w:tcPr>
            <w:tcW w:w="120" w:type="dxa"/>
            <w:vAlign w:val="bottom"/>
            <w:tcBorders>
              <w:top w:val="single" w:sz="8" w:color="CCFFCC"/>
            </w:tcBorders>
            <w:shd w:val="clear" w:color="auto" w:fill="CCFFCC"/>
          </w:tcPr>
          <w:p>
            <w:pPr>
              <w:spacing w:after="0"/>
              <w:rPr>
                <w:sz w:val="12"/>
                <w:szCs w:val="12"/>
                <w:color w:val="auto"/>
              </w:rPr>
            </w:pPr>
          </w:p>
        </w:tc>
        <w:tc>
          <w:tcPr>
            <w:tcW w:w="140" w:type="dxa"/>
            <w:vAlign w:val="bottom"/>
            <w:tcBorders>
              <w:top w:val="single" w:sz="8" w:color="auto"/>
            </w:tcBorders>
            <w:shd w:val="clear" w:color="auto" w:fill="CCFFCC"/>
          </w:tcPr>
          <w:p>
            <w:pPr>
              <w:spacing w:after="0"/>
              <w:rPr>
                <w:sz w:val="12"/>
                <w:szCs w:val="12"/>
                <w:color w:val="auto"/>
              </w:rPr>
            </w:pPr>
          </w:p>
        </w:tc>
        <w:tc>
          <w:tcPr>
            <w:tcW w:w="680" w:type="dxa"/>
            <w:vAlign w:val="bottom"/>
            <w:tcBorders>
              <w:top w:val="single" w:sz="8" w:color="auto"/>
            </w:tcBorders>
            <w:shd w:val="clear" w:color="auto" w:fill="CCFFCC"/>
          </w:tcPr>
          <w:p>
            <w:pPr>
              <w:spacing w:after="0"/>
              <w:rPr>
                <w:sz w:val="12"/>
                <w:szCs w:val="12"/>
                <w:color w:val="auto"/>
              </w:rPr>
            </w:pPr>
          </w:p>
        </w:tc>
        <w:tc>
          <w:tcPr>
            <w:tcW w:w="240" w:type="dxa"/>
            <w:vAlign w:val="bottom"/>
            <w:tcBorders>
              <w:top w:val="single" w:sz="8" w:color="CCFFCC"/>
            </w:tcBorders>
            <w:shd w:val="clear" w:color="auto" w:fill="CCFFCC"/>
          </w:tcPr>
          <w:p>
            <w:pPr>
              <w:spacing w:after="0"/>
              <w:rPr>
                <w:sz w:val="12"/>
                <w:szCs w:val="12"/>
                <w:color w:val="auto"/>
              </w:rPr>
            </w:pPr>
          </w:p>
        </w:tc>
        <w:tc>
          <w:tcPr>
            <w:tcW w:w="120" w:type="dxa"/>
            <w:vAlign w:val="bottom"/>
            <w:tcBorders>
              <w:top w:val="single" w:sz="8" w:color="auto"/>
            </w:tcBorders>
            <w:shd w:val="clear" w:color="auto" w:fill="CCFFCC"/>
          </w:tcPr>
          <w:p>
            <w:pPr>
              <w:spacing w:after="0"/>
              <w:rPr>
                <w:sz w:val="12"/>
                <w:szCs w:val="12"/>
                <w:color w:val="auto"/>
              </w:rPr>
            </w:pPr>
          </w:p>
        </w:tc>
        <w:tc>
          <w:tcPr>
            <w:tcW w:w="680" w:type="dxa"/>
            <w:vAlign w:val="bottom"/>
            <w:tcBorders>
              <w:top w:val="single" w:sz="8" w:color="auto"/>
            </w:tcBorders>
            <w:shd w:val="clear" w:color="auto" w:fill="CCFFCC"/>
          </w:tcPr>
          <w:p>
            <w:pPr>
              <w:spacing w:after="0"/>
              <w:rPr>
                <w:sz w:val="12"/>
                <w:szCs w:val="12"/>
                <w:color w:val="auto"/>
              </w:rPr>
            </w:pPr>
          </w:p>
        </w:tc>
        <w:tc>
          <w:tcPr>
            <w:tcW w:w="260" w:type="dxa"/>
            <w:vAlign w:val="bottom"/>
            <w:tcBorders>
              <w:top w:val="single" w:sz="8" w:color="CCFFCC"/>
            </w:tcBorders>
            <w:shd w:val="clear" w:color="auto" w:fill="CCFFCC"/>
          </w:tcPr>
          <w:p>
            <w:pPr>
              <w:spacing w:after="0"/>
              <w:rPr>
                <w:sz w:val="12"/>
                <w:szCs w:val="12"/>
                <w:color w:val="auto"/>
              </w:rPr>
            </w:pPr>
          </w:p>
        </w:tc>
        <w:tc>
          <w:tcPr>
            <w:tcW w:w="120" w:type="dxa"/>
            <w:vAlign w:val="bottom"/>
            <w:tcBorders>
              <w:top w:val="single" w:sz="8" w:color="auto"/>
            </w:tcBorders>
            <w:shd w:val="clear" w:color="auto" w:fill="CCFFCC"/>
          </w:tcPr>
          <w:p>
            <w:pPr>
              <w:spacing w:after="0"/>
              <w:rPr>
                <w:sz w:val="12"/>
                <w:szCs w:val="12"/>
                <w:color w:val="auto"/>
              </w:rPr>
            </w:pPr>
          </w:p>
        </w:tc>
        <w:tc>
          <w:tcPr>
            <w:tcW w:w="680" w:type="dxa"/>
            <w:vAlign w:val="bottom"/>
            <w:tcBorders>
              <w:top w:val="single" w:sz="8" w:color="auto"/>
            </w:tcBorders>
            <w:shd w:val="clear" w:color="auto" w:fill="CCFFCC"/>
          </w:tcPr>
          <w:p>
            <w:pPr>
              <w:spacing w:after="0"/>
              <w:rPr>
                <w:sz w:val="12"/>
                <w:szCs w:val="12"/>
                <w:color w:val="auto"/>
              </w:rPr>
            </w:pPr>
          </w:p>
        </w:tc>
        <w:tc>
          <w:tcPr>
            <w:tcW w:w="240" w:type="dxa"/>
            <w:vAlign w:val="bottom"/>
            <w:tcBorders>
              <w:top w:val="single" w:sz="8" w:color="CCFFCC"/>
            </w:tcBorders>
            <w:shd w:val="clear" w:color="auto" w:fill="CCFFCC"/>
          </w:tcPr>
          <w:p>
            <w:pPr>
              <w:spacing w:after="0"/>
              <w:rPr>
                <w:sz w:val="12"/>
                <w:szCs w:val="12"/>
                <w:color w:val="auto"/>
              </w:rPr>
            </w:pPr>
          </w:p>
        </w:tc>
        <w:tc>
          <w:tcPr>
            <w:tcW w:w="140" w:type="dxa"/>
            <w:vAlign w:val="bottom"/>
            <w:tcBorders>
              <w:top w:val="single" w:sz="8" w:color="auto"/>
            </w:tcBorders>
            <w:shd w:val="clear" w:color="auto" w:fill="CCFFCC"/>
          </w:tcPr>
          <w:p>
            <w:pPr>
              <w:spacing w:after="0"/>
              <w:rPr>
                <w:sz w:val="12"/>
                <w:szCs w:val="12"/>
                <w:color w:val="auto"/>
              </w:rPr>
            </w:pPr>
          </w:p>
        </w:tc>
        <w:tc>
          <w:tcPr>
            <w:tcW w:w="680" w:type="dxa"/>
            <w:vAlign w:val="bottom"/>
            <w:tcBorders>
              <w:top w:val="single" w:sz="8" w:color="auto"/>
            </w:tcBorders>
            <w:shd w:val="clear" w:color="auto" w:fill="CCFFCC"/>
          </w:tcPr>
          <w:p>
            <w:pPr>
              <w:spacing w:after="0"/>
              <w:rPr>
                <w:sz w:val="12"/>
                <w:szCs w:val="12"/>
                <w:color w:val="auto"/>
              </w:rPr>
            </w:pPr>
          </w:p>
        </w:tc>
        <w:tc>
          <w:tcPr>
            <w:tcW w:w="60" w:type="dxa"/>
            <w:vAlign w:val="bottom"/>
            <w:tcBorders>
              <w:top w:val="single" w:sz="8" w:color="CCFFCC"/>
            </w:tcBorders>
            <w:shd w:val="clear" w:color="auto" w:fill="CCFFCC"/>
          </w:tcPr>
          <w:p>
            <w:pPr>
              <w:spacing w:after="0"/>
              <w:rPr>
                <w:sz w:val="12"/>
                <w:szCs w:val="12"/>
                <w:color w:val="auto"/>
              </w:rPr>
            </w:pPr>
          </w:p>
        </w:tc>
        <w:tc>
          <w:tcPr>
            <w:tcW w:w="180" w:type="dxa"/>
            <w:vAlign w:val="bottom"/>
            <w:tcBorders>
              <w:top w:val="single" w:sz="8" w:color="CCFFCC"/>
            </w:tcBorders>
            <w:shd w:val="clear" w:color="auto" w:fill="CCFFCC"/>
          </w:tcPr>
          <w:p>
            <w:pPr>
              <w:spacing w:after="0"/>
              <w:rPr>
                <w:sz w:val="12"/>
                <w:szCs w:val="12"/>
                <w:color w:val="auto"/>
              </w:rPr>
            </w:pPr>
          </w:p>
        </w:tc>
        <w:tc>
          <w:tcPr>
            <w:tcW w:w="120" w:type="dxa"/>
            <w:vAlign w:val="bottom"/>
            <w:tcBorders>
              <w:top w:val="single" w:sz="8" w:color="auto"/>
            </w:tcBorders>
            <w:shd w:val="clear" w:color="auto" w:fill="CCFFCC"/>
          </w:tcPr>
          <w:p>
            <w:pPr>
              <w:spacing w:after="0"/>
              <w:rPr>
                <w:sz w:val="12"/>
                <w:szCs w:val="12"/>
                <w:color w:val="auto"/>
              </w:rPr>
            </w:pPr>
          </w:p>
        </w:tc>
        <w:tc>
          <w:tcPr>
            <w:tcW w:w="680" w:type="dxa"/>
            <w:vAlign w:val="bottom"/>
            <w:tcBorders>
              <w:top w:val="single" w:sz="8" w:color="auto"/>
            </w:tcBorders>
            <w:shd w:val="clear" w:color="auto" w:fill="CCFFCC"/>
          </w:tcPr>
          <w:p>
            <w:pPr>
              <w:spacing w:after="0"/>
              <w:rPr>
                <w:sz w:val="12"/>
                <w:szCs w:val="12"/>
                <w:color w:val="auto"/>
              </w:rPr>
            </w:pPr>
          </w:p>
        </w:tc>
        <w:tc>
          <w:tcPr>
            <w:tcW w:w="140" w:type="dxa"/>
            <w:vAlign w:val="bottom"/>
            <w:tcBorders>
              <w:top w:val="single" w:sz="8" w:color="CCFFCC"/>
            </w:tcBorders>
            <w:shd w:val="clear" w:color="auto" w:fill="CCFFCC"/>
          </w:tcPr>
          <w:p>
            <w:pPr>
              <w:spacing w:after="0"/>
              <w:rPr>
                <w:sz w:val="12"/>
                <w:szCs w:val="12"/>
                <w:color w:val="auto"/>
              </w:rPr>
            </w:pPr>
          </w:p>
        </w:tc>
        <w:tc>
          <w:tcPr>
            <w:tcW w:w="80" w:type="dxa"/>
            <w:vAlign w:val="bottom"/>
            <w:tcBorders>
              <w:top w:val="single" w:sz="8" w:color="CCFFCC"/>
            </w:tcBorders>
            <w:shd w:val="clear" w:color="auto" w:fill="CCFFCC"/>
          </w:tcPr>
          <w:p>
            <w:pPr>
              <w:spacing w:after="0"/>
              <w:rPr>
                <w:sz w:val="12"/>
                <w:szCs w:val="12"/>
                <w:color w:val="auto"/>
              </w:rPr>
            </w:pPr>
          </w:p>
        </w:tc>
        <w:tc>
          <w:tcPr>
            <w:tcW w:w="120" w:type="dxa"/>
            <w:vAlign w:val="bottom"/>
            <w:tcBorders>
              <w:top w:val="single" w:sz="8" w:color="auto"/>
            </w:tcBorders>
            <w:shd w:val="clear" w:color="auto" w:fill="CCFFCC"/>
          </w:tcPr>
          <w:p>
            <w:pPr>
              <w:spacing w:after="0"/>
              <w:rPr>
                <w:sz w:val="12"/>
                <w:szCs w:val="12"/>
                <w:color w:val="auto"/>
              </w:rPr>
            </w:pPr>
          </w:p>
        </w:tc>
        <w:tc>
          <w:tcPr>
            <w:tcW w:w="660" w:type="dxa"/>
            <w:vAlign w:val="bottom"/>
            <w:tcBorders>
              <w:top w:val="single" w:sz="8" w:color="auto"/>
            </w:tcBorders>
            <w:shd w:val="clear" w:color="auto" w:fill="CCFFCC"/>
          </w:tcPr>
          <w:p>
            <w:pPr>
              <w:spacing w:after="0"/>
              <w:rPr>
                <w:sz w:val="12"/>
                <w:szCs w:val="12"/>
                <w:color w:val="auto"/>
              </w:rPr>
            </w:pPr>
          </w:p>
        </w:tc>
        <w:tc>
          <w:tcPr>
            <w:tcW w:w="100" w:type="dxa"/>
            <w:vAlign w:val="bottom"/>
            <w:tcBorders>
              <w:top w:val="single" w:sz="8" w:color="CCFFCC"/>
            </w:tcBorders>
            <w:shd w:val="clear" w:color="auto" w:fill="CCFFCC"/>
          </w:tcPr>
          <w:p>
            <w:pPr>
              <w:spacing w:after="0"/>
              <w:rPr>
                <w:sz w:val="12"/>
                <w:szCs w:val="12"/>
                <w:color w:val="auto"/>
              </w:rPr>
            </w:pPr>
          </w:p>
        </w:tc>
        <w:tc>
          <w:tcPr>
            <w:tcW w:w="100" w:type="dxa"/>
            <w:vAlign w:val="bottom"/>
            <w:tcBorders>
              <w:top w:val="single" w:sz="8" w:color="CCFFCC"/>
            </w:tcBorders>
            <w:shd w:val="clear" w:color="auto" w:fill="CCFFCC"/>
          </w:tcPr>
          <w:p>
            <w:pPr>
              <w:spacing w:after="0"/>
              <w:rPr>
                <w:sz w:val="12"/>
                <w:szCs w:val="12"/>
                <w:color w:val="auto"/>
              </w:rPr>
            </w:pPr>
          </w:p>
        </w:tc>
        <w:tc>
          <w:tcPr>
            <w:tcW w:w="140" w:type="dxa"/>
            <w:vAlign w:val="bottom"/>
            <w:tcBorders>
              <w:top w:val="single" w:sz="8" w:color="auto"/>
            </w:tcBorders>
            <w:shd w:val="clear" w:color="auto" w:fill="CCFFCC"/>
          </w:tcPr>
          <w:p>
            <w:pPr>
              <w:spacing w:after="0"/>
              <w:rPr>
                <w:sz w:val="12"/>
                <w:szCs w:val="12"/>
                <w:color w:val="auto"/>
              </w:rPr>
            </w:pPr>
          </w:p>
        </w:tc>
        <w:tc>
          <w:tcPr>
            <w:tcW w:w="660" w:type="dxa"/>
            <w:vAlign w:val="bottom"/>
            <w:tcBorders>
              <w:top w:val="single" w:sz="8" w:color="auto"/>
            </w:tcBorders>
            <w:shd w:val="clear" w:color="auto" w:fill="CCFFCC"/>
          </w:tcPr>
          <w:p>
            <w:pPr>
              <w:spacing w:after="0"/>
              <w:rPr>
                <w:sz w:val="12"/>
                <w:szCs w:val="12"/>
                <w:color w:val="auto"/>
              </w:rPr>
            </w:pPr>
          </w:p>
        </w:tc>
        <w:tc>
          <w:tcPr>
            <w:tcW w:w="100" w:type="dxa"/>
            <w:vAlign w:val="bottom"/>
            <w:tcBorders>
              <w:top w:val="single" w:sz="8" w:color="CCFFCC"/>
            </w:tcBorders>
            <w:shd w:val="clear" w:color="auto" w:fill="CCFFCC"/>
          </w:tcPr>
          <w:p>
            <w:pPr>
              <w:spacing w:after="0"/>
              <w:rPr>
                <w:sz w:val="12"/>
                <w:szCs w:val="12"/>
                <w:color w:val="auto"/>
              </w:rPr>
            </w:pPr>
          </w:p>
        </w:tc>
        <w:tc>
          <w:tcPr>
            <w:tcW w:w="100" w:type="dxa"/>
            <w:vAlign w:val="bottom"/>
            <w:tcBorders>
              <w:top w:val="single" w:sz="8" w:color="CCFFCC"/>
            </w:tcBorders>
            <w:shd w:val="clear" w:color="auto" w:fill="CCFFCC"/>
          </w:tcPr>
          <w:p>
            <w:pPr>
              <w:spacing w:after="0"/>
              <w:rPr>
                <w:sz w:val="12"/>
                <w:szCs w:val="12"/>
                <w:color w:val="auto"/>
              </w:rPr>
            </w:pPr>
          </w:p>
        </w:tc>
        <w:tc>
          <w:tcPr>
            <w:tcW w:w="140" w:type="dxa"/>
            <w:vAlign w:val="bottom"/>
            <w:tcBorders>
              <w:top w:val="single" w:sz="8" w:color="auto"/>
            </w:tcBorders>
            <w:shd w:val="clear" w:color="auto" w:fill="CCFFCC"/>
          </w:tcPr>
          <w:p>
            <w:pPr>
              <w:spacing w:after="0"/>
              <w:rPr>
                <w:sz w:val="12"/>
                <w:szCs w:val="12"/>
                <w:color w:val="auto"/>
              </w:rPr>
            </w:pPr>
          </w:p>
        </w:tc>
        <w:tc>
          <w:tcPr>
            <w:tcW w:w="660" w:type="dxa"/>
            <w:vAlign w:val="bottom"/>
            <w:tcBorders>
              <w:top w:val="single" w:sz="8" w:color="auto"/>
            </w:tcBorders>
            <w:shd w:val="clear" w:color="auto" w:fill="CCFFCC"/>
          </w:tcPr>
          <w:p>
            <w:pPr>
              <w:spacing w:after="0"/>
              <w:rPr>
                <w:sz w:val="12"/>
                <w:szCs w:val="12"/>
                <w:color w:val="auto"/>
              </w:rPr>
            </w:pPr>
          </w:p>
        </w:tc>
        <w:tc>
          <w:tcPr>
            <w:tcW w:w="100" w:type="dxa"/>
            <w:vAlign w:val="bottom"/>
            <w:tcBorders>
              <w:top w:val="single" w:sz="8" w:color="CCFFCC"/>
            </w:tcBorders>
            <w:shd w:val="clear" w:color="auto" w:fill="CCFFCC"/>
          </w:tcPr>
          <w:p>
            <w:pPr>
              <w:spacing w:after="0"/>
              <w:rPr>
                <w:sz w:val="12"/>
                <w:szCs w:val="12"/>
                <w:color w:val="auto"/>
              </w:rPr>
            </w:pPr>
          </w:p>
        </w:tc>
        <w:tc>
          <w:tcPr>
            <w:tcW w:w="100" w:type="dxa"/>
            <w:vAlign w:val="bottom"/>
            <w:tcBorders>
              <w:top w:val="single" w:sz="8" w:color="CCFFCC"/>
            </w:tcBorders>
            <w:shd w:val="clear" w:color="auto" w:fill="CCFFCC"/>
          </w:tcPr>
          <w:p>
            <w:pPr>
              <w:spacing w:after="0"/>
              <w:rPr>
                <w:sz w:val="12"/>
                <w:szCs w:val="12"/>
                <w:color w:val="auto"/>
              </w:rPr>
            </w:pPr>
          </w:p>
        </w:tc>
        <w:tc>
          <w:tcPr>
            <w:tcW w:w="120" w:type="dxa"/>
            <w:vAlign w:val="bottom"/>
            <w:tcBorders>
              <w:top w:val="single" w:sz="8" w:color="auto"/>
            </w:tcBorders>
            <w:shd w:val="clear" w:color="auto" w:fill="CCFFCC"/>
          </w:tcPr>
          <w:p>
            <w:pPr>
              <w:spacing w:after="0"/>
              <w:rPr>
                <w:sz w:val="12"/>
                <w:szCs w:val="12"/>
                <w:color w:val="auto"/>
              </w:rPr>
            </w:pPr>
          </w:p>
        </w:tc>
        <w:tc>
          <w:tcPr>
            <w:tcW w:w="680" w:type="dxa"/>
            <w:vAlign w:val="bottom"/>
            <w:tcBorders>
              <w:top w:val="single" w:sz="8" w:color="auto"/>
            </w:tcBorders>
            <w:shd w:val="clear" w:color="auto" w:fill="CCFFCC"/>
          </w:tcPr>
          <w:p>
            <w:pPr>
              <w:spacing w:after="0"/>
              <w:rPr>
                <w:sz w:val="12"/>
                <w:szCs w:val="12"/>
                <w:color w:val="auto"/>
              </w:rPr>
            </w:pPr>
          </w:p>
        </w:tc>
        <w:tc>
          <w:tcPr>
            <w:tcW w:w="100" w:type="dxa"/>
            <w:vAlign w:val="bottom"/>
            <w:tcBorders>
              <w:top w:val="single" w:sz="8" w:color="CCFFCC"/>
            </w:tcBorders>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gridSpan w:val="2"/>
          </w:tcPr>
          <w:p>
            <w:pPr>
              <w:spacing w:after="0" w:line="149" w:lineRule="exact"/>
              <w:rPr>
                <w:sz w:val="20"/>
                <w:szCs w:val="20"/>
                <w:color w:val="auto"/>
              </w:rPr>
            </w:pPr>
            <w:r>
              <w:rPr>
                <w:rFonts w:ascii="Arial" w:cs="Arial" w:eastAsia="Arial" w:hAnsi="Arial"/>
                <w:sz w:val="14"/>
                <w:szCs w:val="14"/>
                <w:color w:val="auto"/>
              </w:rPr>
              <w:t>Short-term investments</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tcPr>
          <w:p>
            <w:pPr>
              <w:ind w:left="540"/>
              <w:spacing w:after="0" w:line="149" w:lineRule="exact"/>
              <w:rPr>
                <w:sz w:val="20"/>
                <w:szCs w:val="20"/>
                <w:color w:val="auto"/>
              </w:rPr>
            </w:pPr>
            <w:r>
              <w:rPr>
                <w:rFonts w:ascii="Arial" w:cs="Arial" w:eastAsia="Arial" w:hAnsi="Arial"/>
                <w:sz w:val="14"/>
                <w:szCs w:val="14"/>
                <w:color w:val="auto"/>
                <w:w w:val="85"/>
              </w:rPr>
              <w:t>—</w:t>
            </w:r>
          </w:p>
        </w:tc>
        <w:tc>
          <w:tcPr>
            <w:tcW w:w="360" w:type="dxa"/>
            <w:vAlign w:val="bottom"/>
            <w:gridSpan w:val="2"/>
          </w:tcPr>
          <w:p>
            <w:pPr>
              <w:jc w:val="right"/>
              <w:ind w:right="9"/>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47</w:t>
            </w:r>
          </w:p>
        </w:tc>
        <w:tc>
          <w:tcPr>
            <w:tcW w:w="260" w:type="dxa"/>
            <w:vAlign w:val="bottom"/>
          </w:tcPr>
          <w:p>
            <w:pPr>
              <w:spacing w:after="0"/>
              <w:rPr>
                <w:sz w:val="12"/>
                <w:szCs w:val="12"/>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9"/>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50</w:t>
            </w:r>
          </w:p>
        </w:tc>
        <w:tc>
          <w:tcPr>
            <w:tcW w:w="200" w:type="dxa"/>
            <w:vAlign w:val="bottom"/>
            <w:gridSpan w:val="2"/>
          </w:tcPr>
          <w:p>
            <w:pPr>
              <w:jc w:val="right"/>
              <w:ind w:right="9"/>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48</w:t>
            </w:r>
          </w:p>
        </w:tc>
        <w:tc>
          <w:tcPr>
            <w:tcW w:w="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Auction rate security</w:t>
            </w:r>
          </w:p>
        </w:tc>
        <w:tc>
          <w:tcPr>
            <w:tcW w:w="140" w:type="dxa"/>
            <w:vAlign w:val="bottom"/>
            <w:shd w:val="clear" w:color="auto" w:fill="CCFFCC"/>
          </w:tcPr>
          <w:p>
            <w:pPr>
              <w:spacing w:after="0"/>
              <w:rPr>
                <w:sz w:val="12"/>
                <w:szCs w:val="12"/>
                <w:color w:val="auto"/>
              </w:rPr>
            </w:pPr>
          </w:p>
        </w:tc>
        <w:tc>
          <w:tcPr>
            <w:tcW w:w="680" w:type="dxa"/>
            <w:vAlign w:val="bottom"/>
            <w:shd w:val="clear" w:color="auto" w:fill="CCFFCC"/>
          </w:tcPr>
          <w:p>
            <w:pPr>
              <w:ind w:left="540"/>
              <w:spacing w:after="0" w:line="149" w:lineRule="exact"/>
              <w:rPr>
                <w:sz w:val="20"/>
                <w:szCs w:val="20"/>
                <w:color w:val="auto"/>
              </w:rPr>
            </w:pPr>
            <w:r>
              <w:rPr>
                <w:rFonts w:ascii="Arial" w:cs="Arial" w:eastAsia="Arial" w:hAnsi="Arial"/>
                <w:sz w:val="14"/>
                <w:szCs w:val="14"/>
                <w:color w:val="auto"/>
                <w:w w:val="85"/>
              </w:rPr>
              <w:t>—</w:t>
            </w:r>
          </w:p>
        </w:tc>
        <w:tc>
          <w:tcPr>
            <w:tcW w:w="24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6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6</w:t>
            </w:r>
          </w:p>
        </w:tc>
        <w:tc>
          <w:tcPr>
            <w:tcW w:w="26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920" w:type="dxa"/>
            <w:vAlign w:val="bottom"/>
            <w:gridSpan w:val="2"/>
            <w:shd w:val="clear" w:color="auto" w:fill="CCFFCC"/>
          </w:tcPr>
          <w:p>
            <w:pPr>
              <w:ind w:left="5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FFCC"/>
          </w:tcPr>
          <w:p>
            <w:pPr>
              <w:spacing w:after="0"/>
              <w:rPr>
                <w:sz w:val="12"/>
                <w:szCs w:val="12"/>
                <w:color w:val="auto"/>
              </w:rPr>
            </w:pPr>
          </w:p>
        </w:tc>
        <w:tc>
          <w:tcPr>
            <w:tcW w:w="740" w:type="dxa"/>
            <w:vAlign w:val="bottom"/>
            <w:gridSpan w:val="2"/>
            <w:shd w:val="clear" w:color="auto" w:fill="CCFFCC"/>
          </w:tcPr>
          <w:p>
            <w:pPr>
              <w:ind w:left="5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8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6</w:t>
            </w:r>
          </w:p>
        </w:tc>
        <w:tc>
          <w:tcPr>
            <w:tcW w:w="8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760" w:type="dxa"/>
            <w:vAlign w:val="bottom"/>
            <w:gridSpan w:val="2"/>
            <w:shd w:val="clear" w:color="auto" w:fill="CCFFCC"/>
          </w:tcPr>
          <w:p>
            <w:pPr>
              <w:ind w:left="5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760" w:type="dxa"/>
            <w:vAlign w:val="bottom"/>
            <w:gridSpan w:val="2"/>
            <w:shd w:val="clear" w:color="auto" w:fill="CCFFCC"/>
          </w:tcPr>
          <w:p>
            <w:pPr>
              <w:ind w:left="5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7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6</w:t>
            </w:r>
          </w:p>
        </w:tc>
        <w:tc>
          <w:tcPr>
            <w:tcW w:w="1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780" w:type="dxa"/>
            <w:vAlign w:val="bottom"/>
            <w:gridSpan w:val="2"/>
            <w:shd w:val="clear" w:color="auto" w:fill="CCFFCC"/>
          </w:tcPr>
          <w:p>
            <w:pPr>
              <w:ind w:left="5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80" w:type="dxa"/>
            <w:vAlign w:val="bottom"/>
            <w:gridSpan w:val="2"/>
          </w:tcPr>
          <w:p>
            <w:pPr>
              <w:spacing w:after="0"/>
              <w:rPr>
                <w:sz w:val="20"/>
                <w:szCs w:val="20"/>
                <w:color w:val="auto"/>
              </w:rPr>
            </w:pPr>
            <w:r>
              <w:rPr>
                <w:rFonts w:ascii="Arial" w:cs="Arial" w:eastAsia="Arial" w:hAnsi="Arial"/>
                <w:sz w:val="14"/>
                <w:szCs w:val="14"/>
                <w:color w:val="auto"/>
              </w:rPr>
              <w:t>Foreign exchange forward contracts</w:t>
            </w:r>
          </w:p>
        </w:tc>
        <w:tc>
          <w:tcPr>
            <w:tcW w:w="140" w:type="dxa"/>
            <w:vAlign w:val="bottom"/>
          </w:tcPr>
          <w:p>
            <w:pPr>
              <w:spacing w:after="0"/>
              <w:rPr>
                <w:sz w:val="14"/>
                <w:szCs w:val="14"/>
                <w:color w:val="auto"/>
              </w:rPr>
            </w:pPr>
          </w:p>
        </w:tc>
        <w:tc>
          <w:tcPr>
            <w:tcW w:w="680" w:type="dxa"/>
            <w:vAlign w:val="bottom"/>
          </w:tcPr>
          <w:p>
            <w:pPr>
              <w:ind w:left="540"/>
              <w:spacing w:after="0"/>
              <w:rPr>
                <w:sz w:val="20"/>
                <w:szCs w:val="20"/>
                <w:color w:val="auto"/>
              </w:rPr>
            </w:pPr>
            <w:r>
              <w:rPr>
                <w:rFonts w:ascii="Arial" w:cs="Arial" w:eastAsia="Arial" w:hAnsi="Arial"/>
                <w:sz w:val="14"/>
                <w:szCs w:val="14"/>
                <w:color w:val="auto"/>
                <w:w w:val="85"/>
              </w:rPr>
              <w: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4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280" w:type="dxa"/>
            <w:vAlign w:val="bottom"/>
            <w:tcBorders>
              <w:top w:val="single" w:sz="8" w:color="CCFFCC"/>
              <w:bottom w:val="single" w:sz="8" w:color="CCFFCC"/>
            </w:tcBorders>
            <w:gridSpan w:val="2"/>
            <w:shd w:val="clear" w:color="auto" w:fill="CCFFCC"/>
          </w:tcPr>
          <w:p>
            <w:pPr>
              <w:spacing w:after="0" w:line="155" w:lineRule="exact"/>
              <w:rPr>
                <w:sz w:val="20"/>
                <w:szCs w:val="20"/>
                <w:color w:val="auto"/>
              </w:rPr>
            </w:pPr>
            <w:r>
              <w:rPr>
                <w:rFonts w:ascii="Arial" w:cs="Arial" w:eastAsia="Arial" w:hAnsi="Arial"/>
                <w:sz w:val="14"/>
                <w:szCs w:val="14"/>
                <w:color w:val="auto"/>
              </w:rPr>
              <w:t>Total Assets</w:t>
            </w:r>
          </w:p>
        </w:tc>
        <w:tc>
          <w:tcPr>
            <w:tcW w:w="140" w:type="dxa"/>
            <w:vAlign w:val="bottom"/>
            <w:tcBorders>
              <w:top w:val="single" w:sz="8" w:color="auto"/>
              <w:bottom w:val="single" w:sz="8" w:color="auto"/>
            </w:tcBorders>
            <w:shd w:val="clear" w:color="auto" w:fill="CCFFCC"/>
          </w:tcPr>
          <w:p>
            <w:pPr>
              <w:jc w:val="right"/>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CFFCC"/>
          </w:tcPr>
          <w:p>
            <w:pPr>
              <w:ind w:left="540"/>
              <w:spacing w:after="0" w:line="155" w:lineRule="exact"/>
              <w:rPr>
                <w:sz w:val="20"/>
                <w:szCs w:val="20"/>
                <w:color w:val="auto"/>
              </w:rPr>
            </w:pPr>
            <w:r>
              <w:rPr>
                <w:rFonts w:ascii="Arial" w:cs="Arial" w:eastAsia="Arial" w:hAnsi="Arial"/>
                <w:sz w:val="14"/>
                <w:szCs w:val="14"/>
                <w:color w:val="auto"/>
                <w:w w:val="85"/>
              </w:rPr>
              <w:t>—</w:t>
            </w:r>
          </w:p>
        </w:tc>
        <w:tc>
          <w:tcPr>
            <w:tcW w:w="240" w:type="dxa"/>
            <w:vAlign w:val="bottom"/>
            <w:tcBorders>
              <w:top w:val="single" w:sz="8" w:color="CCFFCC"/>
              <w:bottom w:val="single" w:sz="8" w:color="CCFFCC"/>
            </w:tcBorders>
            <w:shd w:val="clear" w:color="auto" w:fill="CCFFCC"/>
          </w:tcPr>
          <w:p>
            <w:pPr>
              <w:spacing w:after="0"/>
              <w:rPr>
                <w:sz w:val="13"/>
                <w:szCs w:val="13"/>
                <w:color w:val="auto"/>
              </w:rPr>
            </w:pPr>
          </w:p>
        </w:tc>
        <w:tc>
          <w:tcPr>
            <w:tcW w:w="120" w:type="dxa"/>
            <w:vAlign w:val="bottom"/>
            <w:tcBorders>
              <w:top w:val="single" w:sz="8" w:color="auto"/>
              <w:bottom w:val="single" w:sz="8" w:color="auto"/>
            </w:tcBorders>
            <w:shd w:val="clear" w:color="auto" w:fill="CCFFCC"/>
          </w:tcPr>
          <w:p>
            <w:pPr>
              <w:jc w:val="right"/>
              <w:ind w:right="9"/>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shd w:val="clear" w:color="auto" w:fill="CCFFCC"/>
          </w:tcPr>
          <w:p>
            <w:pPr>
              <w:jc w:val="right"/>
              <w:spacing w:after="0" w:line="155" w:lineRule="exact"/>
              <w:rPr>
                <w:sz w:val="20"/>
                <w:szCs w:val="20"/>
                <w:color w:val="auto"/>
              </w:rPr>
            </w:pPr>
            <w:r>
              <w:rPr>
                <w:rFonts w:ascii="Arial" w:cs="Arial" w:eastAsia="Arial" w:hAnsi="Arial"/>
                <w:sz w:val="14"/>
                <w:szCs w:val="14"/>
                <w:color w:val="auto"/>
              </w:rPr>
              <w:t>57</w:t>
            </w:r>
          </w:p>
        </w:tc>
        <w:tc>
          <w:tcPr>
            <w:tcW w:w="260" w:type="dxa"/>
            <w:vAlign w:val="bottom"/>
            <w:tcBorders>
              <w:top w:val="single" w:sz="8" w:color="CCFFCC"/>
              <w:bottom w:val="single" w:sz="8" w:color="CCFFCC"/>
            </w:tcBorders>
            <w:shd w:val="clear" w:color="auto" w:fill="CCFFCC"/>
          </w:tcPr>
          <w:p>
            <w:pPr>
              <w:spacing w:after="0"/>
              <w:rPr>
                <w:sz w:val="13"/>
                <w:szCs w:val="13"/>
                <w:color w:val="auto"/>
              </w:rPr>
            </w:pPr>
          </w:p>
        </w:tc>
        <w:tc>
          <w:tcPr>
            <w:tcW w:w="120" w:type="dxa"/>
            <w:vAlign w:val="bottom"/>
            <w:tcBorders>
              <w:top w:val="single" w:sz="8" w:color="auto"/>
              <w:bottom w:val="single" w:sz="8" w:color="auto"/>
            </w:tcBorders>
            <w:shd w:val="clear" w:color="auto" w:fill="CCFFCC"/>
          </w:tcPr>
          <w:p>
            <w:pPr>
              <w:jc w:val="right"/>
              <w:ind w:right="9"/>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shd w:val="clear" w:color="auto" w:fill="CCFFCC"/>
          </w:tcPr>
          <w:p>
            <w:pPr>
              <w:ind w:left="540"/>
              <w:spacing w:after="0" w:line="155" w:lineRule="exact"/>
              <w:rPr>
                <w:sz w:val="20"/>
                <w:szCs w:val="20"/>
                <w:color w:val="auto"/>
              </w:rPr>
            </w:pPr>
            <w:r>
              <w:rPr>
                <w:rFonts w:ascii="Arial" w:cs="Arial" w:eastAsia="Arial" w:hAnsi="Arial"/>
                <w:sz w:val="14"/>
                <w:szCs w:val="14"/>
                <w:color w:val="auto"/>
                <w:w w:val="85"/>
              </w:rPr>
              <w:t>—</w:t>
            </w:r>
          </w:p>
        </w:tc>
        <w:tc>
          <w:tcPr>
            <w:tcW w:w="240" w:type="dxa"/>
            <w:vAlign w:val="bottom"/>
            <w:tcBorders>
              <w:top w:val="single" w:sz="8" w:color="CCFFCC"/>
              <w:bottom w:val="single" w:sz="8" w:color="CCFFCC"/>
            </w:tcBorders>
            <w:shd w:val="clear" w:color="auto" w:fill="CCFFCC"/>
          </w:tcPr>
          <w:p>
            <w:pPr>
              <w:spacing w:after="0"/>
              <w:rPr>
                <w:sz w:val="13"/>
                <w:szCs w:val="13"/>
                <w:color w:val="auto"/>
              </w:rPr>
            </w:pPr>
          </w:p>
        </w:tc>
        <w:tc>
          <w:tcPr>
            <w:tcW w:w="140" w:type="dxa"/>
            <w:vAlign w:val="bottom"/>
            <w:tcBorders>
              <w:top w:val="single" w:sz="8" w:color="auto"/>
              <w:bottom w:val="single" w:sz="8" w:color="auto"/>
            </w:tcBorders>
            <w:shd w:val="clear" w:color="auto" w:fill="CCFFCC"/>
          </w:tcPr>
          <w:p>
            <w:pPr>
              <w:jc w:val="right"/>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CFFCC"/>
          </w:tcPr>
          <w:p>
            <w:pPr>
              <w:ind w:left="540"/>
              <w:spacing w:after="0" w:line="155" w:lineRule="exact"/>
              <w:rPr>
                <w:sz w:val="20"/>
                <w:szCs w:val="20"/>
                <w:color w:val="auto"/>
              </w:rPr>
            </w:pPr>
            <w:r>
              <w:rPr>
                <w:rFonts w:ascii="Arial" w:cs="Arial" w:eastAsia="Arial" w:hAnsi="Arial"/>
                <w:sz w:val="14"/>
                <w:szCs w:val="14"/>
                <w:color w:val="auto"/>
                <w:w w:val="85"/>
              </w:rPr>
              <w:t>—</w:t>
            </w:r>
          </w:p>
        </w:tc>
        <w:tc>
          <w:tcPr>
            <w:tcW w:w="60" w:type="dxa"/>
            <w:vAlign w:val="bottom"/>
            <w:tcBorders>
              <w:top w:val="single" w:sz="8" w:color="CCFFCC"/>
              <w:bottom w:val="single" w:sz="8" w:color="CCFFCC"/>
            </w:tcBorders>
            <w:shd w:val="clear" w:color="auto" w:fill="CCFFCC"/>
          </w:tcPr>
          <w:p>
            <w:pPr>
              <w:spacing w:after="0"/>
              <w:rPr>
                <w:sz w:val="13"/>
                <w:szCs w:val="13"/>
                <w:color w:val="auto"/>
              </w:rPr>
            </w:pPr>
          </w:p>
        </w:tc>
        <w:tc>
          <w:tcPr>
            <w:tcW w:w="180" w:type="dxa"/>
            <w:vAlign w:val="bottom"/>
            <w:tcBorders>
              <w:top w:val="single" w:sz="8" w:color="CCFFCC"/>
              <w:bottom w:val="single" w:sz="8" w:color="CCFFCC"/>
            </w:tcBorders>
            <w:shd w:val="clear" w:color="auto" w:fill="CCFFCC"/>
          </w:tcPr>
          <w:p>
            <w:pPr>
              <w:spacing w:after="0"/>
              <w:rPr>
                <w:sz w:val="13"/>
                <w:szCs w:val="13"/>
                <w:color w:val="auto"/>
              </w:rPr>
            </w:pPr>
          </w:p>
        </w:tc>
        <w:tc>
          <w:tcPr>
            <w:tcW w:w="120" w:type="dxa"/>
            <w:vAlign w:val="bottom"/>
            <w:tcBorders>
              <w:top w:val="single" w:sz="8" w:color="auto"/>
              <w:bottom w:val="single" w:sz="8" w:color="auto"/>
            </w:tcBorders>
            <w:shd w:val="clear" w:color="auto" w:fill="CCFFCC"/>
          </w:tcPr>
          <w:p>
            <w:pPr>
              <w:jc w:val="right"/>
              <w:ind w:right="9"/>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shd w:val="clear" w:color="auto" w:fill="CCFFCC"/>
          </w:tcPr>
          <w:p>
            <w:pPr>
              <w:jc w:val="right"/>
              <w:spacing w:after="0" w:line="155" w:lineRule="exact"/>
              <w:rPr>
                <w:sz w:val="20"/>
                <w:szCs w:val="20"/>
                <w:color w:val="auto"/>
              </w:rPr>
            </w:pPr>
            <w:r>
              <w:rPr>
                <w:rFonts w:ascii="Arial" w:cs="Arial" w:eastAsia="Arial" w:hAnsi="Arial"/>
                <w:sz w:val="14"/>
                <w:szCs w:val="14"/>
                <w:color w:val="auto"/>
              </w:rPr>
              <w:t>56</w:t>
            </w:r>
          </w:p>
        </w:tc>
        <w:tc>
          <w:tcPr>
            <w:tcW w:w="140" w:type="dxa"/>
            <w:vAlign w:val="bottom"/>
            <w:tcBorders>
              <w:top w:val="single" w:sz="8" w:color="CCFFCC"/>
              <w:bottom w:val="single" w:sz="8" w:color="CCFFCC"/>
            </w:tcBorders>
            <w:shd w:val="clear" w:color="auto" w:fill="CCFFCC"/>
          </w:tcPr>
          <w:p>
            <w:pPr>
              <w:spacing w:after="0"/>
              <w:rPr>
                <w:sz w:val="13"/>
                <w:szCs w:val="13"/>
                <w:color w:val="auto"/>
              </w:rPr>
            </w:pPr>
          </w:p>
        </w:tc>
        <w:tc>
          <w:tcPr>
            <w:tcW w:w="80" w:type="dxa"/>
            <w:vAlign w:val="bottom"/>
            <w:tcBorders>
              <w:top w:val="single" w:sz="8" w:color="CCFFCC"/>
              <w:bottom w:val="single" w:sz="8" w:color="CCFFCC"/>
            </w:tcBorders>
            <w:shd w:val="clear" w:color="auto" w:fill="CCFFCC"/>
          </w:tcPr>
          <w:p>
            <w:pPr>
              <w:spacing w:after="0"/>
              <w:rPr>
                <w:sz w:val="13"/>
                <w:szCs w:val="13"/>
                <w:color w:val="auto"/>
              </w:rPr>
            </w:pPr>
          </w:p>
        </w:tc>
        <w:tc>
          <w:tcPr>
            <w:tcW w:w="120" w:type="dxa"/>
            <w:vAlign w:val="bottom"/>
            <w:tcBorders>
              <w:top w:val="single" w:sz="8" w:color="auto"/>
              <w:bottom w:val="single" w:sz="8" w:color="auto"/>
            </w:tcBorders>
            <w:shd w:val="clear" w:color="auto" w:fill="CCFFCC"/>
          </w:tcPr>
          <w:p>
            <w:pPr>
              <w:jc w:val="right"/>
              <w:ind w:right="9"/>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shd w:val="clear" w:color="auto" w:fill="CCFFCC"/>
          </w:tcPr>
          <w:p>
            <w:pPr>
              <w:ind w:left="500"/>
              <w:spacing w:after="0" w:line="155" w:lineRule="exact"/>
              <w:rPr>
                <w:sz w:val="20"/>
                <w:szCs w:val="20"/>
                <w:color w:val="auto"/>
              </w:rPr>
            </w:pPr>
            <w:r>
              <w:rPr>
                <w:rFonts w:ascii="Arial" w:cs="Arial" w:eastAsia="Arial" w:hAnsi="Arial"/>
                <w:sz w:val="14"/>
                <w:szCs w:val="14"/>
                <w:color w:val="auto"/>
                <w:w w:val="99"/>
              </w:rPr>
              <w:t>—</w:t>
            </w:r>
          </w:p>
        </w:tc>
        <w:tc>
          <w:tcPr>
            <w:tcW w:w="100" w:type="dxa"/>
            <w:vAlign w:val="bottom"/>
            <w:tcBorders>
              <w:top w:val="single" w:sz="8" w:color="CCFFCC"/>
              <w:bottom w:val="single" w:sz="8" w:color="CCFFCC"/>
            </w:tcBorders>
            <w:shd w:val="clear" w:color="auto" w:fill="CCFFCC"/>
          </w:tcPr>
          <w:p>
            <w:pPr>
              <w:spacing w:after="0"/>
              <w:rPr>
                <w:sz w:val="13"/>
                <w:szCs w:val="13"/>
                <w:color w:val="auto"/>
              </w:rPr>
            </w:pPr>
          </w:p>
        </w:tc>
        <w:tc>
          <w:tcPr>
            <w:tcW w:w="100" w:type="dxa"/>
            <w:vAlign w:val="bottom"/>
            <w:tcBorders>
              <w:top w:val="single" w:sz="8" w:color="CCFFCC"/>
              <w:bottom w:val="single" w:sz="8" w:color="CCFFCC"/>
            </w:tcBorders>
            <w:shd w:val="clear" w:color="auto" w:fill="CCFFCC"/>
          </w:tcPr>
          <w:p>
            <w:pPr>
              <w:spacing w:after="0"/>
              <w:rPr>
                <w:sz w:val="13"/>
                <w:szCs w:val="13"/>
                <w:color w:val="auto"/>
              </w:rPr>
            </w:pPr>
          </w:p>
        </w:tc>
        <w:tc>
          <w:tcPr>
            <w:tcW w:w="140" w:type="dxa"/>
            <w:vAlign w:val="bottom"/>
            <w:tcBorders>
              <w:top w:val="single" w:sz="8" w:color="auto"/>
              <w:bottom w:val="single" w:sz="8" w:color="auto"/>
            </w:tcBorders>
            <w:shd w:val="clear" w:color="auto" w:fill="CCFFCC"/>
          </w:tcPr>
          <w:p>
            <w:pPr>
              <w:jc w:val="right"/>
              <w:spacing w:after="0" w:line="155"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CFFCC"/>
          </w:tcPr>
          <w:p>
            <w:pPr>
              <w:ind w:left="500"/>
              <w:spacing w:after="0" w:line="155" w:lineRule="exact"/>
              <w:rPr>
                <w:sz w:val="20"/>
                <w:szCs w:val="20"/>
                <w:color w:val="auto"/>
              </w:rPr>
            </w:pPr>
            <w:r>
              <w:rPr>
                <w:rFonts w:ascii="Arial" w:cs="Arial" w:eastAsia="Arial" w:hAnsi="Arial"/>
                <w:sz w:val="14"/>
                <w:szCs w:val="14"/>
                <w:color w:val="auto"/>
                <w:w w:val="99"/>
              </w:rPr>
              <w:t>—</w:t>
            </w:r>
          </w:p>
        </w:tc>
        <w:tc>
          <w:tcPr>
            <w:tcW w:w="100" w:type="dxa"/>
            <w:vAlign w:val="bottom"/>
            <w:tcBorders>
              <w:top w:val="single" w:sz="8" w:color="CCFFCC"/>
              <w:bottom w:val="single" w:sz="8" w:color="CCFFCC"/>
            </w:tcBorders>
            <w:shd w:val="clear" w:color="auto" w:fill="CCFFCC"/>
          </w:tcPr>
          <w:p>
            <w:pPr>
              <w:spacing w:after="0"/>
              <w:rPr>
                <w:sz w:val="13"/>
                <w:szCs w:val="13"/>
                <w:color w:val="auto"/>
              </w:rPr>
            </w:pPr>
          </w:p>
        </w:tc>
        <w:tc>
          <w:tcPr>
            <w:tcW w:w="100" w:type="dxa"/>
            <w:vAlign w:val="bottom"/>
            <w:tcBorders>
              <w:top w:val="single" w:sz="8" w:color="CCFFCC"/>
              <w:bottom w:val="single" w:sz="8" w:color="CCFFCC"/>
            </w:tcBorders>
            <w:shd w:val="clear" w:color="auto" w:fill="CCFFCC"/>
          </w:tcPr>
          <w:p>
            <w:pPr>
              <w:spacing w:after="0"/>
              <w:rPr>
                <w:sz w:val="13"/>
                <w:szCs w:val="13"/>
                <w:color w:val="auto"/>
              </w:rPr>
            </w:pPr>
          </w:p>
        </w:tc>
        <w:tc>
          <w:tcPr>
            <w:tcW w:w="140" w:type="dxa"/>
            <w:vAlign w:val="bottom"/>
            <w:tcBorders>
              <w:top w:val="single" w:sz="8" w:color="auto"/>
              <w:bottom w:val="single" w:sz="8" w:color="auto"/>
            </w:tcBorders>
            <w:shd w:val="clear" w:color="auto" w:fill="CCFFCC"/>
          </w:tcPr>
          <w:p>
            <w:pPr>
              <w:jc w:val="right"/>
              <w:spacing w:after="0" w:line="155"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CFFCC"/>
          </w:tcPr>
          <w:p>
            <w:pPr>
              <w:jc w:val="right"/>
              <w:spacing w:after="0" w:line="155" w:lineRule="exact"/>
              <w:rPr>
                <w:sz w:val="20"/>
                <w:szCs w:val="20"/>
                <w:color w:val="auto"/>
              </w:rPr>
            </w:pPr>
            <w:r>
              <w:rPr>
                <w:rFonts w:ascii="Arial" w:cs="Arial" w:eastAsia="Arial" w:hAnsi="Arial"/>
                <w:sz w:val="14"/>
                <w:szCs w:val="14"/>
                <w:color w:val="auto"/>
              </w:rPr>
              <w:t>60</w:t>
            </w:r>
          </w:p>
        </w:tc>
        <w:tc>
          <w:tcPr>
            <w:tcW w:w="100" w:type="dxa"/>
            <w:vAlign w:val="bottom"/>
            <w:tcBorders>
              <w:top w:val="single" w:sz="8" w:color="CCFFCC"/>
              <w:bottom w:val="single" w:sz="8" w:color="CCFFCC"/>
            </w:tcBorders>
            <w:shd w:val="clear" w:color="auto" w:fill="CCFFCC"/>
          </w:tcPr>
          <w:p>
            <w:pPr>
              <w:spacing w:after="0"/>
              <w:rPr>
                <w:sz w:val="13"/>
                <w:szCs w:val="13"/>
                <w:color w:val="auto"/>
              </w:rPr>
            </w:pPr>
          </w:p>
        </w:tc>
        <w:tc>
          <w:tcPr>
            <w:tcW w:w="100" w:type="dxa"/>
            <w:vAlign w:val="bottom"/>
            <w:tcBorders>
              <w:top w:val="single" w:sz="8" w:color="CCFFCC"/>
              <w:bottom w:val="single" w:sz="8" w:color="CCFFCC"/>
            </w:tcBorders>
            <w:shd w:val="clear" w:color="auto" w:fill="CCFFCC"/>
          </w:tcPr>
          <w:p>
            <w:pPr>
              <w:spacing w:after="0"/>
              <w:rPr>
                <w:sz w:val="13"/>
                <w:szCs w:val="13"/>
                <w:color w:val="auto"/>
              </w:rPr>
            </w:pPr>
          </w:p>
        </w:tc>
        <w:tc>
          <w:tcPr>
            <w:tcW w:w="120" w:type="dxa"/>
            <w:vAlign w:val="bottom"/>
            <w:tcBorders>
              <w:top w:val="single" w:sz="8" w:color="auto"/>
              <w:bottom w:val="single" w:sz="8" w:color="auto"/>
            </w:tcBorders>
            <w:shd w:val="clear" w:color="auto" w:fill="CCFFCC"/>
          </w:tcPr>
          <w:p>
            <w:pPr>
              <w:jc w:val="right"/>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CFFCC"/>
          </w:tcPr>
          <w:p>
            <w:pPr>
              <w:ind w:left="520"/>
              <w:spacing w:after="0" w:line="155" w:lineRule="exact"/>
              <w:rPr>
                <w:sz w:val="20"/>
                <w:szCs w:val="20"/>
                <w:color w:val="auto"/>
              </w:rPr>
            </w:pPr>
            <w:r>
              <w:rPr>
                <w:rFonts w:ascii="Arial" w:cs="Arial" w:eastAsia="Arial" w:hAnsi="Arial"/>
                <w:sz w:val="14"/>
                <w:szCs w:val="14"/>
                <w:color w:val="auto"/>
                <w:w w:val="99"/>
              </w:rPr>
              <w:t>—</w:t>
            </w:r>
          </w:p>
        </w:tc>
        <w:tc>
          <w:tcPr>
            <w:tcW w:w="100" w:type="dxa"/>
            <w:vAlign w:val="bottom"/>
            <w:tcBorders>
              <w:top w:val="single" w:sz="8" w:color="CCFFCC"/>
              <w:bottom w:val="single" w:sz="8" w:color="CCFFCC"/>
            </w:tcBorders>
            <w:shd w:val="clear" w:color="auto" w:fill="CCFFC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2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28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Liabilities</w:t>
            </w:r>
          </w:p>
        </w:tc>
        <w:tc>
          <w:tcPr>
            <w:tcW w:w="14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80" w:type="dxa"/>
            <w:vAlign w:val="bottom"/>
            <w:gridSpan w:val="2"/>
          </w:tcPr>
          <w:p>
            <w:pPr>
              <w:spacing w:after="0"/>
              <w:rPr>
                <w:sz w:val="20"/>
                <w:szCs w:val="20"/>
                <w:color w:val="auto"/>
              </w:rPr>
            </w:pPr>
            <w:r>
              <w:rPr>
                <w:rFonts w:ascii="Arial" w:cs="Arial" w:eastAsia="Arial" w:hAnsi="Arial"/>
                <w:sz w:val="14"/>
                <w:szCs w:val="14"/>
                <w:color w:val="auto"/>
              </w:rPr>
              <w:t>Foreign exchange forward contracts</w:t>
            </w:r>
          </w:p>
        </w:tc>
        <w:tc>
          <w:tcPr>
            <w:tcW w:w="140" w:type="dxa"/>
            <w:vAlign w:val="bottom"/>
          </w:tcPr>
          <w:p>
            <w:pPr>
              <w:spacing w:after="0"/>
              <w:rPr>
                <w:sz w:val="14"/>
                <w:szCs w:val="14"/>
                <w:color w:val="auto"/>
              </w:rPr>
            </w:pPr>
          </w:p>
        </w:tc>
        <w:tc>
          <w:tcPr>
            <w:tcW w:w="680" w:type="dxa"/>
            <w:vAlign w:val="bottom"/>
          </w:tcPr>
          <w:p>
            <w:pPr>
              <w:ind w:left="540"/>
              <w:spacing w:after="0"/>
              <w:rPr>
                <w:sz w:val="20"/>
                <w:szCs w:val="20"/>
                <w:color w:val="auto"/>
              </w:rPr>
            </w:pPr>
            <w:r>
              <w:rPr>
                <w:rFonts w:ascii="Arial" w:cs="Arial" w:eastAsia="Arial" w:hAnsi="Arial"/>
                <w:sz w:val="14"/>
                <w:szCs w:val="14"/>
                <w:color w:val="auto"/>
                <w:w w:val="85"/>
              </w:rPr>
              <w: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2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4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280" w:type="dxa"/>
            <w:vAlign w:val="bottom"/>
            <w:tcBorders>
              <w:top w:val="single" w:sz="8" w:color="CCFFCC"/>
              <w:bottom w:val="single" w:sz="8" w:color="CCFFCC"/>
            </w:tcBorders>
            <w:gridSpan w:val="2"/>
            <w:shd w:val="clear" w:color="auto" w:fill="CCFFCC"/>
          </w:tcPr>
          <w:p>
            <w:pPr>
              <w:spacing w:after="0" w:line="155" w:lineRule="exact"/>
              <w:rPr>
                <w:sz w:val="20"/>
                <w:szCs w:val="20"/>
                <w:color w:val="auto"/>
              </w:rPr>
            </w:pPr>
            <w:r>
              <w:rPr>
                <w:rFonts w:ascii="Arial" w:cs="Arial" w:eastAsia="Arial" w:hAnsi="Arial"/>
                <w:sz w:val="14"/>
                <w:szCs w:val="14"/>
                <w:color w:val="auto"/>
              </w:rPr>
              <w:t>Total Liabilities</w:t>
            </w:r>
          </w:p>
        </w:tc>
        <w:tc>
          <w:tcPr>
            <w:tcW w:w="140" w:type="dxa"/>
            <w:vAlign w:val="bottom"/>
            <w:tcBorders>
              <w:top w:val="single" w:sz="8" w:color="auto"/>
              <w:bottom w:val="single" w:sz="8" w:color="auto"/>
            </w:tcBorders>
            <w:shd w:val="clear" w:color="auto" w:fill="CCFFCC"/>
          </w:tcPr>
          <w:p>
            <w:pPr>
              <w:jc w:val="right"/>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CFFCC"/>
          </w:tcPr>
          <w:p>
            <w:pPr>
              <w:ind w:left="540"/>
              <w:spacing w:after="0" w:line="155" w:lineRule="exact"/>
              <w:rPr>
                <w:sz w:val="20"/>
                <w:szCs w:val="20"/>
                <w:color w:val="auto"/>
              </w:rPr>
            </w:pPr>
            <w:r>
              <w:rPr>
                <w:rFonts w:ascii="Arial" w:cs="Arial" w:eastAsia="Arial" w:hAnsi="Arial"/>
                <w:sz w:val="14"/>
                <w:szCs w:val="14"/>
                <w:color w:val="auto"/>
                <w:w w:val="85"/>
              </w:rPr>
              <w:t>—</w:t>
            </w:r>
          </w:p>
        </w:tc>
        <w:tc>
          <w:tcPr>
            <w:tcW w:w="240" w:type="dxa"/>
            <w:vAlign w:val="bottom"/>
            <w:tcBorders>
              <w:top w:val="single" w:sz="8" w:color="CCFFCC"/>
              <w:bottom w:val="single" w:sz="8" w:color="CCFFCC"/>
            </w:tcBorders>
            <w:shd w:val="clear" w:color="auto" w:fill="CCFFCC"/>
          </w:tcPr>
          <w:p>
            <w:pPr>
              <w:spacing w:after="0"/>
              <w:rPr>
                <w:sz w:val="13"/>
                <w:szCs w:val="13"/>
                <w:color w:val="auto"/>
              </w:rPr>
            </w:pPr>
          </w:p>
        </w:tc>
        <w:tc>
          <w:tcPr>
            <w:tcW w:w="120" w:type="dxa"/>
            <w:vAlign w:val="bottom"/>
            <w:tcBorders>
              <w:top w:val="single" w:sz="8" w:color="auto"/>
              <w:bottom w:val="single" w:sz="8" w:color="auto"/>
            </w:tcBorders>
            <w:shd w:val="clear" w:color="auto" w:fill="CCFFCC"/>
          </w:tcPr>
          <w:p>
            <w:pPr>
              <w:jc w:val="right"/>
              <w:ind w:right="9"/>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shd w:val="clear" w:color="auto" w:fill="CCFFCC"/>
          </w:tcPr>
          <w:p>
            <w:pPr>
              <w:jc w:val="right"/>
              <w:spacing w:after="0" w:line="155"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CCFFCC"/>
              <w:bottom w:val="single" w:sz="8" w:color="CCFFCC"/>
            </w:tcBorders>
            <w:shd w:val="clear" w:color="auto" w:fill="CCFFCC"/>
          </w:tcPr>
          <w:p>
            <w:pPr>
              <w:spacing w:after="0"/>
              <w:rPr>
                <w:sz w:val="13"/>
                <w:szCs w:val="13"/>
                <w:color w:val="auto"/>
              </w:rPr>
            </w:pPr>
          </w:p>
        </w:tc>
        <w:tc>
          <w:tcPr>
            <w:tcW w:w="120" w:type="dxa"/>
            <w:vAlign w:val="bottom"/>
            <w:tcBorders>
              <w:top w:val="single" w:sz="8" w:color="auto"/>
              <w:bottom w:val="single" w:sz="8" w:color="auto"/>
            </w:tcBorders>
            <w:shd w:val="clear" w:color="auto" w:fill="CCFFCC"/>
          </w:tcPr>
          <w:p>
            <w:pPr>
              <w:jc w:val="right"/>
              <w:ind w:right="9"/>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shd w:val="clear" w:color="auto" w:fill="CCFFCC"/>
          </w:tcPr>
          <w:p>
            <w:pPr>
              <w:ind w:left="540"/>
              <w:spacing w:after="0" w:line="155" w:lineRule="exact"/>
              <w:rPr>
                <w:sz w:val="20"/>
                <w:szCs w:val="20"/>
                <w:color w:val="auto"/>
              </w:rPr>
            </w:pPr>
            <w:r>
              <w:rPr>
                <w:rFonts w:ascii="Arial" w:cs="Arial" w:eastAsia="Arial" w:hAnsi="Arial"/>
                <w:sz w:val="14"/>
                <w:szCs w:val="14"/>
                <w:color w:val="auto"/>
                <w:w w:val="85"/>
              </w:rPr>
              <w:t>—</w:t>
            </w:r>
          </w:p>
        </w:tc>
        <w:tc>
          <w:tcPr>
            <w:tcW w:w="240" w:type="dxa"/>
            <w:vAlign w:val="bottom"/>
            <w:tcBorders>
              <w:top w:val="single" w:sz="8" w:color="CCFFCC"/>
              <w:bottom w:val="single" w:sz="8" w:color="CCFFCC"/>
            </w:tcBorders>
            <w:shd w:val="clear" w:color="auto" w:fill="CCFFCC"/>
          </w:tcPr>
          <w:p>
            <w:pPr>
              <w:spacing w:after="0"/>
              <w:rPr>
                <w:sz w:val="13"/>
                <w:szCs w:val="13"/>
                <w:color w:val="auto"/>
              </w:rPr>
            </w:pPr>
          </w:p>
        </w:tc>
        <w:tc>
          <w:tcPr>
            <w:tcW w:w="140" w:type="dxa"/>
            <w:vAlign w:val="bottom"/>
            <w:tcBorders>
              <w:top w:val="single" w:sz="8" w:color="auto"/>
              <w:bottom w:val="single" w:sz="8" w:color="auto"/>
            </w:tcBorders>
            <w:shd w:val="clear" w:color="auto" w:fill="CCFFCC"/>
          </w:tcPr>
          <w:p>
            <w:pPr>
              <w:jc w:val="right"/>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CFFCC"/>
          </w:tcPr>
          <w:p>
            <w:pPr>
              <w:ind w:left="540"/>
              <w:spacing w:after="0" w:line="155" w:lineRule="exact"/>
              <w:rPr>
                <w:sz w:val="20"/>
                <w:szCs w:val="20"/>
                <w:color w:val="auto"/>
              </w:rPr>
            </w:pPr>
            <w:r>
              <w:rPr>
                <w:rFonts w:ascii="Arial" w:cs="Arial" w:eastAsia="Arial" w:hAnsi="Arial"/>
                <w:sz w:val="14"/>
                <w:szCs w:val="14"/>
                <w:color w:val="auto"/>
                <w:w w:val="85"/>
              </w:rPr>
              <w:t>—</w:t>
            </w:r>
          </w:p>
        </w:tc>
        <w:tc>
          <w:tcPr>
            <w:tcW w:w="60" w:type="dxa"/>
            <w:vAlign w:val="bottom"/>
            <w:tcBorders>
              <w:top w:val="single" w:sz="8" w:color="CCFFCC"/>
              <w:bottom w:val="single" w:sz="8" w:color="CCFFCC"/>
            </w:tcBorders>
            <w:shd w:val="clear" w:color="auto" w:fill="CCFFCC"/>
          </w:tcPr>
          <w:p>
            <w:pPr>
              <w:spacing w:after="0"/>
              <w:rPr>
                <w:sz w:val="13"/>
                <w:szCs w:val="13"/>
                <w:color w:val="auto"/>
              </w:rPr>
            </w:pPr>
          </w:p>
        </w:tc>
        <w:tc>
          <w:tcPr>
            <w:tcW w:w="180" w:type="dxa"/>
            <w:vAlign w:val="bottom"/>
            <w:tcBorders>
              <w:top w:val="single" w:sz="8" w:color="CCFFCC"/>
              <w:bottom w:val="single" w:sz="8" w:color="CCFFCC"/>
            </w:tcBorders>
            <w:shd w:val="clear" w:color="auto" w:fill="CCFFCC"/>
          </w:tcPr>
          <w:p>
            <w:pPr>
              <w:spacing w:after="0"/>
              <w:rPr>
                <w:sz w:val="13"/>
                <w:szCs w:val="13"/>
                <w:color w:val="auto"/>
              </w:rPr>
            </w:pPr>
          </w:p>
        </w:tc>
        <w:tc>
          <w:tcPr>
            <w:tcW w:w="120" w:type="dxa"/>
            <w:vAlign w:val="bottom"/>
            <w:tcBorders>
              <w:top w:val="single" w:sz="8" w:color="auto"/>
              <w:bottom w:val="single" w:sz="8" w:color="auto"/>
            </w:tcBorders>
            <w:shd w:val="clear" w:color="auto" w:fill="CCFFCC"/>
          </w:tcPr>
          <w:p>
            <w:pPr>
              <w:jc w:val="right"/>
              <w:ind w:right="9"/>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shd w:val="clear" w:color="auto" w:fill="CCFFCC"/>
          </w:tcPr>
          <w:p>
            <w:pPr>
              <w:jc w:val="right"/>
              <w:spacing w:after="0" w:line="155" w:lineRule="exact"/>
              <w:rPr>
                <w:sz w:val="20"/>
                <w:szCs w:val="20"/>
                <w:color w:val="auto"/>
              </w:rPr>
            </w:pPr>
            <w:r>
              <w:rPr>
                <w:rFonts w:ascii="Arial" w:cs="Arial" w:eastAsia="Arial" w:hAnsi="Arial"/>
                <w:sz w:val="14"/>
                <w:szCs w:val="14"/>
                <w:color w:val="auto"/>
              </w:rPr>
              <w:t>3</w:t>
            </w:r>
          </w:p>
        </w:tc>
        <w:tc>
          <w:tcPr>
            <w:tcW w:w="140" w:type="dxa"/>
            <w:vAlign w:val="bottom"/>
            <w:tcBorders>
              <w:top w:val="single" w:sz="8" w:color="CCFFCC"/>
              <w:bottom w:val="single" w:sz="8" w:color="CCFFCC"/>
            </w:tcBorders>
            <w:shd w:val="clear" w:color="auto" w:fill="CCFFCC"/>
          </w:tcPr>
          <w:p>
            <w:pPr>
              <w:spacing w:after="0"/>
              <w:rPr>
                <w:sz w:val="13"/>
                <w:szCs w:val="13"/>
                <w:color w:val="auto"/>
              </w:rPr>
            </w:pPr>
          </w:p>
        </w:tc>
        <w:tc>
          <w:tcPr>
            <w:tcW w:w="80" w:type="dxa"/>
            <w:vAlign w:val="bottom"/>
            <w:tcBorders>
              <w:top w:val="single" w:sz="8" w:color="CCFFCC"/>
              <w:bottom w:val="single" w:sz="8" w:color="CCFFCC"/>
            </w:tcBorders>
            <w:shd w:val="clear" w:color="auto" w:fill="CCFFCC"/>
          </w:tcPr>
          <w:p>
            <w:pPr>
              <w:spacing w:after="0"/>
              <w:rPr>
                <w:sz w:val="13"/>
                <w:szCs w:val="13"/>
                <w:color w:val="auto"/>
              </w:rPr>
            </w:pPr>
          </w:p>
        </w:tc>
        <w:tc>
          <w:tcPr>
            <w:tcW w:w="120" w:type="dxa"/>
            <w:vAlign w:val="bottom"/>
            <w:tcBorders>
              <w:top w:val="single" w:sz="8" w:color="auto"/>
              <w:bottom w:val="single" w:sz="8" w:color="auto"/>
            </w:tcBorders>
            <w:shd w:val="clear" w:color="auto" w:fill="CCFFCC"/>
          </w:tcPr>
          <w:p>
            <w:pPr>
              <w:jc w:val="right"/>
              <w:ind w:right="9"/>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shd w:val="clear" w:color="auto" w:fill="CCFFCC"/>
          </w:tcPr>
          <w:p>
            <w:pPr>
              <w:ind w:left="500"/>
              <w:spacing w:after="0" w:line="155" w:lineRule="exact"/>
              <w:rPr>
                <w:sz w:val="20"/>
                <w:szCs w:val="20"/>
                <w:color w:val="auto"/>
              </w:rPr>
            </w:pPr>
            <w:r>
              <w:rPr>
                <w:rFonts w:ascii="Arial" w:cs="Arial" w:eastAsia="Arial" w:hAnsi="Arial"/>
                <w:sz w:val="14"/>
                <w:szCs w:val="14"/>
                <w:color w:val="auto"/>
                <w:w w:val="99"/>
              </w:rPr>
              <w:t>—</w:t>
            </w:r>
          </w:p>
        </w:tc>
        <w:tc>
          <w:tcPr>
            <w:tcW w:w="100" w:type="dxa"/>
            <w:vAlign w:val="bottom"/>
            <w:tcBorders>
              <w:top w:val="single" w:sz="8" w:color="CCFFCC"/>
              <w:bottom w:val="single" w:sz="8" w:color="CCFFCC"/>
            </w:tcBorders>
            <w:shd w:val="clear" w:color="auto" w:fill="CCFFCC"/>
          </w:tcPr>
          <w:p>
            <w:pPr>
              <w:spacing w:after="0"/>
              <w:rPr>
                <w:sz w:val="13"/>
                <w:szCs w:val="13"/>
                <w:color w:val="auto"/>
              </w:rPr>
            </w:pPr>
          </w:p>
        </w:tc>
        <w:tc>
          <w:tcPr>
            <w:tcW w:w="100" w:type="dxa"/>
            <w:vAlign w:val="bottom"/>
            <w:tcBorders>
              <w:top w:val="single" w:sz="8" w:color="CCFFCC"/>
              <w:bottom w:val="single" w:sz="8" w:color="CCFFCC"/>
            </w:tcBorders>
            <w:shd w:val="clear" w:color="auto" w:fill="CCFFCC"/>
          </w:tcPr>
          <w:p>
            <w:pPr>
              <w:spacing w:after="0"/>
              <w:rPr>
                <w:sz w:val="13"/>
                <w:szCs w:val="13"/>
                <w:color w:val="auto"/>
              </w:rPr>
            </w:pPr>
          </w:p>
        </w:tc>
        <w:tc>
          <w:tcPr>
            <w:tcW w:w="140" w:type="dxa"/>
            <w:vAlign w:val="bottom"/>
            <w:tcBorders>
              <w:top w:val="single" w:sz="8" w:color="auto"/>
              <w:bottom w:val="single" w:sz="8" w:color="auto"/>
            </w:tcBorders>
            <w:shd w:val="clear" w:color="auto" w:fill="CCFFCC"/>
          </w:tcPr>
          <w:p>
            <w:pPr>
              <w:jc w:val="right"/>
              <w:spacing w:after="0" w:line="155"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CFFCC"/>
          </w:tcPr>
          <w:p>
            <w:pPr>
              <w:ind w:left="500"/>
              <w:spacing w:after="0" w:line="155" w:lineRule="exact"/>
              <w:rPr>
                <w:sz w:val="20"/>
                <w:szCs w:val="20"/>
                <w:color w:val="auto"/>
              </w:rPr>
            </w:pPr>
            <w:r>
              <w:rPr>
                <w:rFonts w:ascii="Arial" w:cs="Arial" w:eastAsia="Arial" w:hAnsi="Arial"/>
                <w:sz w:val="14"/>
                <w:szCs w:val="14"/>
                <w:color w:val="auto"/>
                <w:w w:val="99"/>
              </w:rPr>
              <w:t>—</w:t>
            </w:r>
          </w:p>
        </w:tc>
        <w:tc>
          <w:tcPr>
            <w:tcW w:w="100" w:type="dxa"/>
            <w:vAlign w:val="bottom"/>
            <w:tcBorders>
              <w:top w:val="single" w:sz="8" w:color="CCFFCC"/>
              <w:bottom w:val="single" w:sz="8" w:color="CCFFCC"/>
            </w:tcBorders>
            <w:shd w:val="clear" w:color="auto" w:fill="CCFFCC"/>
          </w:tcPr>
          <w:p>
            <w:pPr>
              <w:spacing w:after="0"/>
              <w:rPr>
                <w:sz w:val="13"/>
                <w:szCs w:val="13"/>
                <w:color w:val="auto"/>
              </w:rPr>
            </w:pPr>
          </w:p>
        </w:tc>
        <w:tc>
          <w:tcPr>
            <w:tcW w:w="100" w:type="dxa"/>
            <w:vAlign w:val="bottom"/>
            <w:tcBorders>
              <w:top w:val="single" w:sz="8" w:color="CCFFCC"/>
              <w:bottom w:val="single" w:sz="8" w:color="CCFFCC"/>
            </w:tcBorders>
            <w:shd w:val="clear" w:color="auto" w:fill="CCFFCC"/>
          </w:tcPr>
          <w:p>
            <w:pPr>
              <w:spacing w:after="0"/>
              <w:rPr>
                <w:sz w:val="13"/>
                <w:szCs w:val="13"/>
                <w:color w:val="auto"/>
              </w:rPr>
            </w:pPr>
          </w:p>
        </w:tc>
        <w:tc>
          <w:tcPr>
            <w:tcW w:w="140" w:type="dxa"/>
            <w:vAlign w:val="bottom"/>
            <w:tcBorders>
              <w:top w:val="single" w:sz="8" w:color="auto"/>
              <w:bottom w:val="single" w:sz="8" w:color="auto"/>
            </w:tcBorders>
            <w:shd w:val="clear" w:color="auto" w:fill="CCFFCC"/>
          </w:tcPr>
          <w:p>
            <w:pPr>
              <w:jc w:val="right"/>
              <w:spacing w:after="0" w:line="155"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CFFCC"/>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FFCC"/>
              <w:bottom w:val="single" w:sz="8" w:color="CCFFCC"/>
            </w:tcBorders>
            <w:shd w:val="clear" w:color="auto" w:fill="CCFFCC"/>
          </w:tcPr>
          <w:p>
            <w:pPr>
              <w:spacing w:after="0"/>
              <w:rPr>
                <w:sz w:val="13"/>
                <w:szCs w:val="13"/>
                <w:color w:val="auto"/>
              </w:rPr>
            </w:pPr>
          </w:p>
        </w:tc>
        <w:tc>
          <w:tcPr>
            <w:tcW w:w="100" w:type="dxa"/>
            <w:vAlign w:val="bottom"/>
            <w:tcBorders>
              <w:top w:val="single" w:sz="8" w:color="CCFFCC"/>
              <w:bottom w:val="single" w:sz="8" w:color="CCFFCC"/>
            </w:tcBorders>
            <w:shd w:val="clear" w:color="auto" w:fill="CCFFCC"/>
          </w:tcPr>
          <w:p>
            <w:pPr>
              <w:spacing w:after="0"/>
              <w:rPr>
                <w:sz w:val="13"/>
                <w:szCs w:val="13"/>
                <w:color w:val="auto"/>
              </w:rPr>
            </w:pPr>
          </w:p>
        </w:tc>
        <w:tc>
          <w:tcPr>
            <w:tcW w:w="120" w:type="dxa"/>
            <w:vAlign w:val="bottom"/>
            <w:tcBorders>
              <w:top w:val="single" w:sz="8" w:color="auto"/>
              <w:bottom w:val="single" w:sz="8" w:color="auto"/>
            </w:tcBorders>
            <w:shd w:val="clear" w:color="auto" w:fill="CCFFCC"/>
          </w:tcPr>
          <w:p>
            <w:pPr>
              <w:jc w:val="right"/>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CFFCC"/>
          </w:tcPr>
          <w:p>
            <w:pPr>
              <w:ind w:left="520"/>
              <w:spacing w:after="0" w:line="155" w:lineRule="exact"/>
              <w:rPr>
                <w:sz w:val="20"/>
                <w:szCs w:val="20"/>
                <w:color w:val="auto"/>
              </w:rPr>
            </w:pPr>
            <w:r>
              <w:rPr>
                <w:rFonts w:ascii="Arial" w:cs="Arial" w:eastAsia="Arial" w:hAnsi="Arial"/>
                <w:sz w:val="14"/>
                <w:szCs w:val="14"/>
                <w:color w:val="auto"/>
                <w:w w:val="99"/>
              </w:rPr>
              <w:t>—</w:t>
            </w:r>
          </w:p>
        </w:tc>
        <w:tc>
          <w:tcPr>
            <w:tcW w:w="100" w:type="dxa"/>
            <w:vAlign w:val="bottom"/>
            <w:tcBorders>
              <w:top w:val="single" w:sz="8" w:color="CCFFCC"/>
              <w:bottom w:val="single" w:sz="8" w:color="CCFFCC"/>
            </w:tcBorders>
            <w:shd w:val="clear" w:color="auto" w:fill="CCFFC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Available-for-sale securities are recorded at fair value with unrealized gains and losses reported, net of tax, in other comprehensive income, unless unrealized losses are determined to be other than temporary. As of August 3, 2013, the Company held $53 million of available-for-sale securities, which was comprised of $47 million of short-term investments and a $6 million auction rate security, which is included in other assets.</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Short-term investments represent corporate bonds with maturity dates within one year from the purchase date. These securities are valued using model-derived valuations in which all significant inputs or significant value-drivers are observable in active markets and therefore are classified as Level 2 instruments.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 of the auction rate security is determined by using quoted prices for similar instruments in active markets and accordingly is classified as a Level 2 instrument.</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derivative financial instruments are valued using market-based inputs to valuation models. These valuation models require a variety of inputs, including contractual terms, market prices, yield curves, and measures of volatility.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Financial Instruments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carrying value and estimated fair value of long-term debt and obligations under capital leases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August 3,</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July 28,</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rPr>
              <w:t>February 2,</w:t>
            </w:r>
          </w:p>
        </w:tc>
      </w:tr>
      <w:tr>
        <w:trPr>
          <w:trHeight w:val="234"/>
        </w:trPr>
        <w:tc>
          <w:tcPr>
            <w:tcW w:w="69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millions)</w:t>
            </w:r>
          </w:p>
        </w:tc>
        <w:tc>
          <w:tcPr>
            <w:tcW w:w="120" w:type="dxa"/>
            <w:vAlign w:val="bottom"/>
            <w:tcBorders>
              <w:bottom w:val="single" w:sz="8" w:color="CCFFCC"/>
            </w:tcBorders>
          </w:tcPr>
          <w:p>
            <w:pPr>
              <w:spacing w:after="0"/>
              <w:rPr>
                <w:sz w:val="20"/>
                <w:szCs w:val="20"/>
                <w:color w:val="auto"/>
              </w:rPr>
            </w:pPr>
          </w:p>
        </w:tc>
        <w:tc>
          <w:tcPr>
            <w:tcW w:w="10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2013</w:t>
            </w:r>
          </w:p>
        </w:tc>
        <w:tc>
          <w:tcPr>
            <w:tcW w:w="260" w:type="dxa"/>
            <w:vAlign w:val="bottom"/>
            <w:tcBorders>
              <w:bottom w:val="single" w:sz="8" w:color="auto"/>
            </w:tcBorders>
          </w:tcPr>
          <w:p>
            <w:pPr>
              <w:spacing w:after="0"/>
              <w:rPr>
                <w:sz w:val="20"/>
                <w:szCs w:val="20"/>
                <w:color w:val="auto"/>
              </w:rPr>
            </w:pPr>
          </w:p>
        </w:tc>
        <w:tc>
          <w:tcPr>
            <w:tcW w:w="120" w:type="dxa"/>
            <w:vAlign w:val="bottom"/>
            <w:tcBorders>
              <w:bottom w:val="single" w:sz="8" w:color="CCFFCC"/>
            </w:tcBorders>
          </w:tcPr>
          <w:p>
            <w:pPr>
              <w:spacing w:after="0"/>
              <w:rPr>
                <w:sz w:val="20"/>
                <w:szCs w:val="20"/>
                <w:color w:val="auto"/>
              </w:rPr>
            </w:pPr>
          </w:p>
        </w:tc>
        <w:tc>
          <w:tcPr>
            <w:tcW w:w="140" w:type="dxa"/>
            <w:vAlign w:val="bottom"/>
            <w:tcBorders>
              <w:bottom w:val="single" w:sz="8" w:color="CCFFCC"/>
            </w:tcBorders>
          </w:tcPr>
          <w:p>
            <w:pPr>
              <w:spacing w:after="0"/>
              <w:rPr>
                <w:sz w:val="20"/>
                <w:szCs w:val="20"/>
                <w:color w:val="auto"/>
              </w:rPr>
            </w:pP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2012</w:t>
            </w:r>
          </w:p>
        </w:tc>
        <w:tc>
          <w:tcPr>
            <w:tcW w:w="300" w:type="dxa"/>
            <w:vAlign w:val="bottom"/>
            <w:tcBorders>
              <w:bottom w:val="single" w:sz="8" w:color="auto"/>
            </w:tcBorders>
          </w:tcPr>
          <w:p>
            <w:pPr>
              <w:spacing w:after="0"/>
              <w:rPr>
                <w:sz w:val="20"/>
                <w:szCs w:val="20"/>
                <w:color w:val="auto"/>
              </w:rPr>
            </w:pPr>
          </w:p>
        </w:tc>
        <w:tc>
          <w:tcPr>
            <w:tcW w:w="100" w:type="dxa"/>
            <w:vAlign w:val="bottom"/>
            <w:tcBorders>
              <w:bottom w:val="single" w:sz="8" w:color="CCFFCC"/>
            </w:tcBorders>
          </w:tcPr>
          <w:p>
            <w:pPr>
              <w:spacing w:after="0"/>
              <w:rPr>
                <w:sz w:val="20"/>
                <w:szCs w:val="20"/>
                <w:color w:val="auto"/>
              </w:rPr>
            </w:pPr>
          </w:p>
        </w:tc>
        <w:tc>
          <w:tcPr>
            <w:tcW w:w="100" w:type="dxa"/>
            <w:vAlign w:val="bottom"/>
            <w:tcBorders>
              <w:bottom w:val="single" w:sz="8" w:color="CCFFC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100" w:type="dxa"/>
            <w:vAlign w:val="bottom"/>
            <w:tcBorders>
              <w:bottom w:val="single" w:sz="8" w:color="CCFFCC"/>
            </w:tcBorders>
          </w:tcPr>
          <w:p>
            <w:pPr>
              <w:spacing w:after="0"/>
              <w:rPr>
                <w:sz w:val="20"/>
                <w:szCs w:val="20"/>
                <w:color w:val="auto"/>
              </w:rPr>
            </w:pPr>
          </w:p>
        </w:tc>
      </w:tr>
      <w:tr>
        <w:trPr>
          <w:trHeight w:val="250"/>
        </w:trPr>
        <w:tc>
          <w:tcPr>
            <w:tcW w:w="6980" w:type="dxa"/>
            <w:vAlign w:val="bottom"/>
            <w:shd w:val="clear" w:color="auto" w:fill="CCFFCC"/>
          </w:tcPr>
          <w:p>
            <w:pPr>
              <w:spacing w:after="0" w:line="251" w:lineRule="exact"/>
              <w:rPr>
                <w:sz w:val="20"/>
                <w:szCs w:val="20"/>
                <w:color w:val="auto"/>
              </w:rPr>
            </w:pPr>
            <w:r>
              <w:rPr>
                <w:rFonts w:ascii="Arial" w:cs="Arial" w:eastAsia="Arial" w:hAnsi="Arial"/>
                <w:sz w:val="18"/>
                <w:szCs w:val="18"/>
                <w:color w:val="auto"/>
              </w:rPr>
              <w:t xml:space="preserve">Carrying value </w:t>
            </w:r>
            <w:r>
              <w:rPr>
                <w:rFonts w:ascii="Arial" w:cs="Arial" w:eastAsia="Arial" w:hAnsi="Arial"/>
                <w:sz w:val="29"/>
                <w:szCs w:val="29"/>
                <w:color w:val="auto"/>
                <w:vertAlign w:val="superscript"/>
              </w:rPr>
              <w:t>(1)</w:t>
            </w:r>
          </w:p>
        </w:tc>
        <w:tc>
          <w:tcPr>
            <w:tcW w:w="1120" w:type="dxa"/>
            <w:vAlign w:val="bottom"/>
            <w:gridSpan w:val="2"/>
            <w:shd w:val="clear" w:color="auto" w:fill="CCFFCC"/>
          </w:tcPr>
          <w:p>
            <w:pPr>
              <w:jc w:val="right"/>
              <w:ind w:right="83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w w:val="79"/>
              </w:rPr>
              <w:t>141</w:t>
            </w:r>
          </w:p>
        </w:tc>
        <w:tc>
          <w:tcPr>
            <w:tcW w:w="1080" w:type="dxa"/>
            <w:vAlign w:val="bottom"/>
            <w:gridSpan w:val="2"/>
            <w:shd w:val="clear" w:color="auto" w:fill="CCFFCC"/>
          </w:tcPr>
          <w:p>
            <w:pPr>
              <w:jc w:val="right"/>
              <w:ind w:right="77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w w:val="93"/>
              </w:rPr>
              <w:t>133</w:t>
            </w:r>
          </w:p>
        </w:tc>
        <w:tc>
          <w:tcPr>
            <w:tcW w:w="2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133</w:t>
            </w:r>
          </w:p>
        </w:tc>
      </w:tr>
      <w:tr>
        <w:trPr>
          <w:trHeight w:val="390"/>
        </w:trPr>
        <w:tc>
          <w:tcPr>
            <w:tcW w:w="6980" w:type="dxa"/>
            <w:vAlign w:val="bottom"/>
          </w:tcPr>
          <w:p>
            <w:pPr>
              <w:spacing w:after="0"/>
              <w:rPr>
                <w:sz w:val="20"/>
                <w:szCs w:val="20"/>
                <w:color w:val="auto"/>
              </w:rPr>
            </w:pPr>
            <w:r>
              <w:rPr>
                <w:rFonts w:ascii="Arial" w:cs="Arial" w:eastAsia="Arial" w:hAnsi="Arial"/>
                <w:sz w:val="18"/>
                <w:szCs w:val="18"/>
                <w:color w:val="auto"/>
              </w:rPr>
              <w:t xml:space="preserve">Fair value </w:t>
            </w:r>
            <w:r>
              <w:rPr>
                <w:rFonts w:ascii="Arial" w:cs="Arial" w:eastAsia="Arial" w:hAnsi="Arial"/>
                <w:sz w:val="30"/>
                <w:szCs w:val="30"/>
                <w:color w:val="auto"/>
                <w:vertAlign w:val="superscript"/>
              </w:rPr>
              <w:t>(1)</w:t>
            </w:r>
          </w:p>
        </w:tc>
        <w:tc>
          <w:tcPr>
            <w:tcW w:w="1120" w:type="dxa"/>
            <w:vAlign w:val="bottom"/>
            <w:gridSpan w:val="2"/>
          </w:tcPr>
          <w:p>
            <w:pPr>
              <w:jc w:val="right"/>
              <w:ind w:right="83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w w:val="79"/>
              </w:rPr>
              <w:t>165</w:t>
            </w:r>
          </w:p>
        </w:tc>
        <w:tc>
          <w:tcPr>
            <w:tcW w:w="108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143</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152</w:t>
            </w:r>
          </w:p>
        </w:tc>
      </w:tr>
    </w:tbl>
    <w:p>
      <w:pPr>
        <w:spacing w:after="0" w:line="68" w:lineRule="exact"/>
        <w:rPr>
          <w:sz w:val="20"/>
          <w:szCs w:val="20"/>
          <w:color w:val="auto"/>
        </w:rPr>
      </w:pPr>
    </w:p>
    <w:p>
      <w:pPr>
        <w:jc w:val="both"/>
        <w:ind w:left="340" w:hanging="332"/>
        <w:spacing w:after="0" w:line="264"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connection with the acquisition of Runners Point Group in the second quarter of 2013, the Company recognized capital leases. These were existing agreements primarily related to the financing of certain store fixtures. Accordingly, $9 million is included in the total above; $3 million is classified as short-term and $6 million is classified as long-term.</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5" w:lineRule="exact"/>
        <w:rPr>
          <w:sz w:val="20"/>
          <w:szCs w:val="20"/>
          <w:color w:val="auto"/>
        </w:rPr>
      </w:pPr>
    </w:p>
    <w:p>
      <w:pPr>
        <w:ind w:left="180" w:hanging="172"/>
        <w:spacing w:after="0"/>
        <w:tabs>
          <w:tab w:leader="none" w:pos="18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Fair Value Measurements – (continued)</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fair value of long-term debt is determined by using model-derived valuations in which all significant inputs or significant value-drivers are observable in active markets and therefore is classified as Level 2.</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 carrying values of cash and cash equivalents, short-term investments, and other current receivables and payables approximate their fair value.</w:t>
      </w:r>
    </w:p>
    <w:p>
      <w:pPr>
        <w:spacing w:after="0" w:line="233" w:lineRule="exact"/>
        <w:rPr>
          <w:sz w:val="20"/>
          <w:szCs w:val="20"/>
          <w:color w:val="auto"/>
        </w:rPr>
      </w:pPr>
    </w:p>
    <w:p>
      <w:pPr>
        <w:ind w:left="180" w:hanging="172"/>
        <w:spacing w:after="0"/>
        <w:tabs>
          <w:tab w:leader="none" w:pos="18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Earnings Per Share</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accounts for and discloses net earnings per share using the treasury stock method. The Company’s basic earnings per share is computed by dividing the Company’s reported net income for the period by the weighted-average number of common shares outstanding at the end of the period. The Company’s restricted stock awards, which contain non-forfeitable rights to dividends, are considered participating securities and are included in the calculation of basic earnings per share. Diluted earnings per share reflects the weighted-average number of common shares outstanding during the period used in the basic earnings per share computation plus dilutive common stock equivalents.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Company’s basic and diluted weighted-average number of common shares outstanding was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0" w:type="dxa"/>
            <w:vAlign w:val="bottom"/>
            <w:gridSpan w:val="4"/>
          </w:tcPr>
          <w:p>
            <w:pPr>
              <w:ind w:left="540"/>
              <w:spacing w:after="0"/>
              <w:rPr>
                <w:sz w:val="20"/>
                <w:szCs w:val="20"/>
                <w:color w:val="auto"/>
              </w:rPr>
            </w:pPr>
            <w:r>
              <w:rPr>
                <w:rFonts w:ascii="Arial" w:cs="Arial" w:eastAsia="Arial" w:hAnsi="Arial"/>
                <w:sz w:val="18"/>
                <w:szCs w:val="18"/>
                <w:b w:val="1"/>
                <w:bCs w:val="1"/>
                <w:color w:val="auto"/>
              </w:rPr>
              <w:t>Thirteen weeks ended</w:t>
            </w:r>
          </w:p>
        </w:tc>
        <w:tc>
          <w:tcPr>
            <w:tcW w:w="2800" w:type="dxa"/>
            <w:vAlign w:val="bottom"/>
            <w:gridSpan w:val="5"/>
          </w:tcPr>
          <w:p>
            <w:pPr>
              <w:ind w:left="420"/>
              <w:spacing w:after="0"/>
              <w:rPr>
                <w:sz w:val="20"/>
                <w:szCs w:val="20"/>
                <w:color w:val="auto"/>
              </w:rPr>
            </w:pPr>
            <w:r>
              <w:rPr>
                <w:rFonts w:ascii="Arial" w:cs="Arial" w:eastAsia="Arial" w:hAnsi="Arial"/>
                <w:sz w:val="18"/>
                <w:szCs w:val="18"/>
                <w:b w:val="1"/>
                <w:bCs w:val="1"/>
                <w:color w:val="auto"/>
              </w:rPr>
              <w:t>Twenty-six weeks ended</w:t>
            </w:r>
          </w:p>
        </w:tc>
      </w:tr>
      <w:tr>
        <w:trPr>
          <w:trHeight w:val="205"/>
        </w:trPr>
        <w:tc>
          <w:tcPr>
            <w:tcW w:w="5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Borders>
              <w:top w:val="single" w:sz="8" w:color="auto"/>
            </w:tcBorders>
            <w:gridSpan w:val="2"/>
          </w:tcPr>
          <w:p>
            <w:pPr>
              <w:ind w:left="260"/>
              <w:spacing w:after="0" w:line="205" w:lineRule="exact"/>
              <w:rPr>
                <w:sz w:val="20"/>
                <w:szCs w:val="20"/>
                <w:color w:val="auto"/>
              </w:rPr>
            </w:pPr>
            <w:r>
              <w:rPr>
                <w:rFonts w:ascii="Arial" w:cs="Arial" w:eastAsia="Arial" w:hAnsi="Arial"/>
                <w:sz w:val="18"/>
                <w:szCs w:val="18"/>
                <w:b w:val="1"/>
                <w:bCs w:val="1"/>
                <w:color w:val="auto"/>
              </w:rPr>
              <w:t>August 3,</w:t>
            </w:r>
          </w:p>
        </w:tc>
        <w:tc>
          <w:tcPr>
            <w:tcW w:w="1280" w:type="dxa"/>
            <w:vAlign w:val="bottom"/>
            <w:tcBorders>
              <w:top w:val="single" w:sz="8" w:color="auto"/>
            </w:tcBorders>
          </w:tcPr>
          <w:p>
            <w:pPr>
              <w:jc w:val="right"/>
              <w:ind w:right="250"/>
              <w:spacing w:after="0" w:line="205" w:lineRule="exact"/>
              <w:rPr>
                <w:sz w:val="20"/>
                <w:szCs w:val="20"/>
                <w:color w:val="auto"/>
              </w:rPr>
            </w:pPr>
            <w:r>
              <w:rPr>
                <w:rFonts w:ascii="Arial" w:cs="Arial" w:eastAsia="Arial" w:hAnsi="Arial"/>
                <w:sz w:val="18"/>
                <w:szCs w:val="18"/>
                <w:b w:val="1"/>
                <w:bCs w:val="1"/>
                <w:color w:val="auto"/>
              </w:rPr>
              <w:t>July 28,</w:t>
            </w:r>
          </w:p>
        </w:tc>
        <w:tc>
          <w:tcPr>
            <w:tcW w:w="220" w:type="dxa"/>
            <w:vAlign w:val="bottom"/>
          </w:tcPr>
          <w:p>
            <w:pPr>
              <w:spacing w:after="0"/>
              <w:rPr>
                <w:sz w:val="17"/>
                <w:szCs w:val="17"/>
                <w:color w:val="auto"/>
              </w:rPr>
            </w:pPr>
          </w:p>
        </w:tc>
        <w:tc>
          <w:tcPr>
            <w:tcW w:w="1440" w:type="dxa"/>
            <w:vAlign w:val="bottom"/>
            <w:tcBorders>
              <w:top w:val="single" w:sz="8" w:color="auto"/>
            </w:tcBorders>
            <w:gridSpan w:val="2"/>
          </w:tcPr>
          <w:p>
            <w:pPr>
              <w:ind w:left="240"/>
              <w:spacing w:after="0" w:line="205" w:lineRule="exact"/>
              <w:rPr>
                <w:sz w:val="20"/>
                <w:szCs w:val="20"/>
                <w:color w:val="auto"/>
              </w:rPr>
            </w:pPr>
            <w:r>
              <w:rPr>
                <w:rFonts w:ascii="Arial" w:cs="Arial" w:eastAsia="Arial" w:hAnsi="Arial"/>
                <w:sz w:val="18"/>
                <w:szCs w:val="18"/>
                <w:b w:val="1"/>
                <w:bCs w:val="1"/>
                <w:color w:val="auto"/>
              </w:rPr>
              <w:t>August 3,</w:t>
            </w:r>
          </w:p>
        </w:tc>
        <w:tc>
          <w:tcPr>
            <w:tcW w:w="1260" w:type="dxa"/>
            <w:vAlign w:val="bottom"/>
            <w:tcBorders>
              <w:top w:val="single" w:sz="8" w:color="auto"/>
            </w:tcBorders>
          </w:tcPr>
          <w:p>
            <w:pPr>
              <w:jc w:val="right"/>
              <w:ind w:right="230"/>
              <w:spacing w:after="0" w:line="205" w:lineRule="exact"/>
              <w:rPr>
                <w:sz w:val="20"/>
                <w:szCs w:val="20"/>
                <w:color w:val="auto"/>
              </w:rPr>
            </w:pPr>
            <w:r>
              <w:rPr>
                <w:rFonts w:ascii="Arial" w:cs="Arial" w:eastAsia="Arial" w:hAnsi="Arial"/>
                <w:sz w:val="18"/>
                <w:szCs w:val="18"/>
                <w:b w:val="1"/>
                <w:bCs w:val="1"/>
                <w:color w:val="auto"/>
              </w:rPr>
              <w:t>July 28,</w:t>
            </w:r>
          </w:p>
        </w:tc>
        <w:tc>
          <w:tcPr>
            <w:tcW w:w="100" w:type="dxa"/>
            <w:vAlign w:val="bottom"/>
            <w:gridSpan w:val="2"/>
          </w:tcPr>
          <w:p>
            <w:pPr>
              <w:spacing w:after="0"/>
              <w:rPr>
                <w:sz w:val="17"/>
                <w:szCs w:val="17"/>
                <w:color w:val="auto"/>
              </w:rPr>
            </w:pPr>
          </w:p>
        </w:tc>
      </w:tr>
      <w:tr>
        <w:trPr>
          <w:trHeight w:val="234"/>
        </w:trPr>
        <w:tc>
          <w:tcPr>
            <w:tcW w:w="5620" w:type="dxa"/>
            <w:vAlign w:val="bottom"/>
            <w:gridSpan w:val="2"/>
          </w:tcPr>
          <w:p>
            <w:pPr>
              <w:spacing w:after="0"/>
              <w:rPr>
                <w:sz w:val="20"/>
                <w:szCs w:val="20"/>
                <w:color w:val="auto"/>
              </w:rPr>
            </w:pPr>
            <w:r>
              <w:rPr>
                <w:rFonts w:ascii="Arial" w:cs="Arial" w:eastAsia="Arial" w:hAnsi="Arial"/>
                <w:sz w:val="18"/>
                <w:szCs w:val="18"/>
                <w:b w:val="1"/>
                <w:bCs w:val="1"/>
                <w:color w:val="auto"/>
              </w:rPr>
              <w:t>(in millions)</w:t>
            </w:r>
          </w:p>
        </w:tc>
        <w:tc>
          <w:tcPr>
            <w:tcW w:w="1260" w:type="dxa"/>
            <w:vAlign w:val="bottom"/>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240" w:type="dxa"/>
            <w:vAlign w:val="bottom"/>
          </w:tcPr>
          <w:p>
            <w:pPr>
              <w:spacing w:after="0"/>
              <w:rPr>
                <w:sz w:val="20"/>
                <w:szCs w:val="20"/>
                <w:color w:val="auto"/>
              </w:rPr>
            </w:pPr>
          </w:p>
        </w:tc>
        <w:tc>
          <w:tcPr>
            <w:tcW w:w="12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2012</w:t>
            </w:r>
          </w:p>
        </w:tc>
        <w:tc>
          <w:tcPr>
            <w:tcW w:w="220" w:type="dxa"/>
            <w:vAlign w:val="bottom"/>
          </w:tcPr>
          <w:p>
            <w:pPr>
              <w:spacing w:after="0"/>
              <w:rPr>
                <w:sz w:val="20"/>
                <w:szCs w:val="20"/>
                <w:color w:val="auto"/>
              </w:rPr>
            </w:pPr>
          </w:p>
        </w:tc>
        <w:tc>
          <w:tcPr>
            <w:tcW w:w="12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200" w:type="dxa"/>
            <w:vAlign w:val="bottom"/>
          </w:tcPr>
          <w:p>
            <w:pPr>
              <w:spacing w:after="0"/>
              <w:rPr>
                <w:sz w:val="20"/>
                <w:szCs w:val="20"/>
                <w:color w:val="auto"/>
              </w:rPr>
            </w:pPr>
          </w:p>
        </w:tc>
        <w:tc>
          <w:tcPr>
            <w:tcW w:w="12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550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Weighted-average common shares outstanding</w:t>
            </w:r>
          </w:p>
        </w:tc>
        <w:tc>
          <w:tcPr>
            <w:tcW w:w="120" w:type="dxa"/>
            <w:vAlign w:val="bottom"/>
            <w:tcBorders>
              <w:top w:val="single" w:sz="8" w:color="CCFFCC"/>
            </w:tcBorders>
            <w:shd w:val="clear" w:color="auto" w:fill="CCFFCC"/>
          </w:tcPr>
          <w:p>
            <w:pPr>
              <w:spacing w:after="0"/>
              <w:rPr>
                <w:sz w:val="18"/>
                <w:szCs w:val="18"/>
                <w:color w:val="auto"/>
              </w:rPr>
            </w:pPr>
          </w:p>
        </w:tc>
        <w:tc>
          <w:tcPr>
            <w:tcW w:w="12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149.5</w:t>
            </w:r>
          </w:p>
        </w:tc>
        <w:tc>
          <w:tcPr>
            <w:tcW w:w="240" w:type="dxa"/>
            <w:vAlign w:val="bottom"/>
            <w:tcBorders>
              <w:top w:val="single" w:sz="8" w:color="CCFFCC"/>
            </w:tcBorders>
            <w:shd w:val="clear" w:color="auto" w:fill="CCFFCC"/>
          </w:tcPr>
          <w:p>
            <w:pPr>
              <w:spacing w:after="0"/>
              <w:rPr>
                <w:sz w:val="18"/>
                <w:szCs w:val="18"/>
                <w:color w:val="auto"/>
              </w:rPr>
            </w:pPr>
          </w:p>
        </w:tc>
        <w:tc>
          <w:tcPr>
            <w:tcW w:w="12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151.4</w:t>
            </w:r>
          </w:p>
        </w:tc>
        <w:tc>
          <w:tcPr>
            <w:tcW w:w="220" w:type="dxa"/>
            <w:vAlign w:val="bottom"/>
            <w:tcBorders>
              <w:top w:val="single" w:sz="8" w:color="CCFFCC"/>
            </w:tcBorders>
            <w:shd w:val="clear" w:color="auto" w:fill="CCFFCC"/>
          </w:tcPr>
          <w:p>
            <w:pPr>
              <w:spacing w:after="0"/>
              <w:rPr>
                <w:sz w:val="18"/>
                <w:szCs w:val="18"/>
                <w:color w:val="auto"/>
              </w:rPr>
            </w:pPr>
          </w:p>
        </w:tc>
        <w:tc>
          <w:tcPr>
            <w:tcW w:w="12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149.9</w:t>
            </w:r>
          </w:p>
        </w:tc>
        <w:tc>
          <w:tcPr>
            <w:tcW w:w="200" w:type="dxa"/>
            <w:vAlign w:val="bottom"/>
            <w:tcBorders>
              <w:top w:val="single" w:sz="8" w:color="CCFFCC"/>
            </w:tcBorders>
            <w:shd w:val="clear" w:color="auto" w:fill="CCFFCC"/>
          </w:tcPr>
          <w:p>
            <w:pPr>
              <w:spacing w:after="0"/>
              <w:rPr>
                <w:sz w:val="18"/>
                <w:szCs w:val="18"/>
                <w:color w:val="auto"/>
              </w:rPr>
            </w:pPr>
          </w:p>
        </w:tc>
        <w:tc>
          <w:tcPr>
            <w:tcW w:w="12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151.6</w:t>
            </w:r>
          </w:p>
        </w:tc>
        <w:tc>
          <w:tcPr>
            <w:tcW w:w="2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i w:val="1"/>
                <w:iCs w:val="1"/>
                <w:color w:val="auto"/>
              </w:rPr>
              <w:t>Effect of Dilution:</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56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Stock options and awards</w:t>
            </w: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1.9</w:t>
            </w:r>
          </w:p>
        </w:tc>
        <w:tc>
          <w:tcPr>
            <w:tcW w:w="240" w:type="dxa"/>
            <w:vAlign w:val="bottom"/>
            <w:shd w:val="clear" w:color="auto" w:fill="CCFFCC"/>
          </w:tcPr>
          <w:p>
            <w:pPr>
              <w:spacing w:after="0"/>
              <w:rPr>
                <w:sz w:val="19"/>
                <w:szCs w:val="19"/>
                <w:color w:val="auto"/>
              </w:rPr>
            </w:pPr>
          </w:p>
        </w:tc>
        <w:tc>
          <w:tcPr>
            <w:tcW w:w="15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2.5</w:t>
            </w:r>
          </w:p>
        </w:tc>
        <w:tc>
          <w:tcPr>
            <w:tcW w:w="14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2.2</w:t>
            </w:r>
          </w:p>
        </w:tc>
        <w:tc>
          <w:tcPr>
            <w:tcW w:w="12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2.5</w:t>
            </w:r>
          </w:p>
        </w:tc>
        <w:tc>
          <w:tcPr>
            <w:tcW w:w="80" w:type="dxa"/>
            <w:vAlign w:val="bottom"/>
            <w:shd w:val="clear" w:color="auto" w:fill="CCFFCC"/>
          </w:tcPr>
          <w:p>
            <w:pPr>
              <w:spacing w:after="0"/>
              <w:rPr>
                <w:sz w:val="19"/>
                <w:szCs w:val="19"/>
                <w:color w:val="auto"/>
              </w:rPr>
            </w:pPr>
          </w:p>
        </w:tc>
      </w:tr>
      <w:tr>
        <w:trPr>
          <w:trHeight w:val="223"/>
        </w:trPr>
        <w:tc>
          <w:tcPr>
            <w:tcW w:w="5620" w:type="dxa"/>
            <w:vAlign w:val="bottom"/>
            <w:gridSpan w:val="2"/>
          </w:tcPr>
          <w:p>
            <w:pPr>
              <w:spacing w:after="0"/>
              <w:rPr>
                <w:sz w:val="20"/>
                <w:szCs w:val="20"/>
                <w:color w:val="auto"/>
              </w:rPr>
            </w:pPr>
            <w:r>
              <w:rPr>
                <w:rFonts w:ascii="Arial" w:cs="Arial" w:eastAsia="Arial" w:hAnsi="Arial"/>
                <w:sz w:val="18"/>
                <w:szCs w:val="18"/>
                <w:color w:val="auto"/>
              </w:rPr>
              <w:t>Weighted-average common shares assuming dilution</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151.4</w:t>
            </w:r>
          </w:p>
        </w:tc>
        <w:tc>
          <w:tcPr>
            <w:tcW w:w="240" w:type="dxa"/>
            <w:vAlign w:val="bottom"/>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153.9</w:t>
            </w:r>
          </w:p>
        </w:tc>
        <w:tc>
          <w:tcPr>
            <w:tcW w:w="22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152.1</w:t>
            </w:r>
          </w:p>
        </w:tc>
        <w:tc>
          <w:tcPr>
            <w:tcW w:w="20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Options to purchase 1.2 million and 0.9 million shares of common stock were not included in the computation for the thirteen weeks ended August 3, 2013 and July 28, 2012, respectively. Options to purchase 0.8 million and 0.7 million shares of common stock were not included in the computation for the twenty-six weeks ended August 3, 2013 and July 28, 2012, respectively. These options were not included primarily because the exercise prices of the options were greater than the average market price of the common shares and, therefore, the effect would have been antidilutive. As of August 3, 2013, contingently issuable shares of 0.4 million have not been included as the vesting conditions have not been satisfied.</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18"/>
          <w:szCs w:val="18"/>
          <w:b w:val="1"/>
          <w:bCs w:val="1"/>
          <w:color w:val="auto"/>
        </w:rPr>
        <w:t>FOOT LOCKER,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5" w:lineRule="exact"/>
        <w:rPr>
          <w:sz w:val="20"/>
          <w:szCs w:val="20"/>
          <w:color w:val="auto"/>
        </w:rPr>
      </w:pPr>
    </w:p>
    <w:p>
      <w:pPr>
        <w:ind w:left="180" w:hanging="172"/>
        <w:spacing w:after="0"/>
        <w:tabs>
          <w:tab w:leader="none" w:pos="18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Pension and Postretirement Plans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has defined benefit pension plans covering certain of its North American employees, which are funded in accordance with the provisions of the laws where the plans are in effect. In addition to providing pension benefits, the Company sponsors postretirement medical and life insurance plans, which are available to most of its retired U.S. employees. These medical and life insurance plans are contributory and are not funded.</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are the components of net periodic pension benefit cost and net periodic postretirement benefit income, which is recognized as part of SG&amp;A expense:</w:t>
      </w:r>
    </w:p>
    <w:p>
      <w:pPr>
        <w:sectPr>
          <w:pgSz w:w="11900" w:h="16838" w:orient="portrait"/>
          <w:cols w:equalWidth="0" w:num="1">
            <w:col w:w="11420"/>
          </w:cols>
          <w:pgMar w:left="240" w:top="87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millions)</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Service cost</w:t>
      </w:r>
    </w:p>
    <w:p>
      <w:pPr>
        <w:spacing w:after="0" w:line="221" w:lineRule="auto"/>
        <w:rPr>
          <w:sz w:val="20"/>
          <w:szCs w:val="20"/>
          <w:color w:val="auto"/>
        </w:rPr>
      </w:pPr>
      <w:r>
        <w:rPr>
          <w:rFonts w:ascii="Arial" w:cs="Arial" w:eastAsia="Arial" w:hAnsi="Arial"/>
          <w:sz w:val="14"/>
          <w:szCs w:val="14"/>
          <w:color w:val="auto"/>
        </w:rPr>
        <w:t>Interest cost</w:t>
      </w:r>
    </w:p>
    <w:p>
      <w:pPr>
        <w:jc w:val="both"/>
        <w:ind w:right="840"/>
        <w:spacing w:after="0" w:line="270" w:lineRule="auto"/>
        <w:rPr>
          <w:sz w:val="20"/>
          <w:szCs w:val="20"/>
          <w:color w:val="auto"/>
        </w:rPr>
      </w:pPr>
      <w:r>
        <w:rPr>
          <w:rFonts w:ascii="Arial" w:cs="Arial" w:eastAsia="Arial" w:hAnsi="Arial"/>
          <w:sz w:val="12"/>
          <w:szCs w:val="12"/>
          <w:color w:val="auto"/>
        </w:rPr>
        <w:t>Expected return on plan assets Amortization of net loss (gain)</w:t>
      </w:r>
    </w:p>
    <w:p>
      <w:pPr>
        <w:spacing w:after="0"/>
        <w:rPr>
          <w:sz w:val="20"/>
          <w:szCs w:val="20"/>
          <w:color w:val="auto"/>
        </w:rPr>
      </w:pPr>
      <w:r>
        <w:rPr>
          <w:rFonts w:ascii="Arial" w:cs="Arial" w:eastAsia="Arial" w:hAnsi="Arial"/>
          <w:sz w:val="13"/>
          <w:szCs w:val="13"/>
          <w:color w:val="auto"/>
        </w:rPr>
        <w:t>Net benefit expense (income)</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5"/>
          </w:tcPr>
          <w:p>
            <w:pPr>
              <w:jc w:val="right"/>
              <w:ind w:right="680"/>
              <w:spacing w:after="0"/>
              <w:rPr>
                <w:sz w:val="20"/>
                <w:szCs w:val="20"/>
                <w:color w:val="auto"/>
              </w:rPr>
            </w:pPr>
            <w:r>
              <w:rPr>
                <w:rFonts w:ascii="Arial" w:cs="Arial" w:eastAsia="Arial" w:hAnsi="Arial"/>
                <w:sz w:val="14"/>
                <w:szCs w:val="14"/>
                <w:b w:val="1"/>
                <w:bCs w:val="1"/>
                <w:color w:val="auto"/>
              </w:rPr>
              <w:t>Pension Benefits</w:t>
            </w: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8"/>
          </w:tcPr>
          <w:p>
            <w:pPr>
              <w:jc w:val="right"/>
              <w:ind w:right="449"/>
              <w:spacing w:after="0"/>
              <w:rPr>
                <w:sz w:val="20"/>
                <w:szCs w:val="20"/>
                <w:color w:val="auto"/>
              </w:rPr>
            </w:pPr>
            <w:r>
              <w:rPr>
                <w:rFonts w:ascii="Arial" w:cs="Arial" w:eastAsia="Arial" w:hAnsi="Arial"/>
                <w:sz w:val="14"/>
                <w:szCs w:val="14"/>
                <w:b w:val="1"/>
                <w:bCs w:val="1"/>
                <w:color w:val="auto"/>
              </w:rPr>
              <w:t>Postretirement Benefits</w:t>
            </w:r>
          </w:p>
        </w:tc>
        <w:tc>
          <w:tcPr>
            <w:tcW w:w="6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33"/>
        </w:trPr>
        <w:tc>
          <w:tcPr>
            <w:tcW w:w="80" w:type="dxa"/>
            <w:vAlign w:val="bottom"/>
          </w:tcPr>
          <w:p>
            <w:pPr>
              <w:spacing w:after="0"/>
              <w:rPr>
                <w:sz w:val="11"/>
                <w:szCs w:val="11"/>
                <w:color w:val="auto"/>
              </w:rPr>
            </w:pPr>
          </w:p>
        </w:tc>
        <w:tc>
          <w:tcPr>
            <w:tcW w:w="2020" w:type="dxa"/>
            <w:vAlign w:val="bottom"/>
            <w:gridSpan w:val="5"/>
          </w:tcPr>
          <w:p>
            <w:pPr>
              <w:jc w:val="right"/>
              <w:ind w:right="700"/>
              <w:spacing w:after="0" w:line="133" w:lineRule="exact"/>
              <w:rPr>
                <w:sz w:val="20"/>
                <w:szCs w:val="20"/>
                <w:color w:val="auto"/>
              </w:rPr>
            </w:pPr>
            <w:r>
              <w:rPr>
                <w:rFonts w:ascii="Arial" w:cs="Arial" w:eastAsia="Arial" w:hAnsi="Arial"/>
                <w:sz w:val="14"/>
                <w:szCs w:val="14"/>
                <w:b w:val="1"/>
                <w:bCs w:val="1"/>
                <w:color w:val="auto"/>
              </w:rPr>
              <w:t>Thirteen weeks</w:t>
            </w:r>
          </w:p>
        </w:tc>
        <w:tc>
          <w:tcPr>
            <w:tcW w:w="80" w:type="dxa"/>
            <w:vAlign w:val="bottom"/>
          </w:tcPr>
          <w:p>
            <w:pPr>
              <w:spacing w:after="0"/>
              <w:rPr>
                <w:sz w:val="11"/>
                <w:szCs w:val="11"/>
                <w:color w:val="auto"/>
              </w:rPr>
            </w:pPr>
          </w:p>
        </w:tc>
        <w:tc>
          <w:tcPr>
            <w:tcW w:w="1780" w:type="dxa"/>
            <w:vAlign w:val="bottom"/>
            <w:gridSpan w:val="4"/>
          </w:tcPr>
          <w:p>
            <w:pPr>
              <w:jc w:val="right"/>
              <w:ind w:right="328"/>
              <w:spacing w:after="0" w:line="133" w:lineRule="exact"/>
              <w:rPr>
                <w:sz w:val="20"/>
                <w:szCs w:val="20"/>
                <w:color w:val="auto"/>
              </w:rPr>
            </w:pPr>
            <w:r>
              <w:rPr>
                <w:rFonts w:ascii="Arial" w:cs="Arial" w:eastAsia="Arial" w:hAnsi="Arial"/>
                <w:sz w:val="14"/>
                <w:szCs w:val="14"/>
                <w:b w:val="1"/>
                <w:bCs w:val="1"/>
                <w:color w:val="auto"/>
              </w:rPr>
              <w:t>Twenty-six weeks</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40" w:type="dxa"/>
            <w:vAlign w:val="bottom"/>
            <w:gridSpan w:val="4"/>
          </w:tcPr>
          <w:p>
            <w:pPr>
              <w:ind w:left="340"/>
              <w:spacing w:after="0" w:line="133" w:lineRule="exact"/>
              <w:rPr>
                <w:sz w:val="20"/>
                <w:szCs w:val="20"/>
                <w:color w:val="auto"/>
              </w:rPr>
            </w:pPr>
            <w:r>
              <w:rPr>
                <w:rFonts w:ascii="Arial" w:cs="Arial" w:eastAsia="Arial" w:hAnsi="Arial"/>
                <w:sz w:val="14"/>
                <w:szCs w:val="14"/>
                <w:b w:val="1"/>
                <w:bCs w:val="1"/>
                <w:color w:val="auto"/>
              </w:rPr>
              <w:t>Thirteen weeks</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00" w:type="dxa"/>
            <w:vAlign w:val="bottom"/>
            <w:gridSpan w:val="5"/>
          </w:tcPr>
          <w:p>
            <w:pPr>
              <w:jc w:val="right"/>
              <w:ind w:right="288"/>
              <w:spacing w:after="0" w:line="133" w:lineRule="exact"/>
              <w:rPr>
                <w:sz w:val="20"/>
                <w:szCs w:val="20"/>
                <w:color w:val="auto"/>
              </w:rPr>
            </w:pPr>
            <w:r>
              <w:rPr>
                <w:rFonts w:ascii="Arial" w:cs="Arial" w:eastAsia="Arial" w:hAnsi="Arial"/>
                <w:sz w:val="14"/>
                <w:szCs w:val="14"/>
                <w:b w:val="1"/>
                <w:bCs w:val="1"/>
                <w:color w:val="auto"/>
              </w:rPr>
              <w:t>Twenty-six weeks</w:t>
            </w:r>
          </w:p>
        </w:tc>
        <w:tc>
          <w:tcPr>
            <w:tcW w:w="40" w:type="dxa"/>
            <w:vAlign w:val="bottom"/>
            <w:gridSpan w:val="2"/>
          </w:tcPr>
          <w:p>
            <w:pPr>
              <w:spacing w:after="0"/>
              <w:rPr>
                <w:sz w:val="11"/>
                <w:szCs w:val="11"/>
                <w:color w:val="auto"/>
              </w:rPr>
            </w:pPr>
          </w:p>
        </w:tc>
      </w:tr>
      <w:tr>
        <w:trPr>
          <w:trHeight w:val="171"/>
        </w:trPr>
        <w:tc>
          <w:tcPr>
            <w:tcW w:w="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ended</w:t>
            </w:r>
          </w:p>
        </w:tc>
        <w:tc>
          <w:tcPr>
            <w:tcW w:w="7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ended</w:t>
            </w:r>
          </w:p>
        </w:tc>
        <w:tc>
          <w:tcPr>
            <w:tcW w:w="7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right"/>
              <w:ind w:right="488"/>
              <w:spacing w:after="0"/>
              <w:rPr>
                <w:sz w:val="20"/>
                <w:szCs w:val="20"/>
                <w:color w:val="auto"/>
              </w:rPr>
            </w:pPr>
            <w:r>
              <w:rPr>
                <w:rFonts w:ascii="Arial" w:cs="Arial" w:eastAsia="Arial" w:hAnsi="Arial"/>
                <w:sz w:val="14"/>
                <w:szCs w:val="14"/>
                <w:b w:val="1"/>
                <w:bCs w:val="1"/>
                <w:color w:val="auto"/>
              </w:rPr>
              <w:t>ended</w:t>
            </w:r>
          </w:p>
        </w:tc>
        <w:tc>
          <w:tcPr>
            <w:tcW w:w="1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ended</w:t>
            </w:r>
          </w:p>
        </w:tc>
        <w:tc>
          <w:tcPr>
            <w:tcW w:w="6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33"/>
        </w:trPr>
        <w:tc>
          <w:tcPr>
            <w:tcW w:w="80" w:type="dxa"/>
            <w:vAlign w:val="bottom"/>
          </w:tcPr>
          <w:p>
            <w:pPr>
              <w:spacing w:after="0"/>
              <w:rPr>
                <w:sz w:val="11"/>
                <w:szCs w:val="11"/>
                <w:color w:val="auto"/>
              </w:rPr>
            </w:pPr>
          </w:p>
        </w:tc>
        <w:tc>
          <w:tcPr>
            <w:tcW w:w="960" w:type="dxa"/>
            <w:vAlign w:val="bottom"/>
            <w:gridSpan w:val="2"/>
          </w:tcPr>
          <w:p>
            <w:pPr>
              <w:jc w:val="right"/>
              <w:ind w:right="360"/>
              <w:spacing w:after="0" w:line="133" w:lineRule="exact"/>
              <w:rPr>
                <w:sz w:val="20"/>
                <w:szCs w:val="20"/>
                <w:color w:val="auto"/>
              </w:rPr>
            </w:pPr>
            <w:r>
              <w:rPr>
                <w:rFonts w:ascii="Arial" w:cs="Arial" w:eastAsia="Arial" w:hAnsi="Arial"/>
                <w:sz w:val="14"/>
                <w:szCs w:val="14"/>
                <w:b w:val="1"/>
                <w:bCs w:val="1"/>
                <w:color w:val="auto"/>
                <w:w w:val="90"/>
              </w:rPr>
              <w:t>August 3,</w:t>
            </w:r>
          </w:p>
        </w:tc>
        <w:tc>
          <w:tcPr>
            <w:tcW w:w="120" w:type="dxa"/>
            <w:vAlign w:val="bottom"/>
          </w:tcPr>
          <w:p>
            <w:pPr>
              <w:spacing w:after="0"/>
              <w:rPr>
                <w:sz w:val="11"/>
                <w:szCs w:val="11"/>
                <w:color w:val="auto"/>
              </w:rPr>
            </w:pPr>
          </w:p>
        </w:tc>
        <w:tc>
          <w:tcPr>
            <w:tcW w:w="700" w:type="dxa"/>
            <w:vAlign w:val="bottom"/>
          </w:tcPr>
          <w:p>
            <w:pPr>
              <w:jc w:val="right"/>
              <w:ind w:right="108"/>
              <w:spacing w:after="0" w:line="133" w:lineRule="exact"/>
              <w:rPr>
                <w:sz w:val="20"/>
                <w:szCs w:val="20"/>
                <w:color w:val="auto"/>
              </w:rPr>
            </w:pPr>
            <w:r>
              <w:rPr>
                <w:rFonts w:ascii="Arial" w:cs="Arial" w:eastAsia="Arial" w:hAnsi="Arial"/>
                <w:sz w:val="14"/>
                <w:szCs w:val="14"/>
                <w:b w:val="1"/>
                <w:bCs w:val="1"/>
                <w:color w:val="auto"/>
                <w:w w:val="97"/>
              </w:rPr>
              <w:t>July 28,</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tcPr>
          <w:p>
            <w:pPr>
              <w:jc w:val="right"/>
              <w:ind w:right="360"/>
              <w:spacing w:after="0" w:line="133" w:lineRule="exact"/>
              <w:rPr>
                <w:sz w:val="20"/>
                <w:szCs w:val="20"/>
                <w:color w:val="auto"/>
              </w:rPr>
            </w:pPr>
            <w:r>
              <w:rPr>
                <w:rFonts w:ascii="Arial" w:cs="Arial" w:eastAsia="Arial" w:hAnsi="Arial"/>
                <w:sz w:val="14"/>
                <w:szCs w:val="14"/>
                <w:b w:val="1"/>
                <w:bCs w:val="1"/>
                <w:color w:val="auto"/>
                <w:w w:val="93"/>
              </w:rPr>
              <w:t>August 3,</w:t>
            </w:r>
          </w:p>
        </w:tc>
        <w:tc>
          <w:tcPr>
            <w:tcW w:w="100" w:type="dxa"/>
            <w:vAlign w:val="bottom"/>
          </w:tcPr>
          <w:p>
            <w:pPr>
              <w:spacing w:after="0"/>
              <w:rPr>
                <w:sz w:val="11"/>
                <w:szCs w:val="11"/>
                <w:color w:val="auto"/>
              </w:rPr>
            </w:pPr>
          </w:p>
        </w:tc>
        <w:tc>
          <w:tcPr>
            <w:tcW w:w="700" w:type="dxa"/>
            <w:vAlign w:val="bottom"/>
          </w:tcPr>
          <w:p>
            <w:pPr>
              <w:jc w:val="right"/>
              <w:ind w:right="88"/>
              <w:spacing w:after="0" w:line="133" w:lineRule="exact"/>
              <w:rPr>
                <w:sz w:val="20"/>
                <w:szCs w:val="20"/>
                <w:color w:val="auto"/>
              </w:rPr>
            </w:pPr>
            <w:r>
              <w:rPr>
                <w:rFonts w:ascii="Arial" w:cs="Arial" w:eastAsia="Arial" w:hAnsi="Arial"/>
                <w:sz w:val="14"/>
                <w:szCs w:val="14"/>
                <w:b w:val="1"/>
                <w:bCs w:val="1"/>
                <w:color w:val="auto"/>
              </w:rPr>
              <w:t>July 28,</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4"/>
                <w:szCs w:val="14"/>
                <w:b w:val="1"/>
                <w:bCs w:val="1"/>
                <w:color w:val="auto"/>
              </w:rPr>
              <w:t>August 3,</w:t>
            </w:r>
          </w:p>
        </w:tc>
        <w:tc>
          <w:tcPr>
            <w:tcW w:w="100" w:type="dxa"/>
            <w:vAlign w:val="bottom"/>
          </w:tcPr>
          <w:p>
            <w:pPr>
              <w:spacing w:after="0"/>
              <w:rPr>
                <w:sz w:val="11"/>
                <w:szCs w:val="11"/>
                <w:color w:val="auto"/>
              </w:rPr>
            </w:pPr>
          </w:p>
        </w:tc>
        <w:tc>
          <w:tcPr>
            <w:tcW w:w="640" w:type="dxa"/>
            <w:vAlign w:val="bottom"/>
          </w:tcPr>
          <w:p>
            <w:pPr>
              <w:jc w:val="right"/>
              <w:spacing w:after="0" w:line="133" w:lineRule="exact"/>
              <w:rPr>
                <w:sz w:val="20"/>
                <w:szCs w:val="20"/>
                <w:color w:val="auto"/>
              </w:rPr>
            </w:pPr>
            <w:r>
              <w:rPr>
                <w:rFonts w:ascii="Arial" w:cs="Arial" w:eastAsia="Arial" w:hAnsi="Arial"/>
                <w:sz w:val="14"/>
                <w:szCs w:val="14"/>
                <w:b w:val="1"/>
                <w:bCs w:val="1"/>
                <w:color w:val="auto"/>
              </w:rPr>
              <w:t>July 28,</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4"/>
          </w:tcPr>
          <w:p>
            <w:pPr>
              <w:jc w:val="right"/>
              <w:ind w:right="369"/>
              <w:spacing w:after="0" w:line="133" w:lineRule="exact"/>
              <w:rPr>
                <w:sz w:val="20"/>
                <w:szCs w:val="20"/>
                <w:color w:val="auto"/>
              </w:rPr>
            </w:pPr>
            <w:r>
              <w:rPr>
                <w:rFonts w:ascii="Arial" w:cs="Arial" w:eastAsia="Arial" w:hAnsi="Arial"/>
                <w:sz w:val="14"/>
                <w:szCs w:val="14"/>
                <w:b w:val="1"/>
                <w:bCs w:val="1"/>
                <w:color w:val="auto"/>
                <w:w w:val="90"/>
              </w:rPr>
              <w:t>August 3,</w:t>
            </w:r>
          </w:p>
        </w:tc>
        <w:tc>
          <w:tcPr>
            <w:tcW w:w="680" w:type="dxa"/>
            <w:vAlign w:val="bottom"/>
          </w:tcPr>
          <w:p>
            <w:pPr>
              <w:jc w:val="right"/>
              <w:ind w:right="88"/>
              <w:spacing w:after="0" w:line="133" w:lineRule="exact"/>
              <w:rPr>
                <w:sz w:val="20"/>
                <w:szCs w:val="20"/>
                <w:color w:val="auto"/>
              </w:rPr>
            </w:pPr>
            <w:r>
              <w:rPr>
                <w:rFonts w:ascii="Arial" w:cs="Arial" w:eastAsia="Arial" w:hAnsi="Arial"/>
                <w:sz w:val="14"/>
                <w:szCs w:val="14"/>
                <w:b w:val="1"/>
                <w:bCs w:val="1"/>
                <w:color w:val="auto"/>
                <w:w w:val="97"/>
              </w:rPr>
              <w:t>July 28,</w:t>
            </w:r>
          </w:p>
        </w:tc>
        <w:tc>
          <w:tcPr>
            <w:tcW w:w="40" w:type="dxa"/>
            <w:vAlign w:val="bottom"/>
            <w:gridSpan w:val="2"/>
          </w:tcPr>
          <w:p>
            <w:pPr>
              <w:spacing w:after="0"/>
              <w:rPr>
                <w:sz w:val="11"/>
                <w:szCs w:val="11"/>
                <w:color w:val="auto"/>
              </w:rPr>
            </w:pPr>
          </w:p>
        </w:tc>
      </w:tr>
      <w:tr>
        <w:trPr>
          <w:trHeight w:val="171"/>
        </w:trPr>
        <w:tc>
          <w:tcPr>
            <w:tcW w:w="80" w:type="dxa"/>
            <w:vAlign w:val="bottom"/>
          </w:tcPr>
          <w:p>
            <w:pPr>
              <w:spacing w:after="0"/>
              <w:rPr>
                <w:sz w:val="14"/>
                <w:szCs w:val="14"/>
                <w:color w:val="auto"/>
              </w:rPr>
            </w:pPr>
          </w:p>
        </w:tc>
        <w:tc>
          <w:tcPr>
            <w:tcW w:w="720" w:type="dxa"/>
            <w:vAlign w:val="bottom"/>
          </w:tcPr>
          <w:p>
            <w:pPr>
              <w:jc w:val="right"/>
              <w:ind w:right="188"/>
              <w:spacing w:after="0"/>
              <w:rPr>
                <w:sz w:val="20"/>
                <w:szCs w:val="20"/>
                <w:color w:val="auto"/>
              </w:rPr>
            </w:pPr>
            <w:r>
              <w:rPr>
                <w:rFonts w:ascii="Arial" w:cs="Arial" w:eastAsia="Arial" w:hAnsi="Arial"/>
                <w:sz w:val="14"/>
                <w:szCs w:val="14"/>
                <w:b w:val="1"/>
                <w:bCs w:val="1"/>
                <w:color w:val="auto"/>
              </w:rPr>
              <w:t>2013</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ind w:right="188"/>
              <w:spacing w:after="0"/>
              <w:rPr>
                <w:sz w:val="20"/>
                <w:szCs w:val="20"/>
                <w:color w:val="auto"/>
              </w:rPr>
            </w:pPr>
            <w:r>
              <w:rPr>
                <w:rFonts w:ascii="Arial" w:cs="Arial" w:eastAsia="Arial" w:hAnsi="Arial"/>
                <w:sz w:val="14"/>
                <w:szCs w:val="14"/>
                <w:b w:val="1"/>
                <w:bCs w:val="1"/>
                <w:color w:val="auto"/>
              </w:rPr>
              <w:t>2012</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ind w:right="188"/>
              <w:spacing w:after="0"/>
              <w:rPr>
                <w:sz w:val="20"/>
                <w:szCs w:val="20"/>
                <w:color w:val="auto"/>
              </w:rPr>
            </w:pPr>
            <w:r>
              <w:rPr>
                <w:rFonts w:ascii="Arial" w:cs="Arial" w:eastAsia="Arial" w:hAnsi="Arial"/>
                <w:sz w:val="14"/>
                <w:szCs w:val="14"/>
                <w:b w:val="1"/>
                <w:bCs w:val="1"/>
                <w:color w:val="auto"/>
              </w:rPr>
              <w:t>2013</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188"/>
              <w:spacing w:after="0"/>
              <w:rPr>
                <w:sz w:val="20"/>
                <w:szCs w:val="20"/>
                <w:color w:val="auto"/>
              </w:rPr>
            </w:pPr>
            <w:r>
              <w:rPr>
                <w:rFonts w:ascii="Arial" w:cs="Arial" w:eastAsia="Arial" w:hAnsi="Arial"/>
                <w:sz w:val="14"/>
                <w:szCs w:val="14"/>
                <w:b w:val="1"/>
                <w:bCs w:val="1"/>
                <w:color w:val="auto"/>
              </w:rPr>
              <w:t>2012</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ind w:left="160"/>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c>
          <w:tcPr>
            <w:tcW w:w="74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188"/>
              <w:spacing w:after="0"/>
              <w:rPr>
                <w:sz w:val="20"/>
                <w:szCs w:val="20"/>
                <w:color w:val="auto"/>
              </w:rPr>
            </w:pPr>
            <w:r>
              <w:rPr>
                <w:rFonts w:ascii="Arial" w:cs="Arial" w:eastAsia="Arial" w:hAnsi="Arial"/>
                <w:sz w:val="14"/>
                <w:szCs w:val="14"/>
                <w:b w:val="1"/>
                <w:bCs w:val="1"/>
                <w:color w:val="auto"/>
              </w:rPr>
              <w:t>2013</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188"/>
              <w:spacing w:after="0"/>
              <w:rPr>
                <w:sz w:val="20"/>
                <w:szCs w:val="20"/>
                <w:color w:val="auto"/>
              </w:rPr>
            </w:pPr>
            <w:r>
              <w:rPr>
                <w:rFonts w:ascii="Arial" w:cs="Arial" w:eastAsia="Arial" w:hAnsi="Arial"/>
                <w:sz w:val="14"/>
                <w:szCs w:val="14"/>
                <w:b w:val="1"/>
                <w:bCs w:val="1"/>
                <w:color w:val="auto"/>
              </w:rPr>
              <w:t>2012</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23"/>
        </w:trPr>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rPr>
              <w:t>3</w:t>
            </w:r>
          </w:p>
        </w:tc>
        <w:tc>
          <w:tcPr>
            <w:tcW w:w="240" w:type="dxa"/>
            <w:vAlign w:val="bottom"/>
          </w:tcPr>
          <w:p>
            <w:pPr>
              <w:spacing w:after="0"/>
              <w:rPr>
                <w:sz w:val="10"/>
                <w:szCs w:val="10"/>
                <w:color w:val="auto"/>
              </w:rPr>
            </w:pPr>
          </w:p>
        </w:tc>
        <w:tc>
          <w:tcPr>
            <w:tcW w:w="12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rPr>
              <w:t>4</w:t>
            </w:r>
          </w:p>
        </w:tc>
        <w:tc>
          <w:tcPr>
            <w:tcW w:w="240" w:type="dxa"/>
            <w:vAlign w:val="bottom"/>
          </w:tcPr>
          <w:p>
            <w:pPr>
              <w:spacing w:after="0"/>
              <w:rPr>
                <w:sz w:val="10"/>
                <w:szCs w:val="10"/>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rPr>
              <w:t>7</w:t>
            </w:r>
          </w:p>
        </w:tc>
        <w:tc>
          <w:tcPr>
            <w:tcW w:w="260" w:type="dxa"/>
            <w:vAlign w:val="bottom"/>
          </w:tcPr>
          <w:p>
            <w:pPr>
              <w:spacing w:after="0"/>
              <w:rPr>
                <w:sz w:val="10"/>
                <w:szCs w:val="1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rPr>
              <w:t>7</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tcPr>
          <w:p>
            <w:pPr>
              <w:ind w:left="540"/>
              <w:spacing w:after="0" w:line="123" w:lineRule="exact"/>
              <w:rPr>
                <w:sz w:val="20"/>
                <w:szCs w:val="20"/>
                <w:color w:val="auto"/>
              </w:rPr>
            </w:pPr>
            <w:r>
              <w:rPr>
                <w:rFonts w:ascii="Arial" w:cs="Arial" w:eastAsia="Arial" w:hAnsi="Arial"/>
                <w:sz w:val="14"/>
                <w:szCs w:val="14"/>
                <w:color w:val="auto"/>
                <w:w w:val="99"/>
              </w:rPr>
              <w:t>—</w:t>
            </w:r>
          </w:p>
        </w:tc>
        <w:tc>
          <w:tcPr>
            <w:tcW w:w="200" w:type="dxa"/>
            <w:vAlign w:val="bottom"/>
            <w:gridSpan w:val="2"/>
          </w:tcPr>
          <w:p>
            <w:pPr>
              <w:spacing w:after="0"/>
              <w:rPr>
                <w:sz w:val="10"/>
                <w:szCs w:val="10"/>
                <w:color w:val="auto"/>
              </w:rPr>
            </w:pPr>
          </w:p>
        </w:tc>
        <w:tc>
          <w:tcPr>
            <w:tcW w:w="640" w:type="dxa"/>
            <w:vAlign w:val="bottom"/>
            <w:tcBorders>
              <w:top w:val="single" w:sz="8" w:color="auto"/>
            </w:tcBorders>
          </w:tcPr>
          <w:p>
            <w:pPr>
              <w:jc w:val="right"/>
              <w:ind w:right="488"/>
              <w:spacing w:after="0" w:line="123" w:lineRule="exact"/>
              <w:rPr>
                <w:sz w:val="20"/>
                <w:szCs w:val="20"/>
                <w:color w:val="auto"/>
              </w:rPr>
            </w:pPr>
            <w:r>
              <w:rPr>
                <w:rFonts w:ascii="Arial" w:cs="Arial" w:eastAsia="Arial" w:hAnsi="Arial"/>
                <w:sz w:val="14"/>
                <w:szCs w:val="14"/>
                <w:color w:val="auto"/>
                <w:w w:val="76"/>
              </w:rPr>
              <w:t>$</w:t>
            </w:r>
          </w:p>
        </w:tc>
        <w:tc>
          <w:tcPr>
            <w:tcW w:w="16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w w:val="99"/>
              </w:rPr>
              <w:t>—</w:t>
            </w:r>
          </w:p>
        </w:tc>
        <w:tc>
          <w:tcPr>
            <w:tcW w:w="200" w:type="dxa"/>
            <w:vAlign w:val="bottom"/>
          </w:tcPr>
          <w:p>
            <w:pPr>
              <w:spacing w:after="0"/>
              <w:rPr>
                <w:sz w:val="10"/>
                <w:szCs w:val="10"/>
                <w:color w:val="auto"/>
              </w:rPr>
            </w:pPr>
          </w:p>
        </w:tc>
        <w:tc>
          <w:tcPr>
            <w:tcW w:w="10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rPr>
              <w:t>—</w:t>
            </w:r>
          </w:p>
        </w:tc>
        <w:tc>
          <w:tcPr>
            <w:tcW w:w="220" w:type="dxa"/>
            <w:vAlign w:val="bottom"/>
            <w:gridSpan w:val="2"/>
          </w:tcPr>
          <w:p>
            <w:pPr>
              <w:spacing w:after="0"/>
              <w:rPr>
                <w:sz w:val="10"/>
                <w:szCs w:val="1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rPr>
              <w:t>—</w:t>
            </w:r>
          </w:p>
        </w:tc>
        <w:tc>
          <w:tcPr>
            <w:tcW w:w="40" w:type="dxa"/>
            <w:vAlign w:val="bottom"/>
            <w:gridSpan w:val="2"/>
          </w:tcPr>
          <w:p>
            <w:pPr>
              <w:spacing w:after="0"/>
              <w:rPr>
                <w:sz w:val="10"/>
                <w:szCs w:val="10"/>
                <w:color w:val="auto"/>
              </w:rPr>
            </w:pPr>
          </w:p>
        </w:tc>
      </w:tr>
      <w:tr>
        <w:trPr>
          <w:trHeight w:val="149"/>
        </w:trPr>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7</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13</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60" w:type="dxa"/>
            <w:vAlign w:val="bottom"/>
            <w:gridSpan w:val="3"/>
          </w:tcPr>
          <w:p>
            <w:pPr>
              <w:jc w:val="right"/>
              <w:ind w:right="228"/>
              <w:spacing w:after="0" w:line="149" w:lineRule="exact"/>
              <w:rPr>
                <w:sz w:val="20"/>
                <w:szCs w:val="20"/>
                <w:color w:val="auto"/>
              </w:rPr>
            </w:pPr>
            <w:r>
              <w:rPr>
                <w:rFonts w:ascii="Arial" w:cs="Arial" w:eastAsia="Arial" w:hAnsi="Arial"/>
                <w:sz w:val="14"/>
                <w:szCs w:val="14"/>
                <w:color w:val="auto"/>
                <w:w w:val="99"/>
              </w:rPr>
              <w:t>—</w:t>
            </w:r>
          </w:p>
        </w:tc>
        <w:tc>
          <w:tcPr>
            <w:tcW w:w="1020" w:type="dxa"/>
            <w:vAlign w:val="bottom"/>
            <w:gridSpan w:val="4"/>
          </w:tcPr>
          <w:p>
            <w:pPr>
              <w:jc w:val="right"/>
              <w:ind w:right="269"/>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3"/>
          </w:tcPr>
          <w:p>
            <w:pPr>
              <w:jc w:val="right"/>
              <w:ind w:right="35"/>
              <w:spacing w:after="0" w:line="149" w:lineRule="exact"/>
              <w:rPr>
                <w:sz w:val="20"/>
                <w:szCs w:val="20"/>
                <w:color w:val="auto"/>
              </w:rPr>
            </w:pPr>
            <w:r>
              <w:rPr>
                <w:rFonts w:ascii="Arial" w:cs="Arial" w:eastAsia="Arial" w:hAnsi="Arial"/>
                <w:sz w:val="14"/>
                <w:szCs w:val="14"/>
                <w:color w:val="auto"/>
              </w:rPr>
              <w:t>—</w:t>
            </w:r>
          </w:p>
        </w:tc>
      </w:tr>
      <w:tr>
        <w:trPr>
          <w:trHeight w:val="149"/>
        </w:trPr>
        <w:tc>
          <w:tcPr>
            <w:tcW w:w="80" w:type="dxa"/>
            <w:vAlign w:val="bottom"/>
          </w:tcPr>
          <w:p>
            <w:pPr>
              <w:spacing w:after="0"/>
              <w:rPr>
                <w:sz w:val="12"/>
                <w:szCs w:val="12"/>
                <w:color w:val="auto"/>
              </w:rPr>
            </w:pP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(10)</w:t>
            </w:r>
          </w:p>
        </w:tc>
        <w:tc>
          <w:tcPr>
            <w:tcW w:w="120" w:type="dxa"/>
            <w:vAlign w:val="bottom"/>
          </w:tcPr>
          <w:p>
            <w:pPr>
              <w:spacing w:after="0"/>
              <w:rPr>
                <w:sz w:val="12"/>
                <w:szCs w:val="12"/>
                <w:color w:val="auto"/>
              </w:rPr>
            </w:pP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(10)</w:t>
            </w:r>
          </w:p>
        </w:tc>
        <w:tc>
          <w:tcPr>
            <w:tcW w:w="80" w:type="dxa"/>
            <w:vAlign w:val="bottom"/>
          </w:tcPr>
          <w:p>
            <w:pPr>
              <w:spacing w:after="0"/>
              <w:rPr>
                <w:sz w:val="12"/>
                <w:szCs w:val="12"/>
                <w:color w:val="auto"/>
              </w:rPr>
            </w:pP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(20)</w:t>
            </w:r>
          </w:p>
        </w:tc>
        <w:tc>
          <w:tcPr>
            <w:tcW w:w="10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60" w:type="dxa"/>
            <w:vAlign w:val="bottom"/>
            <w:gridSpan w:val="3"/>
          </w:tcPr>
          <w:p>
            <w:pPr>
              <w:jc w:val="right"/>
              <w:ind w:right="228"/>
              <w:spacing w:after="0" w:line="149" w:lineRule="exact"/>
              <w:rPr>
                <w:sz w:val="20"/>
                <w:szCs w:val="20"/>
                <w:color w:val="auto"/>
              </w:rPr>
            </w:pPr>
            <w:r>
              <w:rPr>
                <w:rFonts w:ascii="Arial" w:cs="Arial" w:eastAsia="Arial" w:hAnsi="Arial"/>
                <w:sz w:val="14"/>
                <w:szCs w:val="14"/>
                <w:color w:val="auto"/>
                <w:w w:val="99"/>
              </w:rPr>
              <w:t>—</w:t>
            </w:r>
          </w:p>
        </w:tc>
        <w:tc>
          <w:tcPr>
            <w:tcW w:w="1020" w:type="dxa"/>
            <w:vAlign w:val="bottom"/>
            <w:gridSpan w:val="4"/>
          </w:tcPr>
          <w:p>
            <w:pPr>
              <w:jc w:val="right"/>
              <w:ind w:right="269"/>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3"/>
          </w:tcPr>
          <w:p>
            <w:pPr>
              <w:jc w:val="right"/>
              <w:ind w:right="35"/>
              <w:spacing w:after="0" w:line="149" w:lineRule="exact"/>
              <w:rPr>
                <w:sz w:val="20"/>
                <w:szCs w:val="20"/>
                <w:color w:val="auto"/>
              </w:rPr>
            </w:pPr>
            <w:r>
              <w:rPr>
                <w:rFonts w:ascii="Arial" w:cs="Arial" w:eastAsia="Arial" w:hAnsi="Arial"/>
                <w:sz w:val="14"/>
                <w:szCs w:val="14"/>
                <w:color w:val="auto"/>
              </w:rPr>
              <w:t>—</w:t>
            </w:r>
          </w:p>
        </w:tc>
      </w:tr>
      <w:tr>
        <w:trPr>
          <w:trHeight w:val="174"/>
        </w:trPr>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60" w:type="dxa"/>
            <w:vAlign w:val="bottom"/>
            <w:gridSpan w:val="2"/>
          </w:tcPr>
          <w:p>
            <w:pPr>
              <w:jc w:val="right"/>
              <w:ind w:right="119"/>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900" w:type="dxa"/>
            <w:vAlign w:val="bottom"/>
            <w:gridSpan w:val="2"/>
          </w:tcPr>
          <w:p>
            <w:pPr>
              <w:jc w:val="right"/>
              <w:ind w:right="119"/>
              <w:spacing w:after="0"/>
              <w:rPr>
                <w:sz w:val="20"/>
                <w:szCs w:val="20"/>
                <w:color w:val="auto"/>
              </w:rPr>
            </w:pPr>
            <w:r>
              <w:rPr>
                <w:rFonts w:ascii="Arial" w:cs="Arial" w:eastAsia="Arial" w:hAnsi="Arial"/>
                <w:sz w:val="14"/>
                <w:szCs w:val="14"/>
                <w:color w:val="auto"/>
              </w:rPr>
              <w:t>(1)</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3"/>
          </w:tcPr>
          <w:p>
            <w:pPr>
              <w:jc w:val="right"/>
              <w:spacing w:after="0"/>
              <w:rPr>
                <w:sz w:val="20"/>
                <w:szCs w:val="20"/>
                <w:color w:val="auto"/>
              </w:rPr>
            </w:pPr>
            <w:r>
              <w:rPr>
                <w:rFonts w:ascii="Arial" w:cs="Arial" w:eastAsia="Arial" w:hAnsi="Arial"/>
                <w:sz w:val="14"/>
                <w:szCs w:val="14"/>
                <w:color w:val="auto"/>
              </w:rPr>
              <w:t>(2)</w:t>
            </w:r>
          </w:p>
        </w:tc>
      </w:tr>
      <w:tr>
        <w:trPr>
          <w:trHeight w:val="162"/>
        </w:trPr>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24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240" w:type="dxa"/>
            <w:vAlign w:val="bottom"/>
          </w:tcPr>
          <w:p>
            <w:pPr>
              <w:spacing w:after="0"/>
              <w:rPr>
                <w:sz w:val="14"/>
                <w:szCs w:val="14"/>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26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tcPr>
          <w:p>
            <w:pPr>
              <w:ind w:left="540"/>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Borders>
              <w:top w:val="single" w:sz="8" w:color="auto"/>
            </w:tcBorders>
          </w:tcPr>
          <w:p>
            <w:pPr>
              <w:jc w:val="right"/>
              <w:ind w:right="488"/>
              <w:spacing w:after="0"/>
              <w:rPr>
                <w:sz w:val="20"/>
                <w:szCs w:val="20"/>
                <w:color w:val="auto"/>
              </w:rPr>
            </w:pPr>
            <w:r>
              <w:rPr>
                <w:rFonts w:ascii="Arial" w:cs="Arial" w:eastAsia="Arial" w:hAnsi="Arial"/>
                <w:sz w:val="14"/>
                <w:szCs w:val="14"/>
                <w:color w:val="auto"/>
                <w:w w:val="76"/>
              </w:rPr>
              <w:t>$</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200" w:type="dxa"/>
            <w:vAlign w:val="bottom"/>
          </w:tcPr>
          <w:p>
            <w:pPr>
              <w:jc w:val="right"/>
              <w:ind w:right="119"/>
              <w:spacing w:after="0"/>
              <w:rPr>
                <w:sz w:val="20"/>
                <w:szCs w:val="20"/>
                <w:color w:val="auto"/>
              </w:rPr>
            </w:pPr>
            <w:r>
              <w:rPr>
                <w:rFonts w:ascii="Arial" w:cs="Arial" w:eastAsia="Arial" w:hAnsi="Arial"/>
                <w:sz w:val="8"/>
                <w:szCs w:val="8"/>
                <w:color w:val="auto"/>
                <w:w w:val="73"/>
              </w:rPr>
              <w:t>)</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220" w:type="dxa"/>
            <w:vAlign w:val="bottom"/>
            <w:gridSpan w:val="2"/>
          </w:tcPr>
          <w:p>
            <w:pPr>
              <w:jc w:val="right"/>
              <w:ind w:right="180"/>
              <w:spacing w:after="0"/>
              <w:rPr>
                <w:sz w:val="20"/>
                <w:szCs w:val="20"/>
                <w:color w:val="auto"/>
              </w:rPr>
            </w:pPr>
            <w:r>
              <w:rPr>
                <w:rFonts w:ascii="Arial" w:cs="Arial" w:eastAsia="Arial" w:hAnsi="Arial"/>
                <w:sz w:val="8"/>
                <w:szCs w:val="8"/>
                <w:color w:val="auto"/>
                <w:w w:val="73"/>
              </w:rPr>
              <w:t>)</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(2</w:t>
            </w:r>
          </w:p>
        </w:tc>
        <w:tc>
          <w:tcPr>
            <w:tcW w:w="20" w:type="dxa"/>
            <w:vAlign w:val="bottom"/>
          </w:tcPr>
          <w:p>
            <w:pPr>
              <w:jc w:val="right"/>
              <w:spacing w:after="0"/>
              <w:rPr>
                <w:sz w:val="20"/>
                <w:szCs w:val="20"/>
                <w:color w:val="auto"/>
              </w:rPr>
            </w:pPr>
            <w:r>
              <w:rPr>
                <w:rFonts w:ascii="Arial" w:cs="Arial" w:eastAsia="Arial" w:hAnsi="Arial"/>
                <w:sz w:val="1"/>
                <w:szCs w:val="1"/>
                <w:color w:val="auto"/>
                <w:w w:val="4294967281"/>
              </w:rPr>
              <w:t>)</w:t>
            </w:r>
          </w:p>
        </w:tc>
      </w:tr>
      <w:tr>
        <w:trPr>
          <w:trHeight w:val="20"/>
        </w:trPr>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-2115185</wp:posOffset>
            </wp:positionH>
            <wp:positionV relativeFrom="paragraph">
              <wp:posOffset>-334010</wp:posOffset>
            </wp:positionV>
            <wp:extent cx="7246620" cy="946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-136525</wp:posOffset>
            </wp:positionV>
            <wp:extent cx="7246620" cy="1200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20015"/>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-530860</wp:posOffset>
            </wp:positionV>
            <wp:extent cx="7246620" cy="1028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0287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620" w:space="720"/>
            <w:col w:w="8080"/>
          </w:cols>
          <w:pgMar w:left="240" w:top="877" w:right="239" w:bottom="1440" w:gutter="0" w:footer="0" w:header="0"/>
          <w:type w:val="continuous"/>
        </w:sectPr>
      </w:pPr>
    </w:p>
    <w:p>
      <w:pPr>
        <w:spacing w:after="0" w:line="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second quarter of 2013, the Company made a $2 million contribution to the Canadian qualified plan. No pension contributions to the U.S. qualified plan were made during the twenty-six weeks ended August 3, 2013 and July 28, 2012. The Company continually evaluates the amount and timing of any future contributions. Additional contributions will depend on the plan asset performance and other factors.</w:t>
      </w:r>
    </w:p>
    <w:p>
      <w:pPr>
        <w:spacing w:after="0" w:line="177" w:lineRule="exact"/>
        <w:rPr>
          <w:sz w:val="20"/>
          <w:szCs w:val="20"/>
          <w:color w:val="auto"/>
        </w:rPr>
      </w:pPr>
    </w:p>
    <w:p>
      <w:pPr>
        <w:ind w:left="280" w:hanging="272"/>
        <w:spacing w:after="0"/>
        <w:tabs>
          <w:tab w:leader="none" w:pos="28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Share-Based Compensation</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Total compensation expense related to the Company’s share-based compensation plans was $5 million for the thirteen weeks ended August 3, 2013, $4 million for the thirteen weeks ended July 28, 2012, and was $13 million and $10 million for the twenty-six weeks ended August 3, 2013 and July 28, 2012, respectively. The associated tax benefits recognized for the thirteen weeks ended August 3, 2013 and July 28, 2012 were $3 million and $1 million, respectively. The associated tax benefit recognized was $4 million for the twenty-six weeks ended August 3, 2013 and $3 million for the twenty-six weeks ended July 28, 2012. Tax deductions in excess of the cumulative compensation cost recognized for share-based compensation arrangements were $7 million for both the twenty-six weeks ended August 3, 2013 and July 28, 2012 and are classified as a financing activity within the Condensed Consolidated Statements of Cash Flows.</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uses a Black-Scholes option-pricing model to estimate the fair value of share-based awards. The Black-Scholes option-pricing model incorporates various and highly subjective assumptions, including expected term and expected volatility.</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type w:val="continuous"/>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5" w:lineRule="exact"/>
        <w:rPr>
          <w:sz w:val="20"/>
          <w:szCs w:val="20"/>
          <w:color w:val="auto"/>
        </w:rPr>
      </w:pPr>
    </w:p>
    <w:p>
      <w:pPr>
        <w:ind w:left="280" w:hanging="272"/>
        <w:spacing w:after="0"/>
        <w:tabs>
          <w:tab w:leader="none" w:pos="28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Share-Based Compensation-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Company’s assumptions used to compute the share-based compensation expense: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80" w:type="dxa"/>
            <w:vAlign w:val="bottom"/>
            <w:gridSpan w:val="6"/>
          </w:tcPr>
          <w:p>
            <w:pPr>
              <w:jc w:val="right"/>
              <w:ind w:right="860"/>
              <w:spacing w:after="0"/>
              <w:rPr>
                <w:sz w:val="20"/>
                <w:szCs w:val="20"/>
                <w:color w:val="auto"/>
              </w:rPr>
            </w:pPr>
            <w:r>
              <w:rPr>
                <w:rFonts w:ascii="Arial" w:cs="Arial" w:eastAsia="Arial" w:hAnsi="Arial"/>
                <w:sz w:val="18"/>
                <w:szCs w:val="18"/>
                <w:b w:val="1"/>
                <w:bCs w:val="1"/>
                <w:color w:val="auto"/>
              </w:rPr>
              <w:t>Stock Option Plans</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40" w:type="dxa"/>
            <w:vAlign w:val="bottom"/>
            <w:gridSpan w:val="6"/>
          </w:tcPr>
          <w:p>
            <w:pPr>
              <w:jc w:val="right"/>
              <w:ind w:right="780"/>
              <w:spacing w:after="0"/>
              <w:rPr>
                <w:sz w:val="20"/>
                <w:szCs w:val="20"/>
                <w:color w:val="auto"/>
              </w:rPr>
            </w:pPr>
            <w:r>
              <w:rPr>
                <w:rFonts w:ascii="Arial" w:cs="Arial" w:eastAsia="Arial" w:hAnsi="Arial"/>
                <w:sz w:val="18"/>
                <w:szCs w:val="18"/>
                <w:b w:val="1"/>
                <w:bCs w:val="1"/>
                <w:color w:val="auto"/>
              </w:rPr>
              <w:t>Stock Purchase Plan</w:t>
            </w:r>
          </w:p>
        </w:tc>
      </w:tr>
      <w:tr>
        <w:trPr>
          <w:trHeight w:val="234"/>
        </w:trPr>
        <w:tc>
          <w:tcPr>
            <w:tcW w:w="4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780" w:type="dxa"/>
            <w:vAlign w:val="bottom"/>
            <w:gridSpan w:val="6"/>
          </w:tcPr>
          <w:p>
            <w:pPr>
              <w:ind w:left="280"/>
              <w:spacing w:after="0"/>
              <w:rPr>
                <w:sz w:val="20"/>
                <w:szCs w:val="20"/>
                <w:color w:val="auto"/>
              </w:rPr>
            </w:pPr>
            <w:r>
              <w:rPr>
                <w:rFonts w:ascii="Arial" w:cs="Arial" w:eastAsia="Arial" w:hAnsi="Arial"/>
                <w:sz w:val="18"/>
                <w:szCs w:val="18"/>
                <w:b w:val="1"/>
                <w:bCs w:val="1"/>
                <w:color w:val="auto"/>
              </w:rPr>
              <w:t>Twenty-six weeks ended</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740" w:type="dxa"/>
            <w:vAlign w:val="bottom"/>
            <w:gridSpan w:val="6"/>
          </w:tcPr>
          <w:p>
            <w:pPr>
              <w:ind w:left="280"/>
              <w:spacing w:after="0"/>
              <w:rPr>
                <w:sz w:val="20"/>
                <w:szCs w:val="20"/>
                <w:color w:val="auto"/>
              </w:rPr>
            </w:pPr>
            <w:r>
              <w:rPr>
                <w:rFonts w:ascii="Arial" w:cs="Arial" w:eastAsia="Arial" w:hAnsi="Arial"/>
                <w:sz w:val="18"/>
                <w:szCs w:val="18"/>
                <w:b w:val="1"/>
                <w:bCs w:val="1"/>
                <w:color w:val="auto"/>
              </w:rPr>
              <w:t>Twenty-six weeks ended</w:t>
            </w:r>
          </w:p>
        </w:tc>
      </w:tr>
      <w:tr>
        <w:trPr>
          <w:trHeight w:val="205"/>
        </w:trPr>
        <w:tc>
          <w:tcPr>
            <w:tcW w:w="4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gridSpan w:val="2"/>
          </w:tcPr>
          <w:p>
            <w:pPr>
              <w:jc w:val="right"/>
              <w:ind w:right="480"/>
              <w:spacing w:after="0" w:line="205" w:lineRule="exact"/>
              <w:rPr>
                <w:sz w:val="20"/>
                <w:szCs w:val="20"/>
                <w:color w:val="auto"/>
              </w:rPr>
            </w:pPr>
            <w:r>
              <w:rPr>
                <w:rFonts w:ascii="Arial" w:cs="Arial" w:eastAsia="Arial" w:hAnsi="Arial"/>
                <w:sz w:val="18"/>
                <w:szCs w:val="18"/>
                <w:b w:val="1"/>
                <w:bCs w:val="1"/>
                <w:color w:val="auto"/>
                <w:w w:val="95"/>
              </w:rPr>
              <w:t>August 3,</w:t>
            </w:r>
          </w:p>
        </w:tc>
        <w:tc>
          <w:tcPr>
            <w:tcW w:w="6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230"/>
              <w:spacing w:after="0" w:line="205" w:lineRule="exact"/>
              <w:rPr>
                <w:sz w:val="20"/>
                <w:szCs w:val="20"/>
                <w:color w:val="auto"/>
              </w:rPr>
            </w:pPr>
            <w:r>
              <w:rPr>
                <w:rFonts w:ascii="Arial" w:cs="Arial" w:eastAsia="Arial" w:hAnsi="Arial"/>
                <w:sz w:val="18"/>
                <w:szCs w:val="18"/>
                <w:b w:val="1"/>
                <w:bCs w:val="1"/>
                <w:color w:val="auto"/>
              </w:rPr>
              <w:t>July 28,</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gridSpan w:val="2"/>
          </w:tcPr>
          <w:p>
            <w:pPr>
              <w:jc w:val="right"/>
              <w:ind w:right="480"/>
              <w:spacing w:after="0" w:line="205" w:lineRule="exact"/>
              <w:rPr>
                <w:sz w:val="20"/>
                <w:szCs w:val="20"/>
                <w:color w:val="auto"/>
              </w:rPr>
            </w:pPr>
            <w:r>
              <w:rPr>
                <w:rFonts w:ascii="Arial" w:cs="Arial" w:eastAsia="Arial" w:hAnsi="Arial"/>
                <w:sz w:val="18"/>
                <w:szCs w:val="18"/>
                <w:b w:val="1"/>
                <w:bCs w:val="1"/>
                <w:color w:val="auto"/>
                <w:w w:val="95"/>
              </w:rPr>
              <w:t>August 3,</w:t>
            </w:r>
          </w:p>
        </w:tc>
        <w:tc>
          <w:tcPr>
            <w:tcW w:w="6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230"/>
              <w:spacing w:after="0" w:line="205" w:lineRule="exact"/>
              <w:rPr>
                <w:sz w:val="20"/>
                <w:szCs w:val="20"/>
                <w:color w:val="auto"/>
              </w:rPr>
            </w:pPr>
            <w:r>
              <w:rPr>
                <w:rFonts w:ascii="Arial" w:cs="Arial" w:eastAsia="Arial" w:hAnsi="Arial"/>
                <w:sz w:val="18"/>
                <w:szCs w:val="18"/>
                <w:b w:val="1"/>
                <w:bCs w:val="1"/>
                <w:color w:val="auto"/>
              </w:rPr>
              <w:t>July 28,</w:t>
            </w:r>
          </w:p>
        </w:tc>
        <w:tc>
          <w:tcPr>
            <w:tcW w:w="160" w:type="dxa"/>
            <w:vAlign w:val="bottom"/>
          </w:tcPr>
          <w:p>
            <w:pPr>
              <w:spacing w:after="0"/>
              <w:rPr>
                <w:sz w:val="17"/>
                <w:szCs w:val="17"/>
                <w:color w:val="auto"/>
              </w:rPr>
            </w:pPr>
          </w:p>
        </w:tc>
      </w:tr>
      <w:tr>
        <w:trPr>
          <w:trHeight w:val="234"/>
        </w:trPr>
        <w:tc>
          <w:tcPr>
            <w:tcW w:w="4260" w:type="dxa"/>
            <w:vAlign w:val="bottom"/>
            <w:tcBorders>
              <w:bottom w:val="single" w:sz="8" w:color="CCFFCC"/>
            </w:tcBorders>
          </w:tcPr>
          <w:p>
            <w:pPr>
              <w:spacing w:after="0"/>
              <w:rPr>
                <w:sz w:val="20"/>
                <w:szCs w:val="20"/>
                <w:color w:val="auto"/>
              </w:rPr>
            </w:pPr>
          </w:p>
        </w:tc>
        <w:tc>
          <w:tcPr>
            <w:tcW w:w="1220" w:type="dxa"/>
            <w:vAlign w:val="bottom"/>
            <w:tcBorders>
              <w:bottom w:val="single" w:sz="8" w:color="CCFFC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2013</w:t>
            </w:r>
          </w:p>
        </w:tc>
        <w:tc>
          <w:tcPr>
            <w:tcW w:w="220" w:type="dxa"/>
            <w:vAlign w:val="bottom"/>
            <w:tcBorders>
              <w:bottom w:val="single" w:sz="8" w:color="CCFFCC"/>
            </w:tcBorders>
          </w:tcPr>
          <w:p>
            <w:pPr>
              <w:spacing w:after="0"/>
              <w:rPr>
                <w:sz w:val="20"/>
                <w:szCs w:val="20"/>
                <w:color w:val="auto"/>
              </w:rPr>
            </w:pPr>
          </w:p>
        </w:tc>
        <w:tc>
          <w:tcPr>
            <w:tcW w:w="60" w:type="dxa"/>
            <w:vAlign w:val="bottom"/>
            <w:tcBorders>
              <w:bottom w:val="single" w:sz="8" w:color="CCFFC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200" w:type="dxa"/>
            <w:vAlign w:val="bottom"/>
            <w:tcBorders>
              <w:bottom w:val="single" w:sz="8" w:color="CCFFCC"/>
            </w:tcBorders>
          </w:tcPr>
          <w:p>
            <w:pPr>
              <w:spacing w:after="0"/>
              <w:rPr>
                <w:sz w:val="20"/>
                <w:szCs w:val="20"/>
                <w:color w:val="auto"/>
              </w:rPr>
            </w:pPr>
          </w:p>
        </w:tc>
        <w:tc>
          <w:tcPr>
            <w:tcW w:w="60" w:type="dxa"/>
            <w:vAlign w:val="bottom"/>
            <w:tcBorders>
              <w:bottom w:val="single" w:sz="8" w:color="CCFFC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2013</w:t>
            </w:r>
          </w:p>
        </w:tc>
        <w:tc>
          <w:tcPr>
            <w:tcW w:w="220" w:type="dxa"/>
            <w:vAlign w:val="bottom"/>
            <w:tcBorders>
              <w:bottom w:val="single" w:sz="8" w:color="CCFFCC"/>
            </w:tcBorders>
          </w:tcPr>
          <w:p>
            <w:pPr>
              <w:spacing w:after="0"/>
              <w:rPr>
                <w:sz w:val="20"/>
                <w:szCs w:val="20"/>
                <w:color w:val="auto"/>
              </w:rPr>
            </w:pPr>
          </w:p>
        </w:tc>
        <w:tc>
          <w:tcPr>
            <w:tcW w:w="60" w:type="dxa"/>
            <w:vAlign w:val="bottom"/>
            <w:tcBorders>
              <w:bottom w:val="single" w:sz="8" w:color="CCFFC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160" w:type="dxa"/>
            <w:vAlign w:val="bottom"/>
            <w:tcBorders>
              <w:bottom w:val="single" w:sz="8" w:color="CCFFCC"/>
            </w:tcBorders>
          </w:tcPr>
          <w:p>
            <w:pPr>
              <w:spacing w:after="0"/>
              <w:rPr>
                <w:sz w:val="20"/>
                <w:szCs w:val="20"/>
                <w:color w:val="auto"/>
              </w:rPr>
            </w:pPr>
          </w:p>
        </w:tc>
      </w:tr>
      <w:tr>
        <w:trPr>
          <w:trHeight w:val="210"/>
        </w:trPr>
        <w:tc>
          <w:tcPr>
            <w:tcW w:w="4260" w:type="dxa"/>
            <w:vAlign w:val="bottom"/>
            <w:shd w:val="clear" w:color="auto" w:fill="CCFFCC"/>
          </w:tcPr>
          <w:p>
            <w:pPr>
              <w:spacing w:after="0"/>
              <w:rPr>
                <w:sz w:val="20"/>
                <w:szCs w:val="20"/>
                <w:color w:val="auto"/>
              </w:rPr>
            </w:pPr>
            <w:r>
              <w:rPr>
                <w:rFonts w:ascii="Arial" w:cs="Arial" w:eastAsia="Arial" w:hAnsi="Arial"/>
                <w:sz w:val="18"/>
                <w:szCs w:val="18"/>
                <w:color w:val="auto"/>
              </w:rPr>
              <w:t>Weighted-average risk free rate of interest</w:t>
            </w:r>
          </w:p>
        </w:tc>
        <w:tc>
          <w:tcPr>
            <w:tcW w:w="12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1.02%</w:t>
            </w:r>
          </w:p>
        </w:tc>
        <w:tc>
          <w:tcPr>
            <w:tcW w:w="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1.50%</w:t>
            </w:r>
          </w:p>
        </w:tc>
        <w:tc>
          <w:tcPr>
            <w:tcW w:w="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0.17%</w:t>
            </w:r>
          </w:p>
        </w:tc>
        <w:tc>
          <w:tcPr>
            <w:tcW w:w="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0.21%</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Expected volatility</w:t>
            </w: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42%</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43%</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40%</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r>
      <w:tr>
        <w:trPr>
          <w:trHeight w:val="216"/>
        </w:trPr>
        <w:tc>
          <w:tcPr>
            <w:tcW w:w="4260" w:type="dxa"/>
            <w:vAlign w:val="bottom"/>
            <w:shd w:val="clear" w:color="auto" w:fill="CCFFCC"/>
          </w:tcPr>
          <w:p>
            <w:pPr>
              <w:spacing w:after="0"/>
              <w:rPr>
                <w:sz w:val="20"/>
                <w:szCs w:val="20"/>
                <w:color w:val="auto"/>
              </w:rPr>
            </w:pPr>
            <w:r>
              <w:rPr>
                <w:rFonts w:ascii="Arial" w:cs="Arial" w:eastAsia="Arial" w:hAnsi="Arial"/>
                <w:sz w:val="18"/>
                <w:szCs w:val="18"/>
                <w:color w:val="auto"/>
              </w:rPr>
              <w:t>Weighted-average expected award life</w:t>
            </w:r>
          </w:p>
        </w:tc>
        <w:tc>
          <w:tcPr>
            <w:tcW w:w="12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6.0 years</w:t>
            </w:r>
          </w:p>
        </w:tc>
        <w:tc>
          <w:tcPr>
            <w:tcW w:w="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5.5 years</w:t>
            </w:r>
          </w:p>
        </w:tc>
        <w:tc>
          <w:tcPr>
            <w:tcW w:w="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1.0 year</w:t>
            </w:r>
          </w:p>
        </w:tc>
        <w:tc>
          <w:tcPr>
            <w:tcW w:w="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1.0 year</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Dividend yield</w:t>
            </w: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2.3%</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2.3%</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2.3%</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r>
      <w:tr>
        <w:trPr>
          <w:trHeight w:val="216"/>
        </w:trPr>
        <w:tc>
          <w:tcPr>
            <w:tcW w:w="4260" w:type="dxa"/>
            <w:vAlign w:val="bottom"/>
            <w:shd w:val="clear" w:color="auto" w:fill="CCFFCC"/>
          </w:tcPr>
          <w:p>
            <w:pPr>
              <w:spacing w:after="0"/>
              <w:rPr>
                <w:sz w:val="20"/>
                <w:szCs w:val="20"/>
                <w:color w:val="auto"/>
              </w:rPr>
            </w:pPr>
            <w:r>
              <w:rPr>
                <w:rFonts w:ascii="Arial" w:cs="Arial" w:eastAsia="Arial" w:hAnsi="Arial"/>
                <w:sz w:val="18"/>
                <w:szCs w:val="18"/>
                <w:color w:val="auto"/>
              </w:rPr>
              <w:t>Weighted-average fair value</w:t>
            </w:r>
          </w:p>
        </w:tc>
        <w:tc>
          <w:tcPr>
            <w:tcW w:w="14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10.99</w:t>
            </w:r>
          </w:p>
        </w:tc>
        <w:tc>
          <w:tcPr>
            <w:tcW w:w="2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10.13</w:t>
            </w:r>
          </w:p>
        </w:tc>
        <w:tc>
          <w:tcPr>
            <w:tcW w:w="2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5.79</w:t>
            </w:r>
          </w:p>
        </w:tc>
        <w:tc>
          <w:tcPr>
            <w:tcW w:w="2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5.52</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The information in the following table covers options granted under the Company’s stock option plans for the twenty-six weeks ended August 3, 2013:</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Weighted-</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Weighted-</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Average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Exercise</w:t>
            </w:r>
          </w:p>
        </w:tc>
        <w:tc>
          <w:tcPr>
            <w:tcW w:w="0" w:type="dxa"/>
            <w:vAlign w:val="bottom"/>
          </w:tcPr>
          <w:p>
            <w:pPr>
              <w:spacing w:after="0"/>
              <w:rPr>
                <w:sz w:val="1"/>
                <w:szCs w:val="1"/>
                <w:color w:val="auto"/>
              </w:rPr>
            </w:pPr>
          </w:p>
        </w:tc>
      </w:tr>
      <w:tr>
        <w:trPr>
          <w:trHeight w:val="234"/>
        </w:trPr>
        <w:tc>
          <w:tcPr>
            <w:tcW w:w="5620" w:type="dxa"/>
            <w:vAlign w:val="bottom"/>
            <w:gridSpan w:val="2"/>
          </w:tcPr>
          <w:p>
            <w:pPr>
              <w:spacing w:after="0"/>
              <w:rPr>
                <w:sz w:val="20"/>
                <w:szCs w:val="20"/>
                <w:color w:val="auto"/>
              </w:rPr>
            </w:pPr>
            <w:r>
              <w:rPr>
                <w:rFonts w:ascii="Arial" w:cs="Arial" w:eastAsia="Arial" w:hAnsi="Arial"/>
                <w:sz w:val="18"/>
                <w:szCs w:val="18"/>
                <w:b w:val="1"/>
                <w:bCs w:val="1"/>
                <w:color w:val="auto"/>
                <w:w w:val="99"/>
              </w:rPr>
              <w:t>(in thousands, except price per share and weighted-average term)</w:t>
            </w: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3"/>
          </w:tcPr>
          <w:p>
            <w:pPr>
              <w:ind w:left="14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5"/>
              </w:rPr>
              <w:t>Term</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Price</w:t>
            </w:r>
          </w:p>
        </w:tc>
        <w:tc>
          <w:tcPr>
            <w:tcW w:w="0" w:type="dxa"/>
            <w:vAlign w:val="bottom"/>
          </w:tcPr>
          <w:p>
            <w:pPr>
              <w:spacing w:after="0"/>
              <w:rPr>
                <w:sz w:val="1"/>
                <w:szCs w:val="1"/>
                <w:color w:val="auto"/>
              </w:rPr>
            </w:pPr>
          </w:p>
        </w:tc>
      </w:tr>
      <w:tr>
        <w:trPr>
          <w:trHeight w:val="210"/>
        </w:trPr>
        <w:tc>
          <w:tcPr>
            <w:tcW w:w="5620" w:type="dxa"/>
            <w:vAlign w:val="bottom"/>
            <w:tcBorders>
              <w:top w:val="single" w:sz="8" w:color="auto"/>
            </w:tcBorders>
            <w:gridSpan w:val="2"/>
            <w:shd w:val="clear" w:color="auto" w:fill="CCFFCC"/>
          </w:tcPr>
          <w:p>
            <w:pPr>
              <w:ind w:left="240"/>
              <w:spacing w:after="0"/>
              <w:rPr>
                <w:sz w:val="20"/>
                <w:szCs w:val="20"/>
                <w:color w:val="auto"/>
              </w:rPr>
            </w:pPr>
            <w:r>
              <w:rPr>
                <w:rFonts w:ascii="Arial" w:cs="Arial" w:eastAsia="Arial" w:hAnsi="Arial"/>
                <w:sz w:val="18"/>
                <w:szCs w:val="18"/>
                <w:color w:val="auto"/>
              </w:rPr>
              <w:t>Options outstanding at the beginning of the year</w:t>
            </w:r>
          </w:p>
        </w:tc>
        <w:tc>
          <w:tcPr>
            <w:tcW w:w="180" w:type="dxa"/>
            <w:vAlign w:val="bottom"/>
            <w:tcBorders>
              <w:top w:val="single" w:sz="8" w:color="auto"/>
            </w:tcBorders>
            <w:shd w:val="clear" w:color="auto" w:fill="CCFFCC"/>
          </w:tcPr>
          <w:p>
            <w:pPr>
              <w:spacing w:after="0"/>
              <w:rPr>
                <w:sz w:val="18"/>
                <w:szCs w:val="18"/>
                <w:color w:val="auto"/>
              </w:rPr>
            </w:pPr>
          </w:p>
        </w:tc>
        <w:tc>
          <w:tcPr>
            <w:tcW w:w="108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auto"/>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20" w:type="dxa"/>
            <w:vAlign w:val="bottom"/>
            <w:tcBorders>
              <w:top w:val="single" w:sz="8" w:color="auto"/>
            </w:tcBorders>
            <w:shd w:val="clear" w:color="auto" w:fill="CCFFCC"/>
          </w:tcPr>
          <w:p>
            <w:pPr>
              <w:spacing w:after="0"/>
              <w:rPr>
                <w:sz w:val="18"/>
                <w:szCs w:val="18"/>
                <w:color w:val="auto"/>
              </w:rPr>
            </w:pPr>
          </w:p>
        </w:tc>
        <w:tc>
          <w:tcPr>
            <w:tcW w:w="220" w:type="dxa"/>
            <w:vAlign w:val="bottom"/>
            <w:tcBorders>
              <w:top w:val="single" w:sz="8" w:color="auto"/>
            </w:tcBorders>
            <w:shd w:val="clear" w:color="auto" w:fill="CCFFCC"/>
          </w:tcPr>
          <w:p>
            <w:pPr>
              <w:spacing w:after="0"/>
              <w:rPr>
                <w:sz w:val="18"/>
                <w:szCs w:val="18"/>
                <w:color w:val="auto"/>
              </w:rPr>
            </w:pPr>
          </w:p>
        </w:tc>
        <w:tc>
          <w:tcPr>
            <w:tcW w:w="1020" w:type="dxa"/>
            <w:vAlign w:val="bottom"/>
            <w:tcBorders>
              <w:top w:val="single" w:sz="8" w:color="auto"/>
            </w:tcBorders>
            <w:shd w:val="clear" w:color="auto" w:fill="CCFFCC"/>
          </w:tcPr>
          <w:p>
            <w:pPr>
              <w:ind w:left="620"/>
              <w:spacing w:after="0"/>
              <w:rPr>
                <w:sz w:val="20"/>
                <w:szCs w:val="20"/>
                <w:color w:val="auto"/>
              </w:rPr>
            </w:pPr>
            <w:r>
              <w:rPr>
                <w:rFonts w:ascii="Arial" w:cs="Arial" w:eastAsia="Arial" w:hAnsi="Arial"/>
                <w:sz w:val="18"/>
                <w:szCs w:val="18"/>
                <w:color w:val="auto"/>
                <w:w w:val="84"/>
              </w:rPr>
              <w:t>5,907</w:t>
            </w:r>
          </w:p>
        </w:tc>
        <w:tc>
          <w:tcPr>
            <w:tcW w:w="4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auto"/>
            </w:tcBorders>
            <w:shd w:val="clear" w:color="auto" w:fill="CCFFCC"/>
          </w:tcPr>
          <w:p>
            <w:pPr>
              <w:spacing w:after="0"/>
              <w:rPr>
                <w:sz w:val="18"/>
                <w:szCs w:val="18"/>
                <w:color w:val="auto"/>
              </w:rPr>
            </w:pPr>
          </w:p>
        </w:tc>
        <w:tc>
          <w:tcPr>
            <w:tcW w:w="110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19.93</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gridSpan w:val="2"/>
          </w:tcPr>
          <w:p>
            <w:pPr>
              <w:ind w:left="240"/>
              <w:spacing w:after="0"/>
              <w:rPr>
                <w:sz w:val="20"/>
                <w:szCs w:val="20"/>
                <w:color w:val="auto"/>
              </w:rPr>
            </w:pPr>
            <w:r>
              <w:rPr>
                <w:rFonts w:ascii="Arial" w:cs="Arial" w:eastAsia="Arial" w:hAnsi="Arial"/>
                <w:sz w:val="18"/>
                <w:szCs w:val="18"/>
                <w:color w:val="auto"/>
              </w:rPr>
              <w:t>Granted</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ind w:left="620"/>
              <w:spacing w:after="0"/>
              <w:rPr>
                <w:sz w:val="20"/>
                <w:szCs w:val="20"/>
                <w:color w:val="auto"/>
              </w:rPr>
            </w:pPr>
            <w:r>
              <w:rPr>
                <w:rFonts w:ascii="Arial" w:cs="Arial" w:eastAsia="Arial" w:hAnsi="Arial"/>
                <w:sz w:val="18"/>
                <w:szCs w:val="18"/>
                <w:color w:val="auto"/>
                <w:w w:val="93"/>
              </w:rPr>
              <w:t>1,154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34.25</w:t>
            </w: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FFCC"/>
          </w:tcPr>
          <w:p>
            <w:pPr>
              <w:ind w:left="240"/>
              <w:spacing w:after="0"/>
              <w:rPr>
                <w:sz w:val="20"/>
                <w:szCs w:val="20"/>
                <w:color w:val="auto"/>
              </w:rPr>
            </w:pPr>
            <w:r>
              <w:rPr>
                <w:rFonts w:ascii="Arial" w:cs="Arial" w:eastAsia="Arial" w:hAnsi="Arial"/>
                <w:sz w:val="18"/>
                <w:szCs w:val="18"/>
                <w:color w:val="auto"/>
              </w:rPr>
              <w:t>Exercised</w:t>
            </w:r>
          </w:p>
        </w:tc>
        <w:tc>
          <w:tcPr>
            <w:tcW w:w="18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8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(780)</w:t>
            </w:r>
          </w:p>
        </w:tc>
        <w:tc>
          <w:tcPr>
            <w:tcW w:w="1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18.69</w:t>
            </w:r>
          </w:p>
        </w:tc>
        <w:tc>
          <w:tcPr>
            <w:tcW w:w="0" w:type="dxa"/>
            <w:vAlign w:val="bottom"/>
          </w:tcPr>
          <w:p>
            <w:pPr>
              <w:spacing w:after="0"/>
              <w:rPr>
                <w:sz w:val="1"/>
                <w:szCs w:val="1"/>
                <w:color w:val="auto"/>
              </w:rPr>
            </w:pPr>
          </w:p>
        </w:tc>
      </w:tr>
      <w:tr>
        <w:trPr>
          <w:trHeight w:val="230"/>
        </w:trPr>
        <w:tc>
          <w:tcPr>
            <w:tcW w:w="5620" w:type="dxa"/>
            <w:vAlign w:val="bottom"/>
            <w:gridSpan w:val="2"/>
          </w:tcPr>
          <w:p>
            <w:pPr>
              <w:ind w:left="240"/>
              <w:spacing w:after="0"/>
              <w:rPr>
                <w:sz w:val="20"/>
                <w:szCs w:val="20"/>
                <w:color w:val="auto"/>
              </w:rPr>
            </w:pPr>
            <w:r>
              <w:rPr>
                <w:rFonts w:ascii="Arial" w:cs="Arial" w:eastAsia="Arial" w:hAnsi="Arial"/>
                <w:sz w:val="18"/>
                <w:szCs w:val="18"/>
                <w:color w:val="auto"/>
              </w:rPr>
              <w:t>Expired or cancelled</w:t>
            </w: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29.20</w:t>
            </w:r>
          </w:p>
        </w:tc>
        <w:tc>
          <w:tcPr>
            <w:tcW w:w="0" w:type="dxa"/>
            <w:vAlign w:val="bottom"/>
          </w:tcPr>
          <w:p>
            <w:pPr>
              <w:spacing w:after="0"/>
              <w:rPr>
                <w:sz w:val="1"/>
                <w:szCs w:val="1"/>
                <w:color w:val="auto"/>
              </w:rPr>
            </w:pPr>
          </w:p>
        </w:tc>
      </w:tr>
      <w:tr>
        <w:trPr>
          <w:trHeight w:val="223"/>
        </w:trPr>
        <w:tc>
          <w:tcPr>
            <w:tcW w:w="5620" w:type="dxa"/>
            <w:vAlign w:val="bottom"/>
            <w:tcBorders>
              <w:top w:val="single" w:sz="8" w:color="CCFFCC"/>
              <w:bottom w:val="single" w:sz="8" w:color="CCFFCC"/>
            </w:tcBorders>
            <w:gridSpan w:val="2"/>
            <w:shd w:val="clear" w:color="auto" w:fill="CCFFCC"/>
          </w:tcPr>
          <w:p>
            <w:pPr>
              <w:ind w:left="240"/>
              <w:spacing w:after="0"/>
              <w:rPr>
                <w:sz w:val="20"/>
                <w:szCs w:val="20"/>
                <w:color w:val="auto"/>
              </w:rPr>
            </w:pPr>
            <w:r>
              <w:rPr>
                <w:rFonts w:ascii="Arial" w:cs="Arial" w:eastAsia="Arial" w:hAnsi="Arial"/>
                <w:sz w:val="18"/>
                <w:szCs w:val="18"/>
                <w:color w:val="auto"/>
              </w:rPr>
              <w:t>Options outstanding at August 3, 2013</w:t>
            </w:r>
          </w:p>
        </w:tc>
        <w:tc>
          <w:tcPr>
            <w:tcW w:w="180" w:type="dxa"/>
            <w:vAlign w:val="bottom"/>
            <w:tcBorders>
              <w:top w:val="single" w:sz="8" w:color="CCFFCC"/>
              <w:bottom w:val="single" w:sz="8" w:color="CCFFCC"/>
            </w:tcBorders>
            <w:shd w:val="clear" w:color="auto" w:fill="CCFFCC"/>
          </w:tcPr>
          <w:p>
            <w:pPr>
              <w:spacing w:after="0"/>
              <w:rPr>
                <w:sz w:val="19"/>
                <w:szCs w:val="19"/>
                <w:color w:val="auto"/>
              </w:rPr>
            </w:pPr>
          </w:p>
        </w:tc>
        <w:tc>
          <w:tcPr>
            <w:tcW w:w="1080" w:type="dxa"/>
            <w:vAlign w:val="bottom"/>
            <w:tcBorders>
              <w:top w:val="single" w:sz="8" w:color="CCFFCC"/>
              <w:bottom w:val="single" w:sz="8" w:color="CCFFCC"/>
            </w:tcBorders>
            <w:shd w:val="clear" w:color="auto" w:fill="CCFFCC"/>
          </w:tcPr>
          <w:p>
            <w:pPr>
              <w:spacing w:after="0"/>
              <w:rPr>
                <w:sz w:val="19"/>
                <w:szCs w:val="19"/>
                <w:color w:val="auto"/>
              </w:rPr>
            </w:pPr>
          </w:p>
        </w:tc>
        <w:tc>
          <w:tcPr>
            <w:tcW w:w="100" w:type="dxa"/>
            <w:vAlign w:val="bottom"/>
            <w:tcBorders>
              <w:top w:val="single" w:sz="8" w:color="CCFFCC"/>
              <w:bottom w:val="single" w:sz="8" w:color="CCFFCC"/>
            </w:tcBorders>
            <w:shd w:val="clear" w:color="auto" w:fill="CCFFCC"/>
          </w:tcPr>
          <w:p>
            <w:pPr>
              <w:spacing w:after="0"/>
              <w:rPr>
                <w:sz w:val="19"/>
                <w:szCs w:val="19"/>
                <w:color w:val="auto"/>
              </w:rPr>
            </w:pPr>
          </w:p>
        </w:tc>
        <w:tc>
          <w:tcPr>
            <w:tcW w:w="120" w:type="dxa"/>
            <w:vAlign w:val="bottom"/>
            <w:tcBorders>
              <w:top w:val="single" w:sz="8" w:color="CCFFCC"/>
              <w:bottom w:val="single" w:sz="8" w:color="CCFFCC"/>
            </w:tcBorders>
            <w:shd w:val="clear" w:color="auto" w:fill="CCFFCC"/>
          </w:tcPr>
          <w:p>
            <w:pPr>
              <w:spacing w:after="0"/>
              <w:rPr>
                <w:sz w:val="19"/>
                <w:szCs w:val="19"/>
                <w:color w:val="auto"/>
              </w:rPr>
            </w:pPr>
          </w:p>
        </w:tc>
        <w:tc>
          <w:tcPr>
            <w:tcW w:w="20" w:type="dxa"/>
            <w:vAlign w:val="bottom"/>
            <w:tcBorders>
              <w:top w:val="single" w:sz="8" w:color="auto"/>
              <w:bottom w:val="single" w:sz="8" w:color="auto"/>
            </w:tcBorders>
            <w:shd w:val="clear" w:color="auto" w:fill="CCFFCC"/>
          </w:tcPr>
          <w:p>
            <w:pPr>
              <w:spacing w:after="0"/>
              <w:rPr>
                <w:sz w:val="19"/>
                <w:szCs w:val="19"/>
                <w:color w:val="auto"/>
              </w:rPr>
            </w:pPr>
          </w:p>
        </w:tc>
        <w:tc>
          <w:tcPr>
            <w:tcW w:w="220" w:type="dxa"/>
            <w:vAlign w:val="bottom"/>
            <w:tcBorders>
              <w:top w:val="single" w:sz="8" w:color="auto"/>
              <w:bottom w:val="single" w:sz="8" w:color="auto"/>
            </w:tcBorders>
            <w:shd w:val="clear" w:color="auto" w:fill="CCFFCC"/>
          </w:tcPr>
          <w:p>
            <w:pPr>
              <w:spacing w:after="0"/>
              <w:rPr>
                <w:sz w:val="19"/>
                <w:szCs w:val="19"/>
                <w:color w:val="auto"/>
              </w:rPr>
            </w:pPr>
          </w:p>
        </w:tc>
        <w:tc>
          <w:tcPr>
            <w:tcW w:w="1020" w:type="dxa"/>
            <w:vAlign w:val="bottom"/>
            <w:tcBorders>
              <w:top w:val="single" w:sz="8" w:color="auto"/>
              <w:bottom w:val="single" w:sz="8" w:color="auto"/>
            </w:tcBorders>
            <w:shd w:val="clear" w:color="auto" w:fill="CCFFCC"/>
          </w:tcPr>
          <w:p>
            <w:pPr>
              <w:ind w:left="620"/>
              <w:spacing w:after="0"/>
              <w:rPr>
                <w:sz w:val="20"/>
                <w:szCs w:val="20"/>
                <w:color w:val="auto"/>
              </w:rPr>
            </w:pPr>
            <w:r>
              <w:rPr>
                <w:rFonts w:ascii="Arial" w:cs="Arial" w:eastAsia="Arial" w:hAnsi="Arial"/>
                <w:sz w:val="18"/>
                <w:szCs w:val="18"/>
                <w:color w:val="auto"/>
                <w:w w:val="84"/>
              </w:rPr>
              <w:t>6,239</w:t>
            </w:r>
          </w:p>
        </w:tc>
        <w:tc>
          <w:tcPr>
            <w:tcW w:w="40" w:type="dxa"/>
            <w:vAlign w:val="bottom"/>
            <w:tcBorders>
              <w:top w:val="single" w:sz="8" w:color="CCFFCC"/>
              <w:bottom w:val="single" w:sz="8" w:color="CCFFCC"/>
            </w:tcBorders>
            <w:shd w:val="clear" w:color="auto" w:fill="CCFFCC"/>
          </w:tcPr>
          <w:p>
            <w:pPr>
              <w:spacing w:after="0"/>
              <w:rPr>
                <w:sz w:val="19"/>
                <w:szCs w:val="19"/>
                <w:color w:val="auto"/>
              </w:rPr>
            </w:pPr>
          </w:p>
        </w:tc>
        <w:tc>
          <w:tcPr>
            <w:tcW w:w="120" w:type="dxa"/>
            <w:vAlign w:val="bottom"/>
            <w:tcBorders>
              <w:top w:val="single" w:sz="8" w:color="CCFFCC"/>
              <w:bottom w:val="single" w:sz="8" w:color="CCFFCC"/>
            </w:tcBorders>
            <w:shd w:val="clear" w:color="auto" w:fill="CCFFCC"/>
          </w:tcPr>
          <w:p>
            <w:pPr>
              <w:spacing w:after="0"/>
              <w:rPr>
                <w:sz w:val="19"/>
                <w:szCs w:val="19"/>
                <w:color w:val="auto"/>
              </w:rPr>
            </w:pPr>
          </w:p>
        </w:tc>
        <w:tc>
          <w:tcPr>
            <w:tcW w:w="100" w:type="dxa"/>
            <w:vAlign w:val="bottom"/>
            <w:tcBorders>
              <w:top w:val="single" w:sz="8" w:color="CCFFCC"/>
              <w:bottom w:val="single" w:sz="8" w:color="CCFFCC"/>
            </w:tcBorders>
            <w:shd w:val="clear" w:color="auto" w:fill="CCFFCC"/>
          </w:tcPr>
          <w:p>
            <w:pPr>
              <w:spacing w:after="0"/>
              <w:rPr>
                <w:sz w:val="19"/>
                <w:szCs w:val="19"/>
                <w:color w:val="auto"/>
              </w:rPr>
            </w:pPr>
          </w:p>
        </w:tc>
        <w:tc>
          <w:tcPr>
            <w:tcW w:w="140" w:type="dxa"/>
            <w:vAlign w:val="bottom"/>
            <w:tcBorders>
              <w:top w:val="single" w:sz="8" w:color="CCFFCC"/>
              <w:bottom w:val="single" w:sz="8" w:color="CCFFCC"/>
            </w:tcBorders>
            <w:shd w:val="clear" w:color="auto" w:fill="CCFFCC"/>
          </w:tcPr>
          <w:p>
            <w:pPr>
              <w:spacing w:after="0"/>
              <w:rPr>
                <w:sz w:val="19"/>
                <w:szCs w:val="19"/>
                <w:color w:val="auto"/>
              </w:rPr>
            </w:pPr>
          </w:p>
        </w:tc>
        <w:tc>
          <w:tcPr>
            <w:tcW w:w="1200" w:type="dxa"/>
            <w:vAlign w:val="bottom"/>
            <w:tcBorders>
              <w:top w:val="single" w:sz="8" w:color="CCFFCC"/>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6.74</w:t>
            </w:r>
          </w:p>
        </w:tc>
        <w:tc>
          <w:tcPr>
            <w:tcW w:w="260" w:type="dxa"/>
            <w:vAlign w:val="bottom"/>
            <w:tcBorders>
              <w:top w:val="single" w:sz="8" w:color="CCFFCC"/>
              <w:bottom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CCFFCC"/>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22.67</w:t>
            </w:r>
          </w:p>
        </w:tc>
        <w:tc>
          <w:tcPr>
            <w:tcW w:w="0" w:type="dxa"/>
            <w:vAlign w:val="bottom"/>
          </w:tcPr>
          <w:p>
            <w:pPr>
              <w:spacing w:after="0"/>
              <w:rPr>
                <w:sz w:val="1"/>
                <w:szCs w:val="1"/>
                <w:color w:val="auto"/>
              </w:rPr>
            </w:pPr>
          </w:p>
        </w:tc>
      </w:tr>
      <w:tr>
        <w:trPr>
          <w:trHeight w:val="20"/>
        </w:trPr>
        <w:tc>
          <w:tcPr>
            <w:tcW w:w="5620" w:type="dxa"/>
            <w:vAlign w:val="bottom"/>
            <w:gridSpan w:val="2"/>
            <w:vMerge w:val="restart"/>
          </w:tcPr>
          <w:p>
            <w:pPr>
              <w:spacing w:after="0"/>
              <w:rPr>
                <w:sz w:val="20"/>
                <w:szCs w:val="20"/>
                <w:color w:val="auto"/>
              </w:rPr>
            </w:pPr>
            <w:r>
              <w:rPr>
                <w:rFonts w:ascii="Arial" w:cs="Arial" w:eastAsia="Arial" w:hAnsi="Arial"/>
                <w:sz w:val="18"/>
                <w:szCs w:val="18"/>
                <w:color w:val="auto"/>
              </w:rPr>
              <w:t>Options exercisable at August 3, 2013</w:t>
            </w: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5.54</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18.62</w:t>
            </w:r>
          </w:p>
        </w:tc>
        <w:tc>
          <w:tcPr>
            <w:tcW w:w="0" w:type="dxa"/>
            <w:vAlign w:val="bottom"/>
          </w:tcPr>
          <w:p>
            <w:pPr>
              <w:spacing w:after="0" w:line="20" w:lineRule="exact"/>
              <w:rPr>
                <w:sz w:val="1"/>
                <w:szCs w:val="1"/>
                <w:color w:val="auto"/>
              </w:rPr>
            </w:pPr>
          </w:p>
        </w:tc>
      </w:tr>
      <w:tr>
        <w:trPr>
          <w:trHeight w:val="197"/>
        </w:trPr>
        <w:tc>
          <w:tcPr>
            <w:tcW w:w="562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ind w:left="620"/>
              <w:spacing w:after="0" w:line="196" w:lineRule="exact"/>
              <w:rPr>
                <w:sz w:val="20"/>
                <w:szCs w:val="20"/>
                <w:color w:val="auto"/>
              </w:rPr>
            </w:pPr>
            <w:r>
              <w:rPr>
                <w:rFonts w:ascii="Arial" w:cs="Arial" w:eastAsia="Arial" w:hAnsi="Arial"/>
                <w:sz w:val="18"/>
                <w:szCs w:val="18"/>
                <w:color w:val="auto"/>
                <w:w w:val="84"/>
              </w:rPr>
              <w:t>4,037</w:t>
            </w:r>
          </w:p>
        </w:tc>
        <w:tc>
          <w:tcPr>
            <w:tcW w:w="4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Options available for future grant at August 3, 2013</w:t>
            </w:r>
          </w:p>
        </w:tc>
        <w:tc>
          <w:tcPr>
            <w:tcW w:w="18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ind w:left="620"/>
              <w:spacing w:after="0"/>
              <w:rPr>
                <w:sz w:val="20"/>
                <w:szCs w:val="20"/>
                <w:color w:val="auto"/>
              </w:rPr>
            </w:pPr>
            <w:r>
              <w:rPr>
                <w:rFonts w:ascii="Arial" w:cs="Arial" w:eastAsia="Arial" w:hAnsi="Arial"/>
                <w:sz w:val="18"/>
                <w:szCs w:val="18"/>
                <w:color w:val="auto"/>
                <w:w w:val="93"/>
              </w:rPr>
              <w:t>3,313</w:t>
            </w: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446"/>
        </w:trPr>
        <w:tc>
          <w:tcPr>
            <w:tcW w:w="5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20" w:type="dxa"/>
            <w:vAlign w:val="bottom"/>
            <w:gridSpan w:val="8"/>
          </w:tcPr>
          <w:p>
            <w:pPr>
              <w:jc w:val="right"/>
              <w:ind w:right="680"/>
              <w:spacing w:after="0"/>
              <w:rPr>
                <w:sz w:val="20"/>
                <w:szCs w:val="20"/>
                <w:color w:val="auto"/>
              </w:rPr>
            </w:pPr>
            <w:r>
              <w:rPr>
                <w:rFonts w:ascii="Arial" w:cs="Arial" w:eastAsia="Arial" w:hAnsi="Arial"/>
                <w:sz w:val="18"/>
                <w:szCs w:val="18"/>
                <w:b w:val="1"/>
                <w:bCs w:val="1"/>
                <w:color w:val="auto"/>
              </w:rPr>
              <w:t>Thirteen weeks ended</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60" w:type="dxa"/>
            <w:vAlign w:val="bottom"/>
            <w:gridSpan w:val="6"/>
          </w:tcPr>
          <w:p>
            <w:pPr>
              <w:ind w:left="280"/>
              <w:spacing w:after="0"/>
              <w:rPr>
                <w:sz w:val="20"/>
                <w:szCs w:val="20"/>
                <w:color w:val="auto"/>
              </w:rPr>
            </w:pPr>
            <w:r>
              <w:rPr>
                <w:rFonts w:ascii="Arial" w:cs="Arial" w:eastAsia="Arial" w:hAnsi="Arial"/>
                <w:sz w:val="18"/>
                <w:szCs w:val="18"/>
                <w:b w:val="1"/>
                <w:bCs w:val="1"/>
                <w:color w:val="auto"/>
              </w:rPr>
              <w:t>Twenty-six weeks ended</w:t>
            </w:r>
          </w:p>
        </w:tc>
        <w:tc>
          <w:tcPr>
            <w:tcW w:w="0" w:type="dxa"/>
            <w:vAlign w:val="bottom"/>
          </w:tcPr>
          <w:p>
            <w:pPr>
              <w:spacing w:after="0"/>
              <w:rPr>
                <w:sz w:val="1"/>
                <w:szCs w:val="1"/>
                <w:color w:val="auto"/>
              </w:rPr>
            </w:pPr>
          </w:p>
        </w:tc>
      </w:tr>
      <w:tr>
        <w:trPr>
          <w:trHeight w:val="205"/>
        </w:trPr>
        <w:tc>
          <w:tcPr>
            <w:tcW w:w="5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gridSpan w:val="3"/>
          </w:tcPr>
          <w:p>
            <w:pPr>
              <w:jc w:val="center"/>
              <w:ind w:right="400"/>
              <w:spacing w:after="0" w:line="205" w:lineRule="exact"/>
              <w:rPr>
                <w:sz w:val="20"/>
                <w:szCs w:val="20"/>
                <w:color w:val="auto"/>
              </w:rPr>
            </w:pPr>
            <w:r>
              <w:rPr>
                <w:rFonts w:ascii="Arial" w:cs="Arial" w:eastAsia="Arial" w:hAnsi="Arial"/>
                <w:sz w:val="18"/>
                <w:szCs w:val="18"/>
                <w:b w:val="1"/>
                <w:bCs w:val="1"/>
                <w:color w:val="auto"/>
                <w:w w:val="90"/>
              </w:rPr>
              <w:t>August 3,</w:t>
            </w:r>
          </w:p>
        </w:tc>
        <w:tc>
          <w:tcPr>
            <w:tcW w:w="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gridSpan w:val="2"/>
          </w:tcPr>
          <w:p>
            <w:pPr>
              <w:ind w:left="120"/>
              <w:spacing w:after="0" w:line="205" w:lineRule="exact"/>
              <w:rPr>
                <w:sz w:val="20"/>
                <w:szCs w:val="20"/>
                <w:color w:val="auto"/>
              </w:rPr>
            </w:pPr>
            <w:r>
              <w:rPr>
                <w:rFonts w:ascii="Arial" w:cs="Arial" w:eastAsia="Arial" w:hAnsi="Arial"/>
                <w:sz w:val="18"/>
                <w:szCs w:val="18"/>
                <w:b w:val="1"/>
                <w:bCs w:val="1"/>
                <w:color w:val="auto"/>
              </w:rPr>
              <w:t>July 28,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gridSpan w:val="2"/>
          </w:tcPr>
          <w:p>
            <w:pPr>
              <w:jc w:val="center"/>
              <w:ind w:right="260"/>
              <w:spacing w:after="0" w:line="205" w:lineRule="exact"/>
              <w:rPr>
                <w:sz w:val="20"/>
                <w:szCs w:val="20"/>
                <w:color w:val="auto"/>
              </w:rPr>
            </w:pPr>
            <w:r>
              <w:rPr>
                <w:rFonts w:ascii="Arial" w:cs="Arial" w:eastAsia="Arial" w:hAnsi="Arial"/>
                <w:sz w:val="18"/>
                <w:szCs w:val="18"/>
                <w:b w:val="1"/>
                <w:bCs w:val="1"/>
                <w:color w:val="auto"/>
                <w:w w:val="90"/>
              </w:rPr>
              <w:t>August 3,</w:t>
            </w: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center"/>
              <w:ind w:right="50"/>
              <w:spacing w:after="0" w:line="205" w:lineRule="exact"/>
              <w:rPr>
                <w:sz w:val="20"/>
                <w:szCs w:val="20"/>
                <w:color w:val="auto"/>
              </w:rPr>
            </w:pPr>
            <w:r>
              <w:rPr>
                <w:rFonts w:ascii="Arial" w:cs="Arial" w:eastAsia="Arial" w:hAnsi="Arial"/>
                <w:sz w:val="18"/>
                <w:szCs w:val="18"/>
                <w:b w:val="1"/>
                <w:bCs w:val="1"/>
                <w:color w:val="auto"/>
                <w:w w:val="90"/>
              </w:rPr>
              <w:t>July 28,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620" w:type="dxa"/>
            <w:vAlign w:val="bottom"/>
            <w:gridSpan w:val="2"/>
          </w:tcPr>
          <w:p>
            <w:pPr>
              <w:spacing w:after="0"/>
              <w:rPr>
                <w:sz w:val="20"/>
                <w:szCs w:val="20"/>
                <w:color w:val="auto"/>
              </w:rPr>
            </w:pPr>
            <w:r>
              <w:rPr>
                <w:rFonts w:ascii="Arial" w:cs="Arial" w:eastAsia="Arial" w:hAnsi="Arial"/>
                <w:sz w:val="18"/>
                <w:szCs w:val="18"/>
                <w:b w:val="1"/>
                <w:bCs w:val="1"/>
                <w:color w:val="auto"/>
              </w:rPr>
              <w:t>Intrinsic value of stock options (in millions)</w:t>
            </w:r>
          </w:p>
        </w:tc>
        <w:tc>
          <w:tcPr>
            <w:tcW w:w="180" w:type="dxa"/>
            <w:vAlign w:val="bottom"/>
          </w:tcPr>
          <w:p>
            <w:pPr>
              <w:spacing w:after="0"/>
              <w:rPr>
                <w:sz w:val="20"/>
                <w:szCs w:val="20"/>
                <w:color w:val="auto"/>
              </w:rPr>
            </w:pPr>
          </w:p>
        </w:tc>
        <w:tc>
          <w:tcPr>
            <w:tcW w:w="10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ind w:left="240"/>
              <w:spacing w:after="0"/>
              <w:rPr>
                <w:sz w:val="20"/>
                <w:szCs w:val="20"/>
                <w:color w:val="auto"/>
              </w:rPr>
            </w:pPr>
            <w:r>
              <w:rPr>
                <w:rFonts w:ascii="Arial" w:cs="Arial" w:eastAsia="Arial" w:hAnsi="Arial"/>
                <w:sz w:val="18"/>
                <w:szCs w:val="18"/>
                <w:b w:val="1"/>
                <w:bCs w:val="1"/>
                <w:color w:val="auto"/>
              </w:rPr>
              <w:t>2012</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50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Exercised</w:t>
            </w:r>
          </w:p>
        </w:tc>
        <w:tc>
          <w:tcPr>
            <w:tcW w:w="120" w:type="dxa"/>
            <w:vAlign w:val="bottom"/>
            <w:tcBorders>
              <w:top w:val="single" w:sz="8" w:color="CCFFCC"/>
            </w:tcBorders>
            <w:shd w:val="clear" w:color="auto" w:fill="CCFFCC"/>
          </w:tcPr>
          <w:p>
            <w:pPr>
              <w:spacing w:after="0"/>
              <w:rPr>
                <w:sz w:val="18"/>
                <w:szCs w:val="18"/>
                <w:color w:val="auto"/>
              </w:rPr>
            </w:pPr>
          </w:p>
        </w:tc>
        <w:tc>
          <w:tcPr>
            <w:tcW w:w="180" w:type="dxa"/>
            <w:vAlign w:val="bottom"/>
            <w:tcBorders>
              <w:top w:val="single" w:sz="8" w:color="auto"/>
            </w:tcBorders>
            <w:shd w:val="clear" w:color="auto" w:fill="CCFFCC"/>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220" w:type="dxa"/>
            <w:vAlign w:val="bottom"/>
            <w:tcBorders>
              <w:top w:val="single" w:sz="8" w:color="auto"/>
            </w:tcBorders>
            <w:shd w:val="clear" w:color="auto" w:fill="CCFFCC"/>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gridSpan w:val="2"/>
            <w:shd w:val="clear" w:color="auto" w:fill="CCFFCC"/>
          </w:tcPr>
          <w:p>
            <w:pPr>
              <w:ind w:left="960"/>
              <w:spacing w:after="0"/>
              <w:rPr>
                <w:sz w:val="20"/>
                <w:szCs w:val="20"/>
                <w:color w:val="auto"/>
              </w:rPr>
            </w:pPr>
            <w:r>
              <w:rPr>
                <w:rFonts w:ascii="Arial" w:cs="Arial" w:eastAsia="Arial" w:hAnsi="Arial"/>
                <w:sz w:val="18"/>
                <w:szCs w:val="18"/>
                <w:color w:val="auto"/>
                <w:w w:val="79"/>
              </w:rPr>
              <w:t>4</w:t>
            </w:r>
          </w:p>
        </w:tc>
        <w:tc>
          <w:tcPr>
            <w:tcW w:w="12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Outstanding</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91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Outstanding and exercisable</w:t>
            </w:r>
          </w:p>
        </w:tc>
        <w:tc>
          <w:tcPr>
            <w:tcW w:w="18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75</w:t>
            </w:r>
          </w:p>
        </w:tc>
        <w:tc>
          <w:tcPr>
            <w:tcW w:w="2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cash received from option exercises for the thirteen and twenty-six weeks ended August 3, 2013 was $9 million and $15 million, respectively. The cash received from option exercises for the thirteen and twenty-six weeks ended July 28, 2012 was $6 million and $20 million, respectively. The total tax benefit realized from option exercises was $2 million and $4 million for the thirteen and twenty-six weeks ended August 3, 2013, respectively, and was $1 million and $5 million for the corresponding prior-year periods.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5" w:lineRule="exact"/>
        <w:rPr>
          <w:sz w:val="20"/>
          <w:szCs w:val="20"/>
          <w:color w:val="auto"/>
        </w:rPr>
      </w:pPr>
    </w:p>
    <w:p>
      <w:pPr>
        <w:ind w:left="280" w:hanging="272"/>
        <w:spacing w:after="0"/>
        <w:tabs>
          <w:tab w:leader="none" w:pos="28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Share-Based Compensation-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about stock options outstanding and exercisable at August 3, 2013:</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b w:val="1"/>
                <w:bCs w:val="1"/>
                <w:color w:val="auto"/>
                <w:w w:val="90"/>
              </w:rPr>
              <w:t>Options Outstanding</w:t>
            </w: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40" w:type="dxa"/>
            <w:vAlign w:val="bottom"/>
            <w:gridSpan w:val="7"/>
          </w:tcPr>
          <w:p>
            <w:pPr>
              <w:ind w:left="500"/>
              <w:spacing w:after="0"/>
              <w:rPr>
                <w:sz w:val="20"/>
                <w:szCs w:val="20"/>
                <w:color w:val="auto"/>
              </w:rPr>
            </w:pPr>
            <w:r>
              <w:rPr>
                <w:rFonts w:ascii="Arial" w:cs="Arial" w:eastAsia="Arial" w:hAnsi="Arial"/>
                <w:sz w:val="18"/>
                <w:szCs w:val="18"/>
                <w:b w:val="1"/>
                <w:bCs w:val="1"/>
                <w:color w:val="auto"/>
              </w:rPr>
              <w:t>Options Exercisable</w:t>
            </w:r>
          </w:p>
        </w:tc>
      </w:tr>
      <w:tr>
        <w:trPr>
          <w:trHeight w:val="191"/>
        </w:trPr>
        <w:tc>
          <w:tcPr>
            <w:tcW w:w="7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Borders>
              <w:top w:val="single" w:sz="8" w:color="auto"/>
            </w:tcBorders>
          </w:tcPr>
          <w:p>
            <w:pPr>
              <w:spacing w:after="0"/>
              <w:rPr>
                <w:sz w:val="16"/>
                <w:szCs w:val="16"/>
                <w:color w:val="auto"/>
              </w:rPr>
            </w:pPr>
          </w:p>
        </w:tc>
        <w:tc>
          <w:tcPr>
            <w:tcW w:w="17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1"/>
              </w:rPr>
              <w:t>Weighted-</w:t>
            </w:r>
          </w:p>
        </w:tc>
        <w:tc>
          <w:tcPr>
            <w:tcW w:w="2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7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b w:val="1"/>
                <w:bCs w:val="1"/>
                <w:color w:val="auto"/>
                <w:w w:val="90"/>
              </w:rPr>
              <w:t>Average</w:t>
            </w:r>
          </w:p>
        </w:tc>
        <w:tc>
          <w:tcPr>
            <w:tcW w:w="200" w:type="dxa"/>
            <w:vAlign w:val="bottom"/>
          </w:tcPr>
          <w:p>
            <w:pPr>
              <w:spacing w:after="0"/>
              <w:rPr>
                <w:sz w:val="18"/>
                <w:szCs w:val="18"/>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Weighted-</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Weighted-</w:t>
            </w:r>
          </w:p>
        </w:tc>
      </w:tr>
      <w:tr>
        <w:trPr>
          <w:trHeight w:val="216"/>
        </w:trPr>
        <w:tc>
          <w:tcPr>
            <w:tcW w:w="760" w:type="dxa"/>
            <w:vAlign w:val="bottom"/>
          </w:tcPr>
          <w:p>
            <w:pPr>
              <w:spacing w:after="0"/>
              <w:rPr>
                <w:sz w:val="18"/>
                <w:szCs w:val="18"/>
                <w:color w:val="auto"/>
              </w:rPr>
            </w:pPr>
          </w:p>
        </w:tc>
        <w:tc>
          <w:tcPr>
            <w:tcW w:w="2060" w:type="dxa"/>
            <w:vAlign w:val="bottom"/>
            <w:gridSpan w:val="2"/>
          </w:tcPr>
          <w:p>
            <w:pPr>
              <w:jc w:val="right"/>
              <w:ind w:right="430"/>
              <w:spacing w:after="0"/>
              <w:rPr>
                <w:sz w:val="20"/>
                <w:szCs w:val="20"/>
                <w:color w:val="auto"/>
              </w:rPr>
            </w:pPr>
            <w:r>
              <w:rPr>
                <w:rFonts w:ascii="Arial" w:cs="Arial" w:eastAsia="Arial" w:hAnsi="Arial"/>
                <w:sz w:val="18"/>
                <w:szCs w:val="18"/>
                <w:b w:val="1"/>
                <w:bCs w:val="1"/>
                <w:color w:val="auto"/>
                <w:w w:val="97"/>
              </w:rPr>
              <w:t>Range of Exercise</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ind w:right="370"/>
              <w:spacing w:after="0"/>
              <w:rPr>
                <w:sz w:val="20"/>
                <w:szCs w:val="20"/>
                <w:color w:val="auto"/>
              </w:rPr>
            </w:pPr>
            <w:r>
              <w:rPr>
                <w:rFonts w:ascii="Arial" w:cs="Arial" w:eastAsia="Arial" w:hAnsi="Arial"/>
                <w:sz w:val="18"/>
                <w:szCs w:val="18"/>
                <w:b w:val="1"/>
                <w:bCs w:val="1"/>
                <w:color w:val="auto"/>
              </w:rPr>
              <w:t>Number</w:t>
            </w:r>
          </w:p>
        </w:tc>
        <w:tc>
          <w:tcPr>
            <w:tcW w:w="174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c>
          <w:tcPr>
            <w:tcW w:w="200" w:type="dxa"/>
            <w:vAlign w:val="bottom"/>
          </w:tcPr>
          <w:p>
            <w:pPr>
              <w:spacing w:after="0"/>
              <w:rPr>
                <w:sz w:val="18"/>
                <w:szCs w:val="18"/>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Average</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3"/>
          </w:tcPr>
          <w:p>
            <w:pPr>
              <w:jc w:val="right"/>
              <w:ind w:right="580"/>
              <w:spacing w:after="0"/>
              <w:rPr>
                <w:sz w:val="20"/>
                <w:szCs w:val="20"/>
                <w:color w:val="auto"/>
              </w:rPr>
            </w:pPr>
            <w:r>
              <w:rPr>
                <w:rFonts w:ascii="Arial" w:cs="Arial" w:eastAsia="Arial" w:hAnsi="Arial"/>
                <w:sz w:val="18"/>
                <w:szCs w:val="18"/>
                <w:b w:val="1"/>
                <w:bCs w:val="1"/>
                <w:color w:val="auto"/>
              </w:rPr>
              <w:t>Number</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7"/>
              </w:rPr>
              <w:t>Average</w:t>
            </w:r>
          </w:p>
        </w:tc>
      </w:tr>
      <w:tr>
        <w:trPr>
          <w:trHeight w:val="234"/>
        </w:trPr>
        <w:tc>
          <w:tcPr>
            <w:tcW w:w="760" w:type="dxa"/>
            <w:vAlign w:val="bottom"/>
          </w:tcPr>
          <w:p>
            <w:pPr>
              <w:spacing w:after="0"/>
              <w:rPr>
                <w:sz w:val="20"/>
                <w:szCs w:val="20"/>
                <w:color w:val="auto"/>
              </w:rPr>
            </w:pPr>
          </w:p>
        </w:tc>
        <w:tc>
          <w:tcPr>
            <w:tcW w:w="2060" w:type="dxa"/>
            <w:vAlign w:val="bottom"/>
            <w:gridSpan w:val="2"/>
          </w:tcPr>
          <w:p>
            <w:pPr>
              <w:jc w:val="right"/>
              <w:ind w:right="870"/>
              <w:spacing w:after="0"/>
              <w:rPr>
                <w:sz w:val="20"/>
                <w:szCs w:val="20"/>
                <w:color w:val="auto"/>
              </w:rPr>
            </w:pPr>
            <w:r>
              <w:rPr>
                <w:rFonts w:ascii="Arial" w:cs="Arial" w:eastAsia="Arial" w:hAnsi="Arial"/>
                <w:sz w:val="18"/>
                <w:szCs w:val="18"/>
                <w:b w:val="1"/>
                <w:bCs w:val="1"/>
                <w:color w:val="auto"/>
              </w:rPr>
              <w:t>Prices</w:t>
            </w: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jc w:val="right"/>
              <w:ind w:right="190"/>
              <w:spacing w:after="0"/>
              <w:rPr>
                <w:sz w:val="20"/>
                <w:szCs w:val="20"/>
                <w:color w:val="auto"/>
              </w:rPr>
            </w:pPr>
            <w:r>
              <w:rPr>
                <w:rFonts w:ascii="Arial" w:cs="Arial" w:eastAsia="Arial" w:hAnsi="Arial"/>
                <w:sz w:val="18"/>
                <w:szCs w:val="18"/>
                <w:b w:val="1"/>
                <w:bCs w:val="1"/>
                <w:color w:val="auto"/>
              </w:rPr>
              <w:t>Outstanding</w:t>
            </w:r>
          </w:p>
        </w:tc>
        <w:tc>
          <w:tcPr>
            <w:tcW w:w="1740" w:type="dxa"/>
            <w:vAlign w:val="bottom"/>
          </w:tcPr>
          <w:p>
            <w:pPr>
              <w:jc w:val="center"/>
              <w:ind w:left="10"/>
              <w:spacing w:after="0"/>
              <w:rPr>
                <w:sz w:val="20"/>
                <w:szCs w:val="20"/>
                <w:color w:val="auto"/>
              </w:rPr>
            </w:pPr>
            <w:r>
              <w:rPr>
                <w:rFonts w:ascii="Arial" w:cs="Arial" w:eastAsia="Arial" w:hAnsi="Arial"/>
                <w:sz w:val="18"/>
                <w:szCs w:val="18"/>
                <w:b w:val="1"/>
                <w:bCs w:val="1"/>
                <w:color w:val="auto"/>
                <w:w w:val="93"/>
              </w:rPr>
              <w:t>Contractual Life</w:t>
            </w:r>
          </w:p>
        </w:tc>
        <w:tc>
          <w:tcPr>
            <w:tcW w:w="200" w:type="dxa"/>
            <w:vAlign w:val="bottom"/>
          </w:tcPr>
          <w:p>
            <w:pPr>
              <w:spacing w:after="0"/>
              <w:rPr>
                <w:sz w:val="20"/>
                <w:szCs w:val="20"/>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Exercise Price</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w w:val="91"/>
              </w:rPr>
              <w:t>Exercisable</w:t>
            </w:r>
          </w:p>
        </w:tc>
        <w:tc>
          <w:tcPr>
            <w:tcW w:w="120" w:type="dxa"/>
            <w:vAlign w:val="bottom"/>
          </w:tcPr>
          <w:p>
            <w:pPr>
              <w:spacing w:after="0"/>
              <w:rPr>
                <w:sz w:val="20"/>
                <w:szCs w:val="20"/>
                <w:color w:val="auto"/>
              </w:rPr>
            </w:pPr>
          </w:p>
        </w:tc>
        <w:tc>
          <w:tcPr>
            <w:tcW w:w="136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7"/>
              </w:rPr>
              <w:t>Exercise Price</w:t>
            </w:r>
          </w:p>
        </w:tc>
      </w:tr>
      <w:tr>
        <w:trPr>
          <w:trHeight w:val="210"/>
        </w:trPr>
        <w:tc>
          <w:tcPr>
            <w:tcW w:w="7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5060" w:type="dxa"/>
            <w:vAlign w:val="bottom"/>
            <w:tcBorders>
              <w:top w:val="single" w:sz="8" w:color="auto"/>
            </w:tcBorders>
            <w:gridSpan w:val="6"/>
          </w:tcPr>
          <w:p>
            <w:pPr>
              <w:ind w:left="100"/>
              <w:spacing w:after="0"/>
              <w:rPr>
                <w:sz w:val="20"/>
                <w:szCs w:val="20"/>
                <w:color w:val="auto"/>
              </w:rPr>
            </w:pPr>
            <w:r>
              <w:rPr>
                <w:rFonts w:ascii="Arial" w:cs="Arial" w:eastAsia="Arial" w:hAnsi="Arial"/>
                <w:sz w:val="18"/>
                <w:szCs w:val="18"/>
                <w:b w:val="1"/>
                <w:bCs w:val="1"/>
                <w:color w:val="auto"/>
                <w:w w:val="99"/>
              </w:rPr>
              <w:t>(in thousands, except price per share and contractual life)</w:t>
            </w:r>
          </w:p>
        </w:tc>
        <w:tc>
          <w:tcPr>
            <w:tcW w:w="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9.85</w:t>
            </w:r>
          </w:p>
        </w:tc>
        <w:tc>
          <w:tcPr>
            <w:tcW w:w="1200" w:type="dxa"/>
            <w:vAlign w:val="bottom"/>
            <w:shd w:val="clear" w:color="auto" w:fill="CCFFCC"/>
          </w:tcPr>
          <w:p>
            <w:pPr>
              <w:jc w:val="right"/>
              <w:ind w:right="89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w w:val="88"/>
              </w:rPr>
              <w:t>15.10</w:t>
            </w:r>
          </w:p>
        </w:tc>
        <w:tc>
          <w:tcPr>
            <w:tcW w:w="16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1,799</w:t>
            </w:r>
          </w:p>
        </w:tc>
        <w:tc>
          <w:tcPr>
            <w:tcW w:w="174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6.09</w:t>
            </w:r>
          </w:p>
        </w:tc>
        <w:tc>
          <w:tcPr>
            <w:tcW w:w="2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12.60</w:t>
            </w:r>
          </w:p>
        </w:tc>
        <w:tc>
          <w:tcPr>
            <w:tcW w:w="1440" w:type="dxa"/>
            <w:vAlign w:val="bottom"/>
            <w:gridSpan w:val="4"/>
            <w:shd w:val="clear" w:color="auto" w:fill="CCFFCC"/>
          </w:tcPr>
          <w:p>
            <w:pPr>
              <w:jc w:val="right"/>
              <w:ind w:right="100"/>
              <w:spacing w:after="0"/>
              <w:rPr>
                <w:sz w:val="20"/>
                <w:szCs w:val="20"/>
                <w:color w:val="auto"/>
              </w:rPr>
            </w:pPr>
            <w:r>
              <w:rPr>
                <w:rFonts w:ascii="Arial" w:cs="Arial" w:eastAsia="Arial" w:hAnsi="Arial"/>
                <w:sz w:val="18"/>
                <w:szCs w:val="18"/>
                <w:color w:val="auto"/>
              </w:rPr>
              <w:t>1,799</w:t>
            </w: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12.60</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15.74</w:t>
            </w:r>
          </w:p>
        </w:tc>
        <w:tc>
          <w:tcPr>
            <w:tcW w:w="120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23.42</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1,664</w:t>
            </w:r>
          </w:p>
        </w:tc>
        <w:tc>
          <w:tcPr>
            <w:tcW w:w="1740" w:type="dxa"/>
            <w:vAlign w:val="bottom"/>
          </w:tcPr>
          <w:p>
            <w:pPr>
              <w:jc w:val="right"/>
              <w:ind w:right="30"/>
              <w:spacing w:after="0"/>
              <w:rPr>
                <w:sz w:val="20"/>
                <w:szCs w:val="20"/>
                <w:color w:val="auto"/>
              </w:rPr>
            </w:pPr>
            <w:r>
              <w:rPr>
                <w:rFonts w:ascii="Arial" w:cs="Arial" w:eastAsia="Arial" w:hAnsi="Arial"/>
                <w:sz w:val="18"/>
                <w:szCs w:val="18"/>
                <w:color w:val="auto"/>
              </w:rPr>
              <w:t>6.51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19.75</w:t>
            </w:r>
          </w:p>
        </w:tc>
        <w:tc>
          <w:tcPr>
            <w:tcW w:w="1440" w:type="dxa"/>
            <w:vAlign w:val="bottom"/>
            <w:gridSpan w:val="4"/>
          </w:tcPr>
          <w:p>
            <w:pPr>
              <w:jc w:val="right"/>
              <w:ind w:right="100"/>
              <w:spacing w:after="0"/>
              <w:rPr>
                <w:sz w:val="20"/>
                <w:szCs w:val="20"/>
                <w:color w:val="auto"/>
              </w:rPr>
            </w:pPr>
            <w:r>
              <w:rPr>
                <w:rFonts w:ascii="Arial" w:cs="Arial" w:eastAsia="Arial" w:hAnsi="Arial"/>
                <w:sz w:val="18"/>
                <w:szCs w:val="18"/>
                <w:color w:val="auto"/>
              </w:rPr>
              <w:t>1,210</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20.08</w:t>
            </w:r>
          </w:p>
        </w:tc>
      </w:tr>
      <w:tr>
        <w:trPr>
          <w:trHeight w:val="216"/>
        </w:trPr>
        <w:tc>
          <w:tcPr>
            <w:tcW w:w="76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23.63</w:t>
            </w:r>
          </w:p>
        </w:tc>
        <w:tc>
          <w:tcPr>
            <w:tcW w:w="1200" w:type="dxa"/>
            <w:vAlign w:val="bottom"/>
            <w:shd w:val="clear" w:color="auto" w:fill="CCFFCC"/>
          </w:tcPr>
          <w:p>
            <w:pPr>
              <w:jc w:val="right"/>
              <w:ind w:right="89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w w:val="88"/>
              </w:rPr>
              <w:t>30.92</w:t>
            </w:r>
          </w:p>
        </w:tc>
        <w:tc>
          <w:tcPr>
            <w:tcW w:w="16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1,628</w:t>
            </w:r>
          </w:p>
        </w:tc>
        <w:tc>
          <w:tcPr>
            <w:tcW w:w="174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5.68</w:t>
            </w:r>
          </w:p>
        </w:tc>
        <w:tc>
          <w:tcPr>
            <w:tcW w:w="2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28.60</w:t>
            </w:r>
          </w:p>
        </w:tc>
        <w:tc>
          <w:tcPr>
            <w:tcW w:w="1440" w:type="dxa"/>
            <w:vAlign w:val="bottom"/>
            <w:gridSpan w:val="4"/>
            <w:shd w:val="clear" w:color="auto" w:fill="CCFFCC"/>
          </w:tcPr>
          <w:p>
            <w:pPr>
              <w:jc w:val="right"/>
              <w:ind w:right="100"/>
              <w:spacing w:after="0"/>
              <w:rPr>
                <w:sz w:val="20"/>
                <w:szCs w:val="20"/>
                <w:color w:val="auto"/>
              </w:rPr>
            </w:pPr>
            <w:r>
              <w:rPr>
                <w:rFonts w:ascii="Arial" w:cs="Arial" w:eastAsia="Arial" w:hAnsi="Arial"/>
                <w:sz w:val="18"/>
                <w:szCs w:val="18"/>
                <w:color w:val="auto"/>
              </w:rPr>
              <w:t>1,021</w:t>
            </w: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27.37</w:t>
            </w: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31.79</w:t>
            </w:r>
          </w:p>
        </w:tc>
        <w:tc>
          <w:tcPr>
            <w:tcW w:w="120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36.59</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1,148</w:t>
            </w:r>
          </w:p>
        </w:tc>
        <w:tc>
          <w:tcPr>
            <w:tcW w:w="1740" w:type="dxa"/>
            <w:vAlign w:val="bottom"/>
          </w:tcPr>
          <w:p>
            <w:pPr>
              <w:jc w:val="right"/>
              <w:ind w:right="30"/>
              <w:spacing w:after="0"/>
              <w:rPr>
                <w:sz w:val="20"/>
                <w:szCs w:val="20"/>
                <w:color w:val="auto"/>
              </w:rPr>
            </w:pPr>
            <w:r>
              <w:rPr>
                <w:rFonts w:ascii="Arial" w:cs="Arial" w:eastAsia="Arial" w:hAnsi="Arial"/>
                <w:sz w:val="18"/>
                <w:szCs w:val="18"/>
                <w:color w:val="auto"/>
              </w:rPr>
              <w:t>9.61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34.26</w:t>
            </w:r>
          </w:p>
        </w:tc>
        <w:tc>
          <w:tcPr>
            <w:tcW w:w="1440" w:type="dxa"/>
            <w:vAlign w:val="bottom"/>
            <w:gridSpan w:val="4"/>
          </w:tcPr>
          <w:p>
            <w:pPr>
              <w:jc w:val="right"/>
              <w:ind w:right="10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34.17</w:t>
            </w:r>
          </w:p>
        </w:tc>
      </w:tr>
      <w:tr>
        <w:trPr>
          <w:trHeight w:val="223"/>
        </w:trPr>
        <w:tc>
          <w:tcPr>
            <w:tcW w:w="760" w:type="dxa"/>
            <w:vAlign w:val="bottom"/>
            <w:tcBorders>
              <w:top w:val="single" w:sz="8" w:color="CCFFCC"/>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CCFFCC"/>
              <w:bottom w:val="single" w:sz="8" w:color="CCFFCC"/>
            </w:tcBorders>
            <w:shd w:val="clear" w:color="auto" w:fill="CCFFCC"/>
          </w:tcPr>
          <w:p>
            <w:pPr>
              <w:jc w:val="right"/>
              <w:ind w:right="30"/>
              <w:spacing w:after="0"/>
              <w:rPr>
                <w:sz w:val="20"/>
                <w:szCs w:val="20"/>
                <w:color w:val="auto"/>
              </w:rPr>
            </w:pPr>
            <w:r>
              <w:rPr>
                <w:rFonts w:ascii="Arial" w:cs="Arial" w:eastAsia="Arial" w:hAnsi="Arial"/>
                <w:sz w:val="18"/>
                <w:szCs w:val="18"/>
                <w:color w:val="auto"/>
              </w:rPr>
              <w:t>9.85</w:t>
            </w:r>
          </w:p>
        </w:tc>
        <w:tc>
          <w:tcPr>
            <w:tcW w:w="1200" w:type="dxa"/>
            <w:vAlign w:val="bottom"/>
            <w:tcBorders>
              <w:top w:val="single" w:sz="8" w:color="CCFFCC"/>
              <w:bottom w:val="single" w:sz="8" w:color="CCFFCC"/>
            </w:tcBorders>
            <w:shd w:val="clear" w:color="auto" w:fill="CCFFCC"/>
          </w:tcPr>
          <w:p>
            <w:pPr>
              <w:jc w:val="right"/>
              <w:ind w:right="890"/>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CCFFCC"/>
              <w:bottom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w w:val="88"/>
              </w:rPr>
              <w:t>36.59</w:t>
            </w:r>
          </w:p>
        </w:tc>
        <w:tc>
          <w:tcPr>
            <w:tcW w:w="160" w:type="dxa"/>
            <w:vAlign w:val="bottom"/>
            <w:tcBorders>
              <w:top w:val="single" w:sz="8" w:color="CCFFCC"/>
              <w:bottom w:val="single" w:sz="8" w:color="CCFFCC"/>
            </w:tcBorders>
            <w:shd w:val="clear" w:color="auto" w:fill="CCFFCC"/>
          </w:tcPr>
          <w:p>
            <w:pPr>
              <w:spacing w:after="0"/>
              <w:rPr>
                <w:sz w:val="19"/>
                <w:szCs w:val="19"/>
                <w:color w:val="auto"/>
              </w:rPr>
            </w:pPr>
          </w:p>
        </w:tc>
        <w:tc>
          <w:tcPr>
            <w:tcW w:w="15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6,239</w:t>
            </w:r>
          </w:p>
        </w:tc>
        <w:tc>
          <w:tcPr>
            <w:tcW w:w="1740" w:type="dxa"/>
            <w:vAlign w:val="bottom"/>
            <w:tcBorders>
              <w:top w:val="single" w:sz="8" w:color="CCFFCC"/>
              <w:bottom w:val="single" w:sz="8" w:color="CCFFCC"/>
            </w:tcBorders>
            <w:shd w:val="clear" w:color="auto" w:fill="CCFFCC"/>
          </w:tcPr>
          <w:p>
            <w:pPr>
              <w:jc w:val="right"/>
              <w:ind w:right="30"/>
              <w:spacing w:after="0"/>
              <w:rPr>
                <w:sz w:val="20"/>
                <w:szCs w:val="20"/>
                <w:color w:val="auto"/>
              </w:rPr>
            </w:pPr>
            <w:r>
              <w:rPr>
                <w:rFonts w:ascii="Arial" w:cs="Arial" w:eastAsia="Arial" w:hAnsi="Arial"/>
                <w:sz w:val="18"/>
                <w:szCs w:val="18"/>
                <w:color w:val="auto"/>
              </w:rPr>
              <w:t>6.74</w:t>
            </w:r>
          </w:p>
        </w:tc>
        <w:tc>
          <w:tcPr>
            <w:tcW w:w="200" w:type="dxa"/>
            <w:vAlign w:val="bottom"/>
            <w:tcBorders>
              <w:top w:val="single" w:sz="8" w:color="CCFFCC"/>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CCFFCC"/>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22.67</w:t>
            </w:r>
          </w:p>
        </w:tc>
        <w:tc>
          <w:tcPr>
            <w:tcW w:w="1340" w:type="dxa"/>
            <w:vAlign w:val="bottom"/>
            <w:tcBorders>
              <w:top w:val="single" w:sz="8" w:color="auto"/>
              <w:bottom w:val="single" w:sz="8" w:color="auto"/>
            </w:tcBorders>
            <w:gridSpan w:val="3"/>
            <w:shd w:val="clear" w:color="auto" w:fill="CCFFCC"/>
          </w:tcPr>
          <w:p>
            <w:pPr>
              <w:jc w:val="right"/>
              <w:spacing w:after="0"/>
              <w:rPr>
                <w:sz w:val="20"/>
                <w:szCs w:val="20"/>
                <w:color w:val="auto"/>
              </w:rPr>
            </w:pPr>
            <w:r>
              <w:rPr>
                <w:rFonts w:ascii="Arial" w:cs="Arial" w:eastAsia="Arial" w:hAnsi="Arial"/>
                <w:sz w:val="18"/>
                <w:szCs w:val="18"/>
                <w:color w:val="auto"/>
              </w:rPr>
              <w:t>4,037</w:t>
            </w:r>
          </w:p>
        </w:tc>
        <w:tc>
          <w:tcPr>
            <w:tcW w:w="100" w:type="dxa"/>
            <w:vAlign w:val="bottom"/>
            <w:tcBorders>
              <w:top w:val="single" w:sz="8" w:color="CCFFCC"/>
              <w:bottom w:val="single" w:sz="8" w:color="CCFFCC"/>
            </w:tcBorders>
            <w:shd w:val="clear" w:color="auto" w:fill="CCFFCC"/>
          </w:tcPr>
          <w:p>
            <w:pPr>
              <w:spacing w:after="0"/>
              <w:rPr>
                <w:sz w:val="19"/>
                <w:szCs w:val="19"/>
                <w:color w:val="auto"/>
              </w:rPr>
            </w:pPr>
          </w:p>
        </w:tc>
        <w:tc>
          <w:tcPr>
            <w:tcW w:w="100" w:type="dxa"/>
            <w:vAlign w:val="bottom"/>
            <w:tcBorders>
              <w:top w:val="single" w:sz="8" w:color="CCFFCC"/>
              <w:bottom w:val="single" w:sz="8" w:color="CCFFCC"/>
            </w:tcBorders>
            <w:shd w:val="clear" w:color="auto" w:fill="CCFFCC"/>
          </w:tcPr>
          <w:p>
            <w:pPr>
              <w:spacing w:after="0"/>
              <w:rPr>
                <w:sz w:val="19"/>
                <w:szCs w:val="19"/>
                <w:color w:val="auto"/>
              </w:rPr>
            </w:pPr>
          </w:p>
        </w:tc>
        <w:tc>
          <w:tcPr>
            <w:tcW w:w="120" w:type="dxa"/>
            <w:vAlign w:val="bottom"/>
            <w:tcBorders>
              <w:top w:val="single" w:sz="8" w:color="CCFFCC"/>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CCFFCC"/>
              <w:bottom w:val="single" w:sz="8" w:color="CCFFCC"/>
            </w:tcBorders>
            <w:shd w:val="clear" w:color="auto" w:fill="CCFFCC"/>
          </w:tcPr>
          <w:p>
            <w:pPr>
              <w:spacing w:after="0"/>
              <w:rPr>
                <w:sz w:val="19"/>
                <w:szCs w:val="19"/>
                <w:color w:val="auto"/>
              </w:rPr>
            </w:pPr>
          </w:p>
        </w:tc>
        <w:tc>
          <w:tcPr>
            <w:tcW w:w="1240" w:type="dxa"/>
            <w:vAlign w:val="bottom"/>
            <w:tcBorders>
              <w:top w:val="single" w:sz="8" w:color="CCFFCC"/>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18.62</w:t>
            </w:r>
          </w:p>
        </w:tc>
      </w:tr>
      <w:tr>
        <w:trPr>
          <w:trHeight w:val="20"/>
        </w:trPr>
        <w:tc>
          <w:tcPr>
            <w:tcW w:w="3500" w:type="dxa"/>
            <w:vAlign w:val="bottom"/>
            <w:gridSpan w:val="5"/>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18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9940" w:type="dxa"/>
            <w:vAlign w:val="bottom"/>
            <w:gridSpan w:val="15"/>
          </w:tcPr>
          <w:p>
            <w:pPr>
              <w:spacing w:after="0"/>
              <w:rPr>
                <w:sz w:val="20"/>
                <w:szCs w:val="20"/>
                <w:color w:val="auto"/>
              </w:rPr>
            </w:pPr>
            <w:r>
              <w:rPr>
                <w:rFonts w:ascii="Arial" w:cs="Arial" w:eastAsia="Arial" w:hAnsi="Arial"/>
                <w:sz w:val="18"/>
                <w:szCs w:val="18"/>
                <w:color w:val="auto"/>
              </w:rPr>
              <w:t>Changes in the Company’s nonvested options for the twenty-six weeks ended August 3, 2013 are summarized as follows:</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7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1"/>
              </w:rPr>
              <w:t>Average Grant</w:t>
            </w:r>
          </w:p>
        </w:tc>
      </w:tr>
      <w:tr>
        <w:trPr>
          <w:trHeight w:val="216"/>
        </w:trPr>
        <w:tc>
          <w:tcPr>
            <w:tcW w:w="7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rPr>
              <w:t>Number of</w:t>
            </w:r>
          </w:p>
        </w:tc>
        <w:tc>
          <w:tcPr>
            <w:tcW w:w="120" w:type="dxa"/>
            <w:vAlign w:val="bottom"/>
          </w:tcPr>
          <w:p>
            <w:pPr>
              <w:spacing w:after="0"/>
              <w:rPr>
                <w:sz w:val="18"/>
                <w:szCs w:val="18"/>
                <w:color w:val="auto"/>
              </w:rPr>
            </w:pPr>
          </w:p>
        </w:tc>
        <w:tc>
          <w:tcPr>
            <w:tcW w:w="13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3"/>
              </w:rPr>
              <w:t>Date Fair Value</w:t>
            </w:r>
          </w:p>
        </w:tc>
      </w:tr>
      <w:tr>
        <w:trPr>
          <w:trHeight w:val="234"/>
        </w:trPr>
        <w:tc>
          <w:tcPr>
            <w:tcW w:w="3340" w:type="dxa"/>
            <w:vAlign w:val="bottom"/>
            <w:gridSpan w:val="4"/>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 thousands, except price per share)</w:t>
            </w:r>
          </w:p>
        </w:tc>
        <w:tc>
          <w:tcPr>
            <w:tcW w:w="1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3"/>
          </w:tcPr>
          <w:p>
            <w:pPr>
              <w:jc w:val="right"/>
              <w:ind w:right="460"/>
              <w:spacing w:after="0"/>
              <w:rPr>
                <w:sz w:val="20"/>
                <w:szCs w:val="20"/>
                <w:color w:val="auto"/>
              </w:rPr>
            </w:pPr>
            <w:r>
              <w:rPr>
                <w:rFonts w:ascii="Arial" w:cs="Arial" w:eastAsia="Arial" w:hAnsi="Arial"/>
                <w:sz w:val="18"/>
                <w:szCs w:val="18"/>
                <w:b w:val="1"/>
                <w:bCs w:val="1"/>
                <w:color w:val="auto"/>
              </w:rPr>
              <w:t>Shares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per Share</w:t>
            </w:r>
          </w:p>
        </w:tc>
      </w:tr>
      <w:tr>
        <w:trPr>
          <w:trHeight w:val="210"/>
        </w:trPr>
        <w:tc>
          <w:tcPr>
            <w:tcW w:w="2820" w:type="dxa"/>
            <w:vAlign w:val="bottom"/>
            <w:tcBorders>
              <w:top w:val="single" w:sz="8" w:color="auto"/>
            </w:tcBorders>
            <w:gridSpan w:val="3"/>
            <w:shd w:val="clear" w:color="auto" w:fill="CCFFCC"/>
          </w:tcPr>
          <w:p>
            <w:pPr>
              <w:spacing w:after="0"/>
              <w:rPr>
                <w:sz w:val="20"/>
                <w:szCs w:val="20"/>
                <w:color w:val="auto"/>
              </w:rPr>
            </w:pPr>
            <w:r>
              <w:rPr>
                <w:rFonts w:ascii="Arial" w:cs="Arial" w:eastAsia="Arial" w:hAnsi="Arial"/>
                <w:sz w:val="18"/>
                <w:szCs w:val="18"/>
                <w:color w:val="auto"/>
                <w:w w:val="90"/>
              </w:rPr>
              <w:t>Nonvested at the beginning of the year</w:t>
            </w:r>
          </w:p>
        </w:tc>
        <w:tc>
          <w:tcPr>
            <w:tcW w:w="520" w:type="dxa"/>
            <w:vAlign w:val="bottom"/>
            <w:tcBorders>
              <w:top w:val="single" w:sz="8" w:color="auto"/>
            </w:tcBorders>
            <w:shd w:val="clear" w:color="auto" w:fill="CCFFCC"/>
          </w:tcPr>
          <w:p>
            <w:pPr>
              <w:spacing w:after="0"/>
              <w:rPr>
                <w:sz w:val="18"/>
                <w:szCs w:val="18"/>
                <w:color w:val="auto"/>
              </w:rPr>
            </w:pPr>
          </w:p>
        </w:tc>
        <w:tc>
          <w:tcPr>
            <w:tcW w:w="160" w:type="dxa"/>
            <w:vAlign w:val="bottom"/>
            <w:tcBorders>
              <w:top w:val="single" w:sz="8" w:color="auto"/>
            </w:tcBorders>
            <w:shd w:val="clear" w:color="auto" w:fill="CCFFCC"/>
          </w:tcPr>
          <w:p>
            <w:pPr>
              <w:spacing w:after="0"/>
              <w:rPr>
                <w:sz w:val="18"/>
                <w:szCs w:val="18"/>
                <w:color w:val="auto"/>
              </w:rPr>
            </w:pPr>
          </w:p>
        </w:tc>
        <w:tc>
          <w:tcPr>
            <w:tcW w:w="1500" w:type="dxa"/>
            <w:vAlign w:val="bottom"/>
            <w:tcBorders>
              <w:top w:val="single" w:sz="8" w:color="auto"/>
            </w:tcBorders>
            <w:shd w:val="clear" w:color="auto" w:fill="CCFFCC"/>
          </w:tcPr>
          <w:p>
            <w:pPr>
              <w:spacing w:after="0"/>
              <w:rPr>
                <w:sz w:val="18"/>
                <w:szCs w:val="18"/>
                <w:color w:val="auto"/>
              </w:rPr>
            </w:pPr>
          </w:p>
        </w:tc>
        <w:tc>
          <w:tcPr>
            <w:tcW w:w="1740" w:type="dxa"/>
            <w:vAlign w:val="bottom"/>
            <w:tcBorders>
              <w:top w:val="single" w:sz="8" w:color="auto"/>
            </w:tcBorders>
            <w:shd w:val="clear" w:color="auto" w:fill="CCFFCC"/>
          </w:tcPr>
          <w:p>
            <w:pPr>
              <w:spacing w:after="0"/>
              <w:rPr>
                <w:sz w:val="18"/>
                <w:szCs w:val="18"/>
                <w:color w:val="auto"/>
              </w:rPr>
            </w:pPr>
          </w:p>
        </w:tc>
        <w:tc>
          <w:tcPr>
            <w:tcW w:w="200" w:type="dxa"/>
            <w:vAlign w:val="bottom"/>
            <w:tcBorders>
              <w:top w:val="single" w:sz="8" w:color="auto"/>
            </w:tcBorders>
            <w:shd w:val="clear" w:color="auto" w:fill="CCFFCC"/>
          </w:tcPr>
          <w:p>
            <w:pPr>
              <w:spacing w:after="0"/>
              <w:rPr>
                <w:sz w:val="18"/>
                <w:szCs w:val="18"/>
                <w:color w:val="auto"/>
              </w:rPr>
            </w:pPr>
          </w:p>
        </w:tc>
        <w:tc>
          <w:tcPr>
            <w:tcW w:w="1240" w:type="dxa"/>
            <w:vAlign w:val="bottom"/>
            <w:tcBorders>
              <w:top w:val="single" w:sz="8" w:color="auto"/>
            </w:tcBorders>
            <w:shd w:val="clear" w:color="auto" w:fill="CCFFCC"/>
          </w:tcPr>
          <w:p>
            <w:pPr>
              <w:spacing w:after="0"/>
              <w:rPr>
                <w:sz w:val="18"/>
                <w:szCs w:val="18"/>
                <w:color w:val="auto"/>
              </w:rPr>
            </w:pPr>
          </w:p>
        </w:tc>
        <w:tc>
          <w:tcPr>
            <w:tcW w:w="220" w:type="dxa"/>
            <w:vAlign w:val="bottom"/>
            <w:tcBorders>
              <w:top w:val="single" w:sz="8" w:color="auto"/>
            </w:tcBorders>
            <w:shd w:val="clear" w:color="auto" w:fill="CCFFCC"/>
          </w:tcPr>
          <w:p>
            <w:pPr>
              <w:spacing w:after="0"/>
              <w:rPr>
                <w:sz w:val="18"/>
                <w:szCs w:val="18"/>
                <w:color w:val="auto"/>
              </w:rPr>
            </w:pPr>
          </w:p>
        </w:tc>
        <w:tc>
          <w:tcPr>
            <w:tcW w:w="60" w:type="dxa"/>
            <w:vAlign w:val="bottom"/>
            <w:tcBorders>
              <w:top w:val="single" w:sz="8" w:color="auto"/>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1260" w:type="dxa"/>
            <w:vAlign w:val="bottom"/>
            <w:tcBorders>
              <w:top w:val="single" w:sz="8" w:color="auto"/>
            </w:tcBorders>
            <w:gridSpan w:val="2"/>
            <w:shd w:val="clear" w:color="auto" w:fill="CCFFCC"/>
          </w:tcPr>
          <w:p>
            <w:pPr>
              <w:jc w:val="right"/>
              <w:spacing w:after="0"/>
              <w:rPr>
                <w:sz w:val="20"/>
                <w:szCs w:val="20"/>
                <w:color w:val="auto"/>
              </w:rPr>
            </w:pPr>
            <w:r>
              <w:rPr>
                <w:rFonts w:ascii="Arial" w:cs="Arial" w:eastAsia="Arial" w:hAnsi="Arial"/>
                <w:sz w:val="18"/>
                <w:szCs w:val="18"/>
                <w:color w:val="auto"/>
              </w:rPr>
              <w:t>2,314</w:t>
            </w:r>
          </w:p>
        </w:tc>
        <w:tc>
          <w:tcPr>
            <w:tcW w:w="10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23.18</w:t>
            </w:r>
          </w:p>
        </w:tc>
        <w:tc>
          <w:tcPr>
            <w:tcW w:w="100" w:type="dxa"/>
            <w:vAlign w:val="bottom"/>
            <w:tcBorders>
              <w:top w:val="single" w:sz="8" w:color="CCFFCC"/>
            </w:tcBorders>
            <w:shd w:val="clear" w:color="auto" w:fill="CCFFCC"/>
          </w:tcPr>
          <w:p>
            <w:pPr>
              <w:spacing w:after="0"/>
              <w:rPr>
                <w:sz w:val="18"/>
                <w:szCs w:val="18"/>
                <w:color w:val="auto"/>
              </w:rPr>
            </w:pP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Granted</w:t>
            </w:r>
          </w:p>
        </w:tc>
        <w:tc>
          <w:tcPr>
            <w:tcW w:w="8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5"/>
          </w:tcPr>
          <w:p>
            <w:pPr>
              <w:jc w:val="right"/>
              <w:ind w:right="100"/>
              <w:spacing w:after="0"/>
              <w:rPr>
                <w:sz w:val="20"/>
                <w:szCs w:val="20"/>
                <w:color w:val="auto"/>
              </w:rPr>
            </w:pPr>
            <w:r>
              <w:rPr>
                <w:rFonts w:ascii="Arial" w:cs="Arial" w:eastAsia="Arial" w:hAnsi="Arial"/>
                <w:sz w:val="18"/>
                <w:szCs w:val="18"/>
                <w:color w:val="auto"/>
              </w:rPr>
              <w:t>1,154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34.25</w:t>
            </w:r>
          </w:p>
        </w:tc>
      </w:tr>
      <w:tr>
        <w:trPr>
          <w:trHeight w:val="216"/>
        </w:trPr>
        <w:tc>
          <w:tcPr>
            <w:tcW w:w="760" w:type="dxa"/>
            <w:vAlign w:val="bottom"/>
            <w:shd w:val="clear" w:color="auto" w:fill="CCFFCC"/>
          </w:tcPr>
          <w:p>
            <w:pPr>
              <w:spacing w:after="0"/>
              <w:rPr>
                <w:sz w:val="20"/>
                <w:szCs w:val="20"/>
                <w:color w:val="auto"/>
              </w:rPr>
            </w:pPr>
            <w:r>
              <w:rPr>
                <w:rFonts w:ascii="Arial" w:cs="Arial" w:eastAsia="Arial" w:hAnsi="Arial"/>
                <w:sz w:val="18"/>
                <w:szCs w:val="18"/>
                <w:color w:val="auto"/>
              </w:rPr>
              <w:t>Vested</w:t>
            </w:r>
          </w:p>
        </w:tc>
        <w:tc>
          <w:tcPr>
            <w:tcW w:w="860" w:type="dxa"/>
            <w:vAlign w:val="bottom"/>
            <w:shd w:val="clear" w:color="auto" w:fill="CCFFCC"/>
          </w:tcPr>
          <w:p>
            <w:pPr>
              <w:spacing w:after="0"/>
              <w:rPr>
                <w:sz w:val="18"/>
                <w:szCs w:val="18"/>
                <w:color w:val="auto"/>
              </w:rPr>
            </w:pPr>
          </w:p>
        </w:tc>
        <w:tc>
          <w:tcPr>
            <w:tcW w:w="1200" w:type="dxa"/>
            <w:vAlign w:val="bottom"/>
            <w:shd w:val="clear" w:color="auto" w:fill="CCFFCC"/>
          </w:tcPr>
          <w:p>
            <w:pPr>
              <w:spacing w:after="0"/>
              <w:rPr>
                <w:sz w:val="18"/>
                <w:szCs w:val="18"/>
                <w:color w:val="auto"/>
              </w:rPr>
            </w:pPr>
          </w:p>
        </w:tc>
        <w:tc>
          <w:tcPr>
            <w:tcW w:w="5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500" w:type="dxa"/>
            <w:vAlign w:val="bottom"/>
            <w:shd w:val="clear" w:color="auto" w:fill="CCFFCC"/>
          </w:tcPr>
          <w:p>
            <w:pPr>
              <w:spacing w:after="0"/>
              <w:rPr>
                <w:sz w:val="18"/>
                <w:szCs w:val="18"/>
                <w:color w:val="auto"/>
              </w:rPr>
            </w:pPr>
          </w:p>
        </w:tc>
        <w:tc>
          <w:tcPr>
            <w:tcW w:w="17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540" w:type="dxa"/>
            <w:vAlign w:val="bottom"/>
            <w:gridSpan w:val="5"/>
            <w:shd w:val="clear" w:color="auto" w:fill="CCFFCC"/>
          </w:tcPr>
          <w:p>
            <w:pPr>
              <w:jc w:val="right"/>
              <w:ind w:right="40"/>
              <w:spacing w:after="0"/>
              <w:rPr>
                <w:sz w:val="20"/>
                <w:szCs w:val="20"/>
                <w:color w:val="auto"/>
              </w:rPr>
            </w:pPr>
            <w:r>
              <w:rPr>
                <w:rFonts w:ascii="Arial" w:cs="Arial" w:eastAsia="Arial" w:hAnsi="Arial"/>
                <w:sz w:val="18"/>
                <w:szCs w:val="18"/>
                <w:color w:val="auto"/>
              </w:rPr>
              <w:t>(1,224)</w:t>
            </w:r>
          </w:p>
        </w:tc>
        <w:tc>
          <w:tcPr>
            <w:tcW w:w="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20.97</w:t>
            </w:r>
          </w:p>
        </w:tc>
      </w:tr>
      <w:tr>
        <w:trPr>
          <w:trHeight w:val="230"/>
        </w:trPr>
        <w:tc>
          <w:tcPr>
            <w:tcW w:w="1620" w:type="dxa"/>
            <w:vAlign w:val="bottom"/>
            <w:gridSpan w:val="2"/>
          </w:tcPr>
          <w:p>
            <w:pPr>
              <w:spacing w:after="0"/>
              <w:rPr>
                <w:sz w:val="20"/>
                <w:szCs w:val="20"/>
                <w:color w:val="auto"/>
              </w:rPr>
            </w:pPr>
            <w:r>
              <w:rPr>
                <w:rFonts w:ascii="Arial" w:cs="Arial" w:eastAsia="Arial" w:hAnsi="Arial"/>
                <w:sz w:val="18"/>
                <w:szCs w:val="18"/>
                <w:color w:val="auto"/>
                <w:w w:val="98"/>
              </w:rPr>
              <w:t>Expired or cancelled</w:t>
            </w:r>
          </w:p>
        </w:tc>
        <w:tc>
          <w:tcPr>
            <w:tcW w:w="1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gridSpan w:val="5"/>
          </w:tcPr>
          <w:p>
            <w:pPr>
              <w:jc w:val="right"/>
              <w:ind w:right="4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29.20</w:t>
            </w:r>
          </w:p>
        </w:tc>
      </w:tr>
      <w:tr>
        <w:trPr>
          <w:trHeight w:val="223"/>
        </w:trPr>
        <w:tc>
          <w:tcPr>
            <w:tcW w:w="2820" w:type="dxa"/>
            <w:vAlign w:val="bottom"/>
            <w:tcBorders>
              <w:top w:val="single" w:sz="8" w:color="CCFFCC"/>
              <w:bottom w:val="single" w:sz="8" w:color="CCFFCC"/>
            </w:tcBorders>
            <w:gridSpan w:val="3"/>
            <w:shd w:val="clear" w:color="auto" w:fill="CCFFCC"/>
          </w:tcPr>
          <w:p>
            <w:pPr>
              <w:spacing w:after="0"/>
              <w:rPr>
                <w:sz w:val="20"/>
                <w:szCs w:val="20"/>
                <w:color w:val="auto"/>
              </w:rPr>
            </w:pPr>
            <w:r>
              <w:rPr>
                <w:rFonts w:ascii="Arial" w:cs="Arial" w:eastAsia="Arial" w:hAnsi="Arial"/>
                <w:sz w:val="18"/>
                <w:szCs w:val="18"/>
                <w:color w:val="auto"/>
              </w:rPr>
              <w:t>Nonvested at August 3, 2013</w:t>
            </w:r>
          </w:p>
        </w:tc>
        <w:tc>
          <w:tcPr>
            <w:tcW w:w="520" w:type="dxa"/>
            <w:vAlign w:val="bottom"/>
            <w:tcBorders>
              <w:top w:val="single" w:sz="8" w:color="CCFFCC"/>
              <w:bottom w:val="single" w:sz="8" w:color="CCFFCC"/>
            </w:tcBorders>
            <w:shd w:val="clear" w:color="auto" w:fill="CCFFCC"/>
          </w:tcPr>
          <w:p>
            <w:pPr>
              <w:spacing w:after="0"/>
              <w:rPr>
                <w:sz w:val="19"/>
                <w:szCs w:val="19"/>
                <w:color w:val="auto"/>
              </w:rPr>
            </w:pPr>
          </w:p>
        </w:tc>
        <w:tc>
          <w:tcPr>
            <w:tcW w:w="160" w:type="dxa"/>
            <w:vAlign w:val="bottom"/>
            <w:tcBorders>
              <w:top w:val="single" w:sz="8" w:color="CCFFCC"/>
              <w:bottom w:val="single" w:sz="8" w:color="CCFFCC"/>
            </w:tcBorders>
            <w:shd w:val="clear" w:color="auto" w:fill="CCFFCC"/>
          </w:tcPr>
          <w:p>
            <w:pPr>
              <w:spacing w:after="0"/>
              <w:rPr>
                <w:sz w:val="19"/>
                <w:szCs w:val="19"/>
                <w:color w:val="auto"/>
              </w:rPr>
            </w:pPr>
          </w:p>
        </w:tc>
        <w:tc>
          <w:tcPr>
            <w:tcW w:w="1500" w:type="dxa"/>
            <w:vAlign w:val="bottom"/>
            <w:tcBorders>
              <w:top w:val="single" w:sz="8" w:color="CCFFCC"/>
              <w:bottom w:val="single" w:sz="8" w:color="CCFFCC"/>
            </w:tcBorders>
            <w:shd w:val="clear" w:color="auto" w:fill="CCFFCC"/>
          </w:tcPr>
          <w:p>
            <w:pPr>
              <w:spacing w:after="0"/>
              <w:rPr>
                <w:sz w:val="19"/>
                <w:szCs w:val="19"/>
                <w:color w:val="auto"/>
              </w:rPr>
            </w:pPr>
          </w:p>
        </w:tc>
        <w:tc>
          <w:tcPr>
            <w:tcW w:w="1740" w:type="dxa"/>
            <w:vAlign w:val="bottom"/>
            <w:tcBorders>
              <w:top w:val="single" w:sz="8" w:color="CCFFCC"/>
              <w:bottom w:val="single" w:sz="8" w:color="CCFFCC"/>
            </w:tcBorders>
            <w:shd w:val="clear" w:color="auto" w:fill="CCFFCC"/>
          </w:tcPr>
          <w:p>
            <w:pPr>
              <w:spacing w:after="0"/>
              <w:rPr>
                <w:sz w:val="19"/>
                <w:szCs w:val="19"/>
                <w:color w:val="auto"/>
              </w:rPr>
            </w:pPr>
          </w:p>
        </w:tc>
        <w:tc>
          <w:tcPr>
            <w:tcW w:w="200" w:type="dxa"/>
            <w:vAlign w:val="bottom"/>
            <w:tcBorders>
              <w:top w:val="single" w:sz="8" w:color="CCFFCC"/>
              <w:bottom w:val="single" w:sz="8" w:color="CCFFCC"/>
            </w:tcBorders>
            <w:shd w:val="clear" w:color="auto" w:fill="CCFFCC"/>
          </w:tcPr>
          <w:p>
            <w:pPr>
              <w:spacing w:after="0"/>
              <w:rPr>
                <w:sz w:val="19"/>
                <w:szCs w:val="19"/>
                <w:color w:val="auto"/>
              </w:rPr>
            </w:pPr>
          </w:p>
        </w:tc>
        <w:tc>
          <w:tcPr>
            <w:tcW w:w="1240" w:type="dxa"/>
            <w:vAlign w:val="bottom"/>
            <w:tcBorders>
              <w:top w:val="single" w:sz="8" w:color="CCFFCC"/>
              <w:bottom w:val="single" w:sz="8" w:color="CCFFCC"/>
            </w:tcBorders>
            <w:shd w:val="clear" w:color="auto" w:fill="CCFFCC"/>
          </w:tcPr>
          <w:p>
            <w:pPr>
              <w:spacing w:after="0"/>
              <w:rPr>
                <w:sz w:val="19"/>
                <w:szCs w:val="19"/>
                <w:color w:val="auto"/>
              </w:rPr>
            </w:pPr>
          </w:p>
        </w:tc>
        <w:tc>
          <w:tcPr>
            <w:tcW w:w="220" w:type="dxa"/>
            <w:vAlign w:val="bottom"/>
            <w:tcBorders>
              <w:top w:val="single" w:sz="8" w:color="CCFFCC"/>
              <w:bottom w:val="single" w:sz="8" w:color="CCFFCC"/>
            </w:tcBorders>
            <w:shd w:val="clear" w:color="auto" w:fill="CCFFCC"/>
          </w:tcPr>
          <w:p>
            <w:pPr>
              <w:spacing w:after="0"/>
              <w:rPr>
                <w:sz w:val="19"/>
                <w:szCs w:val="19"/>
                <w:color w:val="auto"/>
              </w:rPr>
            </w:pPr>
          </w:p>
        </w:tc>
        <w:tc>
          <w:tcPr>
            <w:tcW w:w="60" w:type="dxa"/>
            <w:vAlign w:val="bottom"/>
            <w:tcBorders>
              <w:top w:val="single" w:sz="8" w:color="CCFFCC"/>
              <w:bottom w:val="single" w:sz="8" w:color="CCFFCC"/>
            </w:tcBorders>
            <w:shd w:val="clear" w:color="auto" w:fill="CCFFCC"/>
          </w:tcPr>
          <w:p>
            <w:pPr>
              <w:spacing w:after="0"/>
              <w:rPr>
                <w:sz w:val="19"/>
                <w:szCs w:val="19"/>
                <w:color w:val="auto"/>
              </w:rPr>
            </w:pPr>
          </w:p>
        </w:tc>
        <w:tc>
          <w:tcPr>
            <w:tcW w:w="120" w:type="dxa"/>
            <w:vAlign w:val="bottom"/>
            <w:tcBorders>
              <w:top w:val="single" w:sz="8" w:color="CCFFCC"/>
              <w:bottom w:val="single" w:sz="8" w:color="CCFFCC"/>
            </w:tcBorders>
            <w:shd w:val="clear" w:color="auto" w:fill="CCFFCC"/>
          </w:tcPr>
          <w:p>
            <w:pPr>
              <w:spacing w:after="0"/>
              <w:rPr>
                <w:sz w:val="19"/>
                <w:szCs w:val="19"/>
                <w:color w:val="auto"/>
              </w:rPr>
            </w:pPr>
          </w:p>
        </w:tc>
        <w:tc>
          <w:tcPr>
            <w:tcW w:w="1260" w:type="dxa"/>
            <w:vAlign w:val="bottom"/>
            <w:tcBorders>
              <w:top w:val="single" w:sz="8" w:color="auto"/>
              <w:bottom w:val="single" w:sz="8" w:color="auto"/>
            </w:tcBorders>
            <w:gridSpan w:val="2"/>
            <w:shd w:val="clear" w:color="auto" w:fill="CCFFCC"/>
          </w:tcPr>
          <w:p>
            <w:pPr>
              <w:jc w:val="right"/>
              <w:spacing w:after="0"/>
              <w:rPr>
                <w:sz w:val="20"/>
                <w:szCs w:val="20"/>
                <w:color w:val="auto"/>
              </w:rPr>
            </w:pPr>
            <w:r>
              <w:rPr>
                <w:rFonts w:ascii="Arial" w:cs="Arial" w:eastAsia="Arial" w:hAnsi="Arial"/>
                <w:sz w:val="18"/>
                <w:szCs w:val="18"/>
                <w:color w:val="auto"/>
              </w:rPr>
              <w:t>2,202</w:t>
            </w:r>
          </w:p>
        </w:tc>
        <w:tc>
          <w:tcPr>
            <w:tcW w:w="100" w:type="dxa"/>
            <w:vAlign w:val="bottom"/>
            <w:tcBorders>
              <w:top w:val="single" w:sz="8" w:color="CCFFCC"/>
              <w:bottom w:val="single" w:sz="8" w:color="CCFFCC"/>
            </w:tcBorders>
            <w:shd w:val="clear" w:color="auto" w:fill="CCFFCC"/>
          </w:tcPr>
          <w:p>
            <w:pPr>
              <w:spacing w:after="0"/>
              <w:rPr>
                <w:sz w:val="19"/>
                <w:szCs w:val="19"/>
                <w:color w:val="auto"/>
              </w:rPr>
            </w:pPr>
          </w:p>
        </w:tc>
        <w:tc>
          <w:tcPr>
            <w:tcW w:w="120" w:type="dxa"/>
            <w:vAlign w:val="bottom"/>
            <w:tcBorders>
              <w:top w:val="single" w:sz="8" w:color="CCFFCC"/>
              <w:bottom w:val="single" w:sz="8" w:color="CCFFCC"/>
            </w:tcBorders>
            <w:shd w:val="clear" w:color="auto" w:fill="CCFFCC"/>
          </w:tcPr>
          <w:p>
            <w:pPr>
              <w:spacing w:after="0"/>
              <w:rPr>
                <w:sz w:val="19"/>
                <w:szCs w:val="19"/>
                <w:color w:val="auto"/>
              </w:rPr>
            </w:pPr>
          </w:p>
        </w:tc>
        <w:tc>
          <w:tcPr>
            <w:tcW w:w="120" w:type="dxa"/>
            <w:vAlign w:val="bottom"/>
            <w:tcBorders>
              <w:top w:val="single" w:sz="8" w:color="CCFFCC"/>
              <w:bottom w:val="single" w:sz="8" w:color="CCFFCC"/>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CCFFCC"/>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30.10</w:t>
            </w:r>
          </w:p>
        </w:tc>
      </w:tr>
      <w:tr>
        <w:trPr>
          <w:trHeight w:val="20"/>
        </w:trPr>
        <w:tc>
          <w:tcPr>
            <w:tcW w:w="7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Compensation expense related to the Company’s stock option and stock purchase plans was $3 million and $6 million for the thirteen and twenty-six weeks ended August 3, 2013, respectively, and was $2 million and $5 million for the thirteen and twenty-six weeks ended July 28, 2012, respectively. As of August 3, 2013, there was $13 million of total unrecognized compensation cost related to nonvested stock options, which is expected to be recognized over a weighted-average period of 1.35 years.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and Units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Restricted shares of the Company’s common stock and restricted stock units may be awarded to certain officers and key employees of the Company. The Company also issues restricted stock units to its non-employee directors. Each restricted stock unit represents the right to receive one share of the Company’s common stock, provided that the vesting conditions are satisfied. As of August 3, 2013, 1,008,542 restricted stock units were outstanding. Compensation expense is recognized using the fair market value at the date of grant and is amortized over the vesting period, provided the recipient continues to be employed by the Company.</w:t>
      </w:r>
    </w:p>
    <w:p>
      <w:pPr>
        <w:spacing w:after="0" w:line="18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Generally, awards fully vest after the passage of time, typically three years. However, restricted stock unit grants made in connection with the Company’s long-term incentive program vest after the attainment of certain performance metrics and the passage of time. Restricted stock is considered outstanding at the time of grant and the holders have voting rights. Dividends are paid to holders of restricted stock that vests with the passage of time; for any performance-based restricted stock granted after May 19, 2010, dividends will be accumulated and paid after the performance criteria are met.</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5" w:lineRule="exact"/>
        <w:rPr>
          <w:sz w:val="20"/>
          <w:szCs w:val="20"/>
          <w:color w:val="auto"/>
        </w:rPr>
      </w:pPr>
    </w:p>
    <w:p>
      <w:pPr>
        <w:ind w:left="280" w:hanging="272"/>
        <w:spacing w:after="0"/>
        <w:tabs>
          <w:tab w:leader="none" w:pos="28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Share-Based Compensation-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Restricted share and unit activity for the twenty-six weeks ended August 3, 2013 and July 28, 2012 is summarized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60" w:type="dxa"/>
            <w:vAlign w:val="bottom"/>
            <w:gridSpan w:val="6"/>
          </w:tcPr>
          <w:p>
            <w:pPr>
              <w:jc w:val="right"/>
              <w:ind w:right="380"/>
              <w:spacing w:after="0"/>
              <w:rPr>
                <w:sz w:val="20"/>
                <w:szCs w:val="20"/>
                <w:color w:val="auto"/>
              </w:rPr>
            </w:pPr>
            <w:r>
              <w:rPr>
                <w:rFonts w:ascii="Arial" w:cs="Arial" w:eastAsia="Arial" w:hAnsi="Arial"/>
                <w:sz w:val="18"/>
                <w:szCs w:val="18"/>
                <w:b w:val="1"/>
                <w:bCs w:val="1"/>
                <w:color w:val="auto"/>
                <w:w w:val="93"/>
              </w:rPr>
              <w:t>Number of Shares and Units</w:t>
            </w:r>
          </w:p>
        </w:tc>
        <w:tc>
          <w:tcPr>
            <w:tcW w:w="0" w:type="dxa"/>
            <w:vAlign w:val="bottom"/>
          </w:tcPr>
          <w:p>
            <w:pPr>
              <w:spacing w:after="0"/>
              <w:rPr>
                <w:sz w:val="1"/>
                <w:szCs w:val="1"/>
                <w:color w:val="auto"/>
              </w:rPr>
            </w:pPr>
          </w:p>
        </w:tc>
      </w:tr>
      <w:tr>
        <w:trPr>
          <w:trHeight w:val="223"/>
        </w:trPr>
        <w:tc>
          <w:tcPr>
            <w:tcW w:w="8460" w:type="dxa"/>
            <w:vAlign w:val="bottom"/>
          </w:tcPr>
          <w:p>
            <w:pPr>
              <w:spacing w:after="0"/>
              <w:rPr>
                <w:sz w:val="20"/>
                <w:szCs w:val="20"/>
                <w:color w:val="auto"/>
              </w:rPr>
            </w:pPr>
            <w:r>
              <w:rPr>
                <w:rFonts w:ascii="Arial" w:cs="Arial" w:eastAsia="Arial" w:hAnsi="Arial"/>
                <w:sz w:val="18"/>
                <w:szCs w:val="18"/>
                <w:b w:val="1"/>
                <w:bCs w:val="1"/>
                <w:color w:val="auto"/>
              </w:rPr>
              <w:t>(in thousands)</w:t>
            </w:r>
          </w:p>
        </w:tc>
        <w:tc>
          <w:tcPr>
            <w:tcW w:w="120" w:type="dxa"/>
            <w:vAlign w:val="bottom"/>
          </w:tcPr>
          <w:p>
            <w:pPr>
              <w:spacing w:after="0"/>
              <w:rPr>
                <w:sz w:val="19"/>
                <w:szCs w:val="19"/>
                <w:color w:val="auto"/>
              </w:rPr>
            </w:pPr>
          </w:p>
        </w:tc>
        <w:tc>
          <w:tcPr>
            <w:tcW w:w="1420" w:type="dxa"/>
            <w:vAlign w:val="bottom"/>
            <w:tcBorders>
              <w:top w:val="single" w:sz="8" w:color="auto"/>
            </w:tcBorders>
            <w:gridSpan w:val="3"/>
          </w:tcPr>
          <w:p>
            <w:pPr>
              <w:jc w:val="right"/>
              <w:ind w:right="220"/>
              <w:spacing w:after="0"/>
              <w:rPr>
                <w:sz w:val="20"/>
                <w:szCs w:val="20"/>
                <w:color w:val="auto"/>
              </w:rPr>
            </w:pPr>
            <w:r>
              <w:rPr>
                <w:rFonts w:ascii="Arial" w:cs="Arial" w:eastAsia="Arial" w:hAnsi="Arial"/>
                <w:sz w:val="18"/>
                <w:szCs w:val="18"/>
                <w:b w:val="1"/>
                <w:bCs w:val="1"/>
                <w:color w:val="auto"/>
                <w:w w:val="92"/>
              </w:rPr>
              <w:t>August 3, 2013</w:t>
            </w:r>
          </w:p>
        </w:tc>
        <w:tc>
          <w:tcPr>
            <w:tcW w:w="6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9"/>
              </w:rPr>
              <w:t>July 28, 2012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46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Outstanding at beginning of period</w:t>
            </w:r>
          </w:p>
        </w:tc>
        <w:tc>
          <w:tcPr>
            <w:tcW w:w="120" w:type="dxa"/>
            <w:vAlign w:val="bottom"/>
            <w:tcBorders>
              <w:top w:val="single" w:sz="8" w:color="CCFFCC"/>
            </w:tcBorders>
            <w:shd w:val="clear" w:color="auto" w:fill="CCFFCC"/>
          </w:tcPr>
          <w:p>
            <w:pPr>
              <w:spacing w:after="0"/>
              <w:rPr>
                <w:sz w:val="18"/>
                <w:szCs w:val="18"/>
                <w:color w:val="auto"/>
              </w:rPr>
            </w:pPr>
          </w:p>
        </w:tc>
        <w:tc>
          <w:tcPr>
            <w:tcW w:w="180" w:type="dxa"/>
            <w:vAlign w:val="bottom"/>
            <w:tcBorders>
              <w:top w:val="single" w:sz="8" w:color="auto"/>
            </w:tcBorders>
            <w:shd w:val="clear" w:color="auto" w:fill="CCFFCC"/>
          </w:tcPr>
          <w:p>
            <w:pPr>
              <w:spacing w:after="0"/>
              <w:rPr>
                <w:sz w:val="18"/>
                <w:szCs w:val="18"/>
                <w:color w:val="auto"/>
              </w:rPr>
            </w:pPr>
          </w:p>
        </w:tc>
        <w:tc>
          <w:tcPr>
            <w:tcW w:w="11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1,564</w:t>
            </w:r>
          </w:p>
        </w:tc>
        <w:tc>
          <w:tcPr>
            <w:tcW w:w="140" w:type="dxa"/>
            <w:vAlign w:val="bottom"/>
            <w:tcBorders>
              <w:top w:val="single" w:sz="8" w:color="CCFFCC"/>
            </w:tcBorders>
            <w:shd w:val="clear" w:color="auto" w:fill="CCFFCC"/>
          </w:tcPr>
          <w:p>
            <w:pPr>
              <w:spacing w:after="0"/>
              <w:rPr>
                <w:sz w:val="18"/>
                <w:szCs w:val="18"/>
                <w:color w:val="auto"/>
              </w:rPr>
            </w:pPr>
          </w:p>
        </w:tc>
        <w:tc>
          <w:tcPr>
            <w:tcW w:w="6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2,068</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Granted</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440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16"/>
        </w:trPr>
        <w:tc>
          <w:tcPr>
            <w:tcW w:w="8460" w:type="dxa"/>
            <w:vAlign w:val="bottom"/>
            <w:shd w:val="clear" w:color="auto" w:fill="CCFFCC"/>
          </w:tcPr>
          <w:p>
            <w:pPr>
              <w:spacing w:after="0"/>
              <w:rPr>
                <w:sz w:val="20"/>
                <w:szCs w:val="20"/>
                <w:color w:val="auto"/>
              </w:rPr>
            </w:pPr>
            <w:r>
              <w:rPr>
                <w:rFonts w:ascii="Arial" w:cs="Arial" w:eastAsia="Arial" w:hAnsi="Arial"/>
                <w:sz w:val="18"/>
                <w:szCs w:val="18"/>
                <w:color w:val="auto"/>
              </w:rPr>
              <w:t>Vested</w:t>
            </w:r>
          </w:p>
        </w:tc>
        <w:tc>
          <w:tcPr>
            <w:tcW w:w="1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(639)</w:t>
            </w:r>
          </w:p>
        </w:tc>
        <w:tc>
          <w:tcPr>
            <w:tcW w:w="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(482)</w:t>
            </w:r>
          </w:p>
        </w:tc>
        <w:tc>
          <w:tcPr>
            <w:tcW w:w="0" w:type="dxa"/>
            <w:vAlign w:val="bottom"/>
          </w:tcPr>
          <w:p>
            <w:pPr>
              <w:spacing w:after="0"/>
              <w:rPr>
                <w:sz w:val="1"/>
                <w:szCs w:val="1"/>
                <w:color w:val="auto"/>
              </w:rPr>
            </w:pPr>
          </w:p>
        </w:tc>
      </w:tr>
      <w:tr>
        <w:trPr>
          <w:trHeight w:val="230"/>
        </w:trPr>
        <w:tc>
          <w:tcPr>
            <w:tcW w:w="8460" w:type="dxa"/>
            <w:vAlign w:val="bottom"/>
          </w:tcPr>
          <w:p>
            <w:pPr>
              <w:spacing w:after="0"/>
              <w:rPr>
                <w:sz w:val="20"/>
                <w:szCs w:val="20"/>
                <w:color w:val="auto"/>
              </w:rPr>
            </w:pPr>
            <w:r>
              <w:rPr>
                <w:rFonts w:ascii="Arial" w:cs="Arial" w:eastAsia="Arial" w:hAnsi="Arial"/>
                <w:sz w:val="18"/>
                <w:szCs w:val="18"/>
                <w:color w:val="auto"/>
              </w:rPr>
              <w:t>Cancelled or forfeited</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460" w:type="dxa"/>
            <w:vAlign w:val="bottom"/>
            <w:tcBorders>
              <w:top w:val="single" w:sz="8" w:color="CCFFCC"/>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Outstanding at end of period</w:t>
            </w:r>
          </w:p>
        </w:tc>
        <w:tc>
          <w:tcPr>
            <w:tcW w:w="120" w:type="dxa"/>
            <w:vAlign w:val="bottom"/>
            <w:tcBorders>
              <w:top w:val="single" w:sz="8" w:color="CCFFCC"/>
              <w:bottom w:val="single" w:sz="8" w:color="CCFFCC"/>
            </w:tcBorders>
            <w:shd w:val="clear" w:color="auto" w:fill="CCFFCC"/>
          </w:tcPr>
          <w:p>
            <w:pPr>
              <w:spacing w:after="0"/>
              <w:rPr>
                <w:sz w:val="19"/>
                <w:szCs w:val="19"/>
                <w:color w:val="auto"/>
              </w:rPr>
            </w:pPr>
          </w:p>
        </w:tc>
        <w:tc>
          <w:tcPr>
            <w:tcW w:w="180" w:type="dxa"/>
            <w:vAlign w:val="bottom"/>
            <w:tcBorders>
              <w:top w:val="single" w:sz="8" w:color="auto"/>
              <w:bottom w:val="single" w:sz="8" w:color="auto"/>
            </w:tcBorders>
            <w:shd w:val="clear" w:color="auto" w:fill="CCFFCC"/>
          </w:tcPr>
          <w:p>
            <w:pPr>
              <w:spacing w:after="0"/>
              <w:rPr>
                <w:sz w:val="19"/>
                <w:szCs w:val="19"/>
                <w:color w:val="auto"/>
              </w:rPr>
            </w:pPr>
          </w:p>
        </w:tc>
        <w:tc>
          <w:tcPr>
            <w:tcW w:w="11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1,353</w:t>
            </w:r>
          </w:p>
        </w:tc>
        <w:tc>
          <w:tcPr>
            <w:tcW w:w="140" w:type="dxa"/>
            <w:vAlign w:val="bottom"/>
            <w:tcBorders>
              <w:top w:val="single" w:sz="8" w:color="CCFFCC"/>
              <w:bottom w:val="single" w:sz="8" w:color="CCFFCC"/>
            </w:tcBorders>
            <w:shd w:val="clear" w:color="auto" w:fill="CCFFCC"/>
          </w:tcPr>
          <w:p>
            <w:pPr>
              <w:spacing w:after="0"/>
              <w:rPr>
                <w:sz w:val="19"/>
                <w:szCs w:val="19"/>
                <w:color w:val="auto"/>
              </w:rPr>
            </w:pPr>
          </w:p>
        </w:tc>
        <w:tc>
          <w:tcPr>
            <w:tcW w:w="60" w:type="dxa"/>
            <w:vAlign w:val="bottom"/>
            <w:tcBorders>
              <w:top w:val="single" w:sz="8" w:color="CCFFCC"/>
              <w:bottom w:val="single" w:sz="8" w:color="CCFFCC"/>
            </w:tcBorders>
            <w:shd w:val="clear" w:color="auto" w:fill="CCFFCC"/>
          </w:tcPr>
          <w:p>
            <w:pPr>
              <w:spacing w:after="0"/>
              <w:rPr>
                <w:sz w:val="19"/>
                <w:szCs w:val="19"/>
                <w:color w:val="auto"/>
              </w:rPr>
            </w:pPr>
          </w:p>
        </w:tc>
        <w:tc>
          <w:tcPr>
            <w:tcW w:w="120" w:type="dxa"/>
            <w:vAlign w:val="bottom"/>
            <w:tcBorders>
              <w:top w:val="single" w:sz="8" w:color="auto"/>
              <w:bottom w:val="single" w:sz="8" w:color="auto"/>
            </w:tcBorders>
            <w:shd w:val="clear" w:color="auto" w:fill="CCFFCC"/>
          </w:tcPr>
          <w:p>
            <w:pPr>
              <w:spacing w:after="0"/>
              <w:rPr>
                <w:sz w:val="19"/>
                <w:szCs w:val="19"/>
                <w:color w:val="auto"/>
              </w:rPr>
            </w:pPr>
          </w:p>
        </w:tc>
        <w:tc>
          <w:tcPr>
            <w:tcW w:w="11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1,850</w:t>
            </w:r>
          </w:p>
        </w:tc>
        <w:tc>
          <w:tcPr>
            <w:tcW w:w="100" w:type="dxa"/>
            <w:vAlign w:val="bottom"/>
            <w:tcBorders>
              <w:top w:val="single" w:sz="8" w:color="CCFFCC"/>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60" w:type="dxa"/>
            <w:vAlign w:val="bottom"/>
            <w:vMerge w:val="restart"/>
          </w:tcPr>
          <w:p>
            <w:pPr>
              <w:spacing w:after="0"/>
              <w:rPr>
                <w:sz w:val="20"/>
                <w:szCs w:val="20"/>
                <w:color w:val="auto"/>
              </w:rPr>
            </w:pPr>
            <w:r>
              <w:rPr>
                <w:rFonts w:ascii="Arial" w:cs="Arial" w:eastAsia="Arial" w:hAnsi="Arial"/>
                <w:sz w:val="18"/>
                <w:szCs w:val="18"/>
                <w:color w:val="auto"/>
              </w:rPr>
              <w:t>Aggregate value (in millions)</w:t>
            </w:r>
          </w:p>
        </w:tc>
        <w:tc>
          <w:tcPr>
            <w:tcW w:w="12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46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c>
          <w:tcPr>
            <w:tcW w:w="140" w:type="dxa"/>
            <w:vAlign w:val="bottom"/>
            <w:vMerge w:val="continue"/>
          </w:tcPr>
          <w:p>
            <w:pPr>
              <w:spacing w:after="0"/>
              <w:rPr>
                <w:sz w:val="17"/>
                <w:szCs w:val="17"/>
                <w:color w:val="auto"/>
              </w:rPr>
            </w:pPr>
          </w:p>
        </w:tc>
        <w:tc>
          <w:tcPr>
            <w:tcW w:w="60" w:type="dxa"/>
            <w:vAlign w:val="bottom"/>
            <w:vMerge w:val="continue"/>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460" w:type="dxa"/>
            <w:vAlign w:val="bottom"/>
            <w:shd w:val="clear" w:color="auto" w:fill="CCFFCC"/>
          </w:tcPr>
          <w:p>
            <w:pPr>
              <w:spacing w:after="0"/>
              <w:rPr>
                <w:sz w:val="20"/>
                <w:szCs w:val="20"/>
                <w:color w:val="auto"/>
              </w:rPr>
            </w:pPr>
            <w:r>
              <w:rPr>
                <w:rFonts w:ascii="Arial" w:cs="Arial" w:eastAsia="Arial" w:hAnsi="Arial"/>
                <w:sz w:val="18"/>
                <w:szCs w:val="18"/>
                <w:color w:val="auto"/>
              </w:rPr>
              <w:t>Weighted-average remaining contractual life</w:t>
            </w:r>
          </w:p>
        </w:tc>
        <w:tc>
          <w:tcPr>
            <w:tcW w:w="1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1.33 years</w:t>
            </w:r>
          </w:p>
        </w:tc>
        <w:tc>
          <w:tcPr>
            <w:tcW w:w="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1.20 years</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weighted-average grant-date fair value per share was $34.59 and $30.75 for the twenty-six weeks ended August 3, 2013 and July 28, 2012, respectively. The total value of awards for which restrictions lapsed during the twenty-six weeks ended August 3, 2013 and July 28, 2012 was $9 million and $5 million, respectively. As of August 3, 2013, there was $16 million of total unrecognized compensation cost related to nonvested restricted awards. The Company recorded compensation expense related to restricted stock awards, net of forfeitures, of $2 million for both the thirteen weeks ended August 3, 2013 and July 28, 2012, and $7 million and $5 million for the twenty-six weeks ended August 3, 2013 and July 28, 2012, respectively.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BUSINESS OVERVIEW</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Foot Locker, Inc., through its subsidiaries, operates in two reportable segments – Athletic Stores and Direct-to-Customers. The Athletic Stores segment is one of the largest athletic footwear and apparel retailers in the world, whose formats include Foot Locker, Lady Foot Locker, Kids Foot Locker, Champs Sports,</w:t>
      </w:r>
    </w:p>
    <w:p>
      <w:pPr>
        <w:jc w:val="both"/>
        <w:spacing w:after="0" w:line="267" w:lineRule="auto"/>
        <w:rPr>
          <w:sz w:val="20"/>
          <w:szCs w:val="20"/>
          <w:color w:val="auto"/>
        </w:rPr>
      </w:pPr>
      <w:r>
        <w:rPr>
          <w:rFonts w:ascii="Arial" w:cs="Arial" w:eastAsia="Arial" w:hAnsi="Arial"/>
          <w:sz w:val="16"/>
          <w:szCs w:val="16"/>
          <w:color w:val="auto"/>
        </w:rPr>
        <w:t>Footaction, as well as the retail stores of Runners Point Group, including Runners Point, Sidestep, and Run</w:t>
      </w:r>
      <w:r>
        <w:rPr>
          <w:rFonts w:ascii="Arial" w:cs="Arial" w:eastAsia="Arial" w:hAnsi="Arial"/>
          <w:sz w:val="26"/>
          <w:szCs w:val="26"/>
          <w:color w:val="auto"/>
          <w:vertAlign w:val="superscript"/>
        </w:rPr>
        <w:t>2</w:t>
      </w:r>
      <w:r>
        <w:rPr>
          <w:rFonts w:ascii="Arial" w:cs="Arial" w:eastAsia="Arial" w:hAnsi="Arial"/>
          <w:sz w:val="16"/>
          <w:szCs w:val="16"/>
          <w:color w:val="auto"/>
        </w:rPr>
        <w:t>, which was acquired during the second quarter of 2013. The Direct-to-Customers segment is multi-branded and multi-channeled. This segment sells, through its affiliates, directly to customers through its Internet websites, mobile devices, and catalogs. Eastbay, one of the affiliates, is among the largest direct marketers in the United States. The Direct-to-Customers segment operates the websites for eastbay.com, final-score.com, eastbayteamservices.com, ccs.com, as well as websites aligned with the brand names of its store banners (footlocker.com, ladyfootlocker.com, kidsfootlocker.com, footaction.com, and champssports.com). Additionally, this segment includes Tredex, the direct-to-customer subsidiary of Runners Point Group, which operates the websites for runnerspoint.com, sidestep.com, and sp24.com.</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STORE COUNT</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At August 3, 2013, the Company operated 3,495 stores as compared with 3,335 and 3,354 stores at February 2, 2013 and July 28, 2012, respectively. Store count as of August 3, 2013 includes 194 Runners Point Group stores under the Runners Point, Sidestep, and Run</w:t>
      </w:r>
      <w:r>
        <w:rPr>
          <w:rFonts w:ascii="Arial" w:cs="Arial" w:eastAsia="Arial" w:hAnsi="Arial"/>
          <w:sz w:val="26"/>
          <w:szCs w:val="26"/>
          <w:color w:val="auto"/>
          <w:vertAlign w:val="superscript"/>
        </w:rPr>
        <w:t>2</w:t>
      </w:r>
      <w:r>
        <w:rPr>
          <w:rFonts w:ascii="Arial" w:cs="Arial" w:eastAsia="Arial" w:hAnsi="Arial"/>
          <w:sz w:val="16"/>
          <w:szCs w:val="16"/>
          <w:color w:val="auto"/>
        </w:rPr>
        <w:t xml:space="preserve"> banners. Excluding the acquired locations, the Company opened 49 stores, remodeled or relocated 153 stores and closed 83 stores during the twenty-six weeks ended August 3, 2013. As previously announced, the Company closed all of its 22 CCS stores, included in the total store closures above, during the second quarter of 2013.</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9" w:name="page20"/>
    <w:bookmarkEnd w:id="19"/>
    <w:p>
      <w:pPr>
        <w:jc w:val="both"/>
        <w:spacing w:after="0" w:line="312" w:lineRule="auto"/>
        <w:rPr>
          <w:sz w:val="20"/>
          <w:szCs w:val="20"/>
          <w:color w:val="auto"/>
        </w:rPr>
      </w:pPr>
      <w:r>
        <w:rPr>
          <w:rFonts w:ascii="Arial" w:cs="Arial" w:eastAsia="Arial" w:hAnsi="Arial"/>
          <w:sz w:val="16"/>
          <w:szCs w:val="16"/>
          <w:color w:val="auto"/>
        </w:rPr>
        <w:t>A total of 69 franchised stores were operating at August 3, 2013, as compared with 42 and 37 stores at February 2, 2013 and July 28, 2012, respectively. Included in the most recent number of franchised stores are 24 franchised Runners Point Group stores operating in Germany and Switzerland. Royalty income from the franchised stores was not significant for any of the periods presented. These stores are not included in the Company’s operating store count above.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SALES AND OPERATING RESULTS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All references to comparable-store sales for a given period relate to sales of stores that are open at the period-end and have been open for more than one year. The computation of comparable-store sales also includes the sales of the Direct-to-Customers segment. Stores opened or closed during the period are not included in the comparable-store base; however, stores closed temporarily for relocation or remodeling are included. Computations exclude the effect of foreign currency fluctuations.</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Sales from acquired businesses that include inventory are included in the computation of comparable-store sales after 15 months of operations. Accordingly, sales of Runners Point Group have been excluded from the computation of comparable-store sales.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gridSpan w:val="2"/>
          </w:tcPr>
          <w:p>
            <w:pPr>
              <w:spacing w:after="0"/>
              <w:rPr>
                <w:sz w:val="20"/>
                <w:szCs w:val="20"/>
                <w:color w:val="auto"/>
              </w:rPr>
            </w:pPr>
            <w:r>
              <w:rPr>
                <w:rFonts w:ascii="Arial" w:cs="Arial" w:eastAsia="Arial" w:hAnsi="Arial"/>
                <w:sz w:val="18"/>
                <w:szCs w:val="18"/>
                <w:color w:val="auto"/>
              </w:rPr>
              <w:t>The following table summarizes results by segment:</w:t>
            </w: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56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Sales</w:t>
            </w:r>
          </w:p>
        </w:tc>
        <w:tc>
          <w:tcPr>
            <w:tcW w:w="180" w:type="dxa"/>
            <w:vAlign w:val="bottom"/>
          </w:tcPr>
          <w:p>
            <w:pPr>
              <w:spacing w:after="0"/>
              <w:rPr>
                <w:sz w:val="24"/>
                <w:szCs w:val="24"/>
                <w:color w:val="auto"/>
              </w:rPr>
            </w:pPr>
          </w:p>
        </w:tc>
        <w:tc>
          <w:tcPr>
            <w:tcW w:w="2700" w:type="dxa"/>
            <w:vAlign w:val="bottom"/>
            <w:gridSpan w:val="6"/>
          </w:tcPr>
          <w:p>
            <w:pPr>
              <w:ind w:left="360"/>
              <w:spacing w:after="0"/>
              <w:rPr>
                <w:sz w:val="20"/>
                <w:szCs w:val="20"/>
                <w:color w:val="auto"/>
              </w:rPr>
            </w:pPr>
            <w:r>
              <w:rPr>
                <w:rFonts w:ascii="Arial" w:cs="Arial" w:eastAsia="Arial" w:hAnsi="Arial"/>
                <w:sz w:val="18"/>
                <w:szCs w:val="18"/>
                <w:b w:val="1"/>
                <w:bCs w:val="1"/>
                <w:color w:val="auto"/>
              </w:rPr>
              <w:t>Thirteen weeks ended</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40" w:type="dxa"/>
            <w:vAlign w:val="bottom"/>
            <w:gridSpan w:val="7"/>
          </w:tcPr>
          <w:p>
            <w:pPr>
              <w:ind w:left="260"/>
              <w:spacing w:after="0"/>
              <w:rPr>
                <w:sz w:val="20"/>
                <w:szCs w:val="20"/>
                <w:color w:val="auto"/>
              </w:rPr>
            </w:pPr>
            <w:r>
              <w:rPr>
                <w:rFonts w:ascii="Arial" w:cs="Arial" w:eastAsia="Arial" w:hAnsi="Arial"/>
                <w:sz w:val="18"/>
                <w:szCs w:val="18"/>
                <w:b w:val="1"/>
                <w:bCs w:val="1"/>
                <w:color w:val="auto"/>
              </w:rPr>
              <w:t>Twenty-six weeks ended</w:t>
            </w:r>
          </w:p>
        </w:tc>
        <w:tc>
          <w:tcPr>
            <w:tcW w:w="0" w:type="dxa"/>
            <w:vAlign w:val="bottom"/>
          </w:tcPr>
          <w:p>
            <w:pPr>
              <w:spacing w:after="0"/>
              <w:rPr>
                <w:sz w:val="1"/>
                <w:szCs w:val="1"/>
                <w:color w:val="auto"/>
              </w:rPr>
            </w:pPr>
          </w:p>
        </w:tc>
      </w:tr>
      <w:tr>
        <w:trPr>
          <w:trHeight w:val="205"/>
        </w:trPr>
        <w:tc>
          <w:tcPr>
            <w:tcW w:w="5620" w:type="dxa"/>
            <w:vAlign w:val="bottom"/>
            <w:gridSpan w:val="2"/>
            <w:vMerge w:val="continue"/>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gridSpan w:val="2"/>
          </w:tcPr>
          <w:p>
            <w:pPr>
              <w:jc w:val="center"/>
              <w:ind w:right="300"/>
              <w:spacing w:after="0" w:line="205" w:lineRule="exact"/>
              <w:rPr>
                <w:sz w:val="20"/>
                <w:szCs w:val="20"/>
                <w:color w:val="auto"/>
              </w:rPr>
            </w:pPr>
            <w:r>
              <w:rPr>
                <w:rFonts w:ascii="Arial" w:cs="Arial" w:eastAsia="Arial" w:hAnsi="Arial"/>
                <w:sz w:val="18"/>
                <w:szCs w:val="18"/>
                <w:b w:val="1"/>
                <w:bCs w:val="1"/>
                <w:color w:val="auto"/>
                <w:w w:val="90"/>
              </w:rPr>
              <w:t>August 3,</w:t>
            </w:r>
          </w:p>
        </w:tc>
        <w:tc>
          <w:tcPr>
            <w:tcW w:w="1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center"/>
              <w:ind w:right="130"/>
              <w:spacing w:after="0" w:line="205" w:lineRule="exact"/>
              <w:rPr>
                <w:sz w:val="20"/>
                <w:szCs w:val="20"/>
                <w:color w:val="auto"/>
              </w:rPr>
            </w:pPr>
            <w:r>
              <w:rPr>
                <w:rFonts w:ascii="Arial" w:cs="Arial" w:eastAsia="Arial" w:hAnsi="Arial"/>
                <w:sz w:val="18"/>
                <w:szCs w:val="18"/>
                <w:b w:val="1"/>
                <w:bCs w:val="1"/>
                <w:color w:val="auto"/>
                <w:w w:val="90"/>
              </w:rPr>
              <w:t>July 28,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gridSpan w:val="2"/>
          </w:tcPr>
          <w:p>
            <w:pPr>
              <w:ind w:left="80"/>
              <w:spacing w:after="0" w:line="205" w:lineRule="exact"/>
              <w:rPr>
                <w:sz w:val="20"/>
                <w:szCs w:val="20"/>
                <w:color w:val="auto"/>
              </w:rPr>
            </w:pPr>
            <w:r>
              <w:rPr>
                <w:rFonts w:ascii="Arial" w:cs="Arial" w:eastAsia="Arial" w:hAnsi="Arial"/>
                <w:sz w:val="18"/>
                <w:szCs w:val="18"/>
                <w:b w:val="1"/>
                <w:bCs w:val="1"/>
                <w:color w:val="auto"/>
              </w:rPr>
              <w:t>August 3,</w:t>
            </w:r>
          </w:p>
        </w:tc>
        <w:tc>
          <w:tcPr>
            <w:tcW w:w="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center"/>
              <w:ind w:right="110"/>
              <w:spacing w:after="0" w:line="205" w:lineRule="exact"/>
              <w:rPr>
                <w:sz w:val="20"/>
                <w:szCs w:val="20"/>
                <w:color w:val="auto"/>
              </w:rPr>
            </w:pPr>
            <w:r>
              <w:rPr>
                <w:rFonts w:ascii="Arial" w:cs="Arial" w:eastAsia="Arial" w:hAnsi="Arial"/>
                <w:sz w:val="18"/>
                <w:szCs w:val="18"/>
                <w:b w:val="1"/>
                <w:bCs w:val="1"/>
                <w:color w:val="auto"/>
                <w:w w:val="90"/>
              </w:rPr>
              <w:t>July 28,</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620" w:type="dxa"/>
            <w:vAlign w:val="bottom"/>
            <w:gridSpan w:val="2"/>
          </w:tcPr>
          <w:p>
            <w:pPr>
              <w:spacing w:after="0"/>
              <w:rPr>
                <w:sz w:val="20"/>
                <w:szCs w:val="20"/>
                <w:color w:val="auto"/>
              </w:rPr>
            </w:pPr>
            <w:r>
              <w:rPr>
                <w:rFonts w:ascii="Arial" w:cs="Arial" w:eastAsia="Arial" w:hAnsi="Arial"/>
                <w:sz w:val="18"/>
                <w:szCs w:val="18"/>
                <w:b w:val="1"/>
                <w:bCs w:val="1"/>
                <w:color w:val="auto"/>
              </w:rPr>
              <w:t>(in millions)</w:t>
            </w:r>
          </w:p>
        </w:tc>
        <w:tc>
          <w:tcPr>
            <w:tcW w:w="180" w:type="dxa"/>
            <w:vAlign w:val="bottom"/>
          </w:tcPr>
          <w:p>
            <w:pPr>
              <w:spacing w:after="0"/>
              <w:rPr>
                <w:sz w:val="20"/>
                <w:szCs w:val="20"/>
                <w:color w:val="auto"/>
              </w:rPr>
            </w:pPr>
          </w:p>
        </w:tc>
        <w:tc>
          <w:tcPr>
            <w:tcW w:w="108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2013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2012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ind w:left="280"/>
              <w:spacing w:after="0"/>
              <w:rPr>
                <w:sz w:val="20"/>
                <w:szCs w:val="20"/>
                <w:color w:val="auto"/>
              </w:rPr>
            </w:pPr>
            <w:r>
              <w:rPr>
                <w:rFonts w:ascii="Arial" w:cs="Arial" w:eastAsia="Arial" w:hAnsi="Arial"/>
                <w:sz w:val="18"/>
                <w:szCs w:val="18"/>
                <w:b w:val="1"/>
                <w:bCs w:val="1"/>
                <w:color w:val="auto"/>
              </w:rPr>
              <w:t>2013</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2012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50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Athletic Stores</w:t>
            </w:r>
          </w:p>
        </w:tc>
        <w:tc>
          <w:tcPr>
            <w:tcW w:w="120" w:type="dxa"/>
            <w:vAlign w:val="bottom"/>
            <w:tcBorders>
              <w:top w:val="single" w:sz="8" w:color="CCFFCC"/>
            </w:tcBorders>
            <w:shd w:val="clear" w:color="auto" w:fill="CCFFCC"/>
          </w:tcPr>
          <w:p>
            <w:pPr>
              <w:spacing w:after="0"/>
              <w:rPr>
                <w:sz w:val="18"/>
                <w:szCs w:val="18"/>
                <w:color w:val="auto"/>
              </w:rPr>
            </w:pPr>
          </w:p>
        </w:tc>
        <w:tc>
          <w:tcPr>
            <w:tcW w:w="180" w:type="dxa"/>
            <w:vAlign w:val="bottom"/>
            <w:tcBorders>
              <w:top w:val="single" w:sz="8" w:color="auto"/>
            </w:tcBorders>
            <w:shd w:val="clear" w:color="auto" w:fill="CCFFCC"/>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1,313</w:t>
            </w:r>
          </w:p>
        </w:tc>
        <w:tc>
          <w:tcPr>
            <w:tcW w:w="12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220" w:type="dxa"/>
            <w:vAlign w:val="bottom"/>
            <w:tcBorders>
              <w:top w:val="single" w:sz="8" w:color="auto"/>
            </w:tcBorders>
            <w:shd w:val="clear" w:color="auto" w:fill="CCFFCC"/>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1,248</w:t>
            </w:r>
          </w:p>
        </w:tc>
        <w:tc>
          <w:tcPr>
            <w:tcW w:w="10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auto"/>
            </w:tcBorders>
            <w:shd w:val="clear" w:color="auto" w:fill="CCFFCC"/>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2,784</w:t>
            </w:r>
          </w:p>
        </w:tc>
        <w:tc>
          <w:tcPr>
            <w:tcW w:w="200" w:type="dxa"/>
            <w:vAlign w:val="bottom"/>
            <w:tcBorders>
              <w:top w:val="single" w:sz="8" w:color="CCFFCC"/>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200" w:type="dxa"/>
            <w:vAlign w:val="bottom"/>
            <w:tcBorders>
              <w:top w:val="single" w:sz="8" w:color="auto"/>
            </w:tcBorders>
            <w:shd w:val="clear" w:color="auto" w:fill="CCFFCC"/>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2,685</w:t>
            </w:r>
          </w:p>
        </w:tc>
        <w:tc>
          <w:tcPr>
            <w:tcW w:w="2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20" w:type="dxa"/>
            <w:vAlign w:val="bottom"/>
            <w:gridSpan w:val="2"/>
          </w:tcPr>
          <w:p>
            <w:pPr>
              <w:spacing w:after="0"/>
              <w:rPr>
                <w:sz w:val="20"/>
                <w:szCs w:val="20"/>
                <w:color w:val="auto"/>
              </w:rPr>
            </w:pPr>
            <w:r>
              <w:rPr>
                <w:rFonts w:ascii="Arial" w:cs="Arial" w:eastAsia="Arial" w:hAnsi="Arial"/>
                <w:sz w:val="18"/>
                <w:szCs w:val="18"/>
                <w:color w:val="auto"/>
              </w:rPr>
              <w:t>Direct-to-Customers</w:t>
            </w:r>
          </w:p>
        </w:tc>
        <w:tc>
          <w:tcPr>
            <w:tcW w:w="18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308</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260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20" w:type="dxa"/>
            <w:vAlign w:val="bottom"/>
            <w:tcBorders>
              <w:top w:val="single" w:sz="8" w:color="CCFFCC"/>
              <w:bottom w:val="single" w:sz="8" w:color="CCFFCC"/>
            </w:tcBorders>
            <w:gridSpan w:val="2"/>
            <w:shd w:val="clear" w:color="auto" w:fill="CCFFCC"/>
          </w:tcPr>
          <w:p>
            <w:pPr>
              <w:spacing w:after="0"/>
              <w:rPr>
                <w:sz w:val="20"/>
                <w:szCs w:val="20"/>
                <w:color w:val="auto"/>
              </w:rPr>
            </w:pPr>
            <w:r>
              <w:rPr>
                <w:rFonts w:ascii="Arial" w:cs="Arial" w:eastAsia="Arial" w:hAnsi="Arial"/>
                <w:sz w:val="18"/>
                <w:szCs w:val="18"/>
                <w:color w:val="auto"/>
              </w:rPr>
              <w:t>Total sales</w:t>
            </w:r>
          </w:p>
        </w:tc>
        <w:tc>
          <w:tcPr>
            <w:tcW w:w="180" w:type="dxa"/>
            <w:vAlign w:val="bottom"/>
            <w:tcBorders>
              <w:top w:val="single" w:sz="8" w:color="auto"/>
              <w:bottom w:val="single" w:sz="8" w:color="auto"/>
            </w:tcBorders>
            <w:shd w:val="clear" w:color="auto" w:fill="CCFFCC"/>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1,454</w:t>
            </w:r>
          </w:p>
        </w:tc>
        <w:tc>
          <w:tcPr>
            <w:tcW w:w="120" w:type="dxa"/>
            <w:vAlign w:val="bottom"/>
            <w:tcBorders>
              <w:top w:val="single" w:sz="8" w:color="CCFFCC"/>
              <w:bottom w:val="single" w:sz="8" w:color="CCFFCC"/>
            </w:tcBorders>
            <w:shd w:val="clear" w:color="auto" w:fill="CCFFCC"/>
          </w:tcPr>
          <w:p>
            <w:pPr>
              <w:spacing w:after="0"/>
              <w:rPr>
                <w:sz w:val="19"/>
                <w:szCs w:val="19"/>
                <w:color w:val="auto"/>
              </w:rPr>
            </w:pPr>
          </w:p>
        </w:tc>
        <w:tc>
          <w:tcPr>
            <w:tcW w:w="120" w:type="dxa"/>
            <w:vAlign w:val="bottom"/>
            <w:tcBorders>
              <w:top w:val="single" w:sz="8" w:color="CCFFCC"/>
              <w:bottom w:val="single" w:sz="8" w:color="CCFFCC"/>
            </w:tcBorders>
            <w:shd w:val="clear" w:color="auto" w:fill="CCFFCC"/>
          </w:tcPr>
          <w:p>
            <w:pPr>
              <w:spacing w:after="0"/>
              <w:rPr>
                <w:sz w:val="19"/>
                <w:szCs w:val="19"/>
                <w:color w:val="auto"/>
              </w:rPr>
            </w:pPr>
          </w:p>
        </w:tc>
        <w:tc>
          <w:tcPr>
            <w:tcW w:w="220" w:type="dxa"/>
            <w:vAlign w:val="bottom"/>
            <w:tcBorders>
              <w:top w:val="single" w:sz="8" w:color="auto"/>
              <w:bottom w:val="single" w:sz="8" w:color="auto"/>
            </w:tcBorders>
            <w:shd w:val="clear" w:color="auto" w:fill="CCFFCC"/>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1,367</w:t>
            </w:r>
          </w:p>
        </w:tc>
        <w:tc>
          <w:tcPr>
            <w:tcW w:w="100" w:type="dxa"/>
            <w:vAlign w:val="bottom"/>
            <w:tcBorders>
              <w:top w:val="single" w:sz="8" w:color="CCFFCC"/>
              <w:bottom w:val="single" w:sz="8" w:color="CCFFCC"/>
            </w:tcBorders>
            <w:shd w:val="clear" w:color="auto" w:fill="CCFFCC"/>
          </w:tcPr>
          <w:p>
            <w:pPr>
              <w:spacing w:after="0"/>
              <w:rPr>
                <w:sz w:val="19"/>
                <w:szCs w:val="19"/>
                <w:color w:val="auto"/>
              </w:rPr>
            </w:pPr>
          </w:p>
        </w:tc>
        <w:tc>
          <w:tcPr>
            <w:tcW w:w="120" w:type="dxa"/>
            <w:vAlign w:val="bottom"/>
            <w:tcBorders>
              <w:top w:val="single" w:sz="8" w:color="CCFFCC"/>
              <w:bottom w:val="single" w:sz="8" w:color="CCFFCC"/>
            </w:tcBorders>
            <w:shd w:val="clear" w:color="auto" w:fill="CCFFCC"/>
          </w:tcPr>
          <w:p>
            <w:pPr>
              <w:spacing w:after="0"/>
              <w:rPr>
                <w:sz w:val="19"/>
                <w:szCs w:val="19"/>
                <w:color w:val="auto"/>
              </w:rPr>
            </w:pPr>
          </w:p>
        </w:tc>
        <w:tc>
          <w:tcPr>
            <w:tcW w:w="160" w:type="dxa"/>
            <w:vAlign w:val="bottom"/>
            <w:tcBorders>
              <w:top w:val="single" w:sz="8" w:color="auto"/>
              <w:bottom w:val="single" w:sz="8" w:color="auto"/>
            </w:tcBorders>
            <w:shd w:val="clear" w:color="auto" w:fill="CCFFCC"/>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3,092</w:t>
            </w:r>
          </w:p>
        </w:tc>
        <w:tc>
          <w:tcPr>
            <w:tcW w:w="200" w:type="dxa"/>
            <w:vAlign w:val="bottom"/>
            <w:tcBorders>
              <w:top w:val="single" w:sz="8" w:color="CCFFCC"/>
              <w:bottom w:val="single" w:sz="8" w:color="CCFFCC"/>
            </w:tcBorders>
            <w:shd w:val="clear" w:color="auto" w:fill="CCFFCC"/>
          </w:tcPr>
          <w:p>
            <w:pPr>
              <w:spacing w:after="0"/>
              <w:rPr>
                <w:sz w:val="19"/>
                <w:szCs w:val="19"/>
                <w:color w:val="auto"/>
              </w:rPr>
            </w:pPr>
          </w:p>
        </w:tc>
        <w:tc>
          <w:tcPr>
            <w:tcW w:w="20" w:type="dxa"/>
            <w:vAlign w:val="bottom"/>
            <w:tcBorders>
              <w:top w:val="single" w:sz="8" w:color="CCFFCC"/>
              <w:bottom w:val="single" w:sz="8" w:color="CCFFCC"/>
            </w:tcBorders>
            <w:shd w:val="clear" w:color="auto" w:fill="CCFFCC"/>
          </w:tcPr>
          <w:p>
            <w:pPr>
              <w:spacing w:after="0"/>
              <w:rPr>
                <w:sz w:val="19"/>
                <w:szCs w:val="19"/>
                <w:color w:val="auto"/>
              </w:rPr>
            </w:pPr>
          </w:p>
        </w:tc>
        <w:tc>
          <w:tcPr>
            <w:tcW w:w="200" w:type="dxa"/>
            <w:vAlign w:val="bottom"/>
            <w:tcBorders>
              <w:top w:val="single" w:sz="8" w:color="auto"/>
              <w:bottom w:val="single" w:sz="8" w:color="auto"/>
            </w:tcBorders>
            <w:shd w:val="clear" w:color="auto" w:fill="CCFFCC"/>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2,945</w:t>
            </w:r>
          </w:p>
        </w:tc>
        <w:tc>
          <w:tcPr>
            <w:tcW w:w="20" w:type="dxa"/>
            <w:vAlign w:val="bottom"/>
            <w:tcBorders>
              <w:top w:val="single" w:sz="8" w:color="CCFFCC"/>
              <w:bottom w:val="single" w:sz="8" w:color="CCFFCC"/>
            </w:tcBorders>
            <w:shd w:val="clear" w:color="auto" w:fill="CCFFCC"/>
          </w:tcPr>
          <w:p>
            <w:pPr>
              <w:spacing w:after="0"/>
              <w:rPr>
                <w:sz w:val="19"/>
                <w:szCs w:val="19"/>
                <w:color w:val="auto"/>
              </w:rPr>
            </w:pPr>
          </w:p>
        </w:tc>
        <w:tc>
          <w:tcPr>
            <w:tcW w:w="80" w:type="dxa"/>
            <w:vAlign w:val="bottom"/>
            <w:tcBorders>
              <w:top w:val="single" w:sz="8" w:color="CCFFCC"/>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6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Operating Results</w:t>
            </w:r>
          </w:p>
        </w:tc>
        <w:tc>
          <w:tcPr>
            <w:tcW w:w="180" w:type="dxa"/>
            <w:vAlign w:val="bottom"/>
          </w:tcPr>
          <w:p>
            <w:pPr>
              <w:spacing w:after="0"/>
              <w:rPr>
                <w:sz w:val="24"/>
                <w:szCs w:val="24"/>
                <w:color w:val="auto"/>
              </w:rPr>
            </w:pPr>
          </w:p>
        </w:tc>
        <w:tc>
          <w:tcPr>
            <w:tcW w:w="2700" w:type="dxa"/>
            <w:vAlign w:val="bottom"/>
            <w:gridSpan w:val="6"/>
          </w:tcPr>
          <w:p>
            <w:pPr>
              <w:ind w:left="360"/>
              <w:spacing w:after="0"/>
              <w:rPr>
                <w:sz w:val="20"/>
                <w:szCs w:val="20"/>
                <w:color w:val="auto"/>
              </w:rPr>
            </w:pPr>
            <w:r>
              <w:rPr>
                <w:rFonts w:ascii="Arial" w:cs="Arial" w:eastAsia="Arial" w:hAnsi="Arial"/>
                <w:sz w:val="18"/>
                <w:szCs w:val="18"/>
                <w:b w:val="1"/>
                <w:bCs w:val="1"/>
                <w:color w:val="auto"/>
              </w:rPr>
              <w:t>Thirteen weeks ended</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40" w:type="dxa"/>
            <w:vAlign w:val="bottom"/>
            <w:gridSpan w:val="7"/>
          </w:tcPr>
          <w:p>
            <w:pPr>
              <w:ind w:left="260"/>
              <w:spacing w:after="0"/>
              <w:rPr>
                <w:sz w:val="20"/>
                <w:szCs w:val="20"/>
                <w:color w:val="auto"/>
              </w:rPr>
            </w:pPr>
            <w:r>
              <w:rPr>
                <w:rFonts w:ascii="Arial" w:cs="Arial" w:eastAsia="Arial" w:hAnsi="Arial"/>
                <w:sz w:val="18"/>
                <w:szCs w:val="18"/>
                <w:b w:val="1"/>
                <w:bCs w:val="1"/>
                <w:color w:val="auto"/>
              </w:rPr>
              <w:t>Twenty-six weeks ended</w:t>
            </w:r>
          </w:p>
        </w:tc>
        <w:tc>
          <w:tcPr>
            <w:tcW w:w="0" w:type="dxa"/>
            <w:vAlign w:val="bottom"/>
          </w:tcPr>
          <w:p>
            <w:pPr>
              <w:spacing w:after="0"/>
              <w:rPr>
                <w:sz w:val="1"/>
                <w:szCs w:val="1"/>
                <w:color w:val="auto"/>
              </w:rPr>
            </w:pPr>
          </w:p>
        </w:tc>
      </w:tr>
      <w:tr>
        <w:trPr>
          <w:trHeight w:val="205"/>
        </w:trPr>
        <w:tc>
          <w:tcPr>
            <w:tcW w:w="5620" w:type="dxa"/>
            <w:vAlign w:val="bottom"/>
            <w:gridSpan w:val="2"/>
            <w:vMerge w:val="continue"/>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gridSpan w:val="2"/>
          </w:tcPr>
          <w:p>
            <w:pPr>
              <w:jc w:val="center"/>
              <w:ind w:right="300"/>
              <w:spacing w:after="0" w:line="205" w:lineRule="exact"/>
              <w:rPr>
                <w:sz w:val="20"/>
                <w:szCs w:val="20"/>
                <w:color w:val="auto"/>
              </w:rPr>
            </w:pPr>
            <w:r>
              <w:rPr>
                <w:rFonts w:ascii="Arial" w:cs="Arial" w:eastAsia="Arial" w:hAnsi="Arial"/>
                <w:sz w:val="18"/>
                <w:szCs w:val="18"/>
                <w:b w:val="1"/>
                <w:bCs w:val="1"/>
                <w:color w:val="auto"/>
                <w:w w:val="90"/>
              </w:rPr>
              <w:t>August 3,</w:t>
            </w:r>
          </w:p>
        </w:tc>
        <w:tc>
          <w:tcPr>
            <w:tcW w:w="1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center"/>
              <w:ind w:right="130"/>
              <w:spacing w:after="0" w:line="205" w:lineRule="exact"/>
              <w:rPr>
                <w:sz w:val="20"/>
                <w:szCs w:val="20"/>
                <w:color w:val="auto"/>
              </w:rPr>
            </w:pPr>
            <w:r>
              <w:rPr>
                <w:rFonts w:ascii="Arial" w:cs="Arial" w:eastAsia="Arial" w:hAnsi="Arial"/>
                <w:sz w:val="18"/>
                <w:szCs w:val="18"/>
                <w:b w:val="1"/>
                <w:bCs w:val="1"/>
                <w:color w:val="auto"/>
                <w:w w:val="90"/>
              </w:rPr>
              <w:t>July 28,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gridSpan w:val="2"/>
          </w:tcPr>
          <w:p>
            <w:pPr>
              <w:ind w:left="80"/>
              <w:spacing w:after="0" w:line="205" w:lineRule="exact"/>
              <w:rPr>
                <w:sz w:val="20"/>
                <w:szCs w:val="20"/>
                <w:color w:val="auto"/>
              </w:rPr>
            </w:pPr>
            <w:r>
              <w:rPr>
                <w:rFonts w:ascii="Arial" w:cs="Arial" w:eastAsia="Arial" w:hAnsi="Arial"/>
                <w:sz w:val="18"/>
                <w:szCs w:val="18"/>
                <w:b w:val="1"/>
                <w:bCs w:val="1"/>
                <w:color w:val="auto"/>
              </w:rPr>
              <w:t>August 3,</w:t>
            </w:r>
          </w:p>
        </w:tc>
        <w:tc>
          <w:tcPr>
            <w:tcW w:w="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center"/>
              <w:ind w:right="110"/>
              <w:spacing w:after="0" w:line="205" w:lineRule="exact"/>
              <w:rPr>
                <w:sz w:val="20"/>
                <w:szCs w:val="20"/>
                <w:color w:val="auto"/>
              </w:rPr>
            </w:pPr>
            <w:r>
              <w:rPr>
                <w:rFonts w:ascii="Arial" w:cs="Arial" w:eastAsia="Arial" w:hAnsi="Arial"/>
                <w:sz w:val="18"/>
                <w:szCs w:val="18"/>
                <w:b w:val="1"/>
                <w:bCs w:val="1"/>
                <w:color w:val="auto"/>
                <w:w w:val="90"/>
              </w:rPr>
              <w:t>July 28,</w:t>
            </w:r>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5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millions)</w:t>
            </w:r>
          </w:p>
        </w:tc>
        <w:tc>
          <w:tcPr>
            <w:tcW w:w="120" w:type="dxa"/>
            <w:vAlign w:val="bottom"/>
            <w:tcBorders>
              <w:bottom w:val="single" w:sz="8" w:color="CCFFC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2013</w:t>
            </w:r>
          </w:p>
        </w:tc>
        <w:tc>
          <w:tcPr>
            <w:tcW w:w="120" w:type="dxa"/>
            <w:vAlign w:val="bottom"/>
            <w:tcBorders>
              <w:bottom w:val="single" w:sz="8" w:color="CCFFCC"/>
            </w:tcBorders>
          </w:tcPr>
          <w:p>
            <w:pPr>
              <w:spacing w:after="0"/>
              <w:rPr>
                <w:sz w:val="20"/>
                <w:szCs w:val="20"/>
                <w:color w:val="auto"/>
              </w:rPr>
            </w:pPr>
          </w:p>
        </w:tc>
        <w:tc>
          <w:tcPr>
            <w:tcW w:w="120" w:type="dxa"/>
            <w:vAlign w:val="bottom"/>
            <w:tcBorders>
              <w:bottom w:val="single" w:sz="8" w:color="CCFFC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2012</w:t>
            </w:r>
          </w:p>
        </w:tc>
        <w:tc>
          <w:tcPr>
            <w:tcW w:w="100" w:type="dxa"/>
            <w:vAlign w:val="bottom"/>
            <w:tcBorders>
              <w:bottom w:val="single" w:sz="8" w:color="CCFFCC"/>
            </w:tcBorders>
          </w:tcPr>
          <w:p>
            <w:pPr>
              <w:spacing w:after="0"/>
              <w:rPr>
                <w:sz w:val="20"/>
                <w:szCs w:val="20"/>
                <w:color w:val="auto"/>
              </w:rPr>
            </w:pPr>
          </w:p>
        </w:tc>
        <w:tc>
          <w:tcPr>
            <w:tcW w:w="120" w:type="dxa"/>
            <w:vAlign w:val="bottom"/>
            <w:tcBorders>
              <w:bottom w:val="single" w:sz="8" w:color="CCFFC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2013</w:t>
            </w:r>
          </w:p>
        </w:tc>
        <w:tc>
          <w:tcPr>
            <w:tcW w:w="200" w:type="dxa"/>
            <w:vAlign w:val="bottom"/>
            <w:tcBorders>
              <w:bottom w:val="single" w:sz="8" w:color="CCFFCC"/>
            </w:tcBorders>
          </w:tcPr>
          <w:p>
            <w:pPr>
              <w:spacing w:after="0"/>
              <w:rPr>
                <w:sz w:val="20"/>
                <w:szCs w:val="20"/>
                <w:color w:val="auto"/>
              </w:rPr>
            </w:pPr>
          </w:p>
        </w:tc>
        <w:tc>
          <w:tcPr>
            <w:tcW w:w="20" w:type="dxa"/>
            <w:vAlign w:val="bottom"/>
            <w:tcBorders>
              <w:bottom w:val="single" w:sz="8" w:color="CCFFC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2012</w:t>
            </w:r>
          </w:p>
        </w:tc>
        <w:tc>
          <w:tcPr>
            <w:tcW w:w="20" w:type="dxa"/>
            <w:vAlign w:val="bottom"/>
            <w:tcBorders>
              <w:bottom w:val="single" w:sz="8" w:color="CCFFCC"/>
            </w:tcBorders>
          </w:tcPr>
          <w:p>
            <w:pPr>
              <w:spacing w:after="0"/>
              <w:rPr>
                <w:sz w:val="20"/>
                <w:szCs w:val="20"/>
                <w:color w:val="auto"/>
              </w:rPr>
            </w:pPr>
          </w:p>
        </w:tc>
        <w:tc>
          <w:tcPr>
            <w:tcW w:w="80" w:type="dxa"/>
            <w:vAlign w:val="bottom"/>
            <w:tcBorders>
              <w:bottom w:val="single" w:sz="8" w:color="CCFFCC"/>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500" w:type="dxa"/>
            <w:vAlign w:val="bottom"/>
            <w:shd w:val="clear" w:color="auto" w:fill="CCFFCC"/>
          </w:tcPr>
          <w:p>
            <w:pPr>
              <w:spacing w:after="0" w:line="251" w:lineRule="exact"/>
              <w:rPr>
                <w:sz w:val="20"/>
                <w:szCs w:val="20"/>
                <w:color w:val="auto"/>
              </w:rPr>
            </w:pPr>
            <w:r>
              <w:rPr>
                <w:rFonts w:ascii="Arial" w:cs="Arial" w:eastAsia="Arial" w:hAnsi="Arial"/>
                <w:sz w:val="18"/>
                <w:szCs w:val="18"/>
                <w:color w:val="auto"/>
              </w:rPr>
              <w:t xml:space="preserve">Athletic Stores </w:t>
            </w:r>
            <w:r>
              <w:rPr>
                <w:rFonts w:ascii="Arial" w:cs="Arial" w:eastAsia="Arial" w:hAnsi="Arial"/>
                <w:sz w:val="29"/>
                <w:szCs w:val="29"/>
                <w:color w:val="auto"/>
                <w:vertAlign w:val="superscript"/>
              </w:rPr>
              <w:t>(1)</w:t>
            </w:r>
          </w:p>
        </w:tc>
        <w:tc>
          <w:tcPr>
            <w:tcW w:w="120" w:type="dxa"/>
            <w:vAlign w:val="bottom"/>
            <w:shd w:val="clear" w:color="auto" w:fill="CCFFCC"/>
          </w:tcPr>
          <w:p>
            <w:pPr>
              <w:spacing w:after="0"/>
              <w:rPr>
                <w:sz w:val="21"/>
                <w:szCs w:val="21"/>
                <w:color w:val="auto"/>
              </w:rPr>
            </w:pPr>
          </w:p>
        </w:tc>
        <w:tc>
          <w:tcPr>
            <w:tcW w:w="180" w:type="dxa"/>
            <w:vAlign w:val="bottom"/>
            <w:shd w:val="clear" w:color="auto" w:fill="CCFFCC"/>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116</w:t>
            </w:r>
          </w:p>
        </w:tc>
        <w:tc>
          <w:tcPr>
            <w:tcW w:w="340" w:type="dxa"/>
            <w:vAlign w:val="bottom"/>
            <w:gridSpan w:val="2"/>
            <w:shd w:val="clear" w:color="auto" w:fill="CCFFCC"/>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107</w:t>
            </w:r>
          </w:p>
        </w:tc>
        <w:tc>
          <w:tcPr>
            <w:tcW w:w="280" w:type="dxa"/>
            <w:vAlign w:val="bottom"/>
            <w:gridSpan w:val="2"/>
            <w:shd w:val="clear" w:color="auto" w:fill="CCFFCC"/>
          </w:tcPr>
          <w:p>
            <w:pPr>
              <w:jc w:val="right"/>
              <w:ind w:right="5"/>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327</w:t>
            </w:r>
          </w:p>
        </w:tc>
        <w:tc>
          <w:tcPr>
            <w:tcW w:w="220" w:type="dxa"/>
            <w:vAlign w:val="bottom"/>
            <w:gridSpan w:val="2"/>
            <w:shd w:val="clear" w:color="auto" w:fill="CCFFCC"/>
          </w:tcPr>
          <w:p>
            <w:pPr>
              <w:jc w:val="right"/>
              <w:ind w:right="45"/>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314</w:t>
            </w:r>
          </w:p>
        </w:tc>
        <w:tc>
          <w:tcPr>
            <w:tcW w:w="8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620" w:type="dxa"/>
            <w:vAlign w:val="bottom"/>
            <w:gridSpan w:val="2"/>
          </w:tcPr>
          <w:p>
            <w:pPr>
              <w:spacing w:after="0"/>
              <w:rPr>
                <w:sz w:val="20"/>
                <w:szCs w:val="20"/>
                <w:color w:val="auto"/>
              </w:rPr>
            </w:pPr>
            <w:r>
              <w:rPr>
                <w:rFonts w:ascii="Arial" w:cs="Arial" w:eastAsia="Arial" w:hAnsi="Arial"/>
                <w:sz w:val="18"/>
                <w:szCs w:val="18"/>
                <w:color w:val="auto"/>
              </w:rPr>
              <w:t>Direct-to-Customers</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620" w:type="dxa"/>
            <w:vAlign w:val="bottom"/>
            <w:tcBorders>
              <w:top w:val="single" w:sz="8" w:color="CCFFCC"/>
            </w:tcBorders>
            <w:gridSpan w:val="2"/>
            <w:shd w:val="clear" w:color="auto" w:fill="CCFFCC"/>
          </w:tcPr>
          <w:p>
            <w:pPr>
              <w:spacing w:after="0"/>
              <w:rPr>
                <w:sz w:val="20"/>
                <w:szCs w:val="20"/>
                <w:color w:val="auto"/>
              </w:rPr>
            </w:pPr>
            <w:r>
              <w:rPr>
                <w:rFonts w:ascii="Arial" w:cs="Arial" w:eastAsia="Arial" w:hAnsi="Arial"/>
                <w:sz w:val="18"/>
                <w:szCs w:val="18"/>
                <w:color w:val="auto"/>
              </w:rPr>
              <w:t>Division profit</w:t>
            </w:r>
          </w:p>
        </w:tc>
        <w:tc>
          <w:tcPr>
            <w:tcW w:w="180" w:type="dxa"/>
            <w:vAlign w:val="bottom"/>
            <w:tcBorders>
              <w:top w:val="single" w:sz="8" w:color="auto"/>
            </w:tcBorders>
            <w:shd w:val="clear" w:color="auto" w:fill="CCFFCC"/>
          </w:tcPr>
          <w:p>
            <w:pPr>
              <w:spacing w:after="0"/>
              <w:rPr>
                <w:sz w:val="18"/>
                <w:szCs w:val="18"/>
                <w:color w:val="auto"/>
              </w:rPr>
            </w:pPr>
          </w:p>
        </w:tc>
        <w:tc>
          <w:tcPr>
            <w:tcW w:w="10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126</w:t>
            </w:r>
          </w:p>
        </w:tc>
        <w:tc>
          <w:tcPr>
            <w:tcW w:w="12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220" w:type="dxa"/>
            <w:vAlign w:val="bottom"/>
            <w:tcBorders>
              <w:top w:val="single" w:sz="8" w:color="auto"/>
            </w:tcBorders>
            <w:shd w:val="clear" w:color="auto" w:fill="CCFFCC"/>
          </w:tcPr>
          <w:p>
            <w:pPr>
              <w:spacing w:after="0"/>
              <w:rPr>
                <w:sz w:val="18"/>
                <w:szCs w:val="18"/>
                <w:color w:val="auto"/>
              </w:rPr>
            </w:pPr>
          </w:p>
        </w:tc>
        <w:tc>
          <w:tcPr>
            <w:tcW w:w="10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auto"/>
            </w:tcBorders>
            <w:shd w:val="clear" w:color="auto" w:fill="CCFFCC"/>
          </w:tcPr>
          <w:p>
            <w:pPr>
              <w:spacing w:after="0"/>
              <w:rPr>
                <w:sz w:val="18"/>
                <w:szCs w:val="18"/>
                <w:color w:val="auto"/>
              </w:rPr>
            </w:pPr>
          </w:p>
        </w:tc>
        <w:tc>
          <w:tcPr>
            <w:tcW w:w="10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360</w:t>
            </w:r>
          </w:p>
        </w:tc>
        <w:tc>
          <w:tcPr>
            <w:tcW w:w="200" w:type="dxa"/>
            <w:vAlign w:val="bottom"/>
            <w:tcBorders>
              <w:top w:val="single" w:sz="8" w:color="CCFFCC"/>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200" w:type="dxa"/>
            <w:vAlign w:val="bottom"/>
            <w:tcBorders>
              <w:top w:val="single" w:sz="8" w:color="auto"/>
            </w:tcBorders>
            <w:shd w:val="clear" w:color="auto" w:fill="CCFFCC"/>
          </w:tcPr>
          <w:p>
            <w:pPr>
              <w:spacing w:after="0"/>
              <w:rPr>
                <w:sz w:val="18"/>
                <w:szCs w:val="18"/>
                <w:color w:val="auto"/>
              </w:rPr>
            </w:pPr>
          </w:p>
        </w:tc>
        <w:tc>
          <w:tcPr>
            <w:tcW w:w="10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343</w:t>
            </w:r>
          </w:p>
        </w:tc>
        <w:tc>
          <w:tcPr>
            <w:tcW w:w="2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20" w:type="dxa"/>
            <w:vAlign w:val="bottom"/>
            <w:gridSpan w:val="2"/>
          </w:tcPr>
          <w:p>
            <w:pPr>
              <w:spacing w:after="0"/>
              <w:rPr>
                <w:sz w:val="20"/>
                <w:szCs w:val="20"/>
                <w:color w:val="auto"/>
              </w:rPr>
            </w:pPr>
            <w:r>
              <w:rPr>
                <w:rFonts w:ascii="Arial" w:cs="Arial" w:eastAsia="Arial" w:hAnsi="Arial"/>
                <w:sz w:val="18"/>
                <w:szCs w:val="18"/>
                <w:color w:val="auto"/>
              </w:rPr>
              <w:t>Less: Corporate expense, net</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48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620" w:type="dxa"/>
            <w:vAlign w:val="bottom"/>
            <w:tcBorders>
              <w:top w:val="single" w:sz="8" w:color="CCFFCC"/>
            </w:tcBorders>
            <w:gridSpan w:val="2"/>
            <w:shd w:val="clear" w:color="auto" w:fill="CCFFCC"/>
          </w:tcPr>
          <w:p>
            <w:pPr>
              <w:spacing w:after="0"/>
              <w:rPr>
                <w:sz w:val="20"/>
                <w:szCs w:val="20"/>
                <w:color w:val="auto"/>
              </w:rPr>
            </w:pPr>
            <w:r>
              <w:rPr>
                <w:rFonts w:ascii="Arial" w:cs="Arial" w:eastAsia="Arial" w:hAnsi="Arial"/>
                <w:sz w:val="18"/>
                <w:szCs w:val="18"/>
                <w:color w:val="auto"/>
              </w:rPr>
              <w:t>Operating profit</w:t>
            </w:r>
          </w:p>
        </w:tc>
        <w:tc>
          <w:tcPr>
            <w:tcW w:w="180" w:type="dxa"/>
            <w:vAlign w:val="bottom"/>
            <w:tcBorders>
              <w:top w:val="single" w:sz="8" w:color="auto"/>
            </w:tcBorders>
            <w:shd w:val="clear" w:color="auto" w:fill="CCFFCC"/>
          </w:tcPr>
          <w:p>
            <w:pPr>
              <w:spacing w:after="0"/>
              <w:rPr>
                <w:sz w:val="18"/>
                <w:szCs w:val="18"/>
                <w:color w:val="auto"/>
              </w:rPr>
            </w:pPr>
          </w:p>
        </w:tc>
        <w:tc>
          <w:tcPr>
            <w:tcW w:w="10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106</w:t>
            </w:r>
          </w:p>
        </w:tc>
        <w:tc>
          <w:tcPr>
            <w:tcW w:w="12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220" w:type="dxa"/>
            <w:vAlign w:val="bottom"/>
            <w:tcBorders>
              <w:top w:val="single" w:sz="8" w:color="auto"/>
            </w:tcBorders>
            <w:shd w:val="clear" w:color="auto" w:fill="CCFFCC"/>
          </w:tcPr>
          <w:p>
            <w:pPr>
              <w:spacing w:after="0"/>
              <w:rPr>
                <w:sz w:val="18"/>
                <w:szCs w:val="18"/>
                <w:color w:val="auto"/>
              </w:rPr>
            </w:pPr>
          </w:p>
        </w:tc>
        <w:tc>
          <w:tcPr>
            <w:tcW w:w="10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93</w:t>
            </w:r>
          </w:p>
        </w:tc>
        <w:tc>
          <w:tcPr>
            <w:tcW w:w="10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auto"/>
            </w:tcBorders>
            <w:shd w:val="clear" w:color="auto" w:fill="CCFFCC"/>
          </w:tcPr>
          <w:p>
            <w:pPr>
              <w:spacing w:after="0"/>
              <w:rPr>
                <w:sz w:val="18"/>
                <w:szCs w:val="18"/>
                <w:color w:val="auto"/>
              </w:rPr>
            </w:pPr>
          </w:p>
        </w:tc>
        <w:tc>
          <w:tcPr>
            <w:tcW w:w="10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321</w:t>
            </w:r>
          </w:p>
        </w:tc>
        <w:tc>
          <w:tcPr>
            <w:tcW w:w="200" w:type="dxa"/>
            <w:vAlign w:val="bottom"/>
            <w:tcBorders>
              <w:top w:val="single" w:sz="8" w:color="CCFFCC"/>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200" w:type="dxa"/>
            <w:vAlign w:val="bottom"/>
            <w:tcBorders>
              <w:top w:val="single" w:sz="8" w:color="auto"/>
            </w:tcBorders>
            <w:shd w:val="clear" w:color="auto" w:fill="CCFFCC"/>
          </w:tcPr>
          <w:p>
            <w:pPr>
              <w:spacing w:after="0"/>
              <w:rPr>
                <w:sz w:val="18"/>
                <w:szCs w:val="18"/>
                <w:color w:val="auto"/>
              </w:rPr>
            </w:pPr>
          </w:p>
        </w:tc>
        <w:tc>
          <w:tcPr>
            <w:tcW w:w="10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295</w:t>
            </w:r>
          </w:p>
        </w:tc>
        <w:tc>
          <w:tcPr>
            <w:tcW w:w="2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562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Other income </w:t>
            </w:r>
            <w:r>
              <w:rPr>
                <w:rFonts w:ascii="Arial" w:cs="Arial" w:eastAsia="Arial" w:hAnsi="Arial"/>
                <w:sz w:val="29"/>
                <w:szCs w:val="29"/>
                <w:color w:val="auto"/>
                <w:vertAlign w:val="superscript"/>
              </w:rPr>
              <w:t>(2)</w:t>
            </w:r>
          </w:p>
        </w:tc>
        <w:tc>
          <w:tcPr>
            <w:tcW w:w="180" w:type="dxa"/>
            <w:vAlign w:val="bottom"/>
          </w:tcPr>
          <w:p>
            <w:pPr>
              <w:spacing w:after="0"/>
              <w:rPr>
                <w:sz w:val="22"/>
                <w:szCs w:val="22"/>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6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Interest expense, net</w:t>
            </w:r>
          </w:p>
        </w:tc>
        <w:tc>
          <w:tcPr>
            <w:tcW w:w="180" w:type="dxa"/>
            <w:vAlign w:val="bottom"/>
            <w:shd w:val="clear" w:color="auto" w:fill="CCFFCC"/>
          </w:tcPr>
          <w:p>
            <w:pPr>
              <w:spacing w:after="0"/>
              <w:rPr>
                <w:sz w:val="19"/>
                <w:szCs w:val="19"/>
                <w:color w:val="auto"/>
              </w:rPr>
            </w:pPr>
          </w:p>
        </w:tc>
        <w:tc>
          <w:tcPr>
            <w:tcW w:w="12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FFCC"/>
          </w:tcPr>
          <w:p>
            <w:pPr>
              <w:spacing w:after="0"/>
              <w:rPr>
                <w:sz w:val="19"/>
                <w:szCs w:val="19"/>
                <w:color w:val="auto"/>
              </w:rPr>
            </w:pPr>
          </w:p>
        </w:tc>
        <w:tc>
          <w:tcPr>
            <w:tcW w:w="220" w:type="dxa"/>
            <w:vAlign w:val="bottom"/>
            <w:shd w:val="clear" w:color="auto" w:fill="CCFFCC"/>
          </w:tcPr>
          <w:p>
            <w:pPr>
              <w:spacing w:after="0"/>
              <w:rPr>
                <w:sz w:val="19"/>
                <w:szCs w:val="19"/>
                <w:color w:val="auto"/>
              </w:rPr>
            </w:pP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12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w:t>
            </w:r>
          </w:p>
        </w:tc>
        <w:tc>
          <w:tcPr>
            <w:tcW w:w="20" w:type="dxa"/>
            <w:vAlign w:val="bottom"/>
            <w:shd w:val="clear" w:color="auto" w:fill="CCFFCC"/>
          </w:tcPr>
          <w:p>
            <w:pPr>
              <w:spacing w:after="0"/>
              <w:rPr>
                <w:sz w:val="19"/>
                <w:szCs w:val="19"/>
                <w:color w:val="auto"/>
              </w:rPr>
            </w:pPr>
          </w:p>
        </w:tc>
        <w:tc>
          <w:tcPr>
            <w:tcW w:w="200" w:type="dxa"/>
            <w:vAlign w:val="bottom"/>
            <w:shd w:val="clear" w:color="auto" w:fill="CCFFCC"/>
          </w:tcPr>
          <w:p>
            <w:pPr>
              <w:spacing w:after="0"/>
              <w:rPr>
                <w:sz w:val="19"/>
                <w:szCs w:val="19"/>
                <w:color w:val="auto"/>
              </w:rPr>
            </w:pPr>
          </w:p>
        </w:tc>
        <w:tc>
          <w:tcPr>
            <w:tcW w:w="10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2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322</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hanging="332"/>
        <w:spacing w:after="0" w:line="194" w:lineRule="auto"/>
        <w:tabs>
          <w:tab w:leader="none" w:pos="340" w:val="left"/>
        </w:tabs>
        <w:numPr>
          <w:ilvl w:val="0"/>
          <w:numId w:val="24"/>
        </w:numPr>
        <w:rPr>
          <w:rFonts w:ascii="Arial" w:cs="Arial" w:eastAsia="Arial" w:hAnsi="Arial"/>
          <w:sz w:val="30"/>
          <w:szCs w:val="30"/>
          <w:color w:val="auto"/>
          <w:vertAlign w:val="superscript"/>
        </w:rPr>
      </w:pPr>
      <w:r>
        <w:rPr>
          <w:rFonts w:ascii="Arial" w:cs="Arial" w:eastAsia="Arial" w:hAnsi="Arial"/>
          <w:sz w:val="18"/>
          <w:szCs w:val="18"/>
          <w:color w:val="auto"/>
        </w:rPr>
        <w:t>Included in the Athletic Stores segment for both the thirteen and twenty-six weeks ended August 3, 2013 is a $2 million charge recorded in connection with the closure of all CCS stores.</w:t>
      </w:r>
    </w:p>
    <w:p>
      <w:pPr>
        <w:spacing w:after="0" w:line="202" w:lineRule="exact"/>
        <w:rPr>
          <w:rFonts w:ascii="Arial" w:cs="Arial" w:eastAsia="Arial" w:hAnsi="Arial"/>
          <w:sz w:val="30"/>
          <w:szCs w:val="30"/>
          <w:color w:val="auto"/>
          <w:vertAlign w:val="superscript"/>
        </w:rPr>
      </w:pPr>
    </w:p>
    <w:p>
      <w:pPr>
        <w:ind w:left="340" w:hanging="332"/>
        <w:spacing w:after="0" w:line="194" w:lineRule="auto"/>
        <w:tabs>
          <w:tab w:leader="none" w:pos="340" w:val="left"/>
        </w:tabs>
        <w:numPr>
          <w:ilvl w:val="0"/>
          <w:numId w:val="24"/>
        </w:numPr>
        <w:rPr>
          <w:rFonts w:ascii="Arial" w:cs="Arial" w:eastAsia="Arial" w:hAnsi="Arial"/>
          <w:sz w:val="30"/>
          <w:szCs w:val="30"/>
          <w:color w:val="auto"/>
          <w:vertAlign w:val="superscript"/>
        </w:rPr>
      </w:pPr>
      <w:r>
        <w:rPr>
          <w:rFonts w:ascii="Arial" w:cs="Arial" w:eastAsia="Arial" w:hAnsi="Arial"/>
          <w:sz w:val="18"/>
          <w:szCs w:val="18"/>
          <w:color w:val="auto"/>
        </w:rPr>
        <w:t>Other income includes non-operating items, such as lease termination gains, royalty income, and the changes in fair value, premiums paid and realized gains associated with foreign currency option contracts.</w:t>
      </w:r>
    </w:p>
    <w:p>
      <w:pPr>
        <w:spacing w:after="0" w:line="202"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Sales increased by $87 million, or 6.4 percent, to $1,454 million for the thirteen weeks ended August 3, 2013 from $1,367 million for the thirteen weeks ended July 28, 2012. For the twenty-six weeks ended August 3, 2013, sales of $3,092 million increased 5.0 percent from sales of $2,945 million for the</w:t>
      </w:r>
    </w:p>
    <w:p>
      <w:pPr>
        <w:jc w:val="both"/>
        <w:spacing w:after="0" w:line="205" w:lineRule="auto"/>
        <w:rPr>
          <w:sz w:val="20"/>
          <w:szCs w:val="20"/>
          <w:color w:val="auto"/>
        </w:rPr>
      </w:pPr>
      <w:r>
        <w:rPr>
          <w:rFonts w:ascii="Arial" w:cs="Arial" w:eastAsia="Arial" w:hAnsi="Arial"/>
          <w:sz w:val="18"/>
          <w:szCs w:val="18"/>
          <w:color w:val="auto"/>
        </w:rPr>
        <w:t>twenty-six week period ended July 28, 2012. The total increase reflects the shift caused by the 53</w:t>
      </w:r>
      <w:r>
        <w:rPr>
          <w:rFonts w:ascii="Arial" w:cs="Arial" w:eastAsia="Arial" w:hAnsi="Arial"/>
          <w:sz w:val="30"/>
          <w:szCs w:val="30"/>
          <w:color w:val="auto"/>
          <w:vertAlign w:val="superscript"/>
        </w:rPr>
        <w:t>rd</w:t>
      </w:r>
      <w:r>
        <w:rPr>
          <w:rFonts w:ascii="Arial" w:cs="Arial" w:eastAsia="Arial" w:hAnsi="Arial"/>
          <w:sz w:val="18"/>
          <w:szCs w:val="18"/>
          <w:color w:val="auto"/>
        </w:rPr>
        <w:t xml:space="preserve"> week in 2012 as well as the addition of the Runners Point Group since the date of acquisition.</w:t>
      </w:r>
    </w:p>
    <w:p>
      <w:pPr>
        <w:spacing w:after="0" w:line="20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Excluding the effect of foreign currency fluctuations, total sales for the thirteen week and twenty-six week periods increased 5.9 percent and 4.9 percent, respectively, as compared with the corresponding prior-year periods. Comparable-store sales increased by 1.8 percent and 3.5 percent for the thirteen weeks and twenty-six weeks ended August 3, 2013, respectively.</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0" w:name="page21"/>
    <w:bookmarkEnd w:id="20"/>
    <w:p>
      <w:pPr>
        <w:jc w:val="both"/>
        <w:spacing w:after="0" w:line="236" w:lineRule="auto"/>
        <w:rPr>
          <w:sz w:val="20"/>
          <w:szCs w:val="20"/>
          <w:color w:val="auto"/>
        </w:rPr>
      </w:pPr>
      <w:r>
        <w:rPr>
          <w:rFonts w:ascii="Arial" w:cs="Arial" w:eastAsia="Arial" w:hAnsi="Arial"/>
          <w:sz w:val="22"/>
          <w:szCs w:val="22"/>
          <w:color w:val="auto"/>
        </w:rPr>
        <w:t>Gross margin, as a percentage of sales, decreased to 31.2 percent for the thirteen weeks ended August 3, 2013, as compared with 31.3 percent in the corresponding prior-year period. As a percentage of sales, the cost of merchandise for the thirteen weeks ended August 3, 2013 increased by 20 basis points as compared with the prior year period, primarily reflecting a decrease in the initial markup rate. This increase was partially offset by an improvement of 10 basis points from leveraging of occupancy and buying costs.</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color w:val="auto"/>
        </w:rPr>
        <w:t>Gross margin, as a percentage of sales, remained unchanged at 32.8 percent for the twenty-six weeks ended August 3, 2013 and July 28, 2012.</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Segment Analysis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Athletic Stores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Athletic Stores sales increased by 5.2 percent to $1,313 million and 3.7 percent to $2,784 million for the thirteen and twenty-six weeks ended August 3, 2013, respectively, as compared with the corresponding prior-year periods. Excluding the effect of foreign currency fluctuations, sales from athletic stores increased 4.7 percent and 3.6 percent for the thirteen and twenty-six weeks ended August 3, 2013, respectively, as compared with the corresponding prior-year periods. Comparable-store sales increased by 0.5 percent and 2.2 percent for the thirteen and twenty-six weeks ended August 3, 2013, respectively. Sales in the U.S., Australia, New Zealand, and Europe increased, while sales in Canada were essentially flat. Sales in the U.S. for the thirteen weeks and twenty-six weeks ended August 3, 2013, were primarily driven by Kids Foot Locker, which posted strong comparable-store gains. The children’s footwear category was a key driver across multiple banners, as basketball styles performed very well.</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Foot Locker Europe also posted a strong comparable-store gain for the thirteen weeks ended August 3, 2013 and a low single-digit comparable-store increase for the twenty-six weeks ended August 3, 2013. These increases were primarily related to sales of men’s basketball and running styles. In addition, Foot Locker Europe’s results include $20 million in sales for the athletic stores related to Runners Point Group, representing the one month of activity since the acquisition.</w:t>
      </w:r>
    </w:p>
    <w:p>
      <w:pPr>
        <w:spacing w:after="0" w:line="18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Lady Foot Locker continued to experience sales declines, as management continues to close underperforming stores and redefine the product offerings. Test locations, including SIX:02, continue to be evaluated and various initiatives are being implemented in an effort to improve future performance.</w:t>
      </w:r>
    </w:p>
    <w:p>
      <w:pPr>
        <w:spacing w:after="0" w:line="1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Athletic Stores division profit for the thirteen weeks ended August 3, 2013 increased to $116 million, or 8.8 percent, as a percentage of sales, as compared with division profit of $107 million, or 8.6 percent, as a percentage of sales, for the thirteen weeks ended July 28, 2012. For the twenty-six weeks ended August 3, 2013 division profit increased to $327 million, or 11.7 percent, as a percentage of sales, as compared with division profit of $314 million, or 11.7 percent, as a percentage of sales, for the corresponding prior-year period. These increases were mainly attributable to higher sales combined with continued expense control, specifically wages and marketing expenses.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Direct-to-Customers</w:t>
      </w:r>
    </w:p>
    <w:p>
      <w:pPr>
        <w:spacing w:after="0" w:line="225"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Direct-to-Customers sales increased by 18.5 percent for both the thirteen and twenty-six weeks ended August 3, 2013 as compared with the corresponding prior-year periods. On a comparable week basis, due to the shift caused by the 53</w:t>
      </w:r>
      <w:r>
        <w:rPr>
          <w:rFonts w:ascii="Arial" w:cs="Arial" w:eastAsia="Arial" w:hAnsi="Arial"/>
          <w:sz w:val="28"/>
          <w:szCs w:val="28"/>
          <w:color w:val="auto"/>
          <w:vertAlign w:val="superscript"/>
        </w:rPr>
        <w:t>rd</w:t>
      </w:r>
      <w:r>
        <w:rPr>
          <w:rFonts w:ascii="Arial" w:cs="Arial" w:eastAsia="Arial" w:hAnsi="Arial"/>
          <w:sz w:val="17"/>
          <w:szCs w:val="17"/>
          <w:color w:val="auto"/>
        </w:rPr>
        <w:t xml:space="preserve"> week in 2012, sales increased 18.1 percent. These increases were primarily the result of the continued strong sales performance of Company’s store-banner websites and Eastbay.</w:t>
      </w:r>
    </w:p>
    <w:p>
      <w:pPr>
        <w:spacing w:after="0" w:line="20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Direct-to-Customers division profit decreased 9.1 percent to $10 million, and increased 13.8 percent to $33 million, for the thirteen and twenty-six weeks ended August 3, 2013, respectively, as compared with the corresponding prior-year periods. Division profit, as a percentage of sales, decreased to 7.1 percent and 10.7 percent for the thirteen and twenty-six weeks ended August 3, 2013, respectively, as compared with 9.2 percent and 11.2 percent, respectively, in the corresponding prior-year periods. The decrease in division profit for the thirteen weeks ended August 3, 2013 is primarily driven by increased advertising and publicity expense, as Eastbay launched a new marketing campaign late in the second quarter of 2013 to increase the exposure of the brand. The continued strong sales performance drove the profit increase for the twenty-six weeks ended August 3, 2013 and more than offset the additional advertising and publicity expense of the second quarter.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4"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auto"/>
        </w:rPr>
        <w:t>Corporate Expense</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Corporate expense consists of unallocated selling, general and administrative expenses (“SG&amp;A”), as well as depreciation and amortization related to the Company’s corporate headquarters, centrally managed departments, unallocated insurance and benefit programs, certain foreign exchange transaction gains and losses, and other items. Corporate expense for the thirteen weeks ended August 3, 2013 decreased by $5 million to $20 million from the corresponding prior-year period. Corporate expense for the twenty-six weeks ended August 3, 2013 decreased by $9 million to $39 million from the corresponding prior-year period. The decline is primarily a result of a reallocation of expense between corporate and the operating divisions. Based upon an internal study of corporate expense, the allocation of such expenses to the operating divisions was increased thereby reducing corporate expense. This decrease was partially offset by $3 million and $4 million for the thirteen and twenty-six weeks ended August 3, 2013, respectively, of costs incurred related to the Company’s acquisition and integration of Runners Point Group.</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Selling, General and Administrative</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SG&amp;A of $314 million increased by $8 million, or 2.6 percent, for the thirteen weeks ended August 3, 2013 as compared with the corresponding prior-year period. SG&amp;A, as a percentage of sales, decreased to 21.6 percent for the thirteen weeks ended August 3, 2013, as compared with 22.4 percent in the corresponding prior-year period. For the twenty-six weeks ended August 3, 2013, SG&amp;A increased by $17 million, or 2.8 percent, as compared with the corresponding prior-year period. SG&amp;A, as a percentage of sales, decreased to 20.3 percent for the twenty-six weeks ended August 3, 2013, as compared with 20.8 percent in the corresponding prior-year period. The improvement as a percentage of sales was driven by effective expense management, specifically store wages and marketing. Excluding the effect of foreign currency fluctuations, SG&amp;A increased by $6 million and $16 million for the thirteen and twenty-six weeks ended August 3, 2013, respectively, as compared with the corresponding prior-year periods. Included in SG&amp;A for the thirteen and twenty-six weeks ended August 3, 2013, is $3 million and $4 million, respectively, of costs related to the Company’s acquisition and integration of Runners Point Group as noted above in the discussion of corporate expense. Additionally, SG&amp;A increased partially due to the inclusion of Runners Point Group.</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Depreciation and Amortization</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Depreciation and amortization increased by $2 million for the thirteen weeks ended August 3, 2013 to $31 million, as compared with the corresponding prior-year period of $29 million. For the twenty-six weeks ended August 3, 2013, depreciation and amortization increased by $4 million to $62 million as compared with $58 million for the twenty-six weeks ended July 28, 2012. This increase reflects increased capital spending on store improvements and technology. The effects of foreign currency fluctuations and the acquisition of Runners Point Group were not significant.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Charges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Other charges consist of $2 million of lease exit costs relating to the closure of all 22 CCS stores during the second quarter of 2013. Of these stores, 8 have been converted to other store formats as of August 3, 2013 and 6 will be converted to other store formats by the end of the year. The CCS store closures are not presented as part of discontinued operations as the operations and cash flows related to the majority of the closed stores are expected to continue through other store formats and the Company’s websites.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07"/>
        </w:trPr>
        <w:tc>
          <w:tcPr>
            <w:tcW w:w="5620" w:type="dxa"/>
            <w:vAlign w:val="bottom"/>
            <w:gridSpan w:val="3"/>
          </w:tcPr>
          <w:p>
            <w:pPr>
              <w:spacing w:after="0"/>
              <w:rPr>
                <w:sz w:val="20"/>
                <w:szCs w:val="20"/>
                <w:color w:val="auto"/>
              </w:rPr>
            </w:pPr>
            <w:r>
              <w:rPr>
                <w:rFonts w:ascii="Arial" w:cs="Arial" w:eastAsia="Arial" w:hAnsi="Arial"/>
                <w:sz w:val="18"/>
                <w:szCs w:val="18"/>
                <w:color w:val="auto"/>
              </w:rPr>
              <w:t>Interest Expense</w:t>
            </w: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66"/>
        </w:trPr>
        <w:tc>
          <w:tcPr>
            <w:tcW w:w="1200" w:type="dxa"/>
            <w:vAlign w:val="bottom"/>
            <w:tcBorders>
              <w:top w:val="single" w:sz="8" w:color="auto"/>
            </w:tcBorders>
          </w:tcPr>
          <w:p>
            <w:pPr>
              <w:spacing w:after="0"/>
              <w:rPr>
                <w:sz w:val="24"/>
                <w:szCs w:val="24"/>
                <w:color w:val="auto"/>
              </w:rPr>
            </w:pPr>
          </w:p>
        </w:tc>
        <w:tc>
          <w:tcPr>
            <w:tcW w:w="4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40" w:type="dxa"/>
            <w:vAlign w:val="bottom"/>
            <w:tcBorders>
              <w:bottom w:val="single" w:sz="8" w:color="auto"/>
            </w:tcBorders>
            <w:gridSpan w:val="5"/>
          </w:tcPr>
          <w:p>
            <w:pPr>
              <w:jc w:val="right"/>
              <w:ind w:right="230"/>
              <w:spacing w:after="0"/>
              <w:rPr>
                <w:sz w:val="20"/>
                <w:szCs w:val="20"/>
                <w:color w:val="auto"/>
              </w:rPr>
            </w:pPr>
            <w:r>
              <w:rPr>
                <w:rFonts w:ascii="Arial" w:cs="Arial" w:eastAsia="Arial" w:hAnsi="Arial"/>
                <w:sz w:val="18"/>
                <w:szCs w:val="18"/>
                <w:b w:val="1"/>
                <w:bCs w:val="1"/>
                <w:color w:val="auto"/>
              </w:rPr>
              <w:t>Thirteen weeks ended</w:t>
            </w:r>
          </w:p>
        </w:tc>
        <w:tc>
          <w:tcPr>
            <w:tcW w:w="24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60" w:type="dxa"/>
            <w:vAlign w:val="bottom"/>
            <w:tcBorders>
              <w:bottom w:val="single" w:sz="8" w:color="auto"/>
            </w:tcBorders>
            <w:gridSpan w:val="5"/>
          </w:tcPr>
          <w:p>
            <w:pPr>
              <w:jc w:val="right"/>
              <w:ind w:right="110"/>
              <w:spacing w:after="0"/>
              <w:rPr>
                <w:sz w:val="20"/>
                <w:szCs w:val="20"/>
                <w:color w:val="auto"/>
              </w:rPr>
            </w:pPr>
            <w:r>
              <w:rPr>
                <w:rFonts w:ascii="Arial" w:cs="Arial" w:eastAsia="Arial" w:hAnsi="Arial"/>
                <w:sz w:val="18"/>
                <w:szCs w:val="18"/>
                <w:b w:val="1"/>
                <w:bCs w:val="1"/>
                <w:color w:val="auto"/>
              </w:rPr>
              <w:t>Twenty-six weeks ended</w:t>
            </w:r>
          </w:p>
        </w:tc>
        <w:tc>
          <w:tcPr>
            <w:tcW w:w="2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5"/>
        </w:trPr>
        <w:tc>
          <w:tcPr>
            <w:tcW w:w="1200" w:type="dxa"/>
            <w:vAlign w:val="bottom"/>
          </w:tcPr>
          <w:p>
            <w:pPr>
              <w:spacing w:after="0"/>
              <w:rPr>
                <w:sz w:val="17"/>
                <w:szCs w:val="17"/>
                <w:color w:val="auto"/>
              </w:rPr>
            </w:pPr>
          </w:p>
        </w:tc>
        <w:tc>
          <w:tcPr>
            <w:tcW w:w="4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line="205" w:lineRule="exact"/>
              <w:rPr>
                <w:sz w:val="20"/>
                <w:szCs w:val="20"/>
                <w:color w:val="auto"/>
              </w:rPr>
            </w:pPr>
            <w:r>
              <w:rPr>
                <w:rFonts w:ascii="Arial" w:cs="Arial" w:eastAsia="Arial" w:hAnsi="Arial"/>
                <w:sz w:val="18"/>
                <w:szCs w:val="18"/>
                <w:b w:val="1"/>
                <w:bCs w:val="1"/>
                <w:color w:val="auto"/>
              </w:rPr>
              <w:t>August 3,</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ind w:right="10"/>
              <w:spacing w:after="0" w:line="205" w:lineRule="exact"/>
              <w:rPr>
                <w:sz w:val="20"/>
                <w:szCs w:val="20"/>
                <w:color w:val="auto"/>
              </w:rPr>
            </w:pPr>
            <w:r>
              <w:rPr>
                <w:rFonts w:ascii="Arial" w:cs="Arial" w:eastAsia="Arial" w:hAnsi="Arial"/>
                <w:sz w:val="18"/>
                <w:szCs w:val="18"/>
                <w:b w:val="1"/>
                <w:bCs w:val="1"/>
                <w:color w:val="auto"/>
              </w:rPr>
              <w:t>July 28,</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spacing w:after="0" w:line="205" w:lineRule="exact"/>
              <w:rPr>
                <w:sz w:val="20"/>
                <w:szCs w:val="20"/>
                <w:color w:val="auto"/>
              </w:rPr>
            </w:pPr>
            <w:r>
              <w:rPr>
                <w:rFonts w:ascii="Arial" w:cs="Arial" w:eastAsia="Arial" w:hAnsi="Arial"/>
                <w:sz w:val="18"/>
                <w:szCs w:val="18"/>
                <w:b w:val="1"/>
                <w:bCs w:val="1"/>
                <w:color w:val="auto"/>
              </w:rPr>
              <w:t>August 3,</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jc w:val="right"/>
              <w:spacing w:after="0" w:line="205" w:lineRule="exact"/>
              <w:rPr>
                <w:sz w:val="20"/>
                <w:szCs w:val="20"/>
                <w:color w:val="auto"/>
              </w:rPr>
            </w:pPr>
            <w:r>
              <w:rPr>
                <w:rFonts w:ascii="Arial" w:cs="Arial" w:eastAsia="Arial" w:hAnsi="Arial"/>
                <w:sz w:val="18"/>
                <w:szCs w:val="18"/>
                <w:b w:val="1"/>
                <w:bCs w:val="1"/>
                <w:color w:val="auto"/>
              </w:rPr>
              <w:t>July 28,</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5620" w:type="dxa"/>
            <w:vAlign w:val="bottom"/>
            <w:gridSpan w:val="3"/>
          </w:tcPr>
          <w:p>
            <w:pPr>
              <w:spacing w:after="0"/>
              <w:rPr>
                <w:sz w:val="20"/>
                <w:szCs w:val="20"/>
                <w:color w:val="auto"/>
              </w:rPr>
            </w:pPr>
            <w:r>
              <w:rPr>
                <w:rFonts w:ascii="Arial" w:cs="Arial" w:eastAsia="Arial" w:hAnsi="Arial"/>
                <w:sz w:val="18"/>
                <w:szCs w:val="18"/>
                <w:b w:val="1"/>
                <w:bCs w:val="1"/>
                <w:color w:val="auto"/>
              </w:rPr>
              <w:t>(in millions)</w:t>
            </w:r>
          </w:p>
        </w:tc>
        <w:tc>
          <w:tcPr>
            <w:tcW w:w="1060" w:type="dxa"/>
            <w:vAlign w:val="bottom"/>
          </w:tcPr>
          <w:p>
            <w:pPr>
              <w:jc w:val="right"/>
              <w:ind w:right="176"/>
              <w:spacing w:after="0"/>
              <w:rPr>
                <w:sz w:val="20"/>
                <w:szCs w:val="20"/>
                <w:color w:val="auto"/>
              </w:rPr>
            </w:pPr>
            <w:r>
              <w:rPr>
                <w:rFonts w:ascii="Arial" w:cs="Arial" w:eastAsia="Arial" w:hAnsi="Arial"/>
                <w:sz w:val="18"/>
                <w:szCs w:val="18"/>
                <w:b w:val="1"/>
                <w:bCs w:val="1"/>
                <w:color w:val="auto"/>
              </w:rPr>
              <w:t>2013</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2012</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157"/>
              <w:spacing w:after="0"/>
              <w:rPr>
                <w:sz w:val="20"/>
                <w:szCs w:val="20"/>
                <w:color w:val="auto"/>
              </w:rPr>
            </w:pPr>
            <w:r>
              <w:rPr>
                <w:rFonts w:ascii="Arial" w:cs="Arial" w:eastAsia="Arial" w:hAnsi="Arial"/>
                <w:sz w:val="18"/>
                <w:szCs w:val="18"/>
                <w:b w:val="1"/>
                <w:bCs w:val="1"/>
                <w:color w:val="auto"/>
              </w:rPr>
              <w:t>2013</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2012</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500" w:type="dxa"/>
            <w:vAlign w:val="bottom"/>
            <w:tcBorders>
              <w:top w:val="single" w:sz="8" w:color="auto"/>
            </w:tcBorders>
            <w:gridSpan w:val="2"/>
            <w:shd w:val="clear" w:color="auto" w:fill="CCFFCC"/>
          </w:tcPr>
          <w:p>
            <w:pPr>
              <w:spacing w:after="0"/>
              <w:rPr>
                <w:sz w:val="20"/>
                <w:szCs w:val="20"/>
                <w:color w:val="auto"/>
              </w:rPr>
            </w:pPr>
            <w:r>
              <w:rPr>
                <w:rFonts w:ascii="Arial" w:cs="Arial" w:eastAsia="Arial" w:hAnsi="Arial"/>
                <w:sz w:val="18"/>
                <w:szCs w:val="18"/>
                <w:color w:val="auto"/>
              </w:rPr>
              <w:t>Interest expense</w:t>
            </w:r>
          </w:p>
        </w:tc>
        <w:tc>
          <w:tcPr>
            <w:tcW w:w="120" w:type="dxa"/>
            <w:vAlign w:val="bottom"/>
            <w:tcBorders>
              <w:top w:val="single" w:sz="8" w:color="CCFFCC"/>
            </w:tcBorders>
            <w:shd w:val="clear" w:color="auto" w:fill="CCFFCC"/>
          </w:tcPr>
          <w:p>
            <w:pPr>
              <w:spacing w:after="0"/>
              <w:rPr>
                <w:sz w:val="18"/>
                <w:szCs w:val="18"/>
                <w:color w:val="auto"/>
              </w:rPr>
            </w:pPr>
          </w:p>
        </w:tc>
        <w:tc>
          <w:tcPr>
            <w:tcW w:w="1060" w:type="dxa"/>
            <w:vAlign w:val="bottom"/>
            <w:tcBorders>
              <w:top w:val="single" w:sz="8" w:color="auto"/>
            </w:tcBorders>
            <w:shd w:val="clear" w:color="auto" w:fill="CCFFCC"/>
          </w:tcPr>
          <w:p>
            <w:pPr>
              <w:jc w:val="right"/>
              <w:ind w:right="896"/>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w:t>
            </w:r>
          </w:p>
        </w:tc>
        <w:tc>
          <w:tcPr>
            <w:tcW w:w="16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1040" w:type="dxa"/>
            <w:vAlign w:val="bottom"/>
            <w:tcBorders>
              <w:top w:val="single" w:sz="8" w:color="auto"/>
            </w:tcBorders>
            <w:shd w:val="clear" w:color="auto" w:fill="CCFFCC"/>
          </w:tcPr>
          <w:p>
            <w:pPr>
              <w:jc w:val="right"/>
              <w:ind w:right="850"/>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w:t>
            </w:r>
          </w:p>
        </w:tc>
        <w:tc>
          <w:tcPr>
            <w:tcW w:w="14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1040" w:type="dxa"/>
            <w:vAlign w:val="bottom"/>
            <w:tcBorders>
              <w:top w:val="single" w:sz="8" w:color="auto"/>
            </w:tcBorders>
            <w:shd w:val="clear" w:color="auto" w:fill="CCFFCC"/>
          </w:tcPr>
          <w:p>
            <w:pPr>
              <w:jc w:val="right"/>
              <w:ind w:right="877"/>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w:t>
            </w:r>
          </w:p>
        </w:tc>
        <w:tc>
          <w:tcPr>
            <w:tcW w:w="140" w:type="dxa"/>
            <w:vAlign w:val="bottom"/>
            <w:tcBorders>
              <w:top w:val="single" w:sz="8" w:color="CCFFCC"/>
            </w:tcBorders>
            <w:shd w:val="clear" w:color="auto" w:fill="CCFFCC"/>
          </w:tcPr>
          <w:p>
            <w:pPr>
              <w:spacing w:after="0"/>
              <w:rPr>
                <w:sz w:val="18"/>
                <w:szCs w:val="18"/>
                <w:color w:val="auto"/>
              </w:rPr>
            </w:pPr>
          </w:p>
        </w:tc>
        <w:tc>
          <w:tcPr>
            <w:tcW w:w="60" w:type="dxa"/>
            <w:vAlign w:val="bottom"/>
            <w:tcBorders>
              <w:top w:val="single" w:sz="8" w:color="CCFFCC"/>
            </w:tcBorders>
            <w:shd w:val="clear" w:color="auto" w:fill="CCFFCC"/>
          </w:tcPr>
          <w:p>
            <w:pPr>
              <w:spacing w:after="0"/>
              <w:rPr>
                <w:sz w:val="18"/>
                <w:szCs w:val="18"/>
                <w:color w:val="auto"/>
              </w:rPr>
            </w:pPr>
          </w:p>
        </w:tc>
        <w:tc>
          <w:tcPr>
            <w:tcW w:w="1020" w:type="dxa"/>
            <w:vAlign w:val="bottom"/>
            <w:tcBorders>
              <w:top w:val="single" w:sz="8" w:color="auto"/>
            </w:tcBorders>
            <w:shd w:val="clear" w:color="auto" w:fill="CCFFCC"/>
          </w:tcPr>
          <w:p>
            <w:pPr>
              <w:jc w:val="right"/>
              <w:ind w:right="830"/>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top w:val="single" w:sz="8" w:color="CCFFCC"/>
            </w:tcBorders>
            <w:shd w:val="clear" w:color="auto" w:fill="CCFFCC"/>
          </w:tcPr>
          <w:p>
            <w:pPr>
              <w:spacing w:after="0"/>
              <w:rPr>
                <w:sz w:val="18"/>
                <w:szCs w:val="18"/>
                <w:color w:val="auto"/>
              </w:rPr>
            </w:pPr>
          </w:p>
        </w:tc>
      </w:tr>
      <w:tr>
        <w:trPr>
          <w:trHeight w:val="230"/>
        </w:trPr>
        <w:tc>
          <w:tcPr>
            <w:tcW w:w="5620" w:type="dxa"/>
            <w:vAlign w:val="bottom"/>
            <w:gridSpan w:val="3"/>
          </w:tcPr>
          <w:p>
            <w:pPr>
              <w:spacing w:after="0"/>
              <w:rPr>
                <w:sz w:val="20"/>
                <w:szCs w:val="20"/>
                <w:color w:val="auto"/>
              </w:rPr>
            </w:pPr>
            <w:r>
              <w:rPr>
                <w:rFonts w:ascii="Arial" w:cs="Arial" w:eastAsia="Arial" w:hAnsi="Arial"/>
                <w:sz w:val="18"/>
                <w:szCs w:val="18"/>
                <w:color w:val="auto"/>
              </w:rPr>
              <w:t>Interest income</w:t>
            </w:r>
          </w:p>
        </w:tc>
        <w:tc>
          <w:tcPr>
            <w:tcW w:w="1060" w:type="dxa"/>
            <w:vAlign w:val="bottom"/>
          </w:tcPr>
          <w:p>
            <w:pPr>
              <w:spacing w:after="0"/>
              <w:rPr>
                <w:sz w:val="19"/>
                <w:szCs w:val="19"/>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r>
      <w:tr>
        <w:trPr>
          <w:trHeight w:val="223"/>
        </w:trPr>
        <w:tc>
          <w:tcPr>
            <w:tcW w:w="5620" w:type="dxa"/>
            <w:vAlign w:val="bottom"/>
            <w:tcBorders>
              <w:top w:val="single" w:sz="8" w:color="CCFFCC"/>
              <w:bottom w:val="single" w:sz="8" w:color="CCFFCC"/>
            </w:tcBorders>
            <w:gridSpan w:val="3"/>
            <w:shd w:val="clear" w:color="auto" w:fill="CCFFCC"/>
          </w:tcPr>
          <w:p>
            <w:pPr>
              <w:spacing w:after="0"/>
              <w:rPr>
                <w:sz w:val="20"/>
                <w:szCs w:val="20"/>
                <w:color w:val="auto"/>
              </w:rPr>
            </w:pPr>
            <w:r>
              <w:rPr>
                <w:rFonts w:ascii="Arial" w:cs="Arial" w:eastAsia="Arial" w:hAnsi="Arial"/>
                <w:sz w:val="18"/>
                <w:szCs w:val="18"/>
                <w:color w:val="auto"/>
              </w:rPr>
              <w:t>Interest expense, net</w:t>
            </w:r>
          </w:p>
        </w:tc>
        <w:tc>
          <w:tcPr>
            <w:tcW w:w="1060" w:type="dxa"/>
            <w:vAlign w:val="bottom"/>
            <w:tcBorders>
              <w:top w:val="single" w:sz="8" w:color="auto"/>
              <w:bottom w:val="single" w:sz="8" w:color="auto"/>
            </w:tcBorders>
            <w:shd w:val="clear" w:color="auto" w:fill="CCFFCC"/>
          </w:tcPr>
          <w:p>
            <w:pPr>
              <w:jc w:val="right"/>
              <w:ind w:right="896"/>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w:t>
            </w:r>
          </w:p>
        </w:tc>
        <w:tc>
          <w:tcPr>
            <w:tcW w:w="160" w:type="dxa"/>
            <w:vAlign w:val="bottom"/>
            <w:tcBorders>
              <w:top w:val="single" w:sz="8" w:color="CCFFCC"/>
              <w:bottom w:val="single" w:sz="8" w:color="CCFFCC"/>
            </w:tcBorders>
            <w:shd w:val="clear" w:color="auto" w:fill="CCFFCC"/>
          </w:tcPr>
          <w:p>
            <w:pPr>
              <w:spacing w:after="0"/>
              <w:rPr>
                <w:sz w:val="19"/>
                <w:szCs w:val="19"/>
                <w:color w:val="auto"/>
              </w:rPr>
            </w:pPr>
          </w:p>
        </w:tc>
        <w:tc>
          <w:tcPr>
            <w:tcW w:w="80" w:type="dxa"/>
            <w:vAlign w:val="bottom"/>
            <w:tcBorders>
              <w:top w:val="single" w:sz="8" w:color="CCFFCC"/>
              <w:bottom w:val="single" w:sz="8" w:color="CCFFCC"/>
            </w:tcBorders>
            <w:shd w:val="clear" w:color="auto" w:fill="CCFFCC"/>
          </w:tcPr>
          <w:p>
            <w:pPr>
              <w:spacing w:after="0"/>
              <w:rPr>
                <w:sz w:val="19"/>
                <w:szCs w:val="19"/>
                <w:color w:val="auto"/>
              </w:rPr>
            </w:pPr>
          </w:p>
        </w:tc>
        <w:tc>
          <w:tcPr>
            <w:tcW w:w="1040" w:type="dxa"/>
            <w:vAlign w:val="bottom"/>
            <w:tcBorders>
              <w:top w:val="single" w:sz="8" w:color="auto"/>
              <w:bottom w:val="single" w:sz="8" w:color="auto"/>
            </w:tcBorders>
            <w:shd w:val="clear" w:color="auto" w:fill="CCFFCC"/>
          </w:tcPr>
          <w:p>
            <w:pPr>
              <w:jc w:val="right"/>
              <w:ind w:right="850"/>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top w:val="single" w:sz="8" w:color="CCFFCC"/>
              <w:bottom w:val="single" w:sz="8" w:color="CCFFCC"/>
            </w:tcBorders>
            <w:shd w:val="clear" w:color="auto" w:fill="CCFFCC"/>
          </w:tcPr>
          <w:p>
            <w:pPr>
              <w:spacing w:after="0"/>
              <w:rPr>
                <w:sz w:val="19"/>
                <w:szCs w:val="19"/>
                <w:color w:val="auto"/>
              </w:rPr>
            </w:pPr>
          </w:p>
        </w:tc>
        <w:tc>
          <w:tcPr>
            <w:tcW w:w="80" w:type="dxa"/>
            <w:vAlign w:val="bottom"/>
            <w:tcBorders>
              <w:top w:val="single" w:sz="8" w:color="CCFFCC"/>
              <w:bottom w:val="single" w:sz="8" w:color="CCFFCC"/>
            </w:tcBorders>
            <w:shd w:val="clear" w:color="auto" w:fill="CCFFCC"/>
          </w:tcPr>
          <w:p>
            <w:pPr>
              <w:spacing w:after="0"/>
              <w:rPr>
                <w:sz w:val="19"/>
                <w:szCs w:val="19"/>
                <w:color w:val="auto"/>
              </w:rPr>
            </w:pPr>
          </w:p>
        </w:tc>
        <w:tc>
          <w:tcPr>
            <w:tcW w:w="1040" w:type="dxa"/>
            <w:vAlign w:val="bottom"/>
            <w:tcBorders>
              <w:top w:val="single" w:sz="8" w:color="auto"/>
              <w:bottom w:val="single" w:sz="8" w:color="auto"/>
            </w:tcBorders>
            <w:shd w:val="clear" w:color="auto" w:fill="CCFFCC"/>
          </w:tcPr>
          <w:p>
            <w:pPr>
              <w:jc w:val="right"/>
              <w:ind w:right="877"/>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w:t>
            </w:r>
          </w:p>
        </w:tc>
        <w:tc>
          <w:tcPr>
            <w:tcW w:w="140" w:type="dxa"/>
            <w:vAlign w:val="bottom"/>
            <w:tcBorders>
              <w:top w:val="single" w:sz="8" w:color="CCFFCC"/>
              <w:bottom w:val="single" w:sz="8" w:color="CCFFCC"/>
            </w:tcBorders>
            <w:shd w:val="clear" w:color="auto" w:fill="CCFFCC"/>
          </w:tcPr>
          <w:p>
            <w:pPr>
              <w:spacing w:after="0"/>
              <w:rPr>
                <w:sz w:val="19"/>
                <w:szCs w:val="19"/>
                <w:color w:val="auto"/>
              </w:rPr>
            </w:pPr>
          </w:p>
        </w:tc>
        <w:tc>
          <w:tcPr>
            <w:tcW w:w="60" w:type="dxa"/>
            <w:vAlign w:val="bottom"/>
            <w:tcBorders>
              <w:top w:val="single" w:sz="8" w:color="CCFFCC"/>
              <w:bottom w:val="single" w:sz="8" w:color="CCFFCC"/>
            </w:tcBorders>
            <w:shd w:val="clear" w:color="auto" w:fill="CCFFCC"/>
          </w:tcPr>
          <w:p>
            <w:pPr>
              <w:spacing w:after="0"/>
              <w:rPr>
                <w:sz w:val="19"/>
                <w:szCs w:val="19"/>
                <w:color w:val="auto"/>
              </w:rPr>
            </w:pPr>
          </w:p>
        </w:tc>
        <w:tc>
          <w:tcPr>
            <w:tcW w:w="1020" w:type="dxa"/>
            <w:vAlign w:val="bottom"/>
            <w:tcBorders>
              <w:top w:val="single" w:sz="8" w:color="auto"/>
              <w:bottom w:val="single" w:sz="8" w:color="auto"/>
            </w:tcBorders>
            <w:shd w:val="clear" w:color="auto" w:fill="CCFFCC"/>
          </w:tcPr>
          <w:p>
            <w:pPr>
              <w:jc w:val="right"/>
              <w:ind w:right="830"/>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FFCC"/>
              <w:bottom w:val="single" w:sz="8" w:color="CCFFCC"/>
            </w:tcBorders>
            <w:shd w:val="clear" w:color="auto" w:fill="CCFFCC"/>
          </w:tcPr>
          <w:p>
            <w:pPr>
              <w:spacing w:after="0"/>
              <w:rPr>
                <w:sz w:val="19"/>
                <w:szCs w:val="19"/>
                <w:color w:val="auto"/>
              </w:rPr>
            </w:pPr>
          </w:p>
        </w:tc>
      </w:tr>
      <w:tr>
        <w:trPr>
          <w:trHeight w:val="20"/>
        </w:trPr>
        <w:tc>
          <w:tcPr>
            <w:tcW w:w="120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Taxes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recorded income tax provisions of $40 million and $118 million, which represent effective tax rates of 37.7 percent and 36.6 percent for the thirteen weeks and twenty-six weeks ended August 3, 2013, respectively. For the thirteen weeks and twenty-six weeks ended July 28, 2012, the Company recorded income tax provisions of $34 million and $107 million, which represented effective tax rates of 36.7 percent and 36.5 percent, respectively. The Company’s interim provision for income taxes is measured using an annual effective tax rate, adjusted for discrete items that occur within the periods presented.</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regularly assesses the adequacy of its provisions for income tax contingencies in accordance with the applicable authoritative guidance on accounting for income taxes. As a result, the Company may adjust the reserves for unrecognized tax benefits considering new facts and developments, such as changes to interpretations of relevant tax law, assessments from taxing authorities, settlements with taxing authorities, and lapses of statutes of limitation. Included in the thirteen weeks ended August 3, 2013 is an additional state tax provision of $1 million. The changes in the tax reserves for the thirteen weeks ended July 28, 2012 were not significant. Included in the twenty-six weeks ended August 3, 2013 and July 28, 2012 are tax benefits of $2 million and $3 million, respectively, from reserve releases due to settlements of federal, state, and foreign tax examinations.</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For the thirteen weeks ended August 3, 2013, in connection with the purchase of Runners Point Group, the Company recorded a discrete item of $1 million representing non-deductible acquisition costs. The effective tax rate for the thirteen weeks ended July 28, 2012 included a tax benefit related to a Canadian provincial tax rate change that resulted in a $1 million increase in the value of the Company’s net deferred tax assets.</w:t>
      </w:r>
    </w:p>
    <w:p>
      <w:pPr>
        <w:spacing w:after="0" w:line="16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Excluding the reserve activity and other discrete items, the effective tax rate for the thirteen and twenty-six weeks ended August 3, 2013 decreased as compared with the corresponding prior-year period, due primarily to the effect of certain recently implemented tax planning initiatives.</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Subsequent to the second quarter, in August 2013, the Company released reserves of approximately $3 million due to the settlement of a foreign audit. The Company currently expects its third quarter and full year tax rate to approximate 37 percent, excluding the effect of the foreign audit settlement and any additional nonrecurring items that may occur. The actual tax rates will primarily depend on the level and mix of income earned in the United States as compared with its international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Income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thirteen weeks and twenty-six weeks ended August 3, 2013, net income increased by $7 million, or 11.9 percent, and $17 million, or 9.1 percent, respectively, as compared with the corresponding prior-year periods.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64"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auto"/>
        </w:rPr>
        <w:t>Reconciliation of Non-GAAP Measures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provides non-GAAP information to assist investors with the comparison of the Company’s results period over period. The following represents the reconciliation of the non-GAAP measures: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740" w:type="dxa"/>
            <w:vAlign w:val="bottom"/>
            <w:gridSpan w:val="6"/>
          </w:tcPr>
          <w:p>
            <w:pPr>
              <w:jc w:val="right"/>
              <w:ind w:right="700"/>
              <w:spacing w:after="0"/>
              <w:rPr>
                <w:sz w:val="20"/>
                <w:szCs w:val="20"/>
                <w:color w:val="auto"/>
              </w:rPr>
            </w:pPr>
            <w:r>
              <w:rPr>
                <w:rFonts w:ascii="Arial" w:cs="Arial" w:eastAsia="Arial" w:hAnsi="Arial"/>
                <w:sz w:val="18"/>
                <w:szCs w:val="18"/>
                <w:b w:val="1"/>
                <w:bCs w:val="1"/>
                <w:color w:val="auto"/>
              </w:rPr>
              <w:t>Thirteen weeks ended</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40" w:type="dxa"/>
            <w:vAlign w:val="bottom"/>
            <w:gridSpan w:val="6"/>
          </w:tcPr>
          <w:p>
            <w:pPr>
              <w:jc w:val="right"/>
              <w:ind w:right="540"/>
              <w:spacing w:after="0"/>
              <w:rPr>
                <w:sz w:val="20"/>
                <w:szCs w:val="20"/>
                <w:color w:val="auto"/>
              </w:rPr>
            </w:pPr>
            <w:r>
              <w:rPr>
                <w:rFonts w:ascii="Arial" w:cs="Arial" w:eastAsia="Arial" w:hAnsi="Arial"/>
                <w:sz w:val="18"/>
                <w:szCs w:val="18"/>
                <w:b w:val="1"/>
                <w:bCs w:val="1"/>
                <w:color w:val="auto"/>
                <w:w w:val="98"/>
              </w:rPr>
              <w:t>Twenty-six weeks ended</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gridSpan w:val="2"/>
          </w:tcPr>
          <w:p>
            <w:pPr>
              <w:jc w:val="right"/>
              <w:ind w:right="380"/>
              <w:spacing w:after="0" w:line="205" w:lineRule="exact"/>
              <w:rPr>
                <w:sz w:val="20"/>
                <w:szCs w:val="20"/>
                <w:color w:val="auto"/>
              </w:rPr>
            </w:pPr>
            <w:r>
              <w:rPr>
                <w:rFonts w:ascii="Arial" w:cs="Arial" w:eastAsia="Arial" w:hAnsi="Arial"/>
                <w:sz w:val="18"/>
                <w:szCs w:val="18"/>
                <w:b w:val="1"/>
                <w:bCs w:val="1"/>
                <w:color w:val="auto"/>
                <w:w w:val="97"/>
              </w:rPr>
              <w:t>August 3,</w:t>
            </w:r>
          </w:p>
        </w:tc>
        <w:tc>
          <w:tcPr>
            <w:tcW w:w="1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ind w:right="250"/>
              <w:spacing w:after="0" w:line="205" w:lineRule="exact"/>
              <w:rPr>
                <w:sz w:val="20"/>
                <w:szCs w:val="20"/>
                <w:color w:val="auto"/>
              </w:rPr>
            </w:pPr>
            <w:r>
              <w:rPr>
                <w:rFonts w:ascii="Arial" w:cs="Arial" w:eastAsia="Arial" w:hAnsi="Arial"/>
                <w:sz w:val="18"/>
                <w:szCs w:val="18"/>
                <w:b w:val="1"/>
                <w:bCs w:val="1"/>
                <w:color w:val="auto"/>
              </w:rPr>
              <w:t>July 28,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gridSpan w:val="2"/>
          </w:tcPr>
          <w:p>
            <w:pPr>
              <w:ind w:left="80"/>
              <w:spacing w:after="0" w:line="205" w:lineRule="exact"/>
              <w:rPr>
                <w:sz w:val="20"/>
                <w:szCs w:val="20"/>
                <w:color w:val="auto"/>
              </w:rPr>
            </w:pPr>
            <w:r>
              <w:rPr>
                <w:rFonts w:ascii="Arial" w:cs="Arial" w:eastAsia="Arial" w:hAnsi="Arial"/>
                <w:sz w:val="18"/>
                <w:szCs w:val="18"/>
                <w:b w:val="1"/>
                <w:bCs w:val="1"/>
                <w:color w:val="auto"/>
              </w:rPr>
              <w:t>August 3,</w:t>
            </w:r>
          </w:p>
        </w:tc>
        <w:tc>
          <w:tcPr>
            <w:tcW w:w="1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230"/>
              <w:spacing w:after="0" w:line="205" w:lineRule="exact"/>
              <w:rPr>
                <w:sz w:val="20"/>
                <w:szCs w:val="20"/>
                <w:color w:val="auto"/>
              </w:rPr>
            </w:pPr>
            <w:r>
              <w:rPr>
                <w:rFonts w:ascii="Arial" w:cs="Arial" w:eastAsia="Arial" w:hAnsi="Arial"/>
                <w:sz w:val="18"/>
                <w:szCs w:val="18"/>
                <w:b w:val="1"/>
                <w:bCs w:val="1"/>
                <w:color w:val="auto"/>
              </w:rPr>
              <w:t>July 28,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620" w:type="dxa"/>
            <w:vAlign w:val="bottom"/>
            <w:gridSpan w:val="3"/>
          </w:tcPr>
          <w:p>
            <w:pPr>
              <w:spacing w:after="0"/>
              <w:rPr>
                <w:sz w:val="20"/>
                <w:szCs w:val="20"/>
                <w:color w:val="auto"/>
              </w:rPr>
            </w:pPr>
            <w:r>
              <w:rPr>
                <w:rFonts w:ascii="Arial" w:cs="Arial" w:eastAsia="Arial" w:hAnsi="Arial"/>
                <w:sz w:val="18"/>
                <w:szCs w:val="18"/>
                <w:b w:val="1"/>
                <w:bCs w:val="1"/>
                <w:color w:val="auto"/>
              </w:rPr>
              <w:t>(in millions)</w:t>
            </w:r>
          </w:p>
        </w:tc>
        <w:tc>
          <w:tcPr>
            <w:tcW w:w="180" w:type="dxa"/>
            <w:vAlign w:val="bottom"/>
          </w:tcPr>
          <w:p>
            <w:pPr>
              <w:spacing w:after="0"/>
              <w:rPr>
                <w:sz w:val="20"/>
                <w:szCs w:val="20"/>
                <w:color w:val="auto"/>
              </w:rPr>
            </w:pPr>
          </w:p>
        </w:tc>
        <w:tc>
          <w:tcPr>
            <w:tcW w:w="10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ind w:right="370"/>
              <w:spacing w:after="0"/>
              <w:rPr>
                <w:sz w:val="20"/>
                <w:szCs w:val="20"/>
                <w:color w:val="auto"/>
              </w:rPr>
            </w:pPr>
            <w:r>
              <w:rPr>
                <w:rFonts w:ascii="Arial" w:cs="Arial" w:eastAsia="Arial" w:hAnsi="Arial"/>
                <w:sz w:val="18"/>
                <w:szCs w:val="18"/>
                <w:b w:val="1"/>
                <w:bCs w:val="1"/>
                <w:color w:val="auto"/>
              </w:rPr>
              <w:t>2012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Net income, as reported</w:t>
            </w:r>
          </w:p>
        </w:tc>
        <w:tc>
          <w:tcPr>
            <w:tcW w:w="120" w:type="dxa"/>
            <w:vAlign w:val="bottom"/>
            <w:tcBorders>
              <w:top w:val="single" w:sz="8" w:color="CCFFCC"/>
            </w:tcBorders>
            <w:shd w:val="clear" w:color="auto" w:fill="CCFFCC"/>
          </w:tcPr>
          <w:p>
            <w:pPr>
              <w:spacing w:after="0"/>
              <w:rPr>
                <w:sz w:val="18"/>
                <w:szCs w:val="18"/>
                <w:color w:val="auto"/>
              </w:rPr>
            </w:pPr>
          </w:p>
        </w:tc>
        <w:tc>
          <w:tcPr>
            <w:tcW w:w="180" w:type="dxa"/>
            <w:vAlign w:val="bottom"/>
            <w:tcBorders>
              <w:top w:val="single" w:sz="8" w:color="auto"/>
            </w:tcBorders>
            <w:shd w:val="clear" w:color="auto" w:fill="CCFFCC"/>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66</w:t>
            </w:r>
          </w:p>
        </w:tc>
        <w:tc>
          <w:tcPr>
            <w:tcW w:w="12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220" w:type="dxa"/>
            <w:vAlign w:val="bottom"/>
            <w:tcBorders>
              <w:top w:val="single" w:sz="8" w:color="auto"/>
            </w:tcBorders>
            <w:shd w:val="clear" w:color="auto" w:fill="CCFFCC"/>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59</w:t>
            </w:r>
          </w:p>
        </w:tc>
        <w:tc>
          <w:tcPr>
            <w:tcW w:w="14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auto"/>
            </w:tcBorders>
            <w:shd w:val="clear" w:color="auto" w:fill="CCFFCC"/>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220" w:type="dxa"/>
            <w:vAlign w:val="bottom"/>
            <w:tcBorders>
              <w:top w:val="single" w:sz="8" w:color="auto"/>
            </w:tcBorders>
            <w:shd w:val="clear" w:color="auto" w:fill="CCFFCC"/>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After-tax adjustments to arrive at non-GAAP:</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FFCC"/>
          </w:tcPr>
          <w:p>
            <w:pPr>
              <w:ind w:left="240"/>
              <w:spacing w:after="0"/>
              <w:rPr>
                <w:sz w:val="20"/>
                <w:szCs w:val="20"/>
                <w:color w:val="auto"/>
              </w:rPr>
            </w:pPr>
            <w:r>
              <w:rPr>
                <w:rFonts w:ascii="Arial" w:cs="Arial" w:eastAsia="Arial" w:hAnsi="Arial"/>
                <w:sz w:val="18"/>
                <w:szCs w:val="18"/>
                <w:color w:val="auto"/>
              </w:rPr>
              <w:t>Runners Point Group acquisition and integration costs</w:t>
            </w:r>
          </w:p>
        </w:tc>
        <w:tc>
          <w:tcPr>
            <w:tcW w:w="18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ind w:left="240"/>
              <w:spacing w:after="0"/>
              <w:rPr>
                <w:sz w:val="20"/>
                <w:szCs w:val="20"/>
                <w:color w:val="auto"/>
              </w:rPr>
            </w:pPr>
            <w:r>
              <w:rPr>
                <w:rFonts w:ascii="Arial" w:cs="Arial" w:eastAsia="Arial" w:hAnsi="Arial"/>
                <w:sz w:val="18"/>
                <w:szCs w:val="18"/>
                <w:color w:val="auto"/>
              </w:rPr>
              <w:t>CCS store closure costs</w:t>
            </w:r>
          </w:p>
        </w:tc>
        <w:tc>
          <w:tcPr>
            <w:tcW w:w="1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gridSpan w:val="2"/>
            <w:shd w:val="clear" w:color="auto" w:fill="CCFFCC"/>
          </w:tcPr>
          <w:p>
            <w:pPr>
              <w:ind w:left="240"/>
              <w:spacing w:after="0"/>
              <w:rPr>
                <w:sz w:val="20"/>
                <w:szCs w:val="20"/>
                <w:color w:val="auto"/>
              </w:rPr>
            </w:pPr>
            <w:r>
              <w:rPr>
                <w:rFonts w:ascii="Arial" w:cs="Arial" w:eastAsia="Arial" w:hAnsi="Arial"/>
                <w:sz w:val="18"/>
                <w:szCs w:val="18"/>
                <w:color w:val="auto"/>
              </w:rPr>
              <w:t>Canadian tax rate change</w:t>
            </w:r>
          </w:p>
        </w:tc>
        <w:tc>
          <w:tcPr>
            <w:tcW w:w="180" w:type="dxa"/>
            <w:vAlign w:val="bottom"/>
            <w:shd w:val="clear" w:color="auto" w:fill="CCFFCC"/>
          </w:tcPr>
          <w:p>
            <w:pPr>
              <w:spacing w:after="0"/>
              <w:rPr>
                <w:sz w:val="19"/>
                <w:szCs w:val="19"/>
                <w:color w:val="auto"/>
              </w:rPr>
            </w:pPr>
          </w:p>
        </w:tc>
        <w:tc>
          <w:tcPr>
            <w:tcW w:w="12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19"/>
                <w:szCs w:val="19"/>
                <w:color w:val="auto"/>
              </w:rPr>
            </w:pPr>
          </w:p>
        </w:tc>
        <w:tc>
          <w:tcPr>
            <w:tcW w:w="220" w:type="dxa"/>
            <w:vAlign w:val="bottom"/>
            <w:shd w:val="clear" w:color="auto" w:fill="CCFFCC"/>
          </w:tcPr>
          <w:p>
            <w:pPr>
              <w:spacing w:after="0"/>
              <w:rPr>
                <w:sz w:val="19"/>
                <w:szCs w:val="19"/>
                <w:color w:val="auto"/>
              </w:rPr>
            </w:pPr>
          </w:p>
        </w:tc>
        <w:tc>
          <w:tcPr>
            <w:tcW w:w="12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9"/>
                <w:szCs w:val="19"/>
                <w:color w:val="auto"/>
              </w:rPr>
            </w:pPr>
          </w:p>
        </w:tc>
        <w:tc>
          <w:tcPr>
            <w:tcW w:w="220" w:type="dxa"/>
            <w:vAlign w:val="bottom"/>
            <w:shd w:val="clear" w:color="auto" w:fill="CCFFCC"/>
          </w:tcPr>
          <w:p>
            <w:pPr>
              <w:spacing w:after="0"/>
              <w:rPr>
                <w:sz w:val="19"/>
                <w:szCs w:val="19"/>
                <w:color w:val="auto"/>
              </w:rPr>
            </w:pPr>
          </w:p>
        </w:tc>
        <w:tc>
          <w:tcPr>
            <w:tcW w:w="11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Net income, non-GAAP</w:t>
            </w: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Diluted EPS, as reported</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0.44</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0.39</w:t>
            </w:r>
          </w:p>
        </w:tc>
        <w:tc>
          <w:tcPr>
            <w:tcW w:w="2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1.34</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Adjustments to arrive at non-GAAP:</w:t>
            </w:r>
          </w:p>
        </w:tc>
        <w:tc>
          <w:tcPr>
            <w:tcW w:w="18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ind w:left="240"/>
              <w:spacing w:after="0"/>
              <w:rPr>
                <w:sz w:val="20"/>
                <w:szCs w:val="20"/>
                <w:color w:val="auto"/>
              </w:rPr>
            </w:pPr>
            <w:r>
              <w:rPr>
                <w:rFonts w:ascii="Arial" w:cs="Arial" w:eastAsia="Arial" w:hAnsi="Arial"/>
                <w:sz w:val="18"/>
                <w:szCs w:val="18"/>
                <w:color w:val="auto"/>
              </w:rPr>
              <w:t>Runners Point Group acquisition and integration costs</w:t>
            </w:r>
          </w:p>
        </w:tc>
        <w:tc>
          <w:tcPr>
            <w:tcW w:w="1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FFCC"/>
          </w:tcPr>
          <w:p>
            <w:pPr>
              <w:ind w:left="240"/>
              <w:spacing w:after="0"/>
              <w:rPr>
                <w:sz w:val="20"/>
                <w:szCs w:val="20"/>
                <w:color w:val="auto"/>
              </w:rPr>
            </w:pPr>
            <w:r>
              <w:rPr>
                <w:rFonts w:ascii="Arial" w:cs="Arial" w:eastAsia="Arial" w:hAnsi="Arial"/>
                <w:sz w:val="18"/>
                <w:szCs w:val="18"/>
                <w:color w:val="auto"/>
              </w:rPr>
              <w:t>CCS store closure costs</w:t>
            </w:r>
          </w:p>
        </w:tc>
        <w:tc>
          <w:tcPr>
            <w:tcW w:w="18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gridSpan w:val="2"/>
          </w:tcPr>
          <w:p>
            <w:pPr>
              <w:ind w:left="240"/>
              <w:spacing w:after="0"/>
              <w:rPr>
                <w:sz w:val="20"/>
                <w:szCs w:val="20"/>
                <w:color w:val="auto"/>
              </w:rPr>
            </w:pPr>
            <w:r>
              <w:rPr>
                <w:rFonts w:ascii="Arial" w:cs="Arial" w:eastAsia="Arial" w:hAnsi="Arial"/>
                <w:sz w:val="18"/>
                <w:szCs w:val="18"/>
                <w:color w:val="auto"/>
              </w:rPr>
              <w:t>Canadian tax rate change</w:t>
            </w:r>
          </w:p>
        </w:tc>
        <w:tc>
          <w:tcPr>
            <w:tcW w:w="18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(0.01)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FFCC"/>
            </w:tcBorders>
            <w:gridSpan w:val="2"/>
            <w:shd w:val="clear" w:color="auto" w:fill="CCFFCC"/>
          </w:tcPr>
          <w:p>
            <w:pPr>
              <w:spacing w:after="0"/>
              <w:rPr>
                <w:sz w:val="20"/>
                <w:szCs w:val="20"/>
                <w:color w:val="auto"/>
              </w:rPr>
            </w:pPr>
            <w:r>
              <w:rPr>
                <w:rFonts w:ascii="Arial" w:cs="Arial" w:eastAsia="Arial" w:hAnsi="Arial"/>
                <w:sz w:val="18"/>
                <w:szCs w:val="18"/>
                <w:color w:val="auto"/>
              </w:rPr>
              <w:t>Diluted EPS, non-GAAP</w:t>
            </w:r>
          </w:p>
        </w:tc>
        <w:tc>
          <w:tcPr>
            <w:tcW w:w="180" w:type="dxa"/>
            <w:vAlign w:val="bottom"/>
            <w:tcBorders>
              <w:top w:val="single" w:sz="8" w:color="auto"/>
            </w:tcBorders>
            <w:shd w:val="clear" w:color="auto" w:fill="CCFFCC"/>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0.46</w:t>
            </w:r>
          </w:p>
        </w:tc>
        <w:tc>
          <w:tcPr>
            <w:tcW w:w="12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220" w:type="dxa"/>
            <w:vAlign w:val="bottom"/>
            <w:tcBorders>
              <w:top w:val="single" w:sz="8" w:color="auto"/>
            </w:tcBorders>
            <w:shd w:val="clear" w:color="auto" w:fill="CCFFCC"/>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0.38</w:t>
            </w:r>
          </w:p>
        </w:tc>
        <w:tc>
          <w:tcPr>
            <w:tcW w:w="14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auto"/>
            </w:tcBorders>
            <w:shd w:val="clear" w:color="auto" w:fill="CCFFCC"/>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220" w:type="dxa"/>
            <w:vAlign w:val="bottom"/>
            <w:tcBorders>
              <w:top w:val="single" w:sz="8" w:color="auto"/>
            </w:tcBorders>
            <w:shd w:val="clear" w:color="auto" w:fill="CCFFCC"/>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2009, the Company excluded from its non-GAAP results the effect of a Canadian provincial tax rate change. During the thirteen weeks ended July 28, 2012, the Company recorded a benefit of $1 million, or $0.01 per diluted per share, to reflect the repeal of the last two stages of certain Canadian provincial tax rate changes. This benefit was excluded from the non-GAAP results, consistent with the prior year’s presentation.</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The non-GAAP financial measure is provided in addition to, and not as an alternative to, the Company’s reported results prepared in accordance with GAAP.</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LIQUIDITY AND CAPITAL RESOURCES</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Company’s primary source of liquidity has been cash flow from operations, while the principal uses of cash have been to: fund inventory and other working capital requirements; finance capital expenditures related to store openings, store remodelings, Internet and mobile sites, information systems, and other support facilities; make retirement plan contributions, quarterly dividend payments, and interest payments; and fund other cash requirements to support the development of its short-term and long-term operating strategies. The Company generally finances real estate with operating leases. Management believes its cash, cash equivalents, future cash flow from operations, and the Company’s current revolving credit facility will be adequate to fund these requirements.</w:t>
      </w:r>
    </w:p>
    <w:p>
      <w:pPr>
        <w:spacing w:after="0" w:line="1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may also from time to time repurchase its common stock or seek to retire or purchase outstanding debt through open market purchases, privately negotiated transactions, or otherwise. Such repurchases, if any, will depend on prevailing market conditions, liquidity requirements, contractual restrictions, and other factors. The amounts involved may be material.</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Any material adverse change in customer demand, fashion trends, competitive market forces, or customer acceptance of the Company’s merchandise mix and retail locations, uncertainties related to the effect of competitive products and pricing, the Company’s reliance on a few key vendors for a significant portion of its merchandise purchases and risks associated with global product sourcing, economic conditions worldwide, the effects of currency fluctuations, as well as other factors listed under the heading “Disclosure Regarding Forward-Looking Statements,” could affect the ability of the Company to continue to fund its needs from business operations.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i w:val="1"/>
          <w:iCs w:val="1"/>
          <w:u w:val="single" w:color="auto"/>
          <w:color w:val="auto"/>
        </w:rPr>
        <w:t>Operating Activities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provided by operating activities was $240 million and $161 million for the twenty-six weeks ended August 3, 2013 and July 28, 2012, respectively. These amounts reflect net income adjusted for non-cash items and seasonal working capital changes. The increase in operating cash flow is primarily the result of strong sales during the first two quarters, and improved working capital management. Additionally, cash paid for income taxes declined $38 million to $99 million for the twenty-six weeks ended August 3, 2013.</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Investing Activities</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Net cash used in investing activities was $189 million and $137 million for the twenty-six weeks ended August 3, 2013 and July 28, 2012. During the twenty-six weeks ended August 3, 2013, the Company completed its purchase of Runners Point Group for $84 million, net of cash acquired. In addition, the Company spent $107 million on capital expenditures as compared with $87 million in the corresponding prior-year period, primarily reflecting the Company’s initiative to modernize its existing stores. The Company’s current full-year forecast for capital expenditures is $216 million, of which $171 million relates to the modernizations of existing stores and new store openings and $45 million for the development of information systems and infrastructure.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Financing Activities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Net cash used in financing activities was $135 million and $90 million for the twenty-six weeks ended August 3, 2013 and July 28, 2012, respectively. The Company purchased 2,826,073 shares of its common stock at a cost of $100 million. This compares to 2,120,261 shares repurchased for $65 million in the corresponding prior-year period. The Company declared and paid dividends during the first two quarters of 2013 and 2012 of $60 million and $55 million, respectively. This represents a quarterly rate of $0.20 and $0.18 per share for 2013 and 2012, respectively. The Company received proceeds from the issuance of common stock in connection with employee stock programs of $18 million and $25 million for the twenty-six weeks ended August 3, 2013 and July 28, 2012, respectively. In connection with stock option exercises and share-based compensation programs, the Company recorded excess tax benefits of $7 million as a financing activity during both the twenty-six week periods ended August 3, 2013 and July 28, 2012.</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During the first quarter of 2013, the Company adopted Accounting Standards Update 2013-02, </w:t>
      </w:r>
      <w:r>
        <w:rPr>
          <w:rFonts w:ascii="Arial" w:cs="Arial" w:eastAsia="Arial" w:hAnsi="Arial"/>
          <w:sz w:val="17"/>
          <w:szCs w:val="17"/>
          <w:i w:val="1"/>
          <w:iCs w:val="1"/>
          <w:color w:val="auto"/>
        </w:rPr>
        <w:t>Comprehensive Income (Topic 220): Reporting of Amounts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Reclassified out of Accumulated Other Comprehensive Income </w:t>
      </w:r>
      <w:r>
        <w:rPr>
          <w:rFonts w:ascii="Arial" w:cs="Arial" w:eastAsia="Arial" w:hAnsi="Arial"/>
          <w:sz w:val="17"/>
          <w:szCs w:val="17"/>
          <w:color w:val="auto"/>
        </w:rPr>
        <w:t>(“ASU 2013-02”). ASU 2013-02 amended existing guidance by requiring additional disclosure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either on the face of the income statement or in the notes to the financial statements of significant amounts reclassified out of accumulated other comprehensive income. The provisions of this new guidance were effective prospectively as of the beginning of 2013. Accordingly, enhanced footnote disclosure is included in </w:t>
      </w:r>
      <w:r>
        <w:rPr>
          <w:rFonts w:ascii="Arial" w:cs="Arial" w:eastAsia="Arial" w:hAnsi="Arial"/>
          <w:sz w:val="17"/>
          <w:szCs w:val="17"/>
          <w:i w:val="1"/>
          <w:iCs w:val="1"/>
          <w:color w:val="auto"/>
        </w:rPr>
        <w:t>Note 5</w:t>
      </w:r>
      <w:r>
        <w:rPr>
          <w:rFonts w:ascii="Arial" w:cs="Arial" w:eastAsia="Arial" w:hAnsi="Arial"/>
          <w:sz w:val="17"/>
          <w:szCs w:val="17"/>
          <w:color w:val="auto"/>
        </w:rPr>
        <w:t>. The adoption of ASU 2013-02 had no effect on our results of operations or financial position.</w:t>
      </w:r>
    </w:p>
    <w:p>
      <w:pPr>
        <w:spacing w:after="0" w:line="17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We performed our annual goodwill impairment assessment during the first quarter of 2013, using a qualitative approach as permitted under Accounting Standards Update No. 2011-08, </w:t>
      </w:r>
      <w:r>
        <w:rPr>
          <w:rFonts w:ascii="Arial" w:cs="Arial" w:eastAsia="Arial" w:hAnsi="Arial"/>
          <w:sz w:val="17"/>
          <w:szCs w:val="17"/>
          <w:i w:val="1"/>
          <w:iCs w:val="1"/>
          <w:color w:val="auto"/>
        </w:rPr>
        <w:t>Testing Goodwill for Impairment</w:t>
      </w:r>
      <w:r>
        <w:rPr>
          <w:rFonts w:ascii="Arial" w:cs="Arial" w:eastAsia="Arial" w:hAnsi="Arial"/>
          <w:sz w:val="17"/>
          <w:szCs w:val="17"/>
          <w:color w:val="auto"/>
        </w:rPr>
        <w:t>. In performing the assessment, we identified and considered the significance of relevant key factors, events, and circumstances that affected the fair value and/or carrying amounts of our reporting units. These factors included external factors such as macroeconomic, industry and market conditions, as well as entity-specific factors, such as our actual and planned financial performance. Based on the results of the impairment assessment performed, we concluded that it is more likely than not that the fair values of our reporting units substantially exceeded their respective carrying values and there are no reporting units at risk of impairment.</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recently issued accounting pronouncements did not, or are not believed by management to, have a material effect on the Company’s present or future consolidated financial statements.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auto"/>
        </w:rPr>
        <w:t>CRITICAL ACCOUNTING POLICIES AND ESTIMATES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have been no significant changes to the Company’s critical accounting policies and estimates from the information provided in Item 7, “Management’s Discussion and Analysis of Financial Condition and Results of Operations,” included in the Annual Report on Form 10-K for the fiscal year ended February 2, 2013 except for the addition of the critical accounting policy set forth below.</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Business Combinations</w:t>
      </w:r>
    </w:p>
    <w:p>
      <w:pPr>
        <w:spacing w:after="0" w:line="23"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The Company accounts for acquisitions of other businesses by recording the net assets of the acquired businesses at fair value and making estimates and assumptions to determine the fair value of these acquired assets and liabilities. The Company will allocate the purchase price of the acquired business based, in part, upon internal estimates of cash flows and considering the report of a third-party valuation expert retained to assist the Company. Changes to the assumptions used to estimate the fair value could affect the recorded amounts of the assets acquired and the resultant goodwill.</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DISCLOSURE REGARDING FORWARD-LOOKING STATEMENTS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This report contains forward-looking statements within the meaning of the federal securities laws. Other than statements of historical facts, all statements which address activities, events, or developments that the Company anticipates will or may occur in the future, including, but not limited to, such things as future capital expenditures, expansion, strategic plans, financial objectives, dividend payments, stock repurchases, growth of the Company’s business and operations, including future cash flows, revenues, and earnings, and other such matters, are forward-looking statements. These forward-looking statements are based on many assumptions and factors which are detailed in the Company’s filings with the Securities and Exchange Commission, including the effects of currency fluctuations, customer demand, fashion trends, competitive market forces, uncertainties related to the effect of competitive products and pricing, customer acceptance of the Company’s merchandise mix and retail locations, the Company’s reliance on a few key vendors for a majority of its merchandise purchases (including a significant portion from one key vendor), pandemics and similar major health concerns, unseasonable weather, further deterioration of global financial markets, economic conditions worldwide, further deterioration of business and economic conditions, any changes in business, political and economic conditions due to the threat of future terrorist activities in the United States or in other parts of the world and related U.S. military action overseas, the ability of the Company to execute its business and strategic plans effectively with regard to each of its business units, and risks associated with global product sourcing, including political instability, changes in import regulations, and disruptions to transportation services and distribution.</w:t>
      </w:r>
    </w:p>
    <w:p>
      <w:pPr>
        <w:spacing w:after="0" w:line="16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For additional discussion on risks and uncertainties that may affect forward-looking statements, see “Risk Factors” disclosed in the 2012 Annual Report on Form 10-K, as well as Part II, Item 1A “Risk Factors” below. Any changes in such assumptions or factors could produce significantly different results. The Company undertakes no obligation to update forward-looking statements, whether as a result of new information, future events, or otherwise.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4. Controls and Procedures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Company’s management performed an evaluation under the supervision and with the participation of the Company’s Chief Executive Officer (“CEO”) and Chief Financial Officer (“CFO”), and completed an evaluation as of August 3, 2013 of the effectiveness of the design and operation of the Company’s disclosure controls and procedures (as that term is defined in Rules 13a-15(e) and 15d-15(e) under the Securities Exchange Act of 1934, as amended (the “Exchange Act”)). Based on that evaluation, the Company’s CEO and CFO concluded that the Company’s disclosure controls and procedures were effective to ensure that information relating to the Company that is required to be disclosed in the reports that we file or submit under the Exchange Act is recorded, processed, summarized and reported, within the time periods specified in the SEC rules and forms, and is accumulated and communicated to management, including the CEO and CFO, as appropriate to allow timely decisions regarding required disclosure.</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quarter ended August 3, 2013, there were no changes in the Company’s internal control over financial reporting (as defined in Rules 13a-15(f) of the Exchange Act) that materially affected or are reasonably likely to affect the Company’s internal control over financial reporting.</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 Legal Proceedings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Legal proceedings pending against the Company or its consolidated subsidiaries consist of ordinary, routine litigation, including administrative proceedings, incidental to the business of the Company or businesses that have been sold or disposed of by the Company in past years. These legal proceedings include commercial, intellectual property, customer, environmental, and employment-related claims.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Certain of the Company’s subsidiaries are defendants in a number of lawsuits filed in state and federal courts containing various class action allegations under federal or state wage and hour laws, including allegations concerning unpaid overtime, meal and rest breaks, and uniforms.</w:t>
      </w:r>
    </w:p>
    <w:p>
      <w:pPr>
        <w:spacing w:after="0" w:line="17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 xml:space="preserve">The Company is a defendant in one such case in which plaintiff alleges that the Company permitted unpaid off-the-clock hours in violation of the Fair Labor Standards Act and state labor laws. The case, </w:t>
      </w:r>
      <w:r>
        <w:rPr>
          <w:rFonts w:ascii="Arial" w:cs="Arial" w:eastAsia="Arial" w:hAnsi="Arial"/>
          <w:sz w:val="16"/>
          <w:szCs w:val="16"/>
          <w:i w:val="1"/>
          <w:iCs w:val="1"/>
          <w:color w:val="auto"/>
        </w:rPr>
        <w:t>Pereira v. Foot Locker</w:t>
      </w:r>
      <w:r>
        <w:rPr>
          <w:rFonts w:ascii="Arial" w:cs="Arial" w:eastAsia="Arial" w:hAnsi="Arial"/>
          <w:sz w:val="16"/>
          <w:szCs w:val="16"/>
          <w:color w:val="auto"/>
        </w:rPr>
        <w:t>, was filed in the U.S. District Court for the Eastern District of Pennsylvania in 2007. In his complaint, in addition to unpaid wage and overtime allegations, plaintiff seeks compensatory and punitive damages, injunctive relief, and attorneys’ fees and costs. In 2009, the Court conditionally certified a nationwide collective action. During the course of 2010, notices were sent to approximately 81,888 current and former employees of the Company offering them the opportunity to participate in the class action, and approximately 5,027 have opted in.</w:t>
      </w:r>
    </w:p>
    <w:p>
      <w:pPr>
        <w:spacing w:after="0" w:line="15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The Company is a defendant in additional purported wage and hour class actions that assert claims similar to those asserted in </w:t>
      </w:r>
      <w:r>
        <w:rPr>
          <w:rFonts w:ascii="Arial" w:cs="Arial" w:eastAsia="Arial" w:hAnsi="Arial"/>
          <w:sz w:val="17"/>
          <w:szCs w:val="17"/>
          <w:i w:val="1"/>
          <w:iCs w:val="1"/>
          <w:color w:val="auto"/>
        </w:rPr>
        <w:t>Pereira</w:t>
      </w:r>
      <w:r>
        <w:rPr>
          <w:rFonts w:ascii="Arial" w:cs="Arial" w:eastAsia="Arial" w:hAnsi="Arial"/>
          <w:sz w:val="17"/>
          <w:szCs w:val="17"/>
          <w:color w:val="auto"/>
        </w:rPr>
        <w:t xml:space="preserve"> and seek similar remedies. With the exception of </w:t>
      </w:r>
      <w:r>
        <w:rPr>
          <w:rFonts w:ascii="Arial" w:cs="Arial" w:eastAsia="Arial" w:hAnsi="Arial"/>
          <w:sz w:val="17"/>
          <w:szCs w:val="17"/>
          <w:i w:val="1"/>
          <w:iCs w:val="1"/>
          <w:color w:val="auto"/>
        </w:rPr>
        <w:t>Hill v. Foot Locker</w:t>
      </w:r>
      <w:r>
        <w:rPr>
          <w:rFonts w:ascii="Arial" w:cs="Arial" w:eastAsia="Arial" w:hAnsi="Arial"/>
          <w:sz w:val="17"/>
          <w:szCs w:val="17"/>
          <w:color w:val="auto"/>
        </w:rPr>
        <w:t xml:space="preserve"> filed in state court in Illinois, </w:t>
      </w:r>
      <w:r>
        <w:rPr>
          <w:rFonts w:ascii="Arial" w:cs="Arial" w:eastAsia="Arial" w:hAnsi="Arial"/>
          <w:sz w:val="17"/>
          <w:szCs w:val="17"/>
          <w:i w:val="1"/>
          <w:iCs w:val="1"/>
          <w:color w:val="auto"/>
        </w:rPr>
        <w:t>Kissinger v. Foot Locker</w:t>
      </w:r>
      <w:r>
        <w:rPr>
          <w:rFonts w:ascii="Arial" w:cs="Arial" w:eastAsia="Arial" w:hAnsi="Arial"/>
          <w:sz w:val="17"/>
          <w:szCs w:val="17"/>
          <w:color w:val="auto"/>
        </w:rPr>
        <w:t xml:space="preserve"> filed in state court of California, </w:t>
      </w:r>
      <w:r>
        <w:rPr>
          <w:rFonts w:ascii="Arial" w:cs="Arial" w:eastAsia="Arial" w:hAnsi="Arial"/>
          <w:sz w:val="17"/>
          <w:szCs w:val="17"/>
          <w:i w:val="1"/>
          <w:iCs w:val="1"/>
          <w:color w:val="auto"/>
        </w:rPr>
        <w:t>Ghattas v. Foot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Locker </w:t>
      </w:r>
      <w:r>
        <w:rPr>
          <w:rFonts w:ascii="Arial" w:cs="Arial" w:eastAsia="Arial" w:hAnsi="Arial"/>
          <w:sz w:val="17"/>
          <w:szCs w:val="17"/>
          <w:color w:val="auto"/>
        </w:rPr>
        <w:t>filed in state court of California, and</w:t>
      </w:r>
      <w:r>
        <w:rPr>
          <w:rFonts w:ascii="Arial" w:cs="Arial" w:eastAsia="Arial" w:hAnsi="Arial"/>
          <w:sz w:val="17"/>
          <w:szCs w:val="17"/>
          <w:i w:val="1"/>
          <w:iCs w:val="1"/>
          <w:color w:val="auto"/>
        </w:rPr>
        <w:t xml:space="preserve"> Cortes v. Foot Locker </w:t>
      </w:r>
      <w:r>
        <w:rPr>
          <w:rFonts w:ascii="Arial" w:cs="Arial" w:eastAsia="Arial" w:hAnsi="Arial"/>
          <w:sz w:val="17"/>
          <w:szCs w:val="17"/>
          <w:color w:val="auto"/>
        </w:rPr>
        <w:t>filed in federal court of New York, all of these actions were consolidated by the United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States Judicial Panel on Multidistrict Litigation with </w:t>
      </w:r>
      <w:r>
        <w:rPr>
          <w:rFonts w:ascii="Arial" w:cs="Arial" w:eastAsia="Arial" w:hAnsi="Arial"/>
          <w:sz w:val="17"/>
          <w:szCs w:val="17"/>
          <w:i w:val="1"/>
          <w:iCs w:val="1"/>
          <w:color w:val="auto"/>
        </w:rPr>
        <w:t>Pereira</w:t>
      </w:r>
      <w:r>
        <w:rPr>
          <w:rFonts w:ascii="Arial" w:cs="Arial" w:eastAsia="Arial" w:hAnsi="Arial"/>
          <w:sz w:val="17"/>
          <w:szCs w:val="17"/>
          <w:color w:val="auto"/>
        </w:rPr>
        <w:t xml:space="preserve"> under the caption </w:t>
      </w:r>
      <w:r>
        <w:rPr>
          <w:rFonts w:ascii="Arial" w:cs="Arial" w:eastAsia="Arial" w:hAnsi="Arial"/>
          <w:sz w:val="17"/>
          <w:szCs w:val="17"/>
          <w:i w:val="1"/>
          <w:iCs w:val="1"/>
          <w:color w:val="auto"/>
        </w:rPr>
        <w:t>In re Foot Locker, Inc. Fair Labor Standards Act and Wage and Hour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Litigation. </w:t>
      </w:r>
      <w:r>
        <w:rPr>
          <w:rFonts w:ascii="Arial" w:cs="Arial" w:eastAsia="Arial" w:hAnsi="Arial"/>
          <w:sz w:val="17"/>
          <w:szCs w:val="17"/>
          <w:color w:val="auto"/>
        </w:rPr>
        <w:t>The consolidated cases are in the discovery stages of proceedings. In</w:t>
      </w:r>
      <w:r>
        <w:rPr>
          <w:rFonts w:ascii="Arial" w:cs="Arial" w:eastAsia="Arial" w:hAnsi="Arial"/>
          <w:sz w:val="17"/>
          <w:szCs w:val="17"/>
          <w:i w:val="1"/>
          <w:iCs w:val="1"/>
          <w:color w:val="auto"/>
        </w:rPr>
        <w:t xml:space="preserve"> Hill v. Foot Locker, </w:t>
      </w:r>
      <w:r>
        <w:rPr>
          <w:rFonts w:ascii="Arial" w:cs="Arial" w:eastAsia="Arial" w:hAnsi="Arial"/>
          <w:sz w:val="17"/>
          <w:szCs w:val="17"/>
          <w:color w:val="auto"/>
        </w:rPr>
        <w:t>in May 2011, the court granted plaintiffs’ motion for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certification of an opt-out class covering certain Illinois employees only. The Company's motion for leave to appeal was denied. The Company has had and continues to have discussions with plaintiffs’ counsel in an attempt to determine whether it will be possible to resolve the consolidated cases and </w:t>
      </w:r>
      <w:r>
        <w:rPr>
          <w:rFonts w:ascii="Arial" w:cs="Arial" w:eastAsia="Arial" w:hAnsi="Arial"/>
          <w:sz w:val="17"/>
          <w:szCs w:val="17"/>
          <w:i w:val="1"/>
          <w:iCs w:val="1"/>
          <w:color w:val="auto"/>
        </w:rPr>
        <w:t>Hill</w:t>
      </w:r>
      <w:r>
        <w:rPr>
          <w:rFonts w:ascii="Arial" w:cs="Arial" w:eastAsia="Arial" w:hAnsi="Arial"/>
          <w:sz w:val="17"/>
          <w:szCs w:val="17"/>
          <w:color w:val="auto"/>
        </w:rPr>
        <w:t xml:space="preserve">. Meanwhile, the Company is vigorously defending these class actions. In </w:t>
      </w:r>
      <w:r>
        <w:rPr>
          <w:rFonts w:ascii="Arial" w:cs="Arial" w:eastAsia="Arial" w:hAnsi="Arial"/>
          <w:sz w:val="17"/>
          <w:szCs w:val="17"/>
          <w:i w:val="1"/>
          <w:iCs w:val="1"/>
          <w:color w:val="auto"/>
        </w:rPr>
        <w:t>Ghattas,</w:t>
      </w:r>
      <w:r>
        <w:rPr>
          <w:rFonts w:ascii="Arial" w:cs="Arial" w:eastAsia="Arial" w:hAnsi="Arial"/>
          <w:sz w:val="17"/>
          <w:szCs w:val="17"/>
          <w:color w:val="auto"/>
        </w:rPr>
        <w:t xml:space="preserve"> the court has preliminarily approved a settlement of the action. Due to the inherent uncertainties of such matters, and because fact and expert discovery have not been completed, the Company is currently unable to make an estimate of the range of loss.</w:t>
      </w:r>
    </w:p>
    <w:p>
      <w:pPr>
        <w:spacing w:after="0" w:line="17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 and the Company’s U.S. retirement plan are defendants in a purported class action (</w:t>
      </w:r>
      <w:r>
        <w:rPr>
          <w:rFonts w:ascii="Arial" w:cs="Arial" w:eastAsia="Arial" w:hAnsi="Arial"/>
          <w:sz w:val="17"/>
          <w:szCs w:val="17"/>
          <w:i w:val="1"/>
          <w:iCs w:val="1"/>
          <w:color w:val="auto"/>
        </w:rPr>
        <w:t>Osberg v. Foot Locker</w:t>
      </w:r>
      <w:r>
        <w:rPr>
          <w:rFonts w:ascii="Arial" w:cs="Arial" w:eastAsia="Arial" w:hAnsi="Arial"/>
          <w:sz w:val="17"/>
          <w:szCs w:val="17"/>
          <w:color w:val="auto"/>
        </w:rPr>
        <w:t>, filed in the U.S. District Court for the Southern District of New York) in which the plaintiff alleges that, in connection with the 1996 conversion of the retirement plan to a defined benefit plan with a cash balance formula, the Company and the retirement plan failed to properly advise plan participants of the “wear-away” effect of the conversion. Plaintiff asserted claims for: (a) breach of fiduciary duty under the Employee Retirement Income Security Act of 1974 (ERISA); (b) violation of the statutory provisions governing the content of the Summary Plan Description; (c) violation of the notice provision of Section 204(h) of ERISA; and (d) violation of ERISA’s age discrimination provisions. In September 2009, the court granted the Company's motion to dismiss the Section 204(h) claim and the age discrimination claim. In December 2012, the court granted the Company’s motion for summary judgment on the remaining two claims, dismissing the action. Plaintiff has appealed to the U.S. Court of Appeals for the 2nd Circuit. Because of the inherent uncertainties of such matters and the current status of this case, the Company is currently unable to make an estimate of loss or range of loss for this case.</w:t>
      </w:r>
    </w:p>
    <w:p>
      <w:pPr>
        <w:spacing w:after="0" w:line="182"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 xml:space="preserve">Management does not believe that the outcome of any such legal proceedings pending against the Company or its consolidated subsidiaries, including </w:t>
      </w:r>
      <w:r>
        <w:rPr>
          <w:rFonts w:ascii="Arial" w:cs="Arial" w:eastAsia="Arial" w:hAnsi="Arial"/>
          <w:sz w:val="17"/>
          <w:szCs w:val="17"/>
          <w:i w:val="1"/>
          <w:iCs w:val="1"/>
          <w:color w:val="auto"/>
        </w:rPr>
        <w:t>In re</w:t>
      </w:r>
      <w:r>
        <w:rPr>
          <w:rFonts w:ascii="Arial" w:cs="Arial" w:eastAsia="Arial" w:hAnsi="Arial"/>
          <w:sz w:val="17"/>
          <w:szCs w:val="17"/>
          <w:color w:val="auto"/>
        </w:rPr>
        <w:t xml:space="preserve"> </w:t>
      </w:r>
      <w:r>
        <w:rPr>
          <w:rFonts w:ascii="Arial" w:cs="Arial" w:eastAsia="Arial" w:hAnsi="Arial"/>
          <w:sz w:val="17"/>
          <w:szCs w:val="17"/>
          <w:i w:val="1"/>
          <w:iCs w:val="1"/>
          <w:color w:val="auto"/>
        </w:rPr>
        <w:t>Foot Locker, Inc. Fair Labor Standards Act and Wage and Hour Litigation</w:t>
      </w:r>
      <w:r>
        <w:rPr>
          <w:rFonts w:ascii="Arial" w:cs="Arial" w:eastAsia="Arial" w:hAnsi="Arial"/>
          <w:sz w:val="17"/>
          <w:szCs w:val="17"/>
          <w:color w:val="auto"/>
        </w:rPr>
        <w:t>,</w:t>
      </w:r>
      <w:r>
        <w:rPr>
          <w:rFonts w:ascii="Arial" w:cs="Arial" w:eastAsia="Arial" w:hAnsi="Arial"/>
          <w:sz w:val="17"/>
          <w:szCs w:val="17"/>
          <w:i w:val="1"/>
          <w:iCs w:val="1"/>
          <w:color w:val="auto"/>
        </w:rPr>
        <w:t xml:space="preserve"> Hill, Cortes, Kissinger, Ghattas, </w:t>
      </w:r>
      <w:r>
        <w:rPr>
          <w:rFonts w:ascii="Arial" w:cs="Arial" w:eastAsia="Arial" w:hAnsi="Arial"/>
          <w:sz w:val="17"/>
          <w:szCs w:val="17"/>
          <w:color w:val="auto"/>
        </w:rPr>
        <w:t>and</w:t>
      </w:r>
      <w:r>
        <w:rPr>
          <w:rFonts w:ascii="Arial" w:cs="Arial" w:eastAsia="Arial" w:hAnsi="Arial"/>
          <w:sz w:val="17"/>
          <w:szCs w:val="17"/>
          <w:i w:val="1"/>
          <w:iCs w:val="1"/>
          <w:color w:val="auto"/>
        </w:rPr>
        <w:t xml:space="preserve"> Osberg</w:t>
      </w:r>
      <w:r>
        <w:rPr>
          <w:rFonts w:ascii="Arial" w:cs="Arial" w:eastAsia="Arial" w:hAnsi="Arial"/>
          <w:sz w:val="17"/>
          <w:szCs w:val="17"/>
          <w:color w:val="auto"/>
        </w:rPr>
        <w:t>, as described above, would have a</w:t>
      </w:r>
      <w:r>
        <w:rPr>
          <w:rFonts w:ascii="Arial" w:cs="Arial" w:eastAsia="Arial" w:hAnsi="Arial"/>
          <w:sz w:val="17"/>
          <w:szCs w:val="17"/>
          <w:i w:val="1"/>
          <w:iCs w:val="1"/>
          <w:color w:val="auto"/>
        </w:rPr>
        <w:t xml:space="preserve"> </w:t>
      </w:r>
      <w:r>
        <w:rPr>
          <w:rFonts w:ascii="Arial" w:cs="Arial" w:eastAsia="Arial" w:hAnsi="Arial"/>
          <w:sz w:val="17"/>
          <w:szCs w:val="17"/>
          <w:color w:val="auto"/>
        </w:rPr>
        <w:t>material adverse effect on the Company’s consolidated financial position, liquidity, or results of operations, taken as a whole.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auto"/>
        </w:rPr>
        <w:t>Item 1A. Risk Factors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no material changes to the risk factors disclosed in the 2012 Annual Report on Form 10-K, except for the addition of the risk factor set forth below.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associated with our recent acquisition.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second quarter of 2013, the Company acquired Runners Point Group, a specialty athletic store and online retailer based in Recklinghausen, Germany. The acquisition of Runners Point Group involves a number of risks, which could significantly and adversely affect our business, financial condition, and results of operations, including:</w:t>
      </w:r>
    </w:p>
    <w:p>
      <w:pPr>
        <w:spacing w:after="0" w:line="181"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failure of Runners Point Group to achieve the results that we expect;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diversion of management’s attention from operational matters;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difficulties integrating the operations and personnel;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potential difficulties associated with the retention of key personnel;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increased business concentration in Germany.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 Unregistered Sales of Equity Securities and Use of Proceeds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provides information with respect to shares of the Company’s common stock that the Company repurchased during the thirteen weeks ended August 3, 2013.</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92"/>
              </w:rPr>
              <w:t>Total Number of</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86"/>
              </w:rPr>
              <w:t>Shares Purchased</w:t>
            </w:r>
          </w:p>
        </w:tc>
        <w:tc>
          <w:tcPr>
            <w:tcW w:w="220" w:type="dxa"/>
            <w:vAlign w:val="bottom"/>
          </w:tcPr>
          <w:p>
            <w:pPr>
              <w:spacing w:after="0"/>
              <w:rPr>
                <w:sz w:val="18"/>
                <w:szCs w:val="18"/>
                <w:color w:val="auto"/>
              </w:rPr>
            </w:pPr>
          </w:p>
        </w:tc>
        <w:tc>
          <w:tcPr>
            <w:tcW w:w="1700" w:type="dxa"/>
            <w:vAlign w:val="bottom"/>
            <w:gridSpan w:val="3"/>
          </w:tcPr>
          <w:p>
            <w:pPr>
              <w:ind w:left="20"/>
              <w:spacing w:after="0"/>
              <w:rPr>
                <w:sz w:val="20"/>
                <w:szCs w:val="20"/>
                <w:color w:val="auto"/>
              </w:rPr>
            </w:pPr>
            <w:r>
              <w:rPr>
                <w:rFonts w:ascii="Arial" w:cs="Arial" w:eastAsia="Arial" w:hAnsi="Arial"/>
                <w:sz w:val="18"/>
                <w:szCs w:val="18"/>
                <w:b w:val="1"/>
                <w:bCs w:val="1"/>
                <w:color w:val="auto"/>
                <w:w w:val="99"/>
              </w:rPr>
              <w:t>Approximate Dollar</w:t>
            </w:r>
          </w:p>
        </w:tc>
      </w:tr>
      <w:tr>
        <w:trPr>
          <w:trHeight w:val="216"/>
        </w:trPr>
        <w:tc>
          <w:tcPr>
            <w:tcW w:w="4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90"/>
              </w:rPr>
              <w:t>as Part of</w:t>
            </w:r>
          </w:p>
        </w:tc>
        <w:tc>
          <w:tcPr>
            <w:tcW w:w="220" w:type="dxa"/>
            <w:vAlign w:val="bottom"/>
          </w:tcPr>
          <w:p>
            <w:pPr>
              <w:spacing w:after="0"/>
              <w:rPr>
                <w:sz w:val="18"/>
                <w:szCs w:val="18"/>
                <w:color w:val="auto"/>
              </w:rPr>
            </w:pPr>
          </w:p>
        </w:tc>
        <w:tc>
          <w:tcPr>
            <w:tcW w:w="1700" w:type="dxa"/>
            <w:vAlign w:val="bottom"/>
            <w:gridSpan w:val="3"/>
          </w:tcPr>
          <w:p>
            <w:pPr>
              <w:spacing w:after="0"/>
              <w:rPr>
                <w:sz w:val="20"/>
                <w:szCs w:val="20"/>
                <w:color w:val="auto"/>
              </w:rPr>
            </w:pPr>
            <w:r>
              <w:rPr>
                <w:rFonts w:ascii="Arial" w:cs="Arial" w:eastAsia="Arial" w:hAnsi="Arial"/>
                <w:sz w:val="18"/>
                <w:szCs w:val="18"/>
                <w:b w:val="1"/>
                <w:bCs w:val="1"/>
                <w:color w:val="auto"/>
                <w:w w:val="97"/>
              </w:rPr>
              <w:t>Value of Shares that</w:t>
            </w:r>
          </w:p>
        </w:tc>
      </w:tr>
      <w:tr>
        <w:trPr>
          <w:trHeight w:val="216"/>
        </w:trPr>
        <w:tc>
          <w:tcPr>
            <w:tcW w:w="4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7"/>
              </w:rPr>
              <w:t>Average</w:t>
            </w: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92"/>
              </w:rPr>
              <w:t>Publicly</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may yet be</w:t>
            </w:r>
          </w:p>
        </w:tc>
      </w:tr>
      <w:tr>
        <w:trPr>
          <w:trHeight w:val="220"/>
        </w:trPr>
        <w:tc>
          <w:tcPr>
            <w:tcW w:w="4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Total Number of</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9"/>
              </w:rPr>
              <w:t>Price Paid</w:t>
            </w: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88"/>
              </w:rPr>
              <w:t>Announced</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Purchased Under</w:t>
            </w:r>
          </w:p>
        </w:tc>
      </w:tr>
      <w:tr>
        <w:trPr>
          <w:trHeight w:val="271"/>
        </w:trPr>
        <w:tc>
          <w:tcPr>
            <w:tcW w:w="4460" w:type="dxa"/>
            <w:vAlign w:val="bottom"/>
            <w:gridSpan w:val="2"/>
          </w:tcPr>
          <w:p>
            <w:pPr>
              <w:ind w:left="1580"/>
              <w:spacing w:after="0"/>
              <w:rPr>
                <w:sz w:val="20"/>
                <w:szCs w:val="20"/>
                <w:color w:val="auto"/>
              </w:rPr>
            </w:pPr>
            <w:r>
              <w:rPr>
                <w:rFonts w:ascii="Arial" w:cs="Arial" w:eastAsia="Arial" w:hAnsi="Arial"/>
                <w:sz w:val="18"/>
                <w:szCs w:val="18"/>
                <w:b w:val="1"/>
                <w:bCs w:val="1"/>
                <w:color w:val="auto"/>
              </w:rPr>
              <w:t>Date Purchased</w:t>
            </w:r>
          </w:p>
        </w:tc>
        <w:tc>
          <w:tcPr>
            <w:tcW w:w="1860" w:type="dxa"/>
            <w:vAlign w:val="bottom"/>
            <w:gridSpan w:val="2"/>
          </w:tcPr>
          <w:p>
            <w:pPr>
              <w:jc w:val="right"/>
              <w:ind w:right="220"/>
              <w:spacing w:after="0" w:line="271" w:lineRule="exact"/>
              <w:rPr>
                <w:sz w:val="20"/>
                <w:szCs w:val="20"/>
                <w:color w:val="auto"/>
              </w:rPr>
            </w:pPr>
            <w:r>
              <w:rPr>
                <w:rFonts w:ascii="Arial" w:cs="Arial" w:eastAsia="Arial" w:hAnsi="Arial"/>
                <w:sz w:val="18"/>
                <w:szCs w:val="18"/>
                <w:b w:val="1"/>
                <w:bCs w:val="1"/>
                <w:color w:val="auto"/>
                <w:w w:val="86"/>
              </w:rPr>
              <w:t xml:space="preserve">Shares Purchased </w:t>
            </w:r>
            <w:r>
              <w:rPr>
                <w:rFonts w:ascii="Arial" w:cs="Arial" w:eastAsia="Arial" w:hAnsi="Arial"/>
                <w:sz w:val="30"/>
                <w:szCs w:val="30"/>
                <w:b w:val="1"/>
                <w:bCs w:val="1"/>
                <w:color w:val="auto"/>
                <w:w w:val="86"/>
                <w:vertAlign w:val="superscript"/>
              </w:rPr>
              <w:t>(1)</w:t>
            </w: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00" w:type="dxa"/>
            <w:vAlign w:val="bottom"/>
            <w:gridSpan w:val="2"/>
          </w:tcPr>
          <w:p>
            <w:pPr>
              <w:jc w:val="center"/>
              <w:ind w:right="400"/>
              <w:spacing w:after="0" w:line="271" w:lineRule="exact"/>
              <w:rPr>
                <w:sz w:val="20"/>
                <w:szCs w:val="20"/>
                <w:color w:val="auto"/>
              </w:rPr>
            </w:pPr>
            <w:r>
              <w:rPr>
                <w:rFonts w:ascii="Arial" w:cs="Arial" w:eastAsia="Arial" w:hAnsi="Arial"/>
                <w:sz w:val="18"/>
                <w:szCs w:val="18"/>
                <w:b w:val="1"/>
                <w:bCs w:val="1"/>
                <w:color w:val="auto"/>
                <w:w w:val="87"/>
              </w:rPr>
              <w:t xml:space="preserve">per Share </w:t>
            </w:r>
            <w:r>
              <w:rPr>
                <w:rFonts w:ascii="Arial" w:cs="Arial" w:eastAsia="Arial" w:hAnsi="Arial"/>
                <w:sz w:val="30"/>
                <w:szCs w:val="30"/>
                <w:b w:val="1"/>
                <w:bCs w:val="1"/>
                <w:color w:val="auto"/>
                <w:w w:val="87"/>
                <w:vertAlign w:val="superscript"/>
              </w:rPr>
              <w:t>(1)</w:t>
            </w:r>
          </w:p>
        </w:tc>
        <w:tc>
          <w:tcPr>
            <w:tcW w:w="1460" w:type="dxa"/>
            <w:vAlign w:val="bottom"/>
          </w:tcPr>
          <w:p>
            <w:pPr>
              <w:jc w:val="center"/>
              <w:spacing w:after="0" w:line="271" w:lineRule="exact"/>
              <w:rPr>
                <w:sz w:val="20"/>
                <w:szCs w:val="20"/>
                <w:color w:val="auto"/>
              </w:rPr>
            </w:pPr>
            <w:r>
              <w:rPr>
                <w:rFonts w:ascii="Arial" w:cs="Arial" w:eastAsia="Arial" w:hAnsi="Arial"/>
                <w:sz w:val="18"/>
                <w:szCs w:val="18"/>
                <w:b w:val="1"/>
                <w:bCs w:val="1"/>
                <w:color w:val="auto"/>
                <w:w w:val="86"/>
              </w:rPr>
              <w:t xml:space="preserve">Program </w:t>
            </w:r>
            <w:r>
              <w:rPr>
                <w:rFonts w:ascii="Arial" w:cs="Arial" w:eastAsia="Arial" w:hAnsi="Arial"/>
                <w:sz w:val="30"/>
                <w:szCs w:val="30"/>
                <w:b w:val="1"/>
                <w:bCs w:val="1"/>
                <w:color w:val="auto"/>
                <w:w w:val="86"/>
                <w:vertAlign w:val="superscript"/>
              </w:rPr>
              <w:t>(2)</w:t>
            </w: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0" w:type="dxa"/>
            <w:vAlign w:val="bottom"/>
            <w:gridSpan w:val="2"/>
          </w:tcPr>
          <w:p>
            <w:pPr>
              <w:jc w:val="center"/>
              <w:ind w:right="200"/>
              <w:spacing w:after="0" w:line="271" w:lineRule="exact"/>
              <w:rPr>
                <w:sz w:val="20"/>
                <w:szCs w:val="20"/>
                <w:color w:val="auto"/>
              </w:rPr>
            </w:pPr>
            <w:r>
              <w:rPr>
                <w:rFonts w:ascii="Arial" w:cs="Arial" w:eastAsia="Arial" w:hAnsi="Arial"/>
                <w:sz w:val="18"/>
                <w:szCs w:val="18"/>
                <w:b w:val="1"/>
                <w:bCs w:val="1"/>
                <w:color w:val="auto"/>
                <w:w w:val="88"/>
              </w:rPr>
              <w:t xml:space="preserve">the Program </w:t>
            </w:r>
            <w:r>
              <w:rPr>
                <w:rFonts w:ascii="Arial" w:cs="Arial" w:eastAsia="Arial" w:hAnsi="Arial"/>
                <w:sz w:val="30"/>
                <w:szCs w:val="30"/>
                <w:b w:val="1"/>
                <w:bCs w:val="1"/>
                <w:color w:val="auto"/>
                <w:w w:val="88"/>
                <w:vertAlign w:val="superscript"/>
              </w:rPr>
              <w:t>(2)</w:t>
            </w:r>
          </w:p>
        </w:tc>
      </w:tr>
      <w:tr>
        <w:trPr>
          <w:trHeight w:val="210"/>
        </w:trPr>
        <w:tc>
          <w:tcPr>
            <w:tcW w:w="436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May 5, 2013 through June 1, 2013</w:t>
            </w:r>
          </w:p>
        </w:tc>
        <w:tc>
          <w:tcPr>
            <w:tcW w:w="100" w:type="dxa"/>
            <w:vAlign w:val="bottom"/>
            <w:tcBorders>
              <w:top w:val="single" w:sz="8" w:color="CCFFCC"/>
            </w:tcBorders>
            <w:shd w:val="clear" w:color="auto" w:fill="CCFFCC"/>
          </w:tcPr>
          <w:p>
            <w:pPr>
              <w:spacing w:after="0"/>
              <w:rPr>
                <w:sz w:val="18"/>
                <w:szCs w:val="18"/>
                <w:color w:val="auto"/>
              </w:rPr>
            </w:pPr>
          </w:p>
        </w:tc>
        <w:tc>
          <w:tcPr>
            <w:tcW w:w="16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85,988</w:t>
            </w:r>
          </w:p>
        </w:tc>
        <w:tc>
          <w:tcPr>
            <w:tcW w:w="240" w:type="dxa"/>
            <w:vAlign w:val="bottom"/>
            <w:tcBorders>
              <w:top w:val="single" w:sz="8" w:color="CCFFCC"/>
            </w:tcBorders>
            <w:shd w:val="clear" w:color="auto" w:fill="CCFFCC"/>
          </w:tcPr>
          <w:p>
            <w:pPr>
              <w:spacing w:after="0"/>
              <w:rPr>
                <w:sz w:val="18"/>
                <w:szCs w:val="18"/>
                <w:color w:val="auto"/>
              </w:rPr>
            </w:pPr>
          </w:p>
        </w:tc>
        <w:tc>
          <w:tcPr>
            <w:tcW w:w="40" w:type="dxa"/>
            <w:vAlign w:val="bottom"/>
            <w:tcBorders>
              <w:top w:val="single" w:sz="8" w:color="CCFFCC"/>
            </w:tcBorders>
            <w:shd w:val="clear" w:color="auto" w:fill="CCFFCC"/>
          </w:tcPr>
          <w:p>
            <w:pPr>
              <w:spacing w:after="0"/>
              <w:rPr>
                <w:sz w:val="18"/>
                <w:szCs w:val="18"/>
                <w:color w:val="auto"/>
              </w:rPr>
            </w:pPr>
          </w:p>
        </w:tc>
        <w:tc>
          <w:tcPr>
            <w:tcW w:w="1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33.90</w:t>
            </w:r>
          </w:p>
        </w:tc>
        <w:tc>
          <w:tcPr>
            <w:tcW w:w="220" w:type="dxa"/>
            <w:vAlign w:val="bottom"/>
            <w:tcBorders>
              <w:top w:val="single" w:sz="8" w:color="CCFFCC"/>
            </w:tcBorders>
            <w:shd w:val="clear" w:color="auto" w:fill="CCFFCC"/>
          </w:tcPr>
          <w:p>
            <w:pPr>
              <w:spacing w:after="0"/>
              <w:rPr>
                <w:sz w:val="18"/>
                <w:szCs w:val="18"/>
                <w:color w:val="auto"/>
              </w:rPr>
            </w:pPr>
          </w:p>
        </w:tc>
        <w:tc>
          <w:tcPr>
            <w:tcW w:w="14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600,000,000</w:t>
            </w:r>
          </w:p>
        </w:tc>
        <w:tc>
          <w:tcPr>
            <w:tcW w:w="100" w:type="dxa"/>
            <w:vAlign w:val="bottom"/>
            <w:tcBorders>
              <w:top w:val="single" w:sz="8" w:color="CCFFCC"/>
            </w:tcBorders>
            <w:shd w:val="clear" w:color="auto" w:fill="CCFFCC"/>
          </w:tcPr>
          <w:p>
            <w:pPr>
              <w:spacing w:after="0"/>
              <w:rPr>
                <w:sz w:val="18"/>
                <w:szCs w:val="18"/>
                <w:color w:val="auto"/>
              </w:rPr>
            </w:pPr>
          </w:p>
        </w:tc>
      </w:tr>
      <w:tr>
        <w:trPr>
          <w:trHeight w:val="216"/>
        </w:trPr>
        <w:tc>
          <w:tcPr>
            <w:tcW w:w="4460" w:type="dxa"/>
            <w:vAlign w:val="bottom"/>
            <w:gridSpan w:val="2"/>
          </w:tcPr>
          <w:p>
            <w:pPr>
              <w:spacing w:after="0"/>
              <w:rPr>
                <w:sz w:val="20"/>
                <w:szCs w:val="20"/>
                <w:color w:val="auto"/>
              </w:rPr>
            </w:pPr>
            <w:r>
              <w:rPr>
                <w:rFonts w:ascii="Arial" w:cs="Arial" w:eastAsia="Arial" w:hAnsi="Arial"/>
                <w:sz w:val="18"/>
                <w:szCs w:val="18"/>
                <w:color w:val="auto"/>
              </w:rPr>
              <w:t>June 2, 2013 through July 6, 2013</w:t>
            </w:r>
          </w:p>
        </w:tc>
        <w:tc>
          <w:tcPr>
            <w:tcW w:w="1860" w:type="dxa"/>
            <w:vAlign w:val="bottom"/>
            <w:gridSpan w:val="2"/>
          </w:tcPr>
          <w:p>
            <w:pPr>
              <w:jc w:val="right"/>
              <w:ind w:right="60"/>
              <w:spacing w:after="0"/>
              <w:rPr>
                <w:sz w:val="20"/>
                <w:szCs w:val="20"/>
                <w:color w:val="auto"/>
              </w:rPr>
            </w:pPr>
            <w:r>
              <w:rPr>
                <w:rFonts w:ascii="Arial" w:cs="Arial" w:eastAsia="Arial" w:hAnsi="Arial"/>
                <w:sz w:val="18"/>
                <w:szCs w:val="18"/>
                <w:color w:val="auto"/>
              </w:rPr>
              <w:t>2,371,000</w:t>
            </w:r>
            <w:r>
              <w:rPr>
                <w:rFonts w:ascii="Arial" w:cs="Arial" w:eastAsia="Arial" w:hAnsi="Arial"/>
                <w:sz w:val="15"/>
                <w:szCs w:val="15"/>
                <w:color w:val="auto"/>
              </w:rPr>
              <w:t>(3)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35.38</w:t>
            </w:r>
          </w:p>
        </w:tc>
        <w:tc>
          <w:tcPr>
            <w:tcW w:w="1460" w:type="dxa"/>
            <w:vAlign w:val="bottom"/>
          </w:tcPr>
          <w:p>
            <w:pPr>
              <w:jc w:val="right"/>
              <w:spacing w:after="0"/>
              <w:rPr>
                <w:sz w:val="20"/>
                <w:szCs w:val="20"/>
                <w:color w:val="auto"/>
              </w:rPr>
            </w:pPr>
            <w:r>
              <w:rPr>
                <w:rFonts w:ascii="Arial" w:cs="Arial" w:eastAsia="Arial" w:hAnsi="Arial"/>
                <w:sz w:val="18"/>
                <w:szCs w:val="18"/>
                <w:color w:val="auto"/>
              </w:rPr>
              <w:t>2,371,000</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516,102,667</w:t>
            </w:r>
          </w:p>
        </w:tc>
      </w:tr>
      <w:tr>
        <w:trPr>
          <w:trHeight w:val="230"/>
        </w:trPr>
        <w:tc>
          <w:tcPr>
            <w:tcW w:w="44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July 7, 2013 through August 3, 2013</w:t>
            </w:r>
          </w:p>
        </w:tc>
        <w:tc>
          <w:tcPr>
            <w:tcW w:w="1860" w:type="dxa"/>
            <w:vAlign w:val="bottom"/>
            <w:gridSpan w:val="2"/>
            <w:shd w:val="clear" w:color="auto" w:fill="CCFFCC"/>
          </w:tcPr>
          <w:p>
            <w:pPr>
              <w:jc w:val="right"/>
              <w:ind w:right="60"/>
              <w:spacing w:after="0" w:line="230" w:lineRule="exact"/>
              <w:rPr>
                <w:sz w:val="20"/>
                <w:szCs w:val="20"/>
                <w:color w:val="auto"/>
              </w:rPr>
            </w:pPr>
            <w:r>
              <w:rPr>
                <w:rFonts w:ascii="Arial" w:cs="Arial" w:eastAsia="Arial" w:hAnsi="Arial"/>
                <w:sz w:val="16"/>
                <w:szCs w:val="16"/>
                <w:color w:val="auto"/>
              </w:rPr>
              <w:t>455,073</w:t>
            </w:r>
            <w:r>
              <w:rPr>
                <w:rFonts w:ascii="Arial" w:cs="Arial" w:eastAsia="Arial" w:hAnsi="Arial"/>
                <w:sz w:val="26"/>
                <w:szCs w:val="26"/>
                <w:color w:val="auto"/>
                <w:vertAlign w:val="superscript"/>
              </w:rPr>
              <w:t>(3)</w:t>
            </w:r>
          </w:p>
        </w:tc>
        <w:tc>
          <w:tcPr>
            <w:tcW w:w="2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35.38</w:t>
            </w:r>
          </w:p>
        </w:tc>
        <w:tc>
          <w:tcPr>
            <w:tcW w:w="14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455,073</w:t>
            </w:r>
          </w:p>
        </w:tc>
        <w:tc>
          <w:tcPr>
            <w:tcW w:w="320" w:type="dxa"/>
            <w:vAlign w:val="bottom"/>
            <w:gridSpan w:val="2"/>
            <w:shd w:val="clear" w:color="auto" w:fill="CCFFCC"/>
          </w:tcPr>
          <w:p>
            <w:pPr>
              <w:ind w:left="220"/>
              <w:spacing w:after="0"/>
              <w:rPr>
                <w:sz w:val="20"/>
                <w:szCs w:val="20"/>
                <w:color w:val="auto"/>
              </w:rPr>
            </w:pPr>
            <w:r>
              <w:rPr>
                <w:rFonts w:ascii="Arial" w:cs="Arial" w:eastAsia="Arial" w:hAnsi="Arial"/>
                <w:sz w:val="18"/>
                <w:szCs w:val="18"/>
                <w:color w:val="auto"/>
                <w:w w:val="79"/>
              </w:rPr>
              <w:t>$</w:t>
            </w:r>
          </w:p>
        </w:tc>
        <w:tc>
          <w:tcPr>
            <w:tcW w:w="16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500,000,000</w:t>
            </w:r>
          </w:p>
        </w:tc>
      </w:tr>
      <w:tr>
        <w:trPr>
          <w:trHeight w:val="224"/>
        </w:trPr>
        <w:tc>
          <w:tcPr>
            <w:tcW w:w="4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2,912,061</w:t>
            </w: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35.34</w:t>
            </w:r>
          </w:p>
        </w:tc>
        <w:tc>
          <w:tcPr>
            <w:tcW w:w="220" w:type="dxa"/>
            <w:vAlign w:val="bottom"/>
          </w:tcPr>
          <w:p>
            <w:pPr>
              <w:spacing w:after="0"/>
              <w:rPr>
                <w:sz w:val="19"/>
                <w:szCs w:val="19"/>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2,826,073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bl>
    <w:p>
      <w:pPr>
        <w:spacing w:after="0" w:line="187" w:lineRule="exact"/>
        <w:rPr>
          <w:sz w:val="20"/>
          <w:szCs w:val="20"/>
          <w:color w:val="auto"/>
        </w:rPr>
      </w:pPr>
    </w:p>
    <w:p>
      <w:pPr>
        <w:jc w:val="both"/>
        <w:ind w:left="340" w:hanging="332"/>
        <w:spacing w:after="0" w:line="209" w:lineRule="auto"/>
        <w:tabs>
          <w:tab w:leader="none" w:pos="340" w:val="left"/>
        </w:tabs>
        <w:numPr>
          <w:ilvl w:val="0"/>
          <w:numId w:val="26"/>
        </w:numPr>
        <w:rPr>
          <w:rFonts w:ascii="Arial" w:cs="Arial" w:eastAsia="Arial" w:hAnsi="Arial"/>
          <w:sz w:val="30"/>
          <w:szCs w:val="30"/>
          <w:color w:val="auto"/>
          <w:vertAlign w:val="superscript"/>
        </w:rPr>
      </w:pPr>
      <w:r>
        <w:rPr>
          <w:rFonts w:ascii="Arial" w:cs="Arial" w:eastAsia="Arial" w:hAnsi="Arial"/>
          <w:sz w:val="18"/>
          <w:szCs w:val="18"/>
          <w:color w:val="auto"/>
        </w:rPr>
        <w:t>These columns also reflect shares acquired in satisfaction of the tax withholding obligation of holders of restricted stock and restricted stock units which vested during the quarter. The calculation of the average price paid per share includes all fees, commissions, and other costs associated with the repurchase of such shares.</w:t>
      </w:r>
    </w:p>
    <w:p>
      <w:pPr>
        <w:spacing w:after="0" w:line="203" w:lineRule="exact"/>
        <w:rPr>
          <w:rFonts w:ascii="Arial" w:cs="Arial" w:eastAsia="Arial" w:hAnsi="Arial"/>
          <w:sz w:val="30"/>
          <w:szCs w:val="30"/>
          <w:color w:val="auto"/>
          <w:vertAlign w:val="superscript"/>
        </w:rPr>
      </w:pPr>
    </w:p>
    <w:p>
      <w:pPr>
        <w:ind w:left="340" w:right="20" w:hanging="332"/>
        <w:spacing w:after="0" w:line="194" w:lineRule="auto"/>
        <w:tabs>
          <w:tab w:leader="none" w:pos="340" w:val="left"/>
        </w:tabs>
        <w:numPr>
          <w:ilvl w:val="0"/>
          <w:numId w:val="26"/>
        </w:numPr>
        <w:rPr>
          <w:rFonts w:ascii="Arial" w:cs="Arial" w:eastAsia="Arial" w:hAnsi="Arial"/>
          <w:sz w:val="30"/>
          <w:szCs w:val="30"/>
          <w:color w:val="auto"/>
          <w:vertAlign w:val="superscript"/>
        </w:rPr>
      </w:pPr>
      <w:r>
        <w:rPr>
          <w:rFonts w:ascii="Arial" w:cs="Arial" w:eastAsia="Arial" w:hAnsi="Arial"/>
          <w:sz w:val="18"/>
          <w:szCs w:val="18"/>
          <w:color w:val="auto"/>
        </w:rPr>
        <w:t>On February 20, 2013, the Company’s Board of Directors approved a new 3-year, $600 million share repurchase program extending through January 2016.</w:t>
      </w:r>
    </w:p>
    <w:p>
      <w:pPr>
        <w:spacing w:after="0" w:line="202" w:lineRule="exact"/>
        <w:rPr>
          <w:rFonts w:ascii="Arial" w:cs="Arial" w:eastAsia="Arial" w:hAnsi="Arial"/>
          <w:sz w:val="30"/>
          <w:szCs w:val="30"/>
          <w:color w:val="auto"/>
          <w:vertAlign w:val="superscript"/>
        </w:rPr>
      </w:pPr>
    </w:p>
    <w:p>
      <w:pPr>
        <w:jc w:val="both"/>
        <w:ind w:left="340" w:hanging="332"/>
        <w:spacing w:after="0" w:line="218" w:lineRule="auto"/>
        <w:tabs>
          <w:tab w:leader="none" w:pos="340" w:val="left"/>
        </w:tabs>
        <w:numPr>
          <w:ilvl w:val="0"/>
          <w:numId w:val="26"/>
        </w:numPr>
        <w:rPr>
          <w:rFonts w:ascii="Arial" w:cs="Arial" w:eastAsia="Arial" w:hAnsi="Arial"/>
          <w:sz w:val="30"/>
          <w:szCs w:val="30"/>
          <w:color w:val="auto"/>
          <w:vertAlign w:val="superscript"/>
        </w:rPr>
      </w:pPr>
      <w:r>
        <w:rPr>
          <w:rFonts w:ascii="Arial" w:cs="Arial" w:eastAsia="Arial" w:hAnsi="Arial"/>
          <w:sz w:val="18"/>
          <w:szCs w:val="18"/>
          <w:color w:val="auto"/>
        </w:rPr>
        <w:t>On May 31, 2013, the Company paid $100 million under an Accelerated Share Repurchase (“ASR”) agreement and received an initial delivery of 2,371,000 shares. The transaction was completed by the end of the second quarter with the Company receiving 455,073 additional shares to settle the agreement. The price paid per share was calculated with reference to the average stock price of the Company’s common stock over the term of the ASR agreement.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6. Exhibits</w:t>
      </w:r>
    </w:p>
    <w:p>
      <w:pPr>
        <w:spacing w:after="0" w:line="23" w:lineRule="exact"/>
        <w:rPr>
          <w:sz w:val="20"/>
          <w:szCs w:val="20"/>
          <w:color w:val="auto"/>
        </w:rPr>
      </w:pPr>
    </w:p>
    <w:p>
      <w:pPr>
        <w:ind w:left="920" w:hanging="687"/>
        <w:spacing w:after="0"/>
        <w:tabs>
          <w:tab w:leader="none" w:pos="92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Exhibits</w:t>
      </w:r>
    </w:p>
    <w:p>
      <w:pPr>
        <w:spacing w:after="0" w:line="9"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The exhibits that are in this report immediately follow the index.</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Company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FOOT LOCKER, INC.</w:t>
            </w:r>
          </w:p>
        </w:tc>
      </w:tr>
      <w:tr>
        <w:trPr>
          <w:trHeight w:val="230"/>
        </w:trPr>
        <w:tc>
          <w:tcPr>
            <w:tcW w:w="3760" w:type="dxa"/>
            <w:vAlign w:val="bottom"/>
          </w:tcPr>
          <w:p>
            <w:pPr>
              <w:spacing w:after="0"/>
              <w:rPr>
                <w:sz w:val="20"/>
                <w:szCs w:val="20"/>
                <w:color w:val="auto"/>
              </w:rPr>
            </w:pPr>
            <w:r>
              <w:rPr>
                <w:rFonts w:ascii="Arial" w:cs="Arial" w:eastAsia="Arial" w:hAnsi="Arial"/>
                <w:sz w:val="18"/>
                <w:szCs w:val="18"/>
                <w:color w:val="auto"/>
              </w:rPr>
              <w:t>Date: September 11, 2013</w:t>
            </w:r>
          </w:p>
        </w:tc>
        <w:tc>
          <w:tcPr>
            <w:tcW w:w="252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(Company)</w:t>
            </w:r>
          </w:p>
        </w:tc>
      </w:tr>
      <w:tr>
        <w:trPr>
          <w:trHeight w:val="432"/>
        </w:trPr>
        <w:tc>
          <w:tcPr>
            <w:tcW w:w="37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Lauren B. Peters</w:t>
            </w:r>
          </w:p>
        </w:tc>
      </w:tr>
      <w:tr>
        <w:trPr>
          <w:trHeight w:val="195"/>
        </w:trPr>
        <w:tc>
          <w:tcPr>
            <w:tcW w:w="376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LAUREN B. PETERS</w:t>
            </w:r>
          </w:p>
        </w:tc>
      </w:tr>
      <w:tr>
        <w:trPr>
          <w:trHeight w:val="230"/>
        </w:trPr>
        <w:tc>
          <w:tcPr>
            <w:tcW w:w="376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Executive Vice President and Chief Financial Officer</w:t>
            </w:r>
          </w:p>
        </w:tc>
      </w:tr>
      <w:tr>
        <w:trPr>
          <w:trHeight w:val="648"/>
        </w:trPr>
        <w:tc>
          <w:tcPr>
            <w:tcW w:w="376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29</w:t>
            </w: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77" w:right="239" w:bottom="1440" w:gutter="0" w:footer="0" w:header="0"/>
        </w:sectPr>
      </w:pPr>
    </w:p>
    <w:bookmarkStart w:id="29" w:name="page30"/>
    <w:bookmarkEnd w:id="2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jc w:val="center"/>
              <w:ind w:right="1270"/>
              <w:spacing w:after="0"/>
              <w:rPr>
                <w:sz w:val="20"/>
                <w:szCs w:val="20"/>
                <w:color w:val="auto"/>
              </w:rPr>
            </w:pPr>
            <w:r>
              <w:rPr>
                <w:rFonts w:ascii="Arial" w:cs="Arial" w:eastAsia="Arial" w:hAnsi="Arial"/>
                <w:sz w:val="18"/>
                <w:szCs w:val="18"/>
                <w:b w:val="1"/>
                <w:bCs w:val="1"/>
                <w:color w:val="auto"/>
              </w:rPr>
              <w:t>FOOT LOCKER, INC.</w:t>
            </w:r>
          </w:p>
        </w:tc>
      </w:tr>
      <w:tr>
        <w:trPr>
          <w:trHeight w:val="414"/>
        </w:trPr>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40" w:type="dxa"/>
            <w:vAlign w:val="bottom"/>
          </w:tcPr>
          <w:p>
            <w:pPr>
              <w:jc w:val="center"/>
              <w:ind w:right="1270"/>
              <w:spacing w:after="0"/>
              <w:rPr>
                <w:sz w:val="20"/>
                <w:szCs w:val="20"/>
                <w:color w:val="auto"/>
              </w:rPr>
            </w:pPr>
            <w:r>
              <w:rPr>
                <w:rFonts w:ascii="Arial" w:cs="Arial" w:eastAsia="Arial" w:hAnsi="Arial"/>
                <w:sz w:val="18"/>
                <w:szCs w:val="18"/>
                <w:b w:val="1"/>
                <w:bCs w:val="1"/>
                <w:color w:val="auto"/>
              </w:rPr>
              <w:t>INDEX OF EXHIBITS REQUIRED BY ITEM 6(a) OF FORM 10-Q</w:t>
            </w:r>
          </w:p>
        </w:tc>
      </w:tr>
      <w:tr>
        <w:trPr>
          <w:trHeight w:val="234"/>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jc w:val="center"/>
              <w:ind w:right="1290"/>
              <w:spacing w:after="0"/>
              <w:rPr>
                <w:sz w:val="20"/>
                <w:szCs w:val="20"/>
                <w:color w:val="auto"/>
              </w:rPr>
            </w:pPr>
            <w:r>
              <w:rPr>
                <w:rFonts w:ascii="Arial" w:cs="Arial" w:eastAsia="Arial" w:hAnsi="Arial"/>
                <w:sz w:val="18"/>
                <w:szCs w:val="18"/>
                <w:b w:val="1"/>
                <w:bCs w:val="1"/>
                <w:color w:val="auto"/>
              </w:rPr>
              <w:t>AND FURNISHED IN ACCORDANCE WITH ITEM 601 OF REGULATION S-K</w:t>
            </w:r>
          </w:p>
        </w:tc>
      </w:tr>
      <w:tr>
        <w:trPr>
          <w:trHeight w:val="414"/>
        </w:trPr>
        <w:tc>
          <w:tcPr>
            <w:tcW w:w="1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Exhibit</w:t>
            </w:r>
          </w:p>
        </w:tc>
        <w:tc>
          <w:tcPr>
            <w:tcW w:w="10040" w:type="dxa"/>
            <w:vAlign w:val="bottom"/>
          </w:tcPr>
          <w:p>
            <w:pPr>
              <w:spacing w:after="0"/>
              <w:rPr>
                <w:sz w:val="24"/>
                <w:szCs w:val="24"/>
                <w:color w:val="auto"/>
              </w:rPr>
            </w:pPr>
          </w:p>
        </w:tc>
      </w:tr>
      <w:tr>
        <w:trPr>
          <w:trHeight w:val="234"/>
        </w:trPr>
        <w:tc>
          <w:tcPr>
            <w:tcW w:w="1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Item 601</w:t>
            </w:r>
          </w:p>
        </w:tc>
        <w:tc>
          <w:tcPr>
            <w:tcW w:w="10040" w:type="dxa"/>
            <w:vAlign w:val="bottom"/>
          </w:tcPr>
          <w:p>
            <w:pPr>
              <w:spacing w:after="0"/>
              <w:rPr>
                <w:sz w:val="20"/>
                <w:szCs w:val="20"/>
                <w:color w:val="auto"/>
              </w:rPr>
            </w:pPr>
            <w:r>
              <w:rPr>
                <w:rFonts w:ascii="Arial" w:cs="Arial" w:eastAsia="Arial" w:hAnsi="Arial"/>
                <w:sz w:val="18"/>
                <w:szCs w:val="18"/>
                <w:b w:val="1"/>
                <w:bCs w:val="1"/>
                <w:color w:val="auto"/>
              </w:rPr>
              <w:t>Description</w:t>
            </w:r>
          </w:p>
        </w:tc>
      </w:tr>
      <w:tr>
        <w:trPr>
          <w:trHeight w:val="224"/>
        </w:trPr>
        <w:tc>
          <w:tcPr>
            <w:tcW w:w="11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220" w:type="dxa"/>
            <w:vAlign w:val="bottom"/>
          </w:tcPr>
          <w:p>
            <w:pPr>
              <w:spacing w:after="0"/>
              <w:rPr>
                <w:sz w:val="19"/>
                <w:szCs w:val="19"/>
                <w:color w:val="auto"/>
              </w:rPr>
            </w:pPr>
          </w:p>
        </w:tc>
        <w:tc>
          <w:tcPr>
            <w:tcW w:w="100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Computation of Ratio of Earnings to Fixed Charges.</w:t>
            </w:r>
          </w:p>
        </w:tc>
      </w:tr>
      <w:tr>
        <w:trPr>
          <w:trHeight w:val="418"/>
        </w:trPr>
        <w:tc>
          <w:tcPr>
            <w:tcW w:w="1160" w:type="dxa"/>
            <w:vAlign w:val="bottom"/>
          </w:tcPr>
          <w:p>
            <w:pPr>
              <w:jc w:val="center"/>
              <w:spacing w:after="0"/>
              <w:rPr>
                <w:sz w:val="20"/>
                <w:szCs w:val="20"/>
                <w:color w:val="auto"/>
              </w:rPr>
            </w:pPr>
            <w:r>
              <w:rPr>
                <w:rFonts w:ascii="Arial" w:cs="Arial" w:eastAsia="Arial" w:hAnsi="Arial"/>
                <w:sz w:val="18"/>
                <w:szCs w:val="18"/>
                <w:color w:val="auto"/>
                <w:w w:val="89"/>
              </w:rPr>
              <w:t>15</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Accountants’ Acknowledgement.</w:t>
            </w:r>
          </w:p>
        </w:tc>
      </w:tr>
      <w:tr>
        <w:trPr>
          <w:trHeight w:val="418"/>
        </w:trPr>
        <w:tc>
          <w:tcPr>
            <w:tcW w:w="116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4"/>
              </w:rPr>
              <w:t>Certification of Chief Executive Officer Pursuant to Rule 13a-14(a) or 15d-14(a), as adopted pursuant to Section 302 of the Sarbanes-</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Oxley Act of 2002.</w:t>
            </w:r>
          </w:p>
        </w:tc>
      </w:tr>
      <w:tr>
        <w:trPr>
          <w:trHeight w:val="418"/>
        </w:trPr>
        <w:tc>
          <w:tcPr>
            <w:tcW w:w="116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0"/>
              </w:rPr>
              <w:t>Certification of Chief Financial Officer Pursuant to Rule 13a-14(a) or 15d-14(a), as adopted pursuant to Section 302 of the Sarbanes-Oxley</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Act of 2002.</w:t>
            </w:r>
          </w:p>
        </w:tc>
      </w:tr>
      <w:tr>
        <w:trPr>
          <w:trHeight w:val="418"/>
        </w:trPr>
        <w:tc>
          <w:tcPr>
            <w:tcW w:w="1160" w:type="dxa"/>
            <w:vAlign w:val="bottom"/>
          </w:tcPr>
          <w:p>
            <w:pPr>
              <w:jc w:val="center"/>
              <w:spacing w:after="0"/>
              <w:rPr>
                <w:sz w:val="20"/>
                <w:szCs w:val="20"/>
                <w:color w:val="auto"/>
              </w:rPr>
            </w:pPr>
            <w:r>
              <w:rPr>
                <w:rFonts w:ascii="Arial" w:cs="Arial" w:eastAsia="Arial" w:hAnsi="Arial"/>
                <w:sz w:val="18"/>
                <w:szCs w:val="18"/>
                <w:color w:val="auto"/>
                <w:w w:val="91"/>
              </w:rPr>
              <w:t>32.1</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3"/>
              </w:rPr>
              <w:t>Certification of Chief Executive Officer and Chief Financial Officer Pursuant to 18 U.S.C. Section 1350, as Adopted Pursuant to Section</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906 of the Sarbanes-Oxley Act of 2002.</w:t>
            </w:r>
          </w:p>
        </w:tc>
      </w:tr>
      <w:tr>
        <w:trPr>
          <w:trHeight w:val="432"/>
        </w:trPr>
        <w:tc>
          <w:tcPr>
            <w:tcW w:w="1160" w:type="dxa"/>
            <w:vAlign w:val="bottom"/>
          </w:tcPr>
          <w:p>
            <w:pPr>
              <w:jc w:val="center"/>
              <w:spacing w:after="0"/>
              <w:rPr>
                <w:sz w:val="20"/>
                <w:szCs w:val="20"/>
                <w:color w:val="auto"/>
              </w:rPr>
            </w:pPr>
            <w:r>
              <w:rPr>
                <w:rFonts w:ascii="Arial" w:cs="Arial" w:eastAsia="Arial" w:hAnsi="Arial"/>
                <w:sz w:val="18"/>
                <w:szCs w:val="18"/>
                <w:color w:val="auto"/>
                <w:w w:val="89"/>
              </w:rPr>
              <w:t>99</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Report of Independent Registered Public Accounting Firm.</w:t>
            </w:r>
          </w:p>
        </w:tc>
      </w:tr>
      <w:tr>
        <w:trPr>
          <w:trHeight w:val="432"/>
        </w:trPr>
        <w:tc>
          <w:tcPr>
            <w:tcW w:w="1160" w:type="dxa"/>
            <w:vAlign w:val="bottom"/>
          </w:tcPr>
          <w:p>
            <w:pPr>
              <w:jc w:val="center"/>
              <w:spacing w:after="0"/>
              <w:rPr>
                <w:sz w:val="20"/>
                <w:szCs w:val="20"/>
                <w:color w:val="auto"/>
              </w:rPr>
            </w:pPr>
            <w:r>
              <w:rPr>
                <w:rFonts w:ascii="Arial" w:cs="Arial" w:eastAsia="Arial" w:hAnsi="Arial"/>
                <w:sz w:val="18"/>
                <w:szCs w:val="18"/>
                <w:color w:val="auto"/>
                <w:w w:val="93"/>
              </w:rPr>
              <w:t>101</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Interactive data files.</w:t>
            </w:r>
          </w:p>
        </w:tc>
      </w:tr>
      <w:tr>
        <w:trPr>
          <w:trHeight w:val="648"/>
        </w:trPr>
        <w:tc>
          <w:tcPr>
            <w:tcW w:w="1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40" w:type="dxa"/>
            <w:vAlign w:val="bottom"/>
            <w:tcBorders>
              <w:bottom w:val="single" w:sz="8" w:color="auto"/>
            </w:tcBorders>
          </w:tcPr>
          <w:p>
            <w:pPr>
              <w:jc w:val="center"/>
              <w:ind w:right="1290"/>
              <w:spacing w:after="0"/>
              <w:rPr>
                <w:sz w:val="20"/>
                <w:szCs w:val="20"/>
                <w:color w:val="auto"/>
              </w:rPr>
            </w:pPr>
            <w:r>
              <w:rPr>
                <w:rFonts w:ascii="Arial" w:cs="Arial" w:eastAsia="Arial" w:hAnsi="Arial"/>
                <w:sz w:val="18"/>
                <w:szCs w:val="18"/>
                <w:color w:val="auto"/>
                <w:w w:val="89"/>
              </w:rPr>
              <w:t>30</w:t>
            </w:r>
          </w:p>
        </w:tc>
      </w:tr>
    </w:tbl>
    <w:p>
      <w:pPr>
        <w:sectPr>
          <w:pgSz w:w="11900" w:h="16838" w:orient="portrait"/>
          <w:cols w:equalWidth="0" w:num="1">
            <w:col w:w="11420"/>
          </w:cols>
          <w:pgMar w:left="240" w:top="877"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COMPUTATION OF RATIO OF EARNINGS TO FIXED CHARGES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0" w:type="dxa"/>
            <w:vAlign w:val="bottom"/>
            <w:gridSpan w:val="5"/>
          </w:tcPr>
          <w:p>
            <w:pPr>
              <w:ind w:left="160"/>
              <w:spacing w:after="0"/>
              <w:rPr>
                <w:sz w:val="20"/>
                <w:szCs w:val="20"/>
                <w:color w:val="auto"/>
              </w:rPr>
            </w:pPr>
            <w:r>
              <w:rPr>
                <w:rFonts w:ascii="Arial" w:cs="Arial" w:eastAsia="Arial" w:hAnsi="Arial"/>
                <w:sz w:val="18"/>
                <w:szCs w:val="18"/>
                <w:b w:val="1"/>
                <w:bCs w:val="1"/>
                <w:color w:val="auto"/>
              </w:rPr>
              <w:t>Twenty-six weeks</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3"/>
          </w:tcPr>
          <w:p>
            <w:pPr>
              <w:ind w:left="600"/>
              <w:spacing w:after="0"/>
              <w:rPr>
                <w:sz w:val="20"/>
                <w:szCs w:val="20"/>
                <w:color w:val="auto"/>
              </w:rPr>
            </w:pPr>
            <w:r>
              <w:rPr>
                <w:rFonts w:ascii="Arial" w:cs="Arial" w:eastAsia="Arial" w:hAnsi="Arial"/>
                <w:sz w:val="18"/>
                <w:szCs w:val="18"/>
                <w:b w:val="1"/>
                <w:bCs w:val="1"/>
                <w:color w:val="auto"/>
                <w:w w:val="82"/>
              </w:rPr>
              <w:t>ended</w:t>
            </w:r>
          </w:p>
        </w:tc>
        <w:tc>
          <w:tcPr>
            <w:tcW w:w="70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8"/>
          </w:tcPr>
          <w:p>
            <w:pPr>
              <w:jc w:val="right"/>
              <w:spacing w:after="0"/>
              <w:rPr>
                <w:sz w:val="20"/>
                <w:szCs w:val="20"/>
                <w:color w:val="auto"/>
              </w:rPr>
            </w:pPr>
            <w:r>
              <w:rPr>
                <w:rFonts w:ascii="Arial" w:cs="Arial" w:eastAsia="Arial" w:hAnsi="Arial"/>
                <w:sz w:val="18"/>
                <w:szCs w:val="18"/>
                <w:b w:val="1"/>
                <w:bCs w:val="1"/>
                <w:color w:val="auto"/>
              </w:rPr>
              <w:t>Fiscal year ended</w:t>
            </w:r>
          </w:p>
        </w:tc>
        <w:tc>
          <w:tcPr>
            <w:tcW w:w="7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ind w:left="20"/>
              <w:spacing w:after="0" w:line="205" w:lineRule="exact"/>
              <w:rPr>
                <w:sz w:val="20"/>
                <w:szCs w:val="20"/>
                <w:color w:val="auto"/>
              </w:rPr>
            </w:pPr>
            <w:r>
              <w:rPr>
                <w:rFonts w:ascii="Arial" w:cs="Arial" w:eastAsia="Arial" w:hAnsi="Arial"/>
                <w:sz w:val="18"/>
                <w:szCs w:val="18"/>
                <w:b w:val="1"/>
                <w:bCs w:val="1"/>
                <w:color w:val="auto"/>
              </w:rPr>
              <w:t>Aug. 3,</w:t>
            </w:r>
          </w:p>
        </w:tc>
        <w:tc>
          <w:tcPr>
            <w:tcW w:w="100" w:type="dxa"/>
            <w:vAlign w:val="bottom"/>
          </w:tcPr>
          <w:p>
            <w:pPr>
              <w:spacing w:after="0"/>
              <w:rPr>
                <w:sz w:val="17"/>
                <w:szCs w:val="17"/>
                <w:color w:val="auto"/>
              </w:rPr>
            </w:pPr>
          </w:p>
        </w:tc>
        <w:tc>
          <w:tcPr>
            <w:tcW w:w="700" w:type="dxa"/>
            <w:vAlign w:val="bottom"/>
          </w:tcPr>
          <w:p>
            <w:pPr>
              <w:jc w:val="right"/>
              <w:ind w:right="30"/>
              <w:spacing w:after="0" w:line="205" w:lineRule="exact"/>
              <w:rPr>
                <w:sz w:val="20"/>
                <w:szCs w:val="20"/>
                <w:color w:val="auto"/>
              </w:rPr>
            </w:pPr>
            <w:r>
              <w:rPr>
                <w:rFonts w:ascii="Arial" w:cs="Arial" w:eastAsia="Arial" w:hAnsi="Arial"/>
                <w:sz w:val="18"/>
                <w:szCs w:val="18"/>
                <w:b w:val="1"/>
                <w:bCs w:val="1"/>
                <w:color w:val="auto"/>
                <w:w w:val="91"/>
              </w:rPr>
              <w:t>Jul. 28,</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ind w:left="40"/>
              <w:spacing w:after="0" w:line="205" w:lineRule="exact"/>
              <w:rPr>
                <w:sz w:val="20"/>
                <w:szCs w:val="20"/>
                <w:color w:val="auto"/>
              </w:rPr>
            </w:pPr>
            <w:r>
              <w:rPr>
                <w:rFonts w:ascii="Arial" w:cs="Arial" w:eastAsia="Arial" w:hAnsi="Arial"/>
                <w:sz w:val="18"/>
                <w:szCs w:val="18"/>
                <w:b w:val="1"/>
                <w:bCs w:val="1"/>
                <w:color w:val="auto"/>
              </w:rPr>
              <w:t>Feb. 2,</w:t>
            </w:r>
          </w:p>
        </w:tc>
        <w:tc>
          <w:tcPr>
            <w:tcW w:w="100" w:type="dxa"/>
            <w:vAlign w:val="bottom"/>
          </w:tcPr>
          <w:p>
            <w:pPr>
              <w:spacing w:after="0"/>
              <w:rPr>
                <w:sz w:val="17"/>
                <w:szCs w:val="17"/>
                <w:color w:val="auto"/>
              </w:rPr>
            </w:pPr>
          </w:p>
        </w:tc>
        <w:tc>
          <w:tcPr>
            <w:tcW w:w="800" w:type="dxa"/>
            <w:vAlign w:val="bottom"/>
            <w:gridSpan w:val="2"/>
          </w:tcPr>
          <w:p>
            <w:pPr>
              <w:spacing w:after="0" w:line="205" w:lineRule="exact"/>
              <w:rPr>
                <w:sz w:val="20"/>
                <w:szCs w:val="20"/>
                <w:color w:val="auto"/>
              </w:rPr>
            </w:pPr>
            <w:r>
              <w:rPr>
                <w:rFonts w:ascii="Arial" w:cs="Arial" w:eastAsia="Arial" w:hAnsi="Arial"/>
                <w:sz w:val="18"/>
                <w:szCs w:val="18"/>
                <w:b w:val="1"/>
                <w:bCs w:val="1"/>
                <w:color w:val="auto"/>
              </w:rPr>
              <w:t>Jan. 28,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spacing w:after="0" w:line="205" w:lineRule="exact"/>
              <w:rPr>
                <w:sz w:val="20"/>
                <w:szCs w:val="20"/>
                <w:color w:val="auto"/>
              </w:rPr>
            </w:pPr>
            <w:r>
              <w:rPr>
                <w:rFonts w:ascii="Arial" w:cs="Arial" w:eastAsia="Arial" w:hAnsi="Arial"/>
                <w:sz w:val="18"/>
                <w:szCs w:val="18"/>
                <w:b w:val="1"/>
                <w:bCs w:val="1"/>
                <w:color w:val="auto"/>
              </w:rPr>
              <w:t>Jan. 29,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spacing w:after="0" w:line="205" w:lineRule="exact"/>
              <w:rPr>
                <w:sz w:val="20"/>
                <w:szCs w:val="20"/>
                <w:color w:val="auto"/>
              </w:rPr>
            </w:pPr>
            <w:r>
              <w:rPr>
                <w:rFonts w:ascii="Arial" w:cs="Arial" w:eastAsia="Arial" w:hAnsi="Arial"/>
                <w:sz w:val="18"/>
                <w:szCs w:val="18"/>
                <w:b w:val="1"/>
                <w:bCs w:val="1"/>
                <w:color w:val="auto"/>
              </w:rPr>
              <w:t>Jan. 30,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ind w:right="10"/>
              <w:spacing w:after="0" w:line="205" w:lineRule="exact"/>
              <w:rPr>
                <w:sz w:val="20"/>
                <w:szCs w:val="20"/>
                <w:color w:val="auto"/>
              </w:rPr>
            </w:pPr>
            <w:r>
              <w:rPr>
                <w:rFonts w:ascii="Arial" w:cs="Arial" w:eastAsia="Arial" w:hAnsi="Arial"/>
                <w:sz w:val="18"/>
                <w:szCs w:val="18"/>
                <w:b w:val="1"/>
                <w:bCs w:val="1"/>
                <w:color w:val="auto"/>
                <w:w w:val="87"/>
              </w:rPr>
              <w:t>Jan. 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40" w:type="dxa"/>
            <w:vAlign w:val="bottom"/>
            <w:tcBorders>
              <w:bottom w:val="single" w:sz="8" w:color="CCFFC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2013</w:t>
            </w:r>
          </w:p>
        </w:tc>
        <w:tc>
          <w:tcPr>
            <w:tcW w:w="260" w:type="dxa"/>
            <w:vAlign w:val="bottom"/>
            <w:tcBorders>
              <w:bottom w:val="single" w:sz="8" w:color="CCFFC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2012</w:t>
            </w:r>
          </w:p>
        </w:tc>
        <w:tc>
          <w:tcPr>
            <w:tcW w:w="240" w:type="dxa"/>
            <w:vAlign w:val="bottom"/>
            <w:tcBorders>
              <w:bottom w:val="single" w:sz="8" w:color="CCFFC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2013</w:t>
            </w:r>
          </w:p>
        </w:tc>
        <w:tc>
          <w:tcPr>
            <w:tcW w:w="240" w:type="dxa"/>
            <w:vAlign w:val="bottom"/>
            <w:tcBorders>
              <w:bottom w:val="single" w:sz="8" w:color="CCFFC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2012</w:t>
            </w:r>
          </w:p>
        </w:tc>
        <w:tc>
          <w:tcPr>
            <w:tcW w:w="100" w:type="dxa"/>
            <w:vAlign w:val="bottom"/>
            <w:tcBorders>
              <w:bottom w:val="single" w:sz="8" w:color="CCFFCC"/>
            </w:tcBorders>
          </w:tcPr>
          <w:p>
            <w:pPr>
              <w:spacing w:after="0"/>
              <w:rPr>
                <w:sz w:val="20"/>
                <w:szCs w:val="20"/>
                <w:color w:val="auto"/>
              </w:rPr>
            </w:pPr>
          </w:p>
        </w:tc>
        <w:tc>
          <w:tcPr>
            <w:tcW w:w="100" w:type="dxa"/>
            <w:vAlign w:val="bottom"/>
            <w:tcBorders>
              <w:bottom w:val="single" w:sz="8" w:color="CCFFC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2011</w:t>
            </w:r>
          </w:p>
        </w:tc>
        <w:tc>
          <w:tcPr>
            <w:tcW w:w="100" w:type="dxa"/>
            <w:vAlign w:val="bottom"/>
            <w:tcBorders>
              <w:bottom w:val="single" w:sz="8" w:color="CCFFCC"/>
            </w:tcBorders>
          </w:tcPr>
          <w:p>
            <w:pPr>
              <w:spacing w:after="0"/>
              <w:rPr>
                <w:sz w:val="20"/>
                <w:szCs w:val="20"/>
                <w:color w:val="auto"/>
              </w:rPr>
            </w:pPr>
          </w:p>
        </w:tc>
        <w:tc>
          <w:tcPr>
            <w:tcW w:w="100" w:type="dxa"/>
            <w:vAlign w:val="bottom"/>
            <w:tcBorders>
              <w:bottom w:val="single" w:sz="8" w:color="CCFFC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2010</w:t>
            </w:r>
          </w:p>
        </w:tc>
        <w:tc>
          <w:tcPr>
            <w:tcW w:w="100" w:type="dxa"/>
            <w:vAlign w:val="bottom"/>
            <w:tcBorders>
              <w:bottom w:val="single" w:sz="8" w:color="CCFFCC"/>
            </w:tcBorders>
          </w:tcPr>
          <w:p>
            <w:pPr>
              <w:spacing w:after="0"/>
              <w:rPr>
                <w:sz w:val="20"/>
                <w:szCs w:val="20"/>
                <w:color w:val="auto"/>
              </w:rPr>
            </w:pPr>
          </w:p>
        </w:tc>
        <w:tc>
          <w:tcPr>
            <w:tcW w:w="100" w:type="dxa"/>
            <w:vAlign w:val="bottom"/>
            <w:tcBorders>
              <w:bottom w:val="single" w:sz="8" w:color="CCFFC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2009</w:t>
            </w:r>
          </w:p>
        </w:tc>
        <w:tc>
          <w:tcPr>
            <w:tcW w:w="100" w:type="dxa"/>
            <w:vAlign w:val="bottom"/>
            <w:tcBorders>
              <w:bottom w:val="single" w:sz="8" w:color="CCFFCC"/>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shd w:val="clear" w:color="auto" w:fill="CCFFCC"/>
          </w:tcPr>
          <w:p>
            <w:pPr>
              <w:spacing w:after="0"/>
              <w:rPr>
                <w:sz w:val="20"/>
                <w:szCs w:val="20"/>
                <w:color w:val="auto"/>
              </w:rPr>
            </w:pPr>
            <w:r>
              <w:rPr>
                <w:rFonts w:ascii="Arial" w:cs="Arial" w:eastAsia="Arial" w:hAnsi="Arial"/>
                <w:sz w:val="18"/>
                <w:szCs w:val="18"/>
                <w:color w:val="auto"/>
              </w:rPr>
              <w:t>NET EARNINGS</w:t>
            </w:r>
          </w:p>
        </w:tc>
        <w:tc>
          <w:tcPr>
            <w:tcW w:w="100" w:type="dxa"/>
            <w:vAlign w:val="bottom"/>
            <w:shd w:val="clear" w:color="auto" w:fill="CCFFCC"/>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Income (loss) from continuing operations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ind w:left="440"/>
              <w:spacing w:after="0"/>
              <w:rPr>
                <w:sz w:val="20"/>
                <w:szCs w:val="20"/>
                <w:color w:val="auto"/>
              </w:rPr>
            </w:pPr>
            <w:r>
              <w:rPr>
                <w:rFonts w:ascii="Arial" w:cs="Arial" w:eastAsia="Arial" w:hAnsi="Arial"/>
                <w:sz w:val="18"/>
                <w:szCs w:val="18"/>
                <w:color w:val="auto"/>
              </w:rPr>
              <w:t>204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187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397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278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169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FFCC"/>
          </w:tcPr>
          <w:p>
            <w:pPr>
              <w:spacing w:after="0"/>
              <w:rPr>
                <w:sz w:val="20"/>
                <w:szCs w:val="20"/>
                <w:color w:val="auto"/>
              </w:rPr>
            </w:pPr>
            <w:r>
              <w:rPr>
                <w:rFonts w:ascii="Arial" w:cs="Arial" w:eastAsia="Arial" w:hAnsi="Arial"/>
                <w:sz w:val="18"/>
                <w:szCs w:val="18"/>
                <w:color w:val="auto"/>
              </w:rPr>
              <w:t>Income tax expense (benefit)</w:t>
            </w:r>
          </w:p>
        </w:tc>
        <w:tc>
          <w:tcPr>
            <w:tcW w:w="100" w:type="dxa"/>
            <w:vAlign w:val="bottom"/>
            <w:shd w:val="clear" w:color="auto" w:fill="CCFFCC"/>
          </w:tcPr>
          <w:p>
            <w:pPr>
              <w:spacing w:after="0"/>
              <w:rPr>
                <w:sz w:val="18"/>
                <w:szCs w:val="18"/>
                <w:color w:val="auto"/>
              </w:rPr>
            </w:pPr>
          </w:p>
        </w:tc>
        <w:tc>
          <w:tcPr>
            <w:tcW w:w="960" w:type="dxa"/>
            <w:vAlign w:val="bottom"/>
            <w:gridSpan w:val="2"/>
            <w:shd w:val="clear" w:color="auto" w:fill="CCFFCC"/>
          </w:tcPr>
          <w:p>
            <w:pPr>
              <w:ind w:left="440"/>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107</w:t>
            </w:r>
          </w:p>
        </w:tc>
        <w:tc>
          <w:tcPr>
            <w:tcW w:w="12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210</w:t>
            </w:r>
          </w:p>
        </w:tc>
        <w:tc>
          <w:tcPr>
            <w:tcW w:w="100" w:type="dxa"/>
            <w:vAlign w:val="bottom"/>
            <w:shd w:val="clear" w:color="auto" w:fill="CCFFCC"/>
          </w:tcPr>
          <w:p>
            <w:pPr>
              <w:spacing w:after="0"/>
              <w:rPr>
                <w:sz w:val="18"/>
                <w:szCs w:val="18"/>
                <w:color w:val="auto"/>
              </w:rPr>
            </w:pPr>
          </w:p>
        </w:tc>
        <w:tc>
          <w:tcPr>
            <w:tcW w:w="8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Interest expense, excluding capitalized interest</w:t>
            </w: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4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rPr>
              <w:t>Portion of rents deemed representative of the interest</w:t>
            </w:r>
          </w:p>
        </w:tc>
        <w:tc>
          <w:tcPr>
            <w:tcW w:w="100" w:type="dxa"/>
            <w:vAlign w:val="bottom"/>
            <w:shd w:val="clear" w:color="auto" w:fill="CCFFCC"/>
          </w:tcPr>
          <w:p>
            <w:pPr>
              <w:spacing w:after="0"/>
              <w:rPr>
                <w:sz w:val="17"/>
                <w:szCs w:val="17"/>
                <w:color w:val="auto"/>
              </w:rPr>
            </w:pPr>
          </w:p>
        </w:tc>
        <w:tc>
          <w:tcPr>
            <w:tcW w:w="70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70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70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7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7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7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7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factor</w:t>
            </w:r>
          </w:p>
        </w:tc>
        <w:tc>
          <w:tcPr>
            <w:tcW w:w="100" w:type="dxa"/>
            <w:vAlign w:val="bottom"/>
            <w:shd w:val="clear" w:color="auto" w:fill="CCFFCC"/>
          </w:tcPr>
          <w:p>
            <w:pPr>
              <w:spacing w:after="0"/>
              <w:rPr>
                <w:sz w:val="20"/>
                <w:szCs w:val="20"/>
                <w:color w:val="auto"/>
              </w:rPr>
            </w:pPr>
          </w:p>
        </w:tc>
        <w:tc>
          <w:tcPr>
            <w:tcW w:w="700" w:type="dxa"/>
            <w:vAlign w:val="bottom"/>
            <w:shd w:val="clear" w:color="auto" w:fill="CCFFCC"/>
          </w:tcPr>
          <w:p>
            <w:pPr>
              <w:ind w:left="460"/>
              <w:spacing w:after="0"/>
              <w:rPr>
                <w:sz w:val="20"/>
                <w:szCs w:val="20"/>
                <w:color w:val="auto"/>
              </w:rPr>
            </w:pPr>
            <w:r>
              <w:rPr>
                <w:rFonts w:ascii="Arial" w:cs="Arial" w:eastAsia="Arial" w:hAnsi="Arial"/>
                <w:sz w:val="18"/>
                <w:szCs w:val="18"/>
                <w:color w:val="auto"/>
                <w:w w:val="73"/>
              </w:rPr>
              <w:t>111</w:t>
            </w:r>
          </w:p>
        </w:tc>
        <w:tc>
          <w:tcPr>
            <w:tcW w:w="26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94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109</w:t>
            </w:r>
          </w:p>
        </w:tc>
        <w:tc>
          <w:tcPr>
            <w:tcW w:w="120" w:type="dxa"/>
            <w:vAlign w:val="bottom"/>
            <w:shd w:val="clear" w:color="auto" w:fill="CCFFCC"/>
          </w:tcPr>
          <w:p>
            <w:pPr>
              <w:spacing w:after="0"/>
              <w:rPr>
                <w:sz w:val="20"/>
                <w:szCs w:val="20"/>
                <w:color w:val="auto"/>
              </w:rPr>
            </w:pPr>
          </w:p>
        </w:tc>
        <w:tc>
          <w:tcPr>
            <w:tcW w:w="94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222</w:t>
            </w:r>
          </w:p>
        </w:tc>
        <w:tc>
          <w:tcPr>
            <w:tcW w:w="100" w:type="dxa"/>
            <w:vAlign w:val="bottom"/>
            <w:shd w:val="clear" w:color="auto" w:fill="CCFFCC"/>
          </w:tcPr>
          <w:p>
            <w:pPr>
              <w:spacing w:after="0"/>
              <w:rPr>
                <w:sz w:val="20"/>
                <w:szCs w:val="20"/>
                <w:color w:val="auto"/>
              </w:rPr>
            </w:pPr>
          </w:p>
        </w:tc>
        <w:tc>
          <w:tcPr>
            <w:tcW w:w="8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218</w:t>
            </w:r>
          </w:p>
        </w:tc>
        <w:tc>
          <w:tcPr>
            <w:tcW w:w="10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8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213</w:t>
            </w:r>
          </w:p>
        </w:tc>
        <w:tc>
          <w:tcPr>
            <w:tcW w:w="10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8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217</w:t>
            </w:r>
          </w:p>
        </w:tc>
        <w:tc>
          <w:tcPr>
            <w:tcW w:w="10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8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Borders>
              <w:bottom w:val="single" w:sz="8" w:color="CCFFCC"/>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8"/>
                <w:szCs w:val="18"/>
                <w:color w:val="auto"/>
                <w:w w:val="79"/>
              </w:rPr>
              <w:t>438</w:t>
            </w:r>
          </w:p>
        </w:tc>
        <w:tc>
          <w:tcPr>
            <w:tcW w:w="260" w:type="dxa"/>
            <w:vAlign w:val="bottom"/>
            <w:tcBorders>
              <w:bottom w:val="single" w:sz="8" w:color="CCFFCC"/>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408</w:t>
            </w:r>
          </w:p>
        </w:tc>
        <w:tc>
          <w:tcPr>
            <w:tcW w:w="240" w:type="dxa"/>
            <w:vAlign w:val="bottom"/>
            <w:tcBorders>
              <w:bottom w:val="single" w:sz="8" w:color="CCFFCC"/>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840</w:t>
            </w:r>
          </w:p>
        </w:tc>
        <w:tc>
          <w:tcPr>
            <w:tcW w:w="240" w:type="dxa"/>
            <w:vAlign w:val="bottom"/>
            <w:tcBorders>
              <w:bottom w:val="single" w:sz="8" w:color="CCFFCC"/>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666</w:t>
            </w:r>
          </w:p>
        </w:tc>
        <w:tc>
          <w:tcPr>
            <w:tcW w:w="100" w:type="dxa"/>
            <w:vAlign w:val="bottom"/>
            <w:tcBorders>
              <w:bottom w:val="single" w:sz="8" w:color="CCFFCC"/>
            </w:tcBorders>
          </w:tcPr>
          <w:p>
            <w:pPr>
              <w:spacing w:after="0"/>
              <w:rPr>
                <w:sz w:val="18"/>
                <w:szCs w:val="18"/>
                <w:color w:val="auto"/>
              </w:rPr>
            </w:pPr>
          </w:p>
        </w:tc>
        <w:tc>
          <w:tcPr>
            <w:tcW w:w="100" w:type="dxa"/>
            <w:vAlign w:val="bottom"/>
            <w:tcBorders>
              <w:bottom w:val="single" w:sz="8" w:color="CCFFCC"/>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484</w:t>
            </w:r>
          </w:p>
        </w:tc>
        <w:tc>
          <w:tcPr>
            <w:tcW w:w="100" w:type="dxa"/>
            <w:vAlign w:val="bottom"/>
            <w:tcBorders>
              <w:bottom w:val="single" w:sz="8" w:color="CCFFCC"/>
            </w:tcBorders>
          </w:tcPr>
          <w:p>
            <w:pPr>
              <w:spacing w:after="0"/>
              <w:rPr>
                <w:sz w:val="18"/>
                <w:szCs w:val="18"/>
                <w:color w:val="auto"/>
              </w:rPr>
            </w:pPr>
          </w:p>
        </w:tc>
        <w:tc>
          <w:tcPr>
            <w:tcW w:w="100" w:type="dxa"/>
            <w:vAlign w:val="bottom"/>
            <w:tcBorders>
              <w:bottom w:val="single" w:sz="8" w:color="CCFFCC"/>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303</w:t>
            </w:r>
          </w:p>
        </w:tc>
        <w:tc>
          <w:tcPr>
            <w:tcW w:w="100" w:type="dxa"/>
            <w:vAlign w:val="bottom"/>
            <w:tcBorders>
              <w:bottom w:val="single" w:sz="8" w:color="CCFFCC"/>
            </w:tcBorders>
          </w:tcPr>
          <w:p>
            <w:pPr>
              <w:spacing w:after="0"/>
              <w:rPr>
                <w:sz w:val="18"/>
                <w:szCs w:val="18"/>
                <w:color w:val="auto"/>
              </w:rPr>
            </w:pPr>
          </w:p>
        </w:tc>
        <w:tc>
          <w:tcPr>
            <w:tcW w:w="100" w:type="dxa"/>
            <w:vAlign w:val="bottom"/>
            <w:tcBorders>
              <w:bottom w:val="single" w:sz="8" w:color="CCFFCC"/>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FIXED CHARGES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FFCC"/>
          </w:tcPr>
          <w:p>
            <w:pPr>
              <w:spacing w:after="0"/>
              <w:rPr>
                <w:sz w:val="20"/>
                <w:szCs w:val="20"/>
                <w:color w:val="auto"/>
              </w:rPr>
            </w:pPr>
            <w:r>
              <w:rPr>
                <w:rFonts w:ascii="Arial" w:cs="Arial" w:eastAsia="Arial" w:hAnsi="Arial"/>
                <w:sz w:val="18"/>
                <w:szCs w:val="18"/>
                <w:color w:val="auto"/>
              </w:rPr>
              <w:t>Gross interest expense</w:t>
            </w:r>
          </w:p>
        </w:tc>
        <w:tc>
          <w:tcPr>
            <w:tcW w:w="10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w:t>
            </w:r>
          </w:p>
        </w:tc>
        <w:tc>
          <w:tcPr>
            <w:tcW w:w="2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14</w:t>
            </w:r>
          </w:p>
        </w:tc>
        <w:tc>
          <w:tcPr>
            <w:tcW w:w="2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w:t>
            </w:r>
          </w:p>
        </w:tc>
        <w:tc>
          <w:tcPr>
            <w:tcW w:w="2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40" w:type="dxa"/>
            <w:vAlign w:val="bottom"/>
          </w:tcPr>
          <w:p>
            <w:pPr>
              <w:spacing w:after="0" w:line="201" w:lineRule="exact"/>
              <w:rPr>
                <w:sz w:val="20"/>
                <w:szCs w:val="20"/>
                <w:color w:val="auto"/>
              </w:rPr>
            </w:pPr>
            <w:r>
              <w:rPr>
                <w:rFonts w:ascii="Arial" w:cs="Arial" w:eastAsia="Arial" w:hAnsi="Arial"/>
                <w:sz w:val="18"/>
                <w:szCs w:val="18"/>
                <w:color w:val="auto"/>
              </w:rPr>
              <w:t>Portion of rents deemed representative of the interest</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40" w:type="dxa"/>
            <w:vAlign w:val="bottom"/>
          </w:tcPr>
          <w:p>
            <w:pPr>
              <w:ind w:left="160"/>
              <w:spacing w:after="0"/>
              <w:rPr>
                <w:sz w:val="20"/>
                <w:szCs w:val="20"/>
                <w:color w:val="auto"/>
              </w:rPr>
            </w:pPr>
            <w:r>
              <w:rPr>
                <w:rFonts w:ascii="Arial" w:cs="Arial" w:eastAsia="Arial" w:hAnsi="Arial"/>
                <w:sz w:val="18"/>
                <w:szCs w:val="18"/>
                <w:color w:val="auto"/>
              </w:rPr>
              <w:t>factor</w:t>
            </w:r>
          </w:p>
        </w:tc>
        <w:tc>
          <w:tcPr>
            <w:tcW w:w="100" w:type="dxa"/>
            <w:vAlign w:val="bottom"/>
          </w:tcPr>
          <w:p>
            <w:pPr>
              <w:spacing w:after="0"/>
              <w:rPr>
                <w:sz w:val="20"/>
                <w:szCs w:val="20"/>
                <w:color w:val="auto"/>
              </w:rPr>
            </w:pPr>
          </w:p>
        </w:tc>
        <w:tc>
          <w:tcPr>
            <w:tcW w:w="700" w:type="dxa"/>
            <w:vAlign w:val="bottom"/>
          </w:tcPr>
          <w:p>
            <w:pPr>
              <w:ind w:left="460"/>
              <w:spacing w:after="0"/>
              <w:rPr>
                <w:sz w:val="20"/>
                <w:szCs w:val="20"/>
                <w:color w:val="auto"/>
              </w:rPr>
            </w:pPr>
            <w:r>
              <w:rPr>
                <w:rFonts w:ascii="Arial" w:cs="Arial" w:eastAsia="Arial" w:hAnsi="Arial"/>
                <w:sz w:val="18"/>
                <w:szCs w:val="18"/>
                <w:color w:val="auto"/>
                <w:w w:val="73"/>
              </w:rPr>
              <w:t>111</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FFCC"/>
          </w:tcPr>
          <w:p>
            <w:pPr>
              <w:ind w:left="440"/>
              <w:spacing w:after="0"/>
              <w:rPr>
                <w:sz w:val="20"/>
                <w:szCs w:val="20"/>
                <w:color w:val="auto"/>
              </w:rPr>
            </w:pPr>
            <w:r>
              <w:rPr>
                <w:rFonts w:ascii="Arial" w:cs="Arial" w:eastAsia="Arial" w:hAnsi="Arial"/>
                <w:sz w:val="18"/>
                <w:szCs w:val="18"/>
                <w:color w:val="auto"/>
                <w:w w:val="79"/>
              </w:rPr>
              <w:t>116</w:t>
            </w:r>
          </w:p>
        </w:tc>
        <w:tc>
          <w:tcPr>
            <w:tcW w:w="26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114</w:t>
            </w:r>
          </w:p>
        </w:tc>
        <w:tc>
          <w:tcPr>
            <w:tcW w:w="24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233</w:t>
            </w:r>
          </w:p>
        </w:tc>
        <w:tc>
          <w:tcPr>
            <w:tcW w:w="24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241</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FFCC"/>
          </w:tcPr>
          <w:p>
            <w:pPr>
              <w:spacing w:after="0"/>
              <w:rPr>
                <w:sz w:val="20"/>
                <w:szCs w:val="20"/>
                <w:color w:val="auto"/>
              </w:rPr>
            </w:pPr>
            <w:r>
              <w:rPr>
                <w:rFonts w:ascii="Arial" w:cs="Arial" w:eastAsia="Arial" w:hAnsi="Arial"/>
                <w:sz w:val="18"/>
                <w:szCs w:val="18"/>
                <w:color w:val="auto"/>
              </w:rPr>
              <w:t>RATIO OF EARNINGS TO FIXED CHARGES</w:t>
            </w:r>
          </w:p>
        </w:tc>
        <w:tc>
          <w:tcPr>
            <w:tcW w:w="10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FFCC"/>
          </w:tcPr>
          <w:p>
            <w:pPr>
              <w:spacing w:after="0"/>
              <w:rPr>
                <w:sz w:val="18"/>
                <w:szCs w:val="18"/>
                <w:color w:val="auto"/>
              </w:rPr>
            </w:pPr>
          </w:p>
        </w:tc>
        <w:tc>
          <w:tcPr>
            <w:tcW w:w="8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4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15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ACCOUNTANTS’ ACKNOWLEDGEMENT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Foot Locker, Inc.:</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hereby acknowledge our awareness of the use of our report dated September 11, 2013 related to our review of interim financial information in the following Registration Statements:</w:t>
      </w:r>
    </w:p>
    <w:p>
      <w:pPr>
        <w:spacing w:after="0" w:line="170" w:lineRule="exact"/>
        <w:rPr>
          <w:sz w:val="20"/>
          <w:szCs w:val="20"/>
          <w:color w:val="auto"/>
        </w:rPr>
      </w:pPr>
    </w:p>
    <w:p>
      <w:pPr>
        <w:ind w:left="380" w:hanging="318"/>
        <w:spacing w:after="0"/>
        <w:tabs>
          <w:tab w:leader="none" w:pos="3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Form S-8 No. 33-10783</w:t>
      </w:r>
    </w:p>
    <w:p>
      <w:pPr>
        <w:spacing w:after="0" w:line="23" w:lineRule="exact"/>
        <w:rPr>
          <w:rFonts w:ascii="Arial" w:cs="Arial" w:eastAsia="Arial" w:hAnsi="Arial"/>
          <w:sz w:val="18"/>
          <w:szCs w:val="18"/>
          <w:color w:val="auto"/>
        </w:rPr>
      </w:pPr>
    </w:p>
    <w:p>
      <w:pPr>
        <w:ind w:left="380" w:hanging="318"/>
        <w:spacing w:after="0"/>
        <w:tabs>
          <w:tab w:leader="none" w:pos="3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Form S-8 No. 33-91888</w:t>
      </w:r>
    </w:p>
    <w:p>
      <w:pPr>
        <w:spacing w:after="0" w:line="9" w:lineRule="exact"/>
        <w:rPr>
          <w:rFonts w:ascii="Arial" w:cs="Arial" w:eastAsia="Arial" w:hAnsi="Arial"/>
          <w:sz w:val="18"/>
          <w:szCs w:val="18"/>
          <w:color w:val="auto"/>
        </w:rPr>
      </w:pPr>
    </w:p>
    <w:p>
      <w:pPr>
        <w:ind w:left="380" w:hanging="318"/>
        <w:spacing w:after="0"/>
        <w:tabs>
          <w:tab w:leader="none" w:pos="3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Form S-8 No. 33-91886</w:t>
      </w:r>
    </w:p>
    <w:p>
      <w:pPr>
        <w:spacing w:after="0" w:line="9" w:lineRule="exact"/>
        <w:rPr>
          <w:rFonts w:ascii="Arial" w:cs="Arial" w:eastAsia="Arial" w:hAnsi="Arial"/>
          <w:sz w:val="18"/>
          <w:szCs w:val="18"/>
          <w:color w:val="auto"/>
        </w:rPr>
      </w:pPr>
    </w:p>
    <w:p>
      <w:pPr>
        <w:ind w:left="380" w:hanging="318"/>
        <w:spacing w:after="0"/>
        <w:tabs>
          <w:tab w:leader="none" w:pos="3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Form S-8 No. 33-97832</w:t>
      </w:r>
    </w:p>
    <w:p>
      <w:pPr>
        <w:spacing w:after="0" w:line="9" w:lineRule="exact"/>
        <w:rPr>
          <w:rFonts w:ascii="Arial" w:cs="Arial" w:eastAsia="Arial" w:hAnsi="Arial"/>
          <w:sz w:val="18"/>
          <w:szCs w:val="18"/>
          <w:color w:val="auto"/>
        </w:rPr>
      </w:pPr>
    </w:p>
    <w:p>
      <w:pPr>
        <w:ind w:left="380" w:hanging="318"/>
        <w:spacing w:after="0"/>
        <w:tabs>
          <w:tab w:leader="none" w:pos="3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Form S-8 No. 333-07215</w:t>
      </w:r>
    </w:p>
    <w:p>
      <w:pPr>
        <w:spacing w:after="0" w:line="9" w:lineRule="exact"/>
        <w:rPr>
          <w:rFonts w:ascii="Arial" w:cs="Arial" w:eastAsia="Arial" w:hAnsi="Arial"/>
          <w:sz w:val="18"/>
          <w:szCs w:val="18"/>
          <w:color w:val="auto"/>
        </w:rPr>
      </w:pPr>
    </w:p>
    <w:p>
      <w:pPr>
        <w:ind w:left="380" w:hanging="318"/>
        <w:spacing w:after="0"/>
        <w:tabs>
          <w:tab w:leader="none" w:pos="3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Form S-8 No. 333-21131</w:t>
      </w:r>
    </w:p>
    <w:p>
      <w:pPr>
        <w:spacing w:after="0" w:line="9" w:lineRule="exact"/>
        <w:rPr>
          <w:rFonts w:ascii="Arial" w:cs="Arial" w:eastAsia="Arial" w:hAnsi="Arial"/>
          <w:sz w:val="18"/>
          <w:szCs w:val="18"/>
          <w:color w:val="auto"/>
        </w:rPr>
      </w:pPr>
    </w:p>
    <w:p>
      <w:pPr>
        <w:ind w:left="380" w:hanging="318"/>
        <w:spacing w:after="0"/>
        <w:tabs>
          <w:tab w:leader="none" w:pos="3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Form S-8 No. 333-62425</w:t>
      </w:r>
    </w:p>
    <w:p>
      <w:pPr>
        <w:spacing w:after="0" w:line="9" w:lineRule="exact"/>
        <w:rPr>
          <w:rFonts w:ascii="Arial" w:cs="Arial" w:eastAsia="Arial" w:hAnsi="Arial"/>
          <w:sz w:val="18"/>
          <w:szCs w:val="18"/>
          <w:color w:val="auto"/>
        </w:rPr>
      </w:pPr>
    </w:p>
    <w:p>
      <w:pPr>
        <w:ind w:left="380" w:hanging="318"/>
        <w:spacing w:after="0"/>
        <w:tabs>
          <w:tab w:leader="none" w:pos="3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Form S-8 No. 333-33120</w:t>
      </w:r>
    </w:p>
    <w:p>
      <w:pPr>
        <w:spacing w:after="0" w:line="9" w:lineRule="exact"/>
        <w:rPr>
          <w:rFonts w:ascii="Arial" w:cs="Arial" w:eastAsia="Arial" w:hAnsi="Arial"/>
          <w:sz w:val="18"/>
          <w:szCs w:val="18"/>
          <w:color w:val="auto"/>
        </w:rPr>
      </w:pPr>
    </w:p>
    <w:p>
      <w:pPr>
        <w:ind w:left="380" w:hanging="318"/>
        <w:spacing w:after="0"/>
        <w:tabs>
          <w:tab w:leader="none" w:pos="3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Form S-8 No. 333-41056</w:t>
      </w:r>
    </w:p>
    <w:p>
      <w:pPr>
        <w:spacing w:after="0" w:line="9" w:lineRule="exact"/>
        <w:rPr>
          <w:rFonts w:ascii="Arial" w:cs="Arial" w:eastAsia="Arial" w:hAnsi="Arial"/>
          <w:sz w:val="18"/>
          <w:szCs w:val="18"/>
          <w:color w:val="auto"/>
        </w:rPr>
      </w:pPr>
    </w:p>
    <w:p>
      <w:pPr>
        <w:ind w:left="380" w:hanging="318"/>
        <w:spacing w:after="0"/>
        <w:tabs>
          <w:tab w:leader="none" w:pos="3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Form S-8 No. 333-41058</w:t>
      </w:r>
    </w:p>
    <w:p>
      <w:pPr>
        <w:spacing w:after="0" w:line="9" w:lineRule="exact"/>
        <w:rPr>
          <w:rFonts w:ascii="Arial" w:cs="Arial" w:eastAsia="Arial" w:hAnsi="Arial"/>
          <w:sz w:val="18"/>
          <w:szCs w:val="18"/>
          <w:color w:val="auto"/>
        </w:rPr>
      </w:pPr>
    </w:p>
    <w:p>
      <w:pPr>
        <w:ind w:left="380" w:hanging="318"/>
        <w:spacing w:after="0"/>
        <w:tabs>
          <w:tab w:leader="none" w:pos="3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Form S-8 No. 333-74688</w:t>
      </w:r>
    </w:p>
    <w:p>
      <w:pPr>
        <w:spacing w:after="0" w:line="9" w:lineRule="exact"/>
        <w:rPr>
          <w:rFonts w:ascii="Arial" w:cs="Arial" w:eastAsia="Arial" w:hAnsi="Arial"/>
          <w:sz w:val="18"/>
          <w:szCs w:val="18"/>
          <w:color w:val="auto"/>
        </w:rPr>
      </w:pPr>
    </w:p>
    <w:p>
      <w:pPr>
        <w:ind w:left="380" w:hanging="318"/>
        <w:spacing w:after="0"/>
        <w:tabs>
          <w:tab w:leader="none" w:pos="3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Form S-8 No. 333-99829</w:t>
      </w:r>
    </w:p>
    <w:p>
      <w:pPr>
        <w:spacing w:after="0" w:line="9" w:lineRule="exact"/>
        <w:rPr>
          <w:rFonts w:ascii="Arial" w:cs="Arial" w:eastAsia="Arial" w:hAnsi="Arial"/>
          <w:sz w:val="18"/>
          <w:szCs w:val="18"/>
          <w:color w:val="auto"/>
        </w:rPr>
      </w:pPr>
    </w:p>
    <w:p>
      <w:pPr>
        <w:ind w:left="380" w:hanging="318"/>
        <w:spacing w:after="0"/>
        <w:tabs>
          <w:tab w:leader="none" w:pos="3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Form S-8 No. 333-111222</w:t>
      </w:r>
    </w:p>
    <w:p>
      <w:pPr>
        <w:spacing w:after="0" w:line="9" w:lineRule="exact"/>
        <w:rPr>
          <w:rFonts w:ascii="Arial" w:cs="Arial" w:eastAsia="Arial" w:hAnsi="Arial"/>
          <w:sz w:val="18"/>
          <w:szCs w:val="18"/>
          <w:color w:val="auto"/>
        </w:rPr>
      </w:pPr>
    </w:p>
    <w:p>
      <w:pPr>
        <w:ind w:left="380" w:hanging="318"/>
        <w:spacing w:after="0"/>
        <w:tabs>
          <w:tab w:leader="none" w:pos="3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Form S-8 No. 333-121515</w:t>
      </w:r>
    </w:p>
    <w:p>
      <w:pPr>
        <w:spacing w:after="0" w:line="9" w:lineRule="exact"/>
        <w:rPr>
          <w:rFonts w:ascii="Arial" w:cs="Arial" w:eastAsia="Arial" w:hAnsi="Arial"/>
          <w:sz w:val="18"/>
          <w:szCs w:val="18"/>
          <w:color w:val="auto"/>
        </w:rPr>
      </w:pPr>
    </w:p>
    <w:p>
      <w:pPr>
        <w:ind w:left="380" w:hanging="318"/>
        <w:spacing w:after="0"/>
        <w:tabs>
          <w:tab w:leader="none" w:pos="3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Form S-8 No. 333-144044</w:t>
      </w:r>
    </w:p>
    <w:p>
      <w:pPr>
        <w:spacing w:after="0" w:line="9" w:lineRule="exact"/>
        <w:rPr>
          <w:rFonts w:ascii="Arial" w:cs="Arial" w:eastAsia="Arial" w:hAnsi="Arial"/>
          <w:sz w:val="18"/>
          <w:szCs w:val="18"/>
          <w:color w:val="auto"/>
        </w:rPr>
      </w:pPr>
    </w:p>
    <w:p>
      <w:pPr>
        <w:ind w:left="380" w:hanging="318"/>
        <w:spacing w:after="0"/>
        <w:tabs>
          <w:tab w:leader="none" w:pos="3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Form S-8 No. 333-149803</w:t>
      </w:r>
    </w:p>
    <w:p>
      <w:pPr>
        <w:spacing w:after="0" w:line="9" w:lineRule="exact"/>
        <w:rPr>
          <w:rFonts w:ascii="Arial" w:cs="Arial" w:eastAsia="Arial" w:hAnsi="Arial"/>
          <w:sz w:val="18"/>
          <w:szCs w:val="18"/>
          <w:color w:val="auto"/>
        </w:rPr>
      </w:pPr>
    </w:p>
    <w:p>
      <w:pPr>
        <w:ind w:left="380" w:hanging="318"/>
        <w:spacing w:after="0"/>
        <w:tabs>
          <w:tab w:leader="none" w:pos="3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Form S-3 No. 33-43334</w:t>
      </w:r>
    </w:p>
    <w:p>
      <w:pPr>
        <w:spacing w:after="0" w:line="9" w:lineRule="exact"/>
        <w:rPr>
          <w:rFonts w:ascii="Arial" w:cs="Arial" w:eastAsia="Arial" w:hAnsi="Arial"/>
          <w:sz w:val="18"/>
          <w:szCs w:val="18"/>
          <w:color w:val="auto"/>
        </w:rPr>
      </w:pPr>
    </w:p>
    <w:p>
      <w:pPr>
        <w:ind w:left="380" w:hanging="318"/>
        <w:spacing w:after="0"/>
        <w:tabs>
          <w:tab w:leader="none" w:pos="3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Form S-3 No. 33-86300</w:t>
      </w:r>
    </w:p>
    <w:p>
      <w:pPr>
        <w:spacing w:after="0" w:line="9" w:lineRule="exact"/>
        <w:rPr>
          <w:rFonts w:ascii="Arial" w:cs="Arial" w:eastAsia="Arial" w:hAnsi="Arial"/>
          <w:sz w:val="18"/>
          <w:szCs w:val="18"/>
          <w:color w:val="auto"/>
        </w:rPr>
      </w:pPr>
    </w:p>
    <w:p>
      <w:pPr>
        <w:ind w:left="380" w:hanging="318"/>
        <w:spacing w:after="0"/>
        <w:tabs>
          <w:tab w:leader="none" w:pos="3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Form S-3 No. 333-64930</w:t>
      </w:r>
    </w:p>
    <w:p>
      <w:pPr>
        <w:spacing w:after="0" w:line="9" w:lineRule="exact"/>
        <w:rPr>
          <w:rFonts w:ascii="Arial" w:cs="Arial" w:eastAsia="Arial" w:hAnsi="Arial"/>
          <w:sz w:val="18"/>
          <w:szCs w:val="18"/>
          <w:color w:val="auto"/>
        </w:rPr>
      </w:pPr>
    </w:p>
    <w:p>
      <w:pPr>
        <w:ind w:left="380" w:hanging="318"/>
        <w:spacing w:after="0"/>
        <w:tabs>
          <w:tab w:leader="none" w:pos="3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Form S-8 No. 333-167066</w:t>
      </w:r>
    </w:p>
    <w:p>
      <w:pPr>
        <w:spacing w:after="0" w:line="9" w:lineRule="exact"/>
        <w:rPr>
          <w:rFonts w:ascii="Arial" w:cs="Arial" w:eastAsia="Arial" w:hAnsi="Arial"/>
          <w:sz w:val="18"/>
          <w:szCs w:val="18"/>
          <w:color w:val="auto"/>
        </w:rPr>
      </w:pPr>
    </w:p>
    <w:p>
      <w:pPr>
        <w:ind w:left="380" w:hanging="318"/>
        <w:spacing w:after="0"/>
        <w:tabs>
          <w:tab w:leader="none" w:pos="3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Form S-8 No. 333-171523</w:t>
      </w:r>
    </w:p>
    <w:p>
      <w:pPr>
        <w:spacing w:after="0" w:line="9" w:lineRule="exact"/>
        <w:rPr>
          <w:rFonts w:ascii="Arial" w:cs="Arial" w:eastAsia="Arial" w:hAnsi="Arial"/>
          <w:sz w:val="18"/>
          <w:szCs w:val="18"/>
          <w:color w:val="auto"/>
        </w:rPr>
      </w:pPr>
    </w:p>
    <w:p>
      <w:pPr>
        <w:ind w:left="380" w:hanging="318"/>
        <w:spacing w:after="0"/>
        <w:tabs>
          <w:tab w:leader="none" w:pos="3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Form S-8 No. 333-190680</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Pursuant to Rule 436(c) under the Securities Act of 1933 (the Act), such report is not considered a part of the registration statement prepared or certified by an independent registered public accounting firm or a report prepared or certified by an independent registered public accounting firm within the meaning of Sections 7 and 11 of the Act.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11,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Ken C. Hicks, certify that:</w:t>
      </w:r>
    </w:p>
    <w:p>
      <w:pPr>
        <w:spacing w:after="0" w:line="23"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Foot Locker, Inc. (the “Registrant”);</w:t>
      </w:r>
    </w:p>
    <w:p>
      <w:pPr>
        <w:spacing w:after="0" w:line="210" w:lineRule="exact"/>
        <w:rPr>
          <w:rFonts w:ascii="Arial" w:cs="Arial" w:eastAsia="Arial" w:hAnsi="Arial"/>
          <w:sz w:val="18"/>
          <w:szCs w:val="18"/>
          <w:color w:val="auto"/>
        </w:rPr>
      </w:pPr>
    </w:p>
    <w:p>
      <w:pPr>
        <w:ind w:left="340" w:hanging="332"/>
        <w:spacing w:after="0" w:line="342" w:lineRule="auto"/>
        <w:tabs>
          <w:tab w:leader="none" w:pos="3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980" w:hanging="648"/>
        <w:spacing w:after="0" w:line="264" w:lineRule="auto"/>
        <w:tabs>
          <w:tab w:leader="none" w:pos="9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980" w:hanging="648"/>
        <w:spacing w:after="0" w:line="264" w:lineRule="auto"/>
        <w:tabs>
          <w:tab w:leader="none" w:pos="9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80" w:hanging="648"/>
        <w:spacing w:after="0" w:line="308" w:lineRule="auto"/>
        <w:tabs>
          <w:tab w:leader="none" w:pos="980" w:val="left"/>
        </w:tabs>
        <w:numPr>
          <w:ilvl w:val="1"/>
          <w:numId w:val="2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648"/>
        <w:spacing w:after="0" w:line="264" w:lineRule="auto"/>
        <w:tabs>
          <w:tab w:leader="none" w:pos="9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20" w:hanging="332"/>
        <w:spacing w:after="0" w:line="308" w:lineRule="auto"/>
        <w:tabs>
          <w:tab w:leader="none" w:pos="3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648"/>
        <w:spacing w:after="0" w:line="277" w:lineRule="auto"/>
        <w:tabs>
          <w:tab w:leader="none" w:pos="9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hanging="648"/>
        <w:spacing w:after="0" w:line="277" w:lineRule="auto"/>
        <w:tabs>
          <w:tab w:leader="none" w:pos="9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September 11, 2013</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Ken C. Hicks</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443230</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Lauren B. Peters, certify that:</w:t>
      </w:r>
    </w:p>
    <w:p>
      <w:pPr>
        <w:spacing w:after="0" w:line="23" w:lineRule="exact"/>
        <w:rPr>
          <w:sz w:val="20"/>
          <w:szCs w:val="20"/>
          <w:color w:val="auto"/>
        </w:rPr>
      </w:pPr>
    </w:p>
    <w:p>
      <w:pPr>
        <w:ind w:left="340" w:hanging="332"/>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Foot Locker, Inc. (the “Registrant”);</w:t>
      </w:r>
    </w:p>
    <w:p>
      <w:pPr>
        <w:spacing w:after="0" w:line="210" w:lineRule="exact"/>
        <w:rPr>
          <w:rFonts w:ascii="Arial" w:cs="Arial" w:eastAsia="Arial" w:hAnsi="Arial"/>
          <w:sz w:val="18"/>
          <w:szCs w:val="18"/>
          <w:color w:val="auto"/>
        </w:rPr>
      </w:pPr>
    </w:p>
    <w:p>
      <w:pPr>
        <w:ind w:left="340" w:hanging="332"/>
        <w:spacing w:after="0" w:line="342" w:lineRule="auto"/>
        <w:tabs>
          <w:tab w:leader="none" w:pos="3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980" w:hanging="648"/>
        <w:spacing w:after="0" w:line="264" w:lineRule="auto"/>
        <w:tabs>
          <w:tab w:leader="none" w:pos="9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980" w:hanging="648"/>
        <w:spacing w:after="0" w:line="264" w:lineRule="auto"/>
        <w:tabs>
          <w:tab w:leader="none" w:pos="9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80" w:hanging="648"/>
        <w:spacing w:after="0" w:line="308" w:lineRule="auto"/>
        <w:tabs>
          <w:tab w:leader="none" w:pos="980" w:val="left"/>
        </w:tabs>
        <w:numPr>
          <w:ilvl w:val="1"/>
          <w:numId w:val="3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648"/>
        <w:spacing w:after="0" w:line="264" w:lineRule="auto"/>
        <w:tabs>
          <w:tab w:leader="none" w:pos="9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20" w:hanging="332"/>
        <w:spacing w:after="0" w:line="308" w:lineRule="auto"/>
        <w:tabs>
          <w:tab w:leader="none" w:pos="3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648"/>
        <w:spacing w:after="0" w:line="277" w:lineRule="auto"/>
        <w:tabs>
          <w:tab w:leader="none" w:pos="9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hanging="648"/>
        <w:spacing w:after="0" w:line="277" w:lineRule="auto"/>
        <w:tabs>
          <w:tab w:leader="none" w:pos="9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September 11, 2013</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Lauren B. Peters</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426085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on Form 10-Q of Foot Locker, Inc. (the “Registrant”) for the quarterly period ended August 3, 2013, as filed with the Securities and Exchange Commission on the date hereof (the “Report”), Ken C. Hicks, as Chief Executive Officer of the Registrant and Lauren B. Peters as Chief Financial Officer of the Registrant, each hereby certifies, pursuant to 18 U.S.C. Section 1350, as adopted pursuant to Section 906 of the Sarbanes-Oxley Act of 2002, that:</w:t>
      </w:r>
    </w:p>
    <w:p>
      <w:pPr>
        <w:spacing w:after="0" w:line="187"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Registrant.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Dated: September 11, 2013</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Ken C. Hicks</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Ken C. Hicks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Lauren B. Peters</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Lauren B. Peters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 Such certification will not be deemed to be incorporated by reference into any filing under the Securities Act of 1933, as amended, or the Securities Exchange Act of 1934, as amended, except to the extent that the company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398780</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99</w:t>
      </w:r>
    </w:p>
    <w:p>
      <w:pPr>
        <w:spacing w:after="0" w:line="225"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Foot Locker, Inc.:</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have reviewed the accompanying condensed consolidated balance sheets of Foot Locker, Inc. and subsidiaries as of August 3, 2013 and July 28, 2012, the related condensed consolidated statements of operations and comprehensive income for the thirteen and twenty-six week periods ended August 3, 2013 and July 28, 2012, and the related condensed consolidated statements of cash flows for the twenty-six week periods ended August 3, 2013 and July 28, 2012. These condensed consolidated financial statements are the responsibility of the Company’s management.</w:t>
      </w:r>
    </w:p>
    <w:p>
      <w:pPr>
        <w:spacing w:after="0" w:line="171"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color w:val="auto"/>
        </w:rPr>
        <w:t>We conducted our review in accordance with the standards of the Public Company Accounting Oversight Board (United States). A review of interim financial information consists principally of applying analytical procedures and making inquiries of persons responsible for financial and accounting matters. It is substantially less in scope than an audit conducted in accordance with the standards of the Public Company Accounting Oversight Board (United States), the objective of which is the expression of an opinion regarding the financial statements taken as a whole. Accordingly, we do not express such an opinion.</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Based on our review, we are not aware of any material modifications that should be made to the condensed consolidated financial statements referred to above for them to be in conformity with U.S. generally accepted accounting principles.</w:t>
      </w:r>
    </w:p>
    <w:p>
      <w:pPr>
        <w:spacing w:after="0" w:line="17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have previously audited, in accordance with the standards of the Public Company Accounting Oversight Board (United States), the consolidated balance sheet of Foot Locker, Inc. and subsidiaries as of February 2, 2013, and the related consolidated statements of operations, comprehensive income, shareholders' equity, and cash flows for the year then ended (not presented herein); and in our report dated April 1, 2013, we expressed an unqualified opinion on those consolidated financial statements. In our opinion, the information set forth in the accompanying condensed consolidated balance sheet as of February 2, 2013, is fairly stated, in all material respects, in relation to the consolidated balance sheet from which it has been derived.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11,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B68079A"/>
    <w:multiLevelType w:val="hybridMultilevel"/>
    <w:lvl w:ilvl="0">
      <w:lvlJc w:val="left"/>
      <w:lvlText w:val="þ"/>
      <w:numFmt w:val="bullet"/>
      <w:start w:val="1"/>
    </w:lvl>
  </w:abstractNum>
  <w:abstractNum w:abstractNumId="1">
    <w:nsid w:val="4E6AFB66"/>
    <w:multiLevelType w:val="hybridMultilevel"/>
    <w:lvl w:ilvl="0">
      <w:lvlJc w:val="left"/>
      <w:lvlText w:val="o"/>
      <w:numFmt w:val="bullet"/>
      <w:start w:val="1"/>
    </w:lvl>
  </w:abstractNum>
  <w:abstractNum w:abstractNumId="2">
    <w:nsid w:val="25E45D32"/>
    <w:multiLevelType w:val="hybridMultilevel"/>
    <w:lvl w:ilvl="0">
      <w:lvlJc w:val="left"/>
      <w:lvlText w:val="*"/>
      <w:numFmt w:val="bullet"/>
      <w:start w:val="1"/>
    </w:lvl>
  </w:abstractNum>
  <w:abstractNum w:abstractNumId="3">
    <w:nsid w:val="519B500D"/>
    <w:multiLevelType w:val="hybridMultilevel"/>
    <w:lvl w:ilvl="0">
      <w:lvlJc w:val="left"/>
      <w:lvlText w:val="%1."/>
      <w:numFmt w:val="decimal"/>
      <w:start w:val="1"/>
    </w:lvl>
  </w:abstractNum>
  <w:abstractNum w:abstractNumId="4">
    <w:nsid w:val="431BD7B7"/>
    <w:multiLevelType w:val="hybridMultilevel"/>
    <w:lvl w:ilvl="0">
      <w:lvlJc w:val="left"/>
      <w:lvlText w:val="%1."/>
      <w:numFmt w:val="decimal"/>
      <w:start w:val="2"/>
    </w:lvl>
  </w:abstractNum>
  <w:abstractNum w:abstractNumId="5">
    <w:nsid w:val="3F2DBA31"/>
    <w:multiLevelType w:val="hybridMultilevel"/>
    <w:lvl w:ilvl="0">
      <w:lvlJc w:val="left"/>
      <w:lvlText w:val="%1."/>
      <w:numFmt w:val="decimal"/>
      <w:start w:val="2"/>
    </w:lvl>
  </w:abstractNum>
  <w:abstractNum w:abstractNumId="6">
    <w:nsid w:val="7C83E458"/>
    <w:multiLevelType w:val="hybridMultilevel"/>
    <w:lvl w:ilvl="0">
      <w:lvlJc w:val="left"/>
      <w:lvlText w:val="(%1)"/>
      <w:numFmt w:val="decimal"/>
      <w:start w:val="1"/>
    </w:lvl>
  </w:abstractNum>
  <w:abstractNum w:abstractNumId="7">
    <w:nsid w:val="257130A3"/>
    <w:multiLevelType w:val="hybridMultilevel"/>
    <w:lvl w:ilvl="0">
      <w:lvlJc w:val="left"/>
      <w:lvlText w:val="%1."/>
      <w:numFmt w:val="decimal"/>
      <w:start w:val="3"/>
    </w:lvl>
  </w:abstractNum>
  <w:abstractNum w:abstractNumId="8">
    <w:nsid w:val="62BBD95A"/>
    <w:multiLevelType w:val="hybridMultilevel"/>
    <w:lvl w:ilvl="0">
      <w:lvlJc w:val="left"/>
      <w:lvlText w:val="%1."/>
      <w:numFmt w:val="decimal"/>
      <w:start w:val="3"/>
    </w:lvl>
  </w:abstractNum>
  <w:abstractNum w:abstractNumId="9">
    <w:nsid w:val="436C6125"/>
    <w:multiLevelType w:val="hybridMultilevel"/>
    <w:lvl w:ilvl="0">
      <w:lvlJc w:val="left"/>
      <w:lvlText w:val="(%1)"/>
      <w:numFmt w:val="decimal"/>
      <w:start w:val="1"/>
    </w:lvl>
  </w:abstractNum>
  <w:abstractNum w:abstractNumId="10">
    <w:nsid w:val="628C895D"/>
    <w:multiLevelType w:val="hybridMultilevel"/>
    <w:lvl w:ilvl="0">
      <w:lvlJc w:val="left"/>
      <w:lvlText w:val="(%1)"/>
      <w:numFmt w:val="decimal"/>
      <w:start w:val="1"/>
    </w:lvl>
  </w:abstractNum>
  <w:abstractNum w:abstractNumId="11">
    <w:nsid w:val="333AB105"/>
    <w:multiLevelType w:val="hybridMultilevel"/>
    <w:lvl w:ilvl="0">
      <w:lvlJc w:val="left"/>
      <w:lvlText w:val="%1."/>
      <w:numFmt w:val="decimal"/>
      <w:start w:val="4"/>
    </w:lvl>
  </w:abstractNum>
  <w:abstractNum w:abstractNumId="12">
    <w:nsid w:val="721DA317"/>
    <w:multiLevelType w:val="hybridMultilevel"/>
    <w:lvl w:ilvl="0">
      <w:lvlJc w:val="left"/>
      <w:lvlText w:val="%1."/>
      <w:numFmt w:val="decimal"/>
      <w:start w:val="6"/>
    </w:lvl>
  </w:abstractNum>
  <w:abstractNum w:abstractNumId="13">
    <w:nsid w:val="2443A858"/>
    <w:multiLevelType w:val="hybridMultilevel"/>
    <w:lvl w:ilvl="0">
      <w:lvlJc w:val="left"/>
      <w:lvlText w:val="%1."/>
      <w:numFmt w:val="decimal"/>
      <w:start w:val="6"/>
    </w:lvl>
  </w:abstractNum>
  <w:abstractNum w:abstractNumId="14">
    <w:nsid w:val="2D1D5AE9"/>
    <w:multiLevelType w:val="hybridMultilevel"/>
    <w:lvl w:ilvl="0">
      <w:lvlJc w:val="left"/>
      <w:lvlText w:val="%1."/>
      <w:numFmt w:val="decimal"/>
      <w:start w:val="7"/>
    </w:lvl>
  </w:abstractNum>
  <w:abstractNum w:abstractNumId="15">
    <w:nsid w:val="6763845E"/>
    <w:multiLevelType w:val="hybridMultilevel"/>
    <w:lvl w:ilvl="0">
      <w:lvlJc w:val="left"/>
      <w:lvlText w:val="(%1)"/>
      <w:numFmt w:val="decimal"/>
      <w:start w:val="1"/>
    </w:lvl>
  </w:abstractNum>
  <w:abstractNum w:abstractNumId="16">
    <w:nsid w:val="75A2A8D4"/>
    <w:multiLevelType w:val="hybridMultilevel"/>
    <w:lvl w:ilvl="0">
      <w:lvlJc w:val="left"/>
      <w:lvlText w:val="%1."/>
      <w:numFmt w:val="decimal"/>
      <w:start w:val="7"/>
    </w:lvl>
  </w:abstractNum>
  <w:abstractNum w:abstractNumId="17">
    <w:nsid w:val="8EDBDAB"/>
    <w:multiLevelType w:val="hybridMultilevel"/>
    <w:lvl w:ilvl="0">
      <w:lvlJc w:val="left"/>
      <w:lvlText w:val="%1."/>
      <w:numFmt w:val="decimal"/>
      <w:start w:val="8"/>
    </w:lvl>
  </w:abstractNum>
  <w:abstractNum w:abstractNumId="18">
    <w:nsid w:val="79838CB2"/>
    <w:multiLevelType w:val="hybridMultilevel"/>
    <w:lvl w:ilvl="0">
      <w:lvlJc w:val="left"/>
      <w:lvlText w:val="%1."/>
      <w:numFmt w:val="decimal"/>
      <w:start w:val="9"/>
    </w:lvl>
  </w:abstractNum>
  <w:abstractNum w:abstractNumId="19">
    <w:nsid w:val="4353D0CD"/>
    <w:multiLevelType w:val="hybridMultilevel"/>
    <w:lvl w:ilvl="0">
      <w:lvlJc w:val="left"/>
      <w:lvlText w:val="%1."/>
      <w:numFmt w:val="decimal"/>
      <w:start w:val="10"/>
    </w:lvl>
  </w:abstractNum>
  <w:abstractNum w:abstractNumId="20">
    <w:nsid w:val="B03E0C6"/>
    <w:multiLevelType w:val="hybridMultilevel"/>
    <w:lvl w:ilvl="0">
      <w:lvlJc w:val="left"/>
      <w:lvlText w:val="%1."/>
      <w:numFmt w:val="decimal"/>
      <w:start w:val="10"/>
    </w:lvl>
  </w:abstractNum>
  <w:abstractNum w:abstractNumId="21">
    <w:nsid w:val="189A769B"/>
    <w:multiLevelType w:val="hybridMultilevel"/>
    <w:lvl w:ilvl="0">
      <w:lvlJc w:val="left"/>
      <w:lvlText w:val="%1."/>
      <w:numFmt w:val="decimal"/>
      <w:start w:val="10"/>
    </w:lvl>
  </w:abstractNum>
  <w:abstractNum w:abstractNumId="22">
    <w:nsid w:val="54E49EB4"/>
    <w:multiLevelType w:val="hybridMultilevel"/>
    <w:lvl w:ilvl="0">
      <w:lvlJc w:val="left"/>
      <w:lvlText w:val="%1."/>
      <w:numFmt w:val="decimal"/>
      <w:start w:val="10"/>
    </w:lvl>
  </w:abstractNum>
  <w:abstractNum w:abstractNumId="23">
    <w:nsid w:val="71F32454"/>
    <w:multiLevelType w:val="hybridMultilevel"/>
    <w:lvl w:ilvl="0">
      <w:lvlJc w:val="left"/>
      <w:lvlText w:val="(%1)"/>
      <w:numFmt w:val="decimal"/>
      <w:start w:val="1"/>
    </w:lvl>
  </w:abstractNum>
  <w:abstractNum w:abstractNumId="24">
    <w:nsid w:val="2CA88611"/>
    <w:multiLevelType w:val="hybridMultilevel"/>
    <w:lvl w:ilvl="0">
      <w:lvlJc w:val="left"/>
      <w:lvlText w:val="."/>
      <w:numFmt w:val="bullet"/>
      <w:start w:val="1"/>
    </w:lvl>
  </w:abstractNum>
  <w:abstractNum w:abstractNumId="25">
    <w:nsid w:val="836C40E"/>
    <w:multiLevelType w:val="hybridMultilevel"/>
    <w:lvl w:ilvl="0">
      <w:lvlJc w:val="left"/>
      <w:lvlText w:val="(%1)"/>
      <w:numFmt w:val="decimal"/>
      <w:start w:val="1"/>
    </w:lvl>
  </w:abstractNum>
  <w:abstractNum w:abstractNumId="26">
    <w:nsid w:val="2901D82"/>
    <w:multiLevelType w:val="hybridMultilevel"/>
    <w:lvl w:ilvl="0">
      <w:lvlJc w:val="left"/>
      <w:lvlText w:val="(%1)"/>
      <w:numFmt w:val="lowerLetter"/>
      <w:start w:val="1"/>
    </w:lvl>
  </w:abstractNum>
  <w:abstractNum w:abstractNumId="27">
    <w:nsid w:val="3A95F874"/>
    <w:multiLevelType w:val="hybridMultilevel"/>
    <w:lvl w:ilvl="0">
      <w:lvlJc w:val="left"/>
      <w:lvlText w:val="-"/>
      <w:numFmt w:val="bullet"/>
      <w:start w:val="1"/>
    </w:lvl>
  </w:abstractNum>
  <w:abstractNum w:abstractNumId="28">
    <w:nsid w:val="8138641"/>
    <w:multiLevelType w:val="hybridMultilevel"/>
    <w:lvl w:ilvl="0">
      <w:lvlJc w:val="left"/>
      <w:lvlText w:val="%1."/>
      <w:numFmt w:val="decimal"/>
      <w:start w:val="1"/>
    </w:lvl>
    <w:lvl w:ilvl="1">
      <w:lvlJc w:val="left"/>
      <w:lvlText w:val="%2)"/>
      <w:numFmt w:val="lowerLetter"/>
      <w:start w:val="1"/>
    </w:lvl>
  </w:abstractNum>
  <w:abstractNum w:abstractNumId="29">
    <w:nsid w:val="1E7FF521"/>
    <w:multiLevelType w:val="hybridMultilevel"/>
    <w:lvl w:ilvl="0">
      <w:lvlJc w:val="left"/>
      <w:lvlText w:val="%1."/>
      <w:numFmt w:val="decimal"/>
      <w:start w:val="1"/>
    </w:lvl>
    <w:lvl w:ilvl="1">
      <w:lvlJc w:val="left"/>
      <w:lvlText w:val="%2)"/>
      <w:numFmt w:val="lowerLetter"/>
      <w:start w:val="1"/>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2019-12-06T04:02:13Z</dcterms:created>
  <dcterms:modified xsi:type="dcterms:W3CDTF">2019-12-06T04:02:13Z</dcterms:modified>
</cp:coreProperties>
</file>