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9"/>
          <w:szCs w:val="19"/>
          <w:b w:val="1"/>
          <w:bCs w:val="1"/>
          <w:color w:val="auto"/>
        </w:rPr>
        <w:t>UNITED STATES</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SECURITIES AND EXCHANGE COMMISSION</w:t>
      </w:r>
    </w:p>
    <w:p>
      <w:pPr>
        <w:jc w:val="center"/>
        <w:ind w:right="20"/>
        <w:spacing w:after="0"/>
        <w:rPr>
          <w:sz w:val="20"/>
          <w:szCs w:val="20"/>
          <w:color w:val="auto"/>
        </w:rPr>
      </w:pPr>
      <w:r>
        <w:rPr>
          <w:rFonts w:ascii="Arial" w:cs="Arial" w:eastAsia="Arial" w:hAnsi="Arial"/>
          <w:sz w:val="19"/>
          <w:szCs w:val="19"/>
          <w:b w:val="1"/>
          <w:bCs w:val="1"/>
          <w:color w:val="auto"/>
        </w:rPr>
        <w:t>Washington, D.C. 20549</w:t>
      </w:r>
    </w:p>
    <w:p>
      <w:pPr>
        <w:spacing w:after="0" w:line="6" w:lineRule="exact"/>
        <w:rPr>
          <w:sz w:val="24"/>
          <w:szCs w:val="24"/>
          <w:color w:val="auto"/>
        </w:rPr>
      </w:pPr>
    </w:p>
    <w:p>
      <w:pPr>
        <w:ind w:left="3120"/>
        <w:spacing w:after="0"/>
        <w:rPr>
          <w:sz w:val="20"/>
          <w:szCs w:val="20"/>
          <w:color w:val="auto"/>
        </w:rPr>
      </w:pPr>
      <w:r>
        <w:rPr>
          <w:rFonts w:ascii="Arial" w:cs="Arial" w:eastAsia="Arial" w:hAnsi="Arial"/>
          <w:sz w:val="16"/>
          <w:szCs w:val="16"/>
          <w:b w:val="1"/>
          <w:bCs w:val="1"/>
          <w:color w:val="auto"/>
        </w:rPr>
        <w:t>______________________________________</w:t>
      </w:r>
    </w:p>
    <w:p>
      <w:pPr>
        <w:spacing w:after="0" w:line="115"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FORM 10-Q</w:t>
      </w:r>
    </w:p>
    <w:p>
      <w:pPr>
        <w:spacing w:after="0" w:line="190" w:lineRule="exact"/>
        <w:rPr>
          <w:sz w:val="24"/>
          <w:szCs w:val="24"/>
          <w:color w:val="auto"/>
        </w:rPr>
      </w:pPr>
    </w:p>
    <w:p>
      <w:pPr>
        <w:ind w:left="140"/>
        <w:spacing w:after="0"/>
        <w:rPr>
          <w:sz w:val="20"/>
          <w:szCs w:val="20"/>
          <w:color w:val="auto"/>
        </w:rPr>
      </w:pPr>
      <w:r>
        <w:rPr>
          <w:rFonts w:ascii="Arial" w:cs="Arial" w:eastAsia="Arial" w:hAnsi="Arial"/>
          <w:sz w:val="15"/>
          <w:szCs w:val="15"/>
          <w:color w:val="auto"/>
        </w:rPr>
        <w:t>(Mark One)</w:t>
      </w:r>
    </w:p>
    <w:p>
      <w:pPr>
        <w:spacing w:after="0" w:line="223" w:lineRule="exact"/>
        <w:rPr>
          <w:sz w:val="24"/>
          <w:szCs w:val="24"/>
          <w:color w:val="auto"/>
        </w:rPr>
      </w:pPr>
    </w:p>
    <w:p>
      <w:pPr>
        <w:ind w:left="520" w:hanging="338"/>
        <w:spacing w:after="0"/>
        <w:tabs>
          <w:tab w:leader="none" w:pos="520"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182" w:lineRule="exact"/>
        <w:rPr>
          <w:rFonts w:ascii="MS PGothic" w:cs="MS PGothic" w:eastAsia="MS PGothic" w:hAnsi="MS PGothic"/>
          <w:sz w:val="15"/>
          <w:szCs w:val="15"/>
          <w:color w:val="auto"/>
          <w:highlight w:val="black"/>
        </w:rPr>
      </w:pPr>
    </w:p>
    <w:p>
      <w:pPr>
        <w:ind w:left="3040"/>
        <w:spacing w:after="0"/>
        <w:rPr>
          <w:rFonts w:ascii="MS PGothic" w:cs="MS PGothic" w:eastAsia="MS PGothic" w:hAnsi="MS PGothic"/>
          <w:sz w:val="15"/>
          <w:szCs w:val="15"/>
          <w:color w:val="auto"/>
          <w:highlight w:val="black"/>
        </w:rPr>
      </w:pPr>
      <w:r>
        <w:rPr>
          <w:rFonts w:ascii="Arial" w:cs="Arial" w:eastAsia="Arial" w:hAnsi="Arial"/>
          <w:sz w:val="16"/>
          <w:szCs w:val="16"/>
          <w:color w:val="auto"/>
        </w:rPr>
        <w:t>For the quarterly period ended: November 3, 2018</w:t>
      </w:r>
    </w:p>
    <w:p>
      <w:pPr>
        <w:spacing w:after="0" w:line="14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OR</w:t>
      </w:r>
    </w:p>
    <w:p>
      <w:pPr>
        <w:spacing w:after="0" w:line="129" w:lineRule="exact"/>
        <w:rPr>
          <w:sz w:val="24"/>
          <w:szCs w:val="24"/>
          <w:color w:val="auto"/>
        </w:rPr>
      </w:pPr>
    </w:p>
    <w:p>
      <w:pPr>
        <w:ind w:left="440" w:hanging="295"/>
        <w:spacing w:after="0"/>
        <w:tabs>
          <w:tab w:leader="none" w:pos="440"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244" w:lineRule="exact"/>
        <w:rPr>
          <w:sz w:val="24"/>
          <w:szCs w:val="24"/>
          <w:color w:val="auto"/>
        </w:rPr>
      </w:pPr>
    </w:p>
    <w:p>
      <w:pPr>
        <w:ind w:left="2760"/>
        <w:spacing w:after="0"/>
        <w:rPr>
          <w:sz w:val="20"/>
          <w:szCs w:val="20"/>
          <w:color w:val="auto"/>
        </w:rPr>
      </w:pPr>
      <w:r>
        <w:rPr>
          <w:rFonts w:ascii="Arial" w:cs="Arial" w:eastAsia="Arial" w:hAnsi="Arial"/>
          <w:sz w:val="16"/>
          <w:szCs w:val="16"/>
          <w:color w:val="auto"/>
        </w:rPr>
        <w:t>For the transition period from __________ to __________</w:t>
      </w:r>
    </w:p>
    <w:p>
      <w:pPr>
        <w:spacing w:after="0" w:line="18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Commission File Number: 1-10299</w:t>
      </w:r>
    </w:p>
    <w:p>
      <w:pPr>
        <w:spacing w:after="0" w:line="1" w:lineRule="exact"/>
        <w:rPr>
          <w:sz w:val="24"/>
          <w:szCs w:val="24"/>
          <w:color w:val="auto"/>
        </w:rPr>
      </w:pPr>
    </w:p>
    <w:p>
      <w:pPr>
        <w:ind w:left="3300"/>
        <w:spacing w:after="0"/>
        <w:rPr>
          <w:sz w:val="20"/>
          <w:szCs w:val="20"/>
          <w:color w:val="auto"/>
        </w:rPr>
      </w:pPr>
      <w:r>
        <w:rPr>
          <w:rFonts w:ascii="Arial" w:cs="Arial" w:eastAsia="Arial" w:hAnsi="Arial"/>
          <w:sz w:val="16"/>
          <w:szCs w:val="16"/>
          <w:b w:val="1"/>
          <w:bCs w:val="1"/>
          <w:color w:val="auto"/>
        </w:rPr>
        <w:t>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1972945</wp:posOffset>
            </wp:positionH>
            <wp:positionV relativeFrom="paragraph">
              <wp:posOffset>90805</wp:posOffset>
            </wp:positionV>
            <wp:extent cx="2193290" cy="254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93290" cy="25463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(Exact name of registrant as specified in its charter)</w:t>
      </w:r>
    </w:p>
    <w:p>
      <w:pPr>
        <w:ind w:left="3300"/>
        <w:spacing w:after="0"/>
        <w:rPr>
          <w:sz w:val="20"/>
          <w:szCs w:val="20"/>
          <w:color w:val="auto"/>
        </w:rPr>
      </w:pPr>
      <w:r>
        <w:rPr>
          <w:rFonts w:ascii="Arial" w:cs="Arial" w:eastAsia="Arial" w:hAnsi="Arial"/>
          <w:sz w:val="16"/>
          <w:szCs w:val="16"/>
          <w:b w:val="1"/>
          <w:bCs w:val="1"/>
          <w:color w:val="auto"/>
        </w:rPr>
        <w:t>______________________________________</w:t>
      </w:r>
    </w:p>
    <w:p>
      <w:pPr>
        <w:sectPr>
          <w:pgSz w:w="11900" w:h="16838" w:orient="portrait"/>
          <w:cols w:equalWidth="0" w:num="1">
            <w:col w:w="9680"/>
          </w:cols>
          <w:pgMar w:left="1120" w:top="207" w:right="1099" w:bottom="1440" w:gutter="0" w:footer="0" w:header="0"/>
        </w:sectPr>
      </w:pPr>
    </w:p>
    <w:p>
      <w:pPr>
        <w:spacing w:after="0" w:line="192" w:lineRule="exact"/>
        <w:rPr>
          <w:sz w:val="24"/>
          <w:szCs w:val="24"/>
          <w:color w:val="auto"/>
        </w:rPr>
      </w:pPr>
    </w:p>
    <w:p>
      <w:pPr>
        <w:ind w:left="2060"/>
        <w:spacing w:after="0"/>
        <w:rPr>
          <w:sz w:val="20"/>
          <w:szCs w:val="20"/>
          <w:color w:val="auto"/>
        </w:rPr>
      </w:pPr>
      <w:r>
        <w:rPr>
          <w:rFonts w:ascii="Arial" w:cs="Arial" w:eastAsia="Arial" w:hAnsi="Arial"/>
          <w:sz w:val="15"/>
          <w:szCs w:val="15"/>
          <w:b w:val="1"/>
          <w:bCs w:val="1"/>
          <w:color w:val="auto"/>
        </w:rPr>
        <w:t>New York</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13-3513936</w:t>
      </w:r>
    </w:p>
    <w:p>
      <w:pPr>
        <w:spacing w:after="0" w:line="29" w:lineRule="exact"/>
        <w:rPr>
          <w:sz w:val="24"/>
          <w:szCs w:val="24"/>
          <w:color w:val="auto"/>
        </w:rPr>
      </w:pPr>
    </w:p>
    <w:p>
      <w:pPr>
        <w:sectPr>
          <w:pgSz w:w="11900" w:h="16838" w:orient="portrait"/>
          <w:cols w:equalWidth="0" w:num="2">
            <w:col w:w="6120" w:space="720"/>
            <w:col w:w="2840"/>
          </w:cols>
          <w:pgMar w:left="1120" w:top="207" w:right="1099" w:bottom="1440" w:gutter="0" w:footer="0" w:header="0"/>
          <w:type w:val="continuous"/>
        </w:sectPr>
      </w:pPr>
    </w:p>
    <w:p>
      <w:pPr>
        <w:ind w:left="42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101" w:lineRule="exact"/>
        <w:rPr>
          <w:sz w:val="24"/>
          <w:szCs w:val="24"/>
          <w:color w:val="auto"/>
        </w:rPr>
      </w:pPr>
    </w:p>
    <w:p>
      <w:pPr>
        <w:sectPr>
          <w:pgSz w:w="11900" w:h="16838" w:orient="portrait"/>
          <w:cols w:equalWidth="0" w:num="2">
            <w:col w:w="5340" w:space="720"/>
            <w:col w:w="3620"/>
          </w:cols>
          <w:pgMar w:left="1120" w:top="207" w:right="1099" w:bottom="1440" w:gutter="0" w:footer="0" w:header="0"/>
          <w:type w:val="continuous"/>
        </w:sectPr>
      </w:pPr>
    </w:p>
    <w:p>
      <w:pPr>
        <w:ind w:left="3100"/>
        <w:spacing w:after="0"/>
        <w:rPr>
          <w:sz w:val="20"/>
          <w:szCs w:val="20"/>
          <w:color w:val="auto"/>
        </w:rPr>
      </w:pPr>
      <w:r>
        <w:rPr>
          <w:rFonts w:ascii="Arial" w:cs="Arial" w:eastAsia="Arial" w:hAnsi="Arial"/>
          <w:sz w:val="15"/>
          <w:szCs w:val="15"/>
          <w:b w:val="1"/>
          <w:bCs w:val="1"/>
          <w:color w:val="auto"/>
        </w:rPr>
        <w:t>330 West 34</w:t>
      </w:r>
      <w:r>
        <w:rPr>
          <w:rFonts w:ascii="Arial" w:cs="Arial" w:eastAsia="Arial" w:hAnsi="Arial"/>
          <w:sz w:val="8"/>
          <w:szCs w:val="8"/>
          <w:b w:val="1"/>
          <w:bCs w:val="1"/>
          <w:color w:val="auto"/>
        </w:rPr>
        <w:t>th</w:t>
      </w:r>
      <w:r>
        <w:rPr>
          <w:rFonts w:ascii="Arial" w:cs="Arial" w:eastAsia="Arial" w:hAnsi="Arial"/>
          <w:sz w:val="15"/>
          <w:szCs w:val="15"/>
          <w:b w:val="1"/>
          <w:bCs w:val="1"/>
          <w:color w:val="auto"/>
        </w:rPr>
        <w:t xml:space="preserve"> Street, New York, New York 10001</w:t>
      </w:r>
    </w:p>
    <w:p>
      <w:pPr>
        <w:spacing w:after="0" w:line="14" w:lineRule="exact"/>
        <w:rPr>
          <w:sz w:val="24"/>
          <w:szCs w:val="24"/>
          <w:color w:val="auto"/>
        </w:rPr>
      </w:pPr>
    </w:p>
    <w:p>
      <w:pPr>
        <w:ind w:left="3160"/>
        <w:spacing w:after="0"/>
        <w:rPr>
          <w:sz w:val="20"/>
          <w:szCs w:val="20"/>
          <w:color w:val="auto"/>
        </w:rPr>
      </w:pPr>
      <w:r>
        <w:rPr>
          <w:rFonts w:ascii="Arial" w:cs="Arial" w:eastAsia="Arial" w:hAnsi="Arial"/>
          <w:sz w:val="15"/>
          <w:szCs w:val="15"/>
          <w:color w:val="auto"/>
        </w:rPr>
        <w:t>(Address of principal executive offices, Zip Code)</w:t>
      </w:r>
    </w:p>
    <w:p>
      <w:pPr>
        <w:jc w:val="center"/>
        <w:spacing w:after="0" w:line="236" w:lineRule="auto"/>
        <w:rPr>
          <w:sz w:val="20"/>
          <w:szCs w:val="20"/>
          <w:color w:val="auto"/>
        </w:rPr>
      </w:pPr>
      <w:r>
        <w:rPr>
          <w:rFonts w:ascii="Arial" w:cs="Arial" w:eastAsia="Arial" w:hAnsi="Arial"/>
          <w:sz w:val="15"/>
          <w:szCs w:val="15"/>
          <w:b w:val="1"/>
          <w:bCs w:val="1"/>
          <w:color w:val="auto"/>
        </w:rPr>
        <w:t>(212-720-3700)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(Registrant’s telephone number, including area code)</w:t>
      </w:r>
    </w:p>
    <w:p>
      <w:pPr>
        <w:spacing w:after="0" w:line="224" w:lineRule="exact"/>
        <w:rPr>
          <w:sz w:val="24"/>
          <w:szCs w:val="24"/>
          <w:color w:val="auto"/>
        </w:rPr>
      </w:pPr>
    </w:p>
    <w:p>
      <w:pPr>
        <w:jc w:val="both"/>
        <w:spacing w:after="0" w:line="183"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11" w:lineRule="exact"/>
        <w:rPr>
          <w:sz w:val="24"/>
          <w:szCs w:val="24"/>
          <w:color w:val="auto"/>
        </w:rPr>
      </w:pPr>
    </w:p>
    <w:p>
      <w:pPr>
        <w:jc w:val="both"/>
        <w:spacing w:after="0" w:line="176"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right="20"/>
        <w:spacing w:after="0" w:line="24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p>
      <w:pPr>
        <w:ind w:right="400"/>
        <w:spacing w:after="0" w:line="237"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5"/>
          <w:szCs w:val="15"/>
          <w:color w:val="auto"/>
        </w:rPr>
        <w:t xml:space="preserve"> Accelerated filer </w:t>
      </w:r>
      <w:r>
        <w:rPr>
          <w:rFonts w:ascii="MS PGothic" w:cs="MS PGothic" w:eastAsia="MS PGothic" w:hAnsi="MS PGothic"/>
          <w:sz w:val="16"/>
          <w:szCs w:val="16"/>
          <w:color w:val="auto"/>
        </w:rPr>
        <w:t>☐</w:t>
      </w:r>
      <w:r>
        <w:rPr>
          <w:rFonts w:ascii="Arial" w:cs="Arial" w:eastAsia="Arial" w:hAnsi="Arial"/>
          <w:sz w:val="15"/>
          <w:szCs w:val="15"/>
          <w:color w:val="auto"/>
        </w:rPr>
        <w:t xml:space="preserve"> Non-accelerated filer </w:t>
      </w:r>
      <w:r>
        <w:rPr>
          <w:rFonts w:ascii="MS PGothic" w:cs="MS PGothic" w:eastAsia="MS PGothic" w:hAnsi="MS PGothic"/>
          <w:sz w:val="16"/>
          <w:szCs w:val="16"/>
          <w:color w:val="auto"/>
        </w:rPr>
        <w:t>☐</w:t>
      </w:r>
      <w:r>
        <w:rPr>
          <w:rFonts w:ascii="Arial" w:cs="Arial" w:eastAsia="Arial" w:hAnsi="Arial"/>
          <w:sz w:val="15"/>
          <w:szCs w:val="15"/>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5"/>
          <w:szCs w:val="15"/>
          <w:color w:val="auto"/>
        </w:rPr>
        <w:t xml:space="preserve"> Emerging growth company </w:t>
      </w:r>
      <w:r>
        <w:rPr>
          <w:rFonts w:ascii="MS PGothic" w:cs="MS PGothic" w:eastAsia="MS PGothic" w:hAnsi="MS PGothic"/>
          <w:sz w:val="16"/>
          <w:szCs w:val="16"/>
          <w:color w:val="auto"/>
        </w:rPr>
        <w:t>☐</w:t>
      </w:r>
    </w:p>
    <w:p>
      <w:pPr>
        <w:spacing w:after="0" w:line="348" w:lineRule="exact"/>
        <w:rPr>
          <w:sz w:val="24"/>
          <w:szCs w:val="24"/>
          <w:color w:val="auto"/>
        </w:rPr>
      </w:pPr>
    </w:p>
    <w:p>
      <w:pPr>
        <w:spacing w:after="0" w:line="194"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47" w:lineRule="exact"/>
        <w:rPr>
          <w:sz w:val="24"/>
          <w:szCs w:val="24"/>
          <w:color w:val="auto"/>
        </w:rPr>
      </w:pPr>
    </w:p>
    <w:p>
      <w:pPr>
        <w:ind w:right="760"/>
        <w:spacing w:after="0" w:line="288"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r>
        <w:rPr>
          <w:rFonts w:ascii="Arial" w:cs="Arial" w:eastAsia="Arial" w:hAnsi="Arial"/>
          <w:sz w:val="15"/>
          <w:szCs w:val="15"/>
          <w:color w:val="auto"/>
        </w:rPr>
        <w:t xml:space="preserve"> Number of shares of Common Stock outstanding as of November 30, 2018: 112,890,202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591820</wp:posOffset>
            </wp:positionV>
            <wp:extent cx="6188710" cy="482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8710" cy="48260"/>
                    </a:xfrm>
                    <a:prstGeom prst="rect">
                      <a:avLst/>
                    </a:prstGeom>
                    <a:noFill/>
                  </pic:spPr>
                </pic:pic>
              </a:graphicData>
            </a:graphic>
          </wp:anchor>
        </w:drawing>
      </w:r>
    </w:p>
    <w:p>
      <w:pPr>
        <w:sectPr>
          <w:pgSz w:w="11900" w:h="16838" w:orient="portrait"/>
          <w:cols w:equalWidth="0" w:num="1">
            <w:col w:w="9680"/>
          </w:cols>
          <w:pgMar w:left="1120" w:top="207" w:right="109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TABLE OF CONTENTS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5"/>
                <w:szCs w:val="15"/>
                <w:color w:val="auto"/>
              </w:rPr>
              <w:t>Page</w:t>
            </w:r>
          </w:p>
        </w:tc>
      </w:tr>
      <w:tr>
        <w:trPr>
          <w:trHeight w:val="153"/>
        </w:trPr>
        <w:tc>
          <w:tcPr>
            <w:tcW w:w="100" w:type="dxa"/>
            <w:vAlign w:val="bottom"/>
            <w:shd w:val="clear" w:color="auto" w:fill="CCEEFF"/>
          </w:tcPr>
          <w:p>
            <w:pPr>
              <w:spacing w:after="0"/>
              <w:rPr>
                <w:sz w:val="13"/>
                <w:szCs w:val="13"/>
                <w:color w:val="auto"/>
              </w:rPr>
            </w:pPr>
          </w:p>
        </w:tc>
        <w:tc>
          <w:tcPr>
            <w:tcW w:w="1040" w:type="dxa"/>
            <w:vAlign w:val="bottom"/>
            <w:gridSpan w:val="5"/>
            <w:shd w:val="clear" w:color="auto" w:fill="CCEEFF"/>
          </w:tcPr>
          <w:p>
            <w:pPr>
              <w:spacing w:after="0" w:line="154" w:lineRule="exact"/>
              <w:rPr>
                <w:rFonts w:ascii="Arial" w:cs="Arial" w:eastAsia="Arial" w:hAnsi="Arial"/>
                <w:sz w:val="15"/>
                <w:szCs w:val="15"/>
                <w:color w:val="0000EE"/>
              </w:rPr>
            </w:pPr>
            <w:hyperlink w:anchor="page3">
              <w:r>
                <w:rPr>
                  <w:rFonts w:ascii="Arial" w:cs="Arial" w:eastAsia="Arial" w:hAnsi="Arial"/>
                  <w:sz w:val="15"/>
                  <w:szCs w:val="15"/>
                  <w:color w:val="0000EE"/>
                </w:rPr>
                <w:t>PART I</w:t>
              </w:r>
            </w:hyperlink>
          </w:p>
        </w:tc>
        <w:tc>
          <w:tcPr>
            <w:tcW w:w="7480" w:type="dxa"/>
            <w:vAlign w:val="bottom"/>
            <w:gridSpan w:val="20"/>
            <w:shd w:val="clear" w:color="auto" w:fill="CCEEFF"/>
          </w:tcPr>
          <w:p>
            <w:pPr>
              <w:ind w:left="180"/>
              <w:spacing w:after="0" w:line="154" w:lineRule="exact"/>
              <w:rPr>
                <w:rFonts w:ascii="Arial" w:cs="Arial" w:eastAsia="Arial" w:hAnsi="Arial"/>
                <w:sz w:val="15"/>
                <w:szCs w:val="15"/>
                <w:color w:val="0000EE"/>
              </w:rPr>
            </w:pPr>
            <w:hyperlink w:anchor="page3">
              <w:r>
                <w:rPr>
                  <w:rFonts w:ascii="Arial" w:cs="Arial" w:eastAsia="Arial" w:hAnsi="Arial"/>
                  <w:sz w:val="15"/>
                  <w:szCs w:val="15"/>
                  <w:color w:val="0000EE"/>
                </w:rPr>
                <w:t>FINANCIAL INFORMATION</w:t>
              </w:r>
            </w:hyperlink>
          </w:p>
        </w:tc>
        <w:tc>
          <w:tcPr>
            <w:tcW w:w="7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r>
      <w:tr>
        <w:trPr>
          <w:trHeight w:val="29"/>
        </w:trPr>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r>
      <w:tr>
        <w:trPr>
          <w:trHeight w:val="146"/>
        </w:trPr>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6"/>
          </w:tcPr>
          <w:p>
            <w:pPr>
              <w:ind w:left="180"/>
              <w:spacing w:after="0" w:line="146" w:lineRule="exact"/>
              <w:rPr>
                <w:rFonts w:ascii="Arial" w:cs="Arial" w:eastAsia="Arial" w:hAnsi="Arial"/>
                <w:sz w:val="15"/>
                <w:szCs w:val="15"/>
                <w:color w:val="0000EE"/>
              </w:rPr>
            </w:pPr>
            <w:hyperlink w:anchor="page3">
              <w:r>
                <w:rPr>
                  <w:rFonts w:ascii="Arial" w:cs="Arial" w:eastAsia="Arial" w:hAnsi="Arial"/>
                  <w:sz w:val="15"/>
                  <w:szCs w:val="15"/>
                  <w:color w:val="0000EE"/>
                </w:rPr>
                <w:t>Item 1.</w:t>
              </w:r>
            </w:hyperlink>
          </w:p>
        </w:tc>
        <w:tc>
          <w:tcPr>
            <w:tcW w:w="6080" w:type="dxa"/>
            <w:vAlign w:val="bottom"/>
            <w:gridSpan w:val="14"/>
          </w:tcPr>
          <w:p>
            <w:pPr>
              <w:spacing w:after="0" w:line="146" w:lineRule="exact"/>
              <w:rPr>
                <w:rFonts w:ascii="Arial" w:cs="Arial" w:eastAsia="Arial" w:hAnsi="Arial"/>
                <w:sz w:val="15"/>
                <w:szCs w:val="15"/>
                <w:color w:val="0000EE"/>
              </w:rPr>
            </w:pPr>
            <w:hyperlink w:anchor="page3">
              <w:r>
                <w:rPr>
                  <w:rFonts w:ascii="Arial" w:cs="Arial" w:eastAsia="Arial" w:hAnsi="Arial"/>
                  <w:sz w:val="15"/>
                  <w:szCs w:val="15"/>
                  <w:color w:val="0000EE"/>
                </w:rPr>
                <w:t>Financial Statements</w:t>
              </w:r>
            </w:hyperlink>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8"/>
        </w:trPr>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83"/>
        </w:trPr>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880" w:type="dxa"/>
            <w:vAlign w:val="bottom"/>
            <w:tcBorders>
              <w:bottom w:val="single" w:sz="8" w:color="0000EE"/>
            </w:tcBorders>
            <w:gridSpan w:val="8"/>
            <w:shd w:val="clear" w:color="auto" w:fill="CCEEFF"/>
          </w:tcPr>
          <w:p>
            <w:pPr>
              <w:spacing w:after="0" w:line="154" w:lineRule="exact"/>
              <w:rPr>
                <w:rFonts w:ascii="Arial" w:cs="Arial" w:eastAsia="Arial" w:hAnsi="Arial"/>
                <w:sz w:val="15"/>
                <w:szCs w:val="15"/>
                <w:color w:val="0000EE"/>
              </w:rPr>
            </w:pPr>
            <w:hyperlink w:anchor="page3">
              <w:r>
                <w:rPr>
                  <w:rFonts w:ascii="Arial" w:cs="Arial" w:eastAsia="Arial" w:hAnsi="Arial"/>
                  <w:sz w:val="15"/>
                  <w:szCs w:val="15"/>
                  <w:color w:val="0000EE"/>
                </w:rPr>
                <w:t>Condensed Consolidated Balance Sheets</w:t>
              </w:r>
            </w:hyperlink>
          </w:p>
        </w:tc>
        <w:tc>
          <w:tcPr>
            <w:tcW w:w="3200" w:type="dxa"/>
            <w:vAlign w:val="bottom"/>
            <w:tcBorders>
              <w:bottom w:val="single" w:sz="8" w:color="CCEEFF"/>
            </w:tcBorders>
            <w:gridSpan w:val="6"/>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40"/>
              <w:spacing w:after="0" w:line="154" w:lineRule="exact"/>
              <w:rPr>
                <w:sz w:val="20"/>
                <w:szCs w:val="20"/>
                <w:color w:val="auto"/>
              </w:rPr>
            </w:pPr>
            <w:r>
              <w:rPr>
                <w:rFonts w:ascii="Arial" w:cs="Arial" w:eastAsia="Arial" w:hAnsi="Arial"/>
                <w:sz w:val="15"/>
                <w:szCs w:val="15"/>
                <w:color w:val="auto"/>
              </w:rPr>
              <w:t>1</w:t>
            </w:r>
          </w:p>
        </w:tc>
      </w:tr>
      <w:tr>
        <w:trPr>
          <w:trHeight w:val="146"/>
        </w:trPr>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80" w:type="dxa"/>
            <w:vAlign w:val="bottom"/>
            <w:gridSpan w:val="14"/>
          </w:tcPr>
          <w:p>
            <w:pPr>
              <w:spacing w:after="0" w:line="146" w:lineRule="exact"/>
              <w:rPr>
                <w:rFonts w:ascii="Arial" w:cs="Arial" w:eastAsia="Arial" w:hAnsi="Arial"/>
                <w:sz w:val="15"/>
                <w:szCs w:val="15"/>
                <w:color w:val="0000EE"/>
              </w:rPr>
            </w:pPr>
            <w:hyperlink w:anchor="page4">
              <w:r>
                <w:rPr>
                  <w:rFonts w:ascii="Arial" w:cs="Arial" w:eastAsia="Arial" w:hAnsi="Arial"/>
                  <w:sz w:val="15"/>
                  <w:szCs w:val="15"/>
                  <w:color w:val="0000EE"/>
                </w:rPr>
                <w:t>Condensed Consolidated Statements of Operations</w:t>
              </w:r>
            </w:hyperlink>
          </w:p>
        </w:tc>
        <w:tc>
          <w:tcPr>
            <w:tcW w:w="1060" w:type="dxa"/>
            <w:vAlign w:val="bottom"/>
            <w:gridSpan w:val="2"/>
          </w:tcPr>
          <w:p>
            <w:pPr>
              <w:jc w:val="right"/>
              <w:ind w:right="40"/>
              <w:spacing w:after="0" w:line="146" w:lineRule="exact"/>
              <w:rPr>
                <w:sz w:val="20"/>
                <w:szCs w:val="20"/>
                <w:color w:val="auto"/>
              </w:rPr>
            </w:pPr>
            <w:r>
              <w:rPr>
                <w:rFonts w:ascii="Arial" w:cs="Arial" w:eastAsia="Arial" w:hAnsi="Arial"/>
                <w:sz w:val="15"/>
                <w:szCs w:val="15"/>
                <w:color w:val="auto"/>
              </w:rPr>
              <w:t>2</w:t>
            </w:r>
          </w:p>
        </w:tc>
      </w:tr>
      <w:tr>
        <w:trPr>
          <w:trHeight w:val="29"/>
        </w:trPr>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1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75"/>
        </w:trPr>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80" w:type="dxa"/>
            <w:vAlign w:val="bottom"/>
            <w:gridSpan w:val="14"/>
            <w:shd w:val="clear" w:color="auto" w:fill="CCEEFF"/>
          </w:tcPr>
          <w:p>
            <w:pPr>
              <w:spacing w:after="0" w:line="146" w:lineRule="exact"/>
              <w:rPr>
                <w:rFonts w:ascii="Arial" w:cs="Arial" w:eastAsia="Arial" w:hAnsi="Arial"/>
                <w:sz w:val="15"/>
                <w:szCs w:val="15"/>
                <w:color w:val="0000EE"/>
              </w:rPr>
            </w:pPr>
            <w:hyperlink w:anchor="page5">
              <w:r>
                <w:rPr>
                  <w:rFonts w:ascii="Arial" w:cs="Arial" w:eastAsia="Arial" w:hAnsi="Arial"/>
                  <w:sz w:val="15"/>
                  <w:szCs w:val="15"/>
                  <w:color w:val="0000EE"/>
                </w:rPr>
                <w:t>Condensed Consolidated Statements of Comprehensive Income</w:t>
              </w:r>
            </w:hyperlink>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3</w:t>
            </w:r>
          </w:p>
        </w:tc>
      </w:tr>
      <w:tr>
        <w:trPr>
          <w:trHeight w:val="146"/>
        </w:trPr>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4380" w:type="dxa"/>
            <w:vAlign w:val="bottom"/>
            <w:tcBorders>
              <w:top w:val="single" w:sz="8" w:color="0000EE"/>
            </w:tcBorders>
            <w:gridSpan w:val="13"/>
          </w:tcPr>
          <w:p>
            <w:pPr>
              <w:spacing w:after="0" w:line="146" w:lineRule="exact"/>
              <w:rPr>
                <w:rFonts w:ascii="Arial" w:cs="Arial" w:eastAsia="Arial" w:hAnsi="Arial"/>
                <w:sz w:val="15"/>
                <w:szCs w:val="15"/>
                <w:color w:val="0000EE"/>
              </w:rPr>
            </w:pPr>
            <w:hyperlink w:anchor="page6">
              <w:r>
                <w:rPr>
                  <w:rFonts w:ascii="Arial" w:cs="Arial" w:eastAsia="Arial" w:hAnsi="Arial"/>
                  <w:sz w:val="15"/>
                  <w:szCs w:val="15"/>
                  <w:color w:val="0000EE"/>
                </w:rPr>
                <w:t>Condensed Consolidated Statements of Cash Flows</w:t>
              </w:r>
            </w:hyperlink>
          </w:p>
        </w:tc>
        <w:tc>
          <w:tcPr>
            <w:tcW w:w="170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gridSpan w:val="2"/>
          </w:tcPr>
          <w:p>
            <w:pPr>
              <w:jc w:val="right"/>
              <w:ind w:right="40"/>
              <w:spacing w:after="0" w:line="146" w:lineRule="exact"/>
              <w:rPr>
                <w:sz w:val="20"/>
                <w:szCs w:val="20"/>
                <w:color w:val="auto"/>
              </w:rPr>
            </w:pPr>
            <w:r>
              <w:rPr>
                <w:rFonts w:ascii="Arial" w:cs="Arial" w:eastAsia="Arial" w:hAnsi="Arial"/>
                <w:sz w:val="15"/>
                <w:szCs w:val="15"/>
                <w:color w:val="auto"/>
              </w:rPr>
              <w:t>4</w:t>
            </w:r>
          </w:p>
        </w:tc>
      </w:tr>
      <w:tr>
        <w:trPr>
          <w:trHeight w:val="29"/>
        </w:trPr>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1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75"/>
        </w:trPr>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3860" w:type="dxa"/>
            <w:vAlign w:val="bottom"/>
            <w:tcBorders>
              <w:bottom w:val="single" w:sz="8" w:color="0000EE"/>
            </w:tcBorders>
            <w:gridSpan w:val="11"/>
            <w:shd w:val="clear" w:color="auto" w:fill="CCEEFF"/>
          </w:tcPr>
          <w:p>
            <w:pPr>
              <w:spacing w:after="0" w:line="146" w:lineRule="exact"/>
              <w:rPr>
                <w:rFonts w:ascii="Arial" w:cs="Arial" w:eastAsia="Arial" w:hAnsi="Arial"/>
                <w:sz w:val="15"/>
                <w:szCs w:val="15"/>
                <w:color w:val="0000EE"/>
              </w:rPr>
            </w:pPr>
            <w:hyperlink w:anchor="page7">
              <w:r>
                <w:rPr>
                  <w:rFonts w:ascii="Arial" w:cs="Arial" w:eastAsia="Arial" w:hAnsi="Arial"/>
                  <w:sz w:val="15"/>
                  <w:szCs w:val="15"/>
                  <w:color w:val="0000EE"/>
                </w:rPr>
                <w:t>Notes to Condensed Consolidated Financial Statements</w:t>
              </w:r>
            </w:hyperlink>
          </w:p>
        </w:tc>
        <w:tc>
          <w:tcPr>
            <w:tcW w:w="2220" w:type="dxa"/>
            <w:vAlign w:val="bottom"/>
            <w:tcBorders>
              <w:bottom w:val="single" w:sz="8" w:color="CCEEFF"/>
            </w:tcBorders>
            <w:gridSpan w:val="3"/>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5</w:t>
            </w:r>
          </w:p>
        </w:tc>
      </w:tr>
      <w:tr>
        <w:trPr>
          <w:trHeight w:val="146"/>
        </w:trPr>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6"/>
          </w:tcPr>
          <w:p>
            <w:pPr>
              <w:ind w:left="180"/>
              <w:spacing w:after="0" w:line="146" w:lineRule="exact"/>
              <w:rPr>
                <w:rFonts w:ascii="Arial" w:cs="Arial" w:eastAsia="Arial" w:hAnsi="Arial"/>
                <w:sz w:val="15"/>
                <w:szCs w:val="15"/>
                <w:color w:val="0000EE"/>
              </w:rPr>
            </w:pPr>
            <w:hyperlink w:anchor="page19">
              <w:r>
                <w:rPr>
                  <w:rFonts w:ascii="Arial" w:cs="Arial" w:eastAsia="Arial" w:hAnsi="Arial"/>
                  <w:sz w:val="15"/>
                  <w:szCs w:val="15"/>
                  <w:color w:val="0000EE"/>
                </w:rPr>
                <w:t>Item 2.</w:t>
              </w:r>
            </w:hyperlink>
          </w:p>
        </w:tc>
        <w:tc>
          <w:tcPr>
            <w:tcW w:w="6080" w:type="dxa"/>
            <w:vAlign w:val="bottom"/>
            <w:gridSpan w:val="14"/>
          </w:tcPr>
          <w:p>
            <w:pPr>
              <w:spacing w:after="0" w:line="146" w:lineRule="exact"/>
              <w:rPr>
                <w:rFonts w:ascii="Arial" w:cs="Arial" w:eastAsia="Arial" w:hAnsi="Arial"/>
                <w:sz w:val="15"/>
                <w:szCs w:val="15"/>
                <w:color w:val="0000EE"/>
              </w:rPr>
            </w:pPr>
            <w:hyperlink w:anchor="page19">
              <w:r>
                <w:rPr>
                  <w:rFonts w:ascii="Arial" w:cs="Arial" w:eastAsia="Arial" w:hAnsi="Arial"/>
                  <w:sz w:val="15"/>
                  <w:szCs w:val="15"/>
                  <w:color w:val="0000EE"/>
                </w:rPr>
                <w:t>Management’s Discussion and Analysis of Financial Condition and Results of Operations</w:t>
              </w:r>
            </w:hyperlink>
          </w:p>
        </w:tc>
        <w:tc>
          <w:tcPr>
            <w:tcW w:w="1060" w:type="dxa"/>
            <w:vAlign w:val="bottom"/>
            <w:gridSpan w:val="2"/>
          </w:tcPr>
          <w:p>
            <w:pPr>
              <w:jc w:val="right"/>
              <w:ind w:right="40"/>
              <w:spacing w:after="0" w:line="146" w:lineRule="exact"/>
              <w:rPr>
                <w:sz w:val="20"/>
                <w:szCs w:val="20"/>
                <w:color w:val="auto"/>
              </w:rPr>
            </w:pPr>
            <w:r>
              <w:rPr>
                <w:rFonts w:ascii="Arial" w:cs="Arial" w:eastAsia="Arial" w:hAnsi="Arial"/>
                <w:sz w:val="15"/>
                <w:szCs w:val="15"/>
                <w:color w:val="auto"/>
              </w:rPr>
              <w:t>17</w:t>
            </w:r>
          </w:p>
        </w:tc>
      </w:tr>
      <w:tr>
        <w:trPr>
          <w:trHeight w:val="235"/>
        </w:trPr>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14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700" w:type="dxa"/>
            <w:vAlign w:val="bottom"/>
            <w:tcBorders>
              <w:top w:val="single" w:sz="8" w:color="0000EE"/>
            </w:tcBorders>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175"/>
        </w:trPr>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6"/>
            <w:shd w:val="clear" w:color="auto" w:fill="CCEEFF"/>
          </w:tcPr>
          <w:p>
            <w:pPr>
              <w:ind w:left="180"/>
              <w:spacing w:after="0" w:line="146" w:lineRule="exact"/>
              <w:rPr>
                <w:rFonts w:ascii="Arial" w:cs="Arial" w:eastAsia="Arial" w:hAnsi="Arial"/>
                <w:sz w:val="15"/>
                <w:szCs w:val="15"/>
                <w:color w:val="0000EE"/>
              </w:rPr>
            </w:pPr>
            <w:hyperlink w:anchor="page28">
              <w:r>
                <w:rPr>
                  <w:rFonts w:ascii="Arial" w:cs="Arial" w:eastAsia="Arial" w:hAnsi="Arial"/>
                  <w:sz w:val="15"/>
                  <w:szCs w:val="15"/>
                  <w:color w:val="0000EE"/>
                </w:rPr>
                <w:t>Item 4.</w:t>
              </w:r>
            </w:hyperlink>
          </w:p>
        </w:tc>
        <w:tc>
          <w:tcPr>
            <w:tcW w:w="6080" w:type="dxa"/>
            <w:vAlign w:val="bottom"/>
            <w:gridSpan w:val="14"/>
            <w:shd w:val="clear" w:color="auto" w:fill="CCEEFF"/>
          </w:tcPr>
          <w:p>
            <w:pPr>
              <w:spacing w:after="0" w:line="146" w:lineRule="exact"/>
              <w:rPr>
                <w:rFonts w:ascii="Arial" w:cs="Arial" w:eastAsia="Arial" w:hAnsi="Arial"/>
                <w:sz w:val="15"/>
                <w:szCs w:val="15"/>
                <w:color w:val="0000EE"/>
              </w:rPr>
            </w:pPr>
            <w:hyperlink w:anchor="page28">
              <w:r>
                <w:rPr>
                  <w:rFonts w:ascii="Arial" w:cs="Arial" w:eastAsia="Arial" w:hAnsi="Arial"/>
                  <w:sz w:val="15"/>
                  <w:szCs w:val="15"/>
                  <w:color w:val="0000EE"/>
                </w:rPr>
                <w:t>Controls and Procedures</w:t>
              </w:r>
            </w:hyperlink>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26</w:t>
            </w:r>
          </w:p>
        </w:tc>
      </w:tr>
      <w:tr>
        <w:trPr>
          <w:trHeight w:val="195"/>
        </w:trPr>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r>
      <w:tr>
        <w:trPr>
          <w:trHeight w:val="146"/>
        </w:trPr>
        <w:tc>
          <w:tcPr>
            <w:tcW w:w="100" w:type="dxa"/>
            <w:vAlign w:val="bottom"/>
            <w:shd w:val="clear" w:color="auto" w:fill="CCEEFF"/>
          </w:tcPr>
          <w:p>
            <w:pPr>
              <w:spacing w:after="0"/>
              <w:rPr>
                <w:sz w:val="12"/>
                <w:szCs w:val="12"/>
                <w:color w:val="auto"/>
              </w:rPr>
            </w:pPr>
          </w:p>
        </w:tc>
        <w:tc>
          <w:tcPr>
            <w:tcW w:w="1040" w:type="dxa"/>
            <w:vAlign w:val="bottom"/>
            <w:gridSpan w:val="5"/>
            <w:shd w:val="clear" w:color="auto" w:fill="CCEEFF"/>
          </w:tcPr>
          <w:p>
            <w:pPr>
              <w:spacing w:after="0" w:line="146" w:lineRule="exact"/>
              <w:rPr>
                <w:rFonts w:ascii="Arial" w:cs="Arial" w:eastAsia="Arial" w:hAnsi="Arial"/>
                <w:sz w:val="15"/>
                <w:szCs w:val="15"/>
                <w:color w:val="0000EE"/>
              </w:rPr>
            </w:pPr>
            <w:hyperlink w:anchor="page29">
              <w:r>
                <w:rPr>
                  <w:rFonts w:ascii="Arial" w:cs="Arial" w:eastAsia="Arial" w:hAnsi="Arial"/>
                  <w:sz w:val="15"/>
                  <w:szCs w:val="15"/>
                  <w:color w:val="0000EE"/>
                </w:rPr>
                <w:t>PART II</w:t>
              </w:r>
            </w:hyperlink>
          </w:p>
        </w:tc>
        <w:tc>
          <w:tcPr>
            <w:tcW w:w="7480" w:type="dxa"/>
            <w:vAlign w:val="bottom"/>
            <w:gridSpan w:val="20"/>
            <w:shd w:val="clear" w:color="auto" w:fill="CCEEFF"/>
          </w:tcPr>
          <w:p>
            <w:pPr>
              <w:ind w:left="180"/>
              <w:spacing w:after="0" w:line="146" w:lineRule="exact"/>
              <w:rPr>
                <w:rFonts w:ascii="Arial" w:cs="Arial" w:eastAsia="Arial" w:hAnsi="Arial"/>
                <w:sz w:val="15"/>
                <w:szCs w:val="15"/>
                <w:color w:val="0000EE"/>
              </w:rPr>
            </w:pPr>
            <w:hyperlink w:anchor="page29">
              <w:r>
                <w:rPr>
                  <w:rFonts w:ascii="Arial" w:cs="Arial" w:eastAsia="Arial" w:hAnsi="Arial"/>
                  <w:sz w:val="15"/>
                  <w:szCs w:val="15"/>
                  <w:color w:val="0000EE"/>
                </w:rPr>
                <w:t>OTHER INFORMATION</w:t>
              </w:r>
            </w:hyperlink>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29"/>
        </w:trPr>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r>
      <w:tr>
        <w:trPr>
          <w:trHeight w:val="146"/>
        </w:trPr>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6"/>
          </w:tcPr>
          <w:p>
            <w:pPr>
              <w:ind w:left="180"/>
              <w:spacing w:after="0" w:line="146" w:lineRule="exact"/>
              <w:rPr>
                <w:rFonts w:ascii="Arial" w:cs="Arial" w:eastAsia="Arial" w:hAnsi="Arial"/>
                <w:sz w:val="15"/>
                <w:szCs w:val="15"/>
                <w:color w:val="0000EE"/>
              </w:rPr>
            </w:pPr>
            <w:hyperlink w:anchor="page29">
              <w:r>
                <w:rPr>
                  <w:rFonts w:ascii="Arial" w:cs="Arial" w:eastAsia="Arial" w:hAnsi="Arial"/>
                  <w:sz w:val="15"/>
                  <w:szCs w:val="15"/>
                  <w:color w:val="0000EE"/>
                </w:rPr>
                <w:t>Item 1.</w:t>
              </w:r>
            </w:hyperlink>
          </w:p>
        </w:tc>
        <w:tc>
          <w:tcPr>
            <w:tcW w:w="6080" w:type="dxa"/>
            <w:vAlign w:val="bottom"/>
            <w:gridSpan w:val="14"/>
          </w:tcPr>
          <w:p>
            <w:pPr>
              <w:spacing w:after="0" w:line="146" w:lineRule="exact"/>
              <w:rPr>
                <w:rFonts w:ascii="Arial" w:cs="Arial" w:eastAsia="Arial" w:hAnsi="Arial"/>
                <w:sz w:val="15"/>
                <w:szCs w:val="15"/>
                <w:color w:val="0000EE"/>
              </w:rPr>
            </w:pPr>
            <w:hyperlink w:anchor="page29">
              <w:r>
                <w:rPr>
                  <w:rFonts w:ascii="Arial" w:cs="Arial" w:eastAsia="Arial" w:hAnsi="Arial"/>
                  <w:sz w:val="15"/>
                  <w:szCs w:val="15"/>
                  <w:color w:val="0000EE"/>
                </w:rPr>
                <w:t>Legal Proceedings</w:t>
              </w:r>
            </w:hyperlink>
          </w:p>
        </w:tc>
        <w:tc>
          <w:tcPr>
            <w:tcW w:w="1060" w:type="dxa"/>
            <w:vAlign w:val="bottom"/>
            <w:gridSpan w:val="2"/>
          </w:tcPr>
          <w:p>
            <w:pPr>
              <w:jc w:val="right"/>
              <w:ind w:right="40"/>
              <w:spacing w:after="0" w:line="146" w:lineRule="exact"/>
              <w:rPr>
                <w:sz w:val="20"/>
                <w:szCs w:val="20"/>
                <w:color w:val="auto"/>
              </w:rPr>
            </w:pPr>
            <w:r>
              <w:rPr>
                <w:rFonts w:ascii="Arial" w:cs="Arial" w:eastAsia="Arial" w:hAnsi="Arial"/>
                <w:sz w:val="15"/>
                <w:szCs w:val="15"/>
                <w:color w:val="auto"/>
              </w:rPr>
              <w:t>27</w:t>
            </w:r>
          </w:p>
        </w:tc>
      </w:tr>
      <w:tr>
        <w:trPr>
          <w:trHeight w:val="29"/>
        </w:trPr>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46"/>
        </w:trPr>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gridSpan w:val="6"/>
            <w:shd w:val="clear" w:color="auto" w:fill="CCEEFF"/>
          </w:tcPr>
          <w:p>
            <w:pPr>
              <w:ind w:left="180"/>
              <w:spacing w:after="0" w:line="146" w:lineRule="exact"/>
              <w:rPr>
                <w:rFonts w:ascii="Arial" w:cs="Arial" w:eastAsia="Arial" w:hAnsi="Arial"/>
                <w:sz w:val="15"/>
                <w:szCs w:val="15"/>
                <w:color w:val="0000EE"/>
              </w:rPr>
            </w:pPr>
            <w:hyperlink w:anchor="page29">
              <w:r>
                <w:rPr>
                  <w:rFonts w:ascii="Arial" w:cs="Arial" w:eastAsia="Arial" w:hAnsi="Arial"/>
                  <w:sz w:val="15"/>
                  <w:szCs w:val="15"/>
                  <w:color w:val="0000EE"/>
                </w:rPr>
                <w:t>Item 1A.</w:t>
              </w:r>
            </w:hyperlink>
          </w:p>
        </w:tc>
        <w:tc>
          <w:tcPr>
            <w:tcW w:w="6080" w:type="dxa"/>
            <w:vAlign w:val="bottom"/>
            <w:gridSpan w:val="14"/>
            <w:shd w:val="clear" w:color="auto" w:fill="CCEEFF"/>
          </w:tcPr>
          <w:p>
            <w:pPr>
              <w:spacing w:after="0" w:line="146" w:lineRule="exact"/>
              <w:rPr>
                <w:rFonts w:ascii="Arial" w:cs="Arial" w:eastAsia="Arial" w:hAnsi="Arial"/>
                <w:sz w:val="15"/>
                <w:szCs w:val="15"/>
                <w:color w:val="0000EE"/>
              </w:rPr>
            </w:pPr>
            <w:hyperlink w:anchor="page29">
              <w:r>
                <w:rPr>
                  <w:rFonts w:ascii="Arial" w:cs="Arial" w:eastAsia="Arial" w:hAnsi="Arial"/>
                  <w:sz w:val="15"/>
                  <w:szCs w:val="15"/>
                  <w:color w:val="0000EE"/>
                </w:rPr>
                <w:t>Risk Factors</w:t>
              </w:r>
            </w:hyperlink>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27</w:t>
            </w:r>
          </w:p>
        </w:tc>
      </w:tr>
      <w:tr>
        <w:trPr>
          <w:trHeight w:val="29"/>
        </w:trPr>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r>
      <w:tr>
        <w:trPr>
          <w:trHeight w:val="146"/>
        </w:trPr>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6"/>
          </w:tcPr>
          <w:p>
            <w:pPr>
              <w:ind w:left="180"/>
              <w:spacing w:after="0" w:line="146" w:lineRule="exact"/>
              <w:rPr>
                <w:rFonts w:ascii="Arial" w:cs="Arial" w:eastAsia="Arial" w:hAnsi="Arial"/>
                <w:sz w:val="15"/>
                <w:szCs w:val="15"/>
                <w:color w:val="0000EE"/>
              </w:rPr>
            </w:pPr>
            <w:hyperlink w:anchor="page29">
              <w:r>
                <w:rPr>
                  <w:rFonts w:ascii="Arial" w:cs="Arial" w:eastAsia="Arial" w:hAnsi="Arial"/>
                  <w:sz w:val="15"/>
                  <w:szCs w:val="15"/>
                  <w:color w:val="0000EE"/>
                </w:rPr>
                <w:t>Item 2.</w:t>
              </w:r>
            </w:hyperlink>
          </w:p>
        </w:tc>
        <w:tc>
          <w:tcPr>
            <w:tcW w:w="6080" w:type="dxa"/>
            <w:vAlign w:val="bottom"/>
            <w:gridSpan w:val="14"/>
          </w:tcPr>
          <w:p>
            <w:pPr>
              <w:spacing w:after="0" w:line="146" w:lineRule="exact"/>
              <w:rPr>
                <w:rFonts w:ascii="Arial" w:cs="Arial" w:eastAsia="Arial" w:hAnsi="Arial"/>
                <w:sz w:val="15"/>
                <w:szCs w:val="15"/>
                <w:color w:val="0000EE"/>
              </w:rPr>
            </w:pPr>
            <w:hyperlink w:anchor="page29">
              <w:r>
                <w:rPr>
                  <w:rFonts w:ascii="Arial" w:cs="Arial" w:eastAsia="Arial" w:hAnsi="Arial"/>
                  <w:sz w:val="15"/>
                  <w:szCs w:val="15"/>
                  <w:color w:val="0000EE"/>
                </w:rPr>
                <w:t>Unregistered Sales of Equity Securities and Use of Proceeds</w:t>
              </w:r>
            </w:hyperlink>
          </w:p>
        </w:tc>
        <w:tc>
          <w:tcPr>
            <w:tcW w:w="1060" w:type="dxa"/>
            <w:vAlign w:val="bottom"/>
            <w:gridSpan w:val="2"/>
          </w:tcPr>
          <w:p>
            <w:pPr>
              <w:jc w:val="right"/>
              <w:ind w:right="40"/>
              <w:spacing w:after="0" w:line="146" w:lineRule="exact"/>
              <w:rPr>
                <w:sz w:val="20"/>
                <w:szCs w:val="20"/>
                <w:color w:val="auto"/>
              </w:rPr>
            </w:pPr>
            <w:r>
              <w:rPr>
                <w:rFonts w:ascii="Arial" w:cs="Arial" w:eastAsia="Arial" w:hAnsi="Arial"/>
                <w:sz w:val="15"/>
                <w:szCs w:val="15"/>
                <w:color w:val="auto"/>
              </w:rPr>
              <w:t>27</w:t>
            </w:r>
          </w:p>
        </w:tc>
      </w:tr>
      <w:tr>
        <w:trPr>
          <w:trHeight w:val="29"/>
        </w:trPr>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1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75"/>
        </w:trPr>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6"/>
            <w:shd w:val="clear" w:color="auto" w:fill="CCEEFF"/>
          </w:tcPr>
          <w:p>
            <w:pPr>
              <w:ind w:left="180"/>
              <w:spacing w:after="0" w:line="146" w:lineRule="exact"/>
              <w:rPr>
                <w:sz w:val="20"/>
                <w:szCs w:val="20"/>
                <w:color w:val="auto"/>
              </w:rPr>
            </w:pPr>
            <w:r>
              <w:rPr>
                <w:rFonts w:ascii="Arial" w:cs="Arial" w:eastAsia="Arial" w:hAnsi="Arial"/>
                <w:sz w:val="15"/>
                <w:szCs w:val="15"/>
                <w:color w:val="0000EE"/>
              </w:rPr>
              <w:t>Item 6.</w:t>
            </w:r>
          </w:p>
        </w:tc>
        <w:tc>
          <w:tcPr>
            <w:tcW w:w="6080" w:type="dxa"/>
            <w:vAlign w:val="bottom"/>
            <w:gridSpan w:val="14"/>
            <w:shd w:val="clear" w:color="auto" w:fill="CCEEFF"/>
          </w:tcPr>
          <w:p>
            <w:pPr>
              <w:spacing w:after="0" w:line="146" w:lineRule="exact"/>
              <w:rPr>
                <w:sz w:val="20"/>
                <w:szCs w:val="20"/>
                <w:color w:val="auto"/>
              </w:rPr>
            </w:pPr>
            <w:r>
              <w:rPr>
                <w:rFonts w:ascii="Arial" w:cs="Arial" w:eastAsia="Arial" w:hAnsi="Arial"/>
                <w:sz w:val="15"/>
                <w:szCs w:val="15"/>
                <w:color w:val="0000EE"/>
              </w:rPr>
              <w:t>Exhibits</w:t>
            </w:r>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27</w:t>
            </w:r>
          </w:p>
        </w:tc>
      </w:tr>
      <w:tr>
        <w:trPr>
          <w:trHeight w:val="195"/>
        </w:trPr>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r>
      <w:tr>
        <w:trPr>
          <w:trHeight w:val="175"/>
        </w:trPr>
        <w:tc>
          <w:tcPr>
            <w:tcW w:w="100" w:type="dxa"/>
            <w:vAlign w:val="bottom"/>
            <w:shd w:val="clear" w:color="auto" w:fill="CCEEFF"/>
          </w:tcPr>
          <w:p>
            <w:pPr>
              <w:spacing w:after="0"/>
              <w:rPr>
                <w:sz w:val="15"/>
                <w:szCs w:val="15"/>
                <w:color w:val="auto"/>
              </w:rPr>
            </w:pPr>
          </w:p>
        </w:tc>
        <w:tc>
          <w:tcPr>
            <w:tcW w:w="1040" w:type="dxa"/>
            <w:vAlign w:val="bottom"/>
            <w:gridSpan w:val="5"/>
            <w:shd w:val="clear" w:color="auto" w:fill="CCEEFF"/>
          </w:tcPr>
          <w:p>
            <w:pPr>
              <w:spacing w:after="0" w:line="146" w:lineRule="exact"/>
              <w:rPr>
                <w:rFonts w:ascii="Arial" w:cs="Arial" w:eastAsia="Arial" w:hAnsi="Arial"/>
                <w:sz w:val="15"/>
                <w:szCs w:val="15"/>
                <w:color w:val="0000EE"/>
              </w:rPr>
            </w:pPr>
            <w:hyperlink w:anchor="page30">
              <w:r>
                <w:rPr>
                  <w:rFonts w:ascii="Arial" w:cs="Arial" w:eastAsia="Arial" w:hAnsi="Arial"/>
                  <w:sz w:val="15"/>
                  <w:szCs w:val="15"/>
                  <w:color w:val="0000EE"/>
                </w:rPr>
                <w:t>SIGNATURE</w:t>
              </w:r>
            </w:hyperlink>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28</w:t>
            </w:r>
          </w:p>
        </w:tc>
      </w:tr>
      <w:tr>
        <w:trPr>
          <w:trHeight w:val="195"/>
        </w:trPr>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340" w:type="dxa"/>
            <w:vAlign w:val="bottom"/>
            <w:tcBorders>
              <w:top w:val="single" w:sz="8" w:color="CCEEFF"/>
            </w:tcBorders>
            <w:gridSpan w:val="2"/>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r>
      <w:tr>
        <w:trPr>
          <w:trHeight w:val="175"/>
        </w:trPr>
        <w:tc>
          <w:tcPr>
            <w:tcW w:w="100" w:type="dxa"/>
            <w:vAlign w:val="bottom"/>
            <w:shd w:val="clear" w:color="auto" w:fill="CCEEFF"/>
          </w:tcPr>
          <w:p>
            <w:pPr>
              <w:spacing w:after="0"/>
              <w:rPr>
                <w:sz w:val="15"/>
                <w:szCs w:val="15"/>
                <w:color w:val="auto"/>
              </w:rPr>
            </w:pPr>
          </w:p>
        </w:tc>
        <w:tc>
          <w:tcPr>
            <w:tcW w:w="2440" w:type="dxa"/>
            <w:vAlign w:val="bottom"/>
            <w:gridSpan w:val="11"/>
            <w:shd w:val="clear" w:color="auto" w:fill="CCEEFF"/>
          </w:tcPr>
          <w:p>
            <w:pPr>
              <w:spacing w:after="0" w:line="146" w:lineRule="exact"/>
              <w:rPr>
                <w:rFonts w:ascii="Arial" w:cs="Arial" w:eastAsia="Arial" w:hAnsi="Arial"/>
                <w:sz w:val="15"/>
                <w:szCs w:val="15"/>
                <w:color w:val="0000EE"/>
              </w:rPr>
            </w:pPr>
            <w:hyperlink w:anchor="page31">
              <w:r>
                <w:rPr>
                  <w:rFonts w:ascii="Arial" w:cs="Arial" w:eastAsia="Arial" w:hAnsi="Arial"/>
                  <w:sz w:val="15"/>
                  <w:szCs w:val="15"/>
                  <w:color w:val="0000EE"/>
                </w:rPr>
                <w:t>INDEX OF EXHIBITS</w:t>
              </w:r>
            </w:hyperlink>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29</w:t>
            </w:r>
          </w:p>
        </w:tc>
      </w:tr>
      <w:tr>
        <w:trPr>
          <w:trHeight w:val="1545"/>
        </w:trPr>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1140" w:type="dxa"/>
            <w:vAlign w:val="bottom"/>
            <w:tcBorders>
              <w:top w:val="single" w:sz="8" w:color="CCEEFF"/>
              <w:bottom w:val="single" w:sz="8" w:color="9A9A9A"/>
            </w:tcBorders>
          </w:tcPr>
          <w:p>
            <w:pPr>
              <w:spacing w:after="0"/>
              <w:rPr>
                <w:sz w:val="24"/>
                <w:szCs w:val="24"/>
                <w:color w:val="auto"/>
              </w:rPr>
            </w:pPr>
          </w:p>
        </w:tc>
        <w:tc>
          <w:tcPr>
            <w:tcW w:w="68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1700" w:type="dxa"/>
            <w:vAlign w:val="bottom"/>
            <w:tcBorders>
              <w:top w:val="single" w:sz="8" w:color="CCEEFF"/>
              <w:bottom w:val="single" w:sz="8" w:color="9A9A9A"/>
            </w:tcBorders>
          </w:tcPr>
          <w:p>
            <w:pPr>
              <w:spacing w:after="0"/>
              <w:rPr>
                <w:sz w:val="24"/>
                <w:szCs w:val="24"/>
                <w:color w:val="auto"/>
              </w:rPr>
            </w:pPr>
          </w:p>
        </w:tc>
        <w:tc>
          <w:tcPr>
            <w:tcW w:w="78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5953125</wp:posOffset>
            </wp:positionH>
            <wp:positionV relativeFrom="paragraph">
              <wp:posOffset>-34925</wp:posOffset>
            </wp:positionV>
            <wp:extent cx="33020" cy="482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-34925</wp:posOffset>
            </wp:positionV>
            <wp:extent cx="33020" cy="48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680"/>
          </w:cols>
          <w:pgMar w:left="1120" w:top="115" w:right="109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color w:val="auto"/>
        </w:rPr>
        <w:t>PART I - FINANCIAL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1.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BALANCE SHEETS</w:t>
      </w:r>
    </w:p>
    <w:p>
      <w:pPr>
        <w:jc w:val="center"/>
        <w:spacing w:after="0"/>
        <w:rPr>
          <w:sz w:val="20"/>
          <w:szCs w:val="20"/>
          <w:color w:val="auto"/>
        </w:rPr>
      </w:pPr>
      <w:r>
        <w:rPr>
          <w:rFonts w:ascii="Arial" w:cs="Arial" w:eastAsia="Arial" w:hAnsi="Arial"/>
          <w:sz w:val="15"/>
          <w:szCs w:val="15"/>
          <w:color w:val="auto"/>
        </w:rPr>
        <w:t>($ in millions, except shares)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00" w:type="dxa"/>
            <w:vAlign w:val="bottom"/>
          </w:tcPr>
          <w:p>
            <w:pPr>
              <w:spacing w:after="0"/>
              <w:rPr>
                <w:sz w:val="15"/>
                <w:szCs w:val="15"/>
                <w:color w:val="auto"/>
              </w:rPr>
            </w:pPr>
          </w:p>
        </w:tc>
        <w:tc>
          <w:tcPr>
            <w:tcW w:w="2900" w:type="dxa"/>
            <w:vAlign w:val="bottom"/>
            <w:gridSpan w:val="2"/>
          </w:tcPr>
          <w:p>
            <w:pPr>
              <w:jc w:val="center"/>
              <w:ind w:left="1223"/>
              <w:spacing w:after="0"/>
              <w:rPr>
                <w:sz w:val="20"/>
                <w:szCs w:val="20"/>
                <w:color w:val="auto"/>
              </w:rPr>
            </w:pPr>
            <w:r>
              <w:rPr>
                <w:rFonts w:ascii="Arial" w:cs="Arial" w:eastAsia="Arial" w:hAnsi="Arial"/>
                <w:sz w:val="15"/>
                <w:szCs w:val="15"/>
                <w:b w:val="1"/>
                <w:bCs w:val="1"/>
                <w:color w:val="auto"/>
              </w:rPr>
              <w:t>November 3,</w:t>
            </w:r>
          </w:p>
        </w:tc>
        <w:tc>
          <w:tcPr>
            <w:tcW w:w="1440" w:type="dxa"/>
            <w:vAlign w:val="bottom"/>
            <w:gridSpan w:val="2"/>
          </w:tcPr>
          <w:p>
            <w:pPr>
              <w:jc w:val="center"/>
              <w:ind w:right="63"/>
              <w:spacing w:after="0"/>
              <w:rPr>
                <w:sz w:val="20"/>
                <w:szCs w:val="20"/>
                <w:color w:val="auto"/>
              </w:rPr>
            </w:pPr>
            <w:r>
              <w:rPr>
                <w:rFonts w:ascii="Arial" w:cs="Arial" w:eastAsia="Arial" w:hAnsi="Arial"/>
                <w:sz w:val="15"/>
                <w:szCs w:val="15"/>
                <w:b w:val="1"/>
                <w:bCs w:val="1"/>
                <w:color w:val="auto"/>
              </w:rPr>
              <w:t>October 28,</w:t>
            </w:r>
          </w:p>
        </w:tc>
        <w:tc>
          <w:tcPr>
            <w:tcW w:w="1260" w:type="dxa"/>
            <w:vAlign w:val="bottom"/>
            <w:gridSpan w:val="2"/>
          </w:tcPr>
          <w:p>
            <w:pPr>
              <w:jc w:val="right"/>
              <w:ind w:right="123"/>
              <w:spacing w:after="0"/>
              <w:rPr>
                <w:sz w:val="20"/>
                <w:szCs w:val="20"/>
                <w:color w:val="auto"/>
              </w:rPr>
            </w:pPr>
            <w:r>
              <w:rPr>
                <w:rFonts w:ascii="Arial" w:cs="Arial" w:eastAsia="Arial" w:hAnsi="Arial"/>
                <w:sz w:val="15"/>
                <w:szCs w:val="15"/>
                <w:b w:val="1"/>
                <w:bCs w:val="1"/>
                <w:color w:val="auto"/>
              </w:rPr>
              <w:t>February 3,</w:t>
            </w:r>
          </w:p>
        </w:tc>
        <w:tc>
          <w:tcPr>
            <w:tcW w:w="0" w:type="dxa"/>
            <w:vAlign w:val="bottom"/>
          </w:tcPr>
          <w:p>
            <w:pPr>
              <w:spacing w:after="0"/>
              <w:rPr>
                <w:sz w:val="1"/>
                <w:szCs w:val="1"/>
                <w:color w:val="auto"/>
              </w:rPr>
            </w:pPr>
          </w:p>
        </w:tc>
      </w:tr>
      <w:tr>
        <w:trPr>
          <w:trHeight w:val="194"/>
        </w:trPr>
        <w:tc>
          <w:tcPr>
            <w:tcW w:w="35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43"/>
              <w:spacing w:after="0"/>
              <w:rPr>
                <w:sz w:val="20"/>
                <w:szCs w:val="20"/>
                <w:color w:val="auto"/>
              </w:rPr>
            </w:pPr>
            <w:r>
              <w:rPr>
                <w:rFonts w:ascii="Arial" w:cs="Arial" w:eastAsia="Arial" w:hAnsi="Arial"/>
                <w:sz w:val="15"/>
                <w:szCs w:val="15"/>
                <w:b w:val="1"/>
                <w:bCs w:val="1"/>
                <w:color w:val="auto"/>
              </w:rPr>
              <w:t>2018</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23"/>
              <w:spacing w:after="0"/>
              <w:rPr>
                <w:sz w:val="20"/>
                <w:szCs w:val="20"/>
                <w:color w:val="auto"/>
              </w:rPr>
            </w:pPr>
            <w:r>
              <w:rPr>
                <w:rFonts w:ascii="Arial" w:cs="Arial" w:eastAsia="Arial" w:hAnsi="Arial"/>
                <w:sz w:val="15"/>
                <w:szCs w:val="15"/>
                <w:b w:val="1"/>
                <w:bCs w:val="1"/>
                <w:color w:val="auto"/>
              </w:rPr>
              <w:t>2017</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2900" w:type="dxa"/>
            <w:vAlign w:val="bottom"/>
            <w:gridSpan w:val="2"/>
          </w:tcPr>
          <w:p>
            <w:pPr>
              <w:jc w:val="center"/>
              <w:ind w:left="1203"/>
              <w:spacing w:after="0"/>
              <w:rPr>
                <w:sz w:val="20"/>
                <w:szCs w:val="20"/>
                <w:color w:val="auto"/>
              </w:rPr>
            </w:pPr>
            <w:r>
              <w:rPr>
                <w:rFonts w:ascii="Arial" w:cs="Arial" w:eastAsia="Arial" w:hAnsi="Arial"/>
                <w:sz w:val="15"/>
                <w:szCs w:val="15"/>
                <w:b w:val="1"/>
                <w:bCs w:val="1"/>
                <w:color w:val="auto"/>
              </w:rPr>
              <w:t>(Unaudited)</w:t>
            </w:r>
          </w:p>
        </w:tc>
        <w:tc>
          <w:tcPr>
            <w:tcW w:w="1440" w:type="dxa"/>
            <w:vAlign w:val="bottom"/>
            <w:gridSpan w:val="2"/>
          </w:tcPr>
          <w:p>
            <w:pPr>
              <w:jc w:val="center"/>
              <w:ind w:right="63"/>
              <w:spacing w:after="0"/>
              <w:rPr>
                <w:sz w:val="20"/>
                <w:szCs w:val="20"/>
                <w:color w:val="auto"/>
              </w:rPr>
            </w:pPr>
            <w:r>
              <w:rPr>
                <w:rFonts w:ascii="Arial" w:cs="Arial" w:eastAsia="Arial" w:hAnsi="Arial"/>
                <w:sz w:val="15"/>
                <w:szCs w:val="15"/>
                <w:b w:val="1"/>
                <w:bCs w:val="1"/>
                <w:color w:val="auto"/>
              </w:rPr>
              <w:t>(Unaudited)</w:t>
            </w:r>
          </w:p>
        </w:tc>
        <w:tc>
          <w:tcPr>
            <w:tcW w:w="360" w:type="dxa"/>
            <w:vAlign w:val="bottom"/>
          </w:tcPr>
          <w:p>
            <w:pPr>
              <w:spacing w:after="0"/>
              <w:rPr>
                <w:sz w:val="16"/>
                <w:szCs w:val="16"/>
                <w:color w:val="auto"/>
              </w:rPr>
            </w:pPr>
          </w:p>
        </w:tc>
        <w:tc>
          <w:tcPr>
            <w:tcW w:w="900" w:type="dxa"/>
            <w:vAlign w:val="bottom"/>
          </w:tcPr>
          <w:p>
            <w:pPr>
              <w:jc w:val="right"/>
              <w:ind w:right="503"/>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7"/>
        </w:trPr>
        <w:tc>
          <w:tcPr>
            <w:tcW w:w="35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8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5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Current assets:</w:t>
            </w:r>
          </w:p>
        </w:tc>
        <w:tc>
          <w:tcPr>
            <w:tcW w:w="18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500" w:type="dxa"/>
            <w:vAlign w:val="bottom"/>
          </w:tcPr>
          <w:p>
            <w:pPr>
              <w:ind w:left="100"/>
              <w:spacing w:after="0"/>
              <w:rPr>
                <w:sz w:val="20"/>
                <w:szCs w:val="20"/>
                <w:color w:val="auto"/>
              </w:rPr>
            </w:pPr>
            <w:r>
              <w:rPr>
                <w:rFonts w:ascii="Arial" w:cs="Arial" w:eastAsia="Arial" w:hAnsi="Arial"/>
                <w:sz w:val="15"/>
                <w:szCs w:val="15"/>
                <w:color w:val="auto"/>
              </w:rPr>
              <w:t>Cash and cash equivalents</w:t>
            </w:r>
          </w:p>
        </w:tc>
        <w:tc>
          <w:tcPr>
            <w:tcW w:w="1800" w:type="dxa"/>
            <w:vAlign w:val="bottom"/>
          </w:tcPr>
          <w:p>
            <w:pPr>
              <w:jc w:val="right"/>
              <w:ind w:right="43"/>
              <w:spacing w:after="0"/>
              <w:rPr>
                <w:sz w:val="20"/>
                <w:szCs w:val="20"/>
                <w:color w:val="auto"/>
              </w:rPr>
            </w:pPr>
            <w:r>
              <w:rPr>
                <w:rFonts w:ascii="Arial" w:cs="Arial" w:eastAsia="Arial" w:hAnsi="Arial"/>
                <w:sz w:val="15"/>
                <w:szCs w:val="15"/>
                <w:b w:val="1"/>
                <w:bCs w:val="1"/>
                <w:color w:val="auto"/>
              </w:rPr>
              <w:t>$</w:t>
            </w:r>
          </w:p>
        </w:tc>
        <w:tc>
          <w:tcPr>
            <w:tcW w:w="1100" w:type="dxa"/>
            <w:vAlign w:val="bottom"/>
          </w:tcPr>
          <w:p>
            <w:pPr>
              <w:jc w:val="right"/>
              <w:ind w:right="143"/>
              <w:spacing w:after="0"/>
              <w:rPr>
                <w:sz w:val="20"/>
                <w:szCs w:val="20"/>
                <w:color w:val="auto"/>
              </w:rPr>
            </w:pPr>
            <w:r>
              <w:rPr>
                <w:rFonts w:ascii="Arial" w:cs="Arial" w:eastAsia="Arial" w:hAnsi="Arial"/>
                <w:sz w:val="15"/>
                <w:szCs w:val="15"/>
                <w:b w:val="1"/>
                <w:bCs w:val="1"/>
                <w:color w:val="auto"/>
              </w:rPr>
              <w:t>748</w:t>
            </w:r>
          </w:p>
        </w:tc>
        <w:tc>
          <w:tcPr>
            <w:tcW w:w="3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43"/>
              <w:spacing w:after="0"/>
              <w:rPr>
                <w:sz w:val="20"/>
                <w:szCs w:val="20"/>
                <w:color w:val="auto"/>
              </w:rPr>
            </w:pPr>
            <w:r>
              <w:rPr>
                <w:rFonts w:ascii="Arial" w:cs="Arial" w:eastAsia="Arial" w:hAnsi="Arial"/>
                <w:sz w:val="15"/>
                <w:szCs w:val="15"/>
                <w:color w:val="auto"/>
              </w:rPr>
              <w:t>890</w:t>
            </w:r>
          </w:p>
        </w:tc>
        <w:tc>
          <w:tcPr>
            <w:tcW w:w="3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849</w:t>
            </w:r>
          </w:p>
        </w:tc>
        <w:tc>
          <w:tcPr>
            <w:tcW w:w="0" w:type="dxa"/>
            <w:vAlign w:val="bottom"/>
          </w:tcPr>
          <w:p>
            <w:pPr>
              <w:spacing w:after="0"/>
              <w:rPr>
                <w:sz w:val="1"/>
                <w:szCs w:val="1"/>
                <w:color w:val="auto"/>
              </w:rPr>
            </w:pPr>
          </w:p>
        </w:tc>
      </w:tr>
      <w:tr>
        <w:trPr>
          <w:trHeight w:val="207"/>
        </w:trPr>
        <w:tc>
          <w:tcPr>
            <w:tcW w:w="35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Merchandise inventories</w:t>
            </w:r>
          </w:p>
        </w:tc>
        <w:tc>
          <w:tcPr>
            <w:tcW w:w="18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1,305</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1,313</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1,278</w:t>
            </w:r>
          </w:p>
        </w:tc>
        <w:tc>
          <w:tcPr>
            <w:tcW w:w="0" w:type="dxa"/>
            <w:vAlign w:val="bottom"/>
          </w:tcPr>
          <w:p>
            <w:pPr>
              <w:spacing w:after="0"/>
              <w:rPr>
                <w:sz w:val="1"/>
                <w:szCs w:val="1"/>
                <w:color w:val="auto"/>
              </w:rPr>
            </w:pPr>
          </w:p>
        </w:tc>
      </w:tr>
      <w:tr>
        <w:trPr>
          <w:trHeight w:val="207"/>
        </w:trPr>
        <w:tc>
          <w:tcPr>
            <w:tcW w:w="350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Other current assets</w:t>
            </w:r>
          </w:p>
        </w:tc>
        <w:tc>
          <w:tcPr>
            <w:tcW w:w="18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325</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295</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424</w:t>
            </w:r>
          </w:p>
        </w:tc>
        <w:tc>
          <w:tcPr>
            <w:tcW w:w="0" w:type="dxa"/>
            <w:vAlign w:val="bottom"/>
          </w:tcPr>
          <w:p>
            <w:pPr>
              <w:spacing w:after="0"/>
              <w:rPr>
                <w:sz w:val="1"/>
                <w:szCs w:val="1"/>
                <w:color w:val="auto"/>
              </w:rPr>
            </w:pPr>
          </w:p>
        </w:tc>
      </w:tr>
      <w:tr>
        <w:trPr>
          <w:trHeight w:val="187"/>
        </w:trPr>
        <w:tc>
          <w:tcPr>
            <w:tcW w:w="35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2,378</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2,498</w:t>
            </w: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2,551</w:t>
            </w:r>
          </w:p>
        </w:tc>
        <w:tc>
          <w:tcPr>
            <w:tcW w:w="0" w:type="dxa"/>
            <w:vAlign w:val="bottom"/>
          </w:tcPr>
          <w:p>
            <w:pPr>
              <w:spacing w:after="0"/>
              <w:rPr>
                <w:sz w:val="1"/>
                <w:szCs w:val="1"/>
                <w:color w:val="auto"/>
              </w:rPr>
            </w:pPr>
          </w:p>
        </w:tc>
      </w:tr>
      <w:tr>
        <w:trPr>
          <w:trHeight w:val="207"/>
        </w:trPr>
        <w:tc>
          <w:tcPr>
            <w:tcW w:w="3500" w:type="dxa"/>
            <w:vAlign w:val="bottom"/>
          </w:tcPr>
          <w:p>
            <w:pPr>
              <w:spacing w:after="0"/>
              <w:rPr>
                <w:sz w:val="20"/>
                <w:szCs w:val="20"/>
                <w:color w:val="auto"/>
              </w:rPr>
            </w:pPr>
            <w:r>
              <w:rPr>
                <w:rFonts w:ascii="Arial" w:cs="Arial" w:eastAsia="Arial" w:hAnsi="Arial"/>
                <w:sz w:val="15"/>
                <w:szCs w:val="15"/>
                <w:color w:val="auto"/>
              </w:rPr>
              <w:t>Property and equipment, net</w:t>
            </w:r>
          </w:p>
        </w:tc>
        <w:tc>
          <w:tcPr>
            <w:tcW w:w="1800" w:type="dxa"/>
            <w:vAlign w:val="bottom"/>
          </w:tcPr>
          <w:p>
            <w:pPr>
              <w:spacing w:after="0"/>
              <w:rPr>
                <w:sz w:val="17"/>
                <w:szCs w:val="17"/>
                <w:color w:val="auto"/>
              </w:rPr>
            </w:pPr>
          </w:p>
        </w:tc>
        <w:tc>
          <w:tcPr>
            <w:tcW w:w="1100" w:type="dxa"/>
            <w:vAlign w:val="bottom"/>
          </w:tcPr>
          <w:p>
            <w:pPr>
              <w:jc w:val="right"/>
              <w:ind w:right="143"/>
              <w:spacing w:after="0"/>
              <w:rPr>
                <w:sz w:val="20"/>
                <w:szCs w:val="20"/>
                <w:color w:val="auto"/>
              </w:rPr>
            </w:pPr>
            <w:r>
              <w:rPr>
                <w:rFonts w:ascii="Arial" w:cs="Arial" w:eastAsia="Arial" w:hAnsi="Arial"/>
                <w:sz w:val="15"/>
                <w:szCs w:val="15"/>
                <w:b w:val="1"/>
                <w:bCs w:val="1"/>
                <w:color w:val="auto"/>
              </w:rPr>
              <w:t>824</w:t>
            </w:r>
          </w:p>
        </w:tc>
        <w:tc>
          <w:tcPr>
            <w:tcW w:w="360" w:type="dxa"/>
            <w:vAlign w:val="bottom"/>
          </w:tcPr>
          <w:p>
            <w:pPr>
              <w:spacing w:after="0"/>
              <w:rPr>
                <w:sz w:val="17"/>
                <w:szCs w:val="17"/>
                <w:color w:val="auto"/>
              </w:rPr>
            </w:pPr>
          </w:p>
        </w:tc>
        <w:tc>
          <w:tcPr>
            <w:tcW w:w="1080" w:type="dxa"/>
            <w:vAlign w:val="bottom"/>
          </w:tcPr>
          <w:p>
            <w:pPr>
              <w:jc w:val="right"/>
              <w:ind w:right="143"/>
              <w:spacing w:after="0"/>
              <w:rPr>
                <w:sz w:val="20"/>
                <w:szCs w:val="20"/>
                <w:color w:val="auto"/>
              </w:rPr>
            </w:pPr>
            <w:r>
              <w:rPr>
                <w:rFonts w:ascii="Arial" w:cs="Arial" w:eastAsia="Arial" w:hAnsi="Arial"/>
                <w:sz w:val="15"/>
                <w:szCs w:val="15"/>
                <w:color w:val="auto"/>
              </w:rPr>
              <w:t>835</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866</w:t>
            </w:r>
          </w:p>
        </w:tc>
        <w:tc>
          <w:tcPr>
            <w:tcW w:w="0" w:type="dxa"/>
            <w:vAlign w:val="bottom"/>
          </w:tcPr>
          <w:p>
            <w:pPr>
              <w:spacing w:after="0"/>
              <w:rPr>
                <w:sz w:val="1"/>
                <w:szCs w:val="1"/>
                <w:color w:val="auto"/>
              </w:rPr>
            </w:pPr>
          </w:p>
        </w:tc>
      </w:tr>
      <w:tr>
        <w:trPr>
          <w:trHeight w:val="207"/>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Deferred taxes</w:t>
            </w:r>
          </w:p>
        </w:tc>
        <w:tc>
          <w:tcPr>
            <w:tcW w:w="18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107</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164</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207"/>
        </w:trPr>
        <w:tc>
          <w:tcPr>
            <w:tcW w:w="3500" w:type="dxa"/>
            <w:vAlign w:val="bottom"/>
          </w:tcPr>
          <w:p>
            <w:pPr>
              <w:spacing w:after="0"/>
              <w:rPr>
                <w:sz w:val="20"/>
                <w:szCs w:val="20"/>
                <w:color w:val="auto"/>
              </w:rPr>
            </w:pPr>
            <w:r>
              <w:rPr>
                <w:rFonts w:ascii="Arial" w:cs="Arial" w:eastAsia="Arial" w:hAnsi="Arial"/>
                <w:sz w:val="15"/>
                <w:szCs w:val="15"/>
                <w:color w:val="auto"/>
              </w:rPr>
              <w:t>Goodwill</w:t>
            </w:r>
          </w:p>
        </w:tc>
        <w:tc>
          <w:tcPr>
            <w:tcW w:w="1800" w:type="dxa"/>
            <w:vAlign w:val="bottom"/>
          </w:tcPr>
          <w:p>
            <w:pPr>
              <w:spacing w:after="0"/>
              <w:rPr>
                <w:sz w:val="17"/>
                <w:szCs w:val="17"/>
                <w:color w:val="auto"/>
              </w:rPr>
            </w:pPr>
          </w:p>
        </w:tc>
        <w:tc>
          <w:tcPr>
            <w:tcW w:w="1100" w:type="dxa"/>
            <w:vAlign w:val="bottom"/>
          </w:tcPr>
          <w:p>
            <w:pPr>
              <w:jc w:val="right"/>
              <w:ind w:right="143"/>
              <w:spacing w:after="0"/>
              <w:rPr>
                <w:sz w:val="20"/>
                <w:szCs w:val="20"/>
                <w:color w:val="auto"/>
              </w:rPr>
            </w:pPr>
            <w:r>
              <w:rPr>
                <w:rFonts w:ascii="Arial" w:cs="Arial" w:eastAsia="Arial" w:hAnsi="Arial"/>
                <w:sz w:val="15"/>
                <w:szCs w:val="15"/>
                <w:b w:val="1"/>
                <w:bCs w:val="1"/>
                <w:color w:val="auto"/>
              </w:rPr>
              <w:t>157</w:t>
            </w:r>
          </w:p>
        </w:tc>
        <w:tc>
          <w:tcPr>
            <w:tcW w:w="360" w:type="dxa"/>
            <w:vAlign w:val="bottom"/>
          </w:tcPr>
          <w:p>
            <w:pPr>
              <w:spacing w:after="0"/>
              <w:rPr>
                <w:sz w:val="17"/>
                <w:szCs w:val="17"/>
                <w:color w:val="auto"/>
              </w:rPr>
            </w:pPr>
          </w:p>
        </w:tc>
        <w:tc>
          <w:tcPr>
            <w:tcW w:w="1080" w:type="dxa"/>
            <w:vAlign w:val="bottom"/>
          </w:tcPr>
          <w:p>
            <w:pPr>
              <w:jc w:val="right"/>
              <w:ind w:right="143"/>
              <w:spacing w:after="0"/>
              <w:rPr>
                <w:sz w:val="20"/>
                <w:szCs w:val="20"/>
                <w:color w:val="auto"/>
              </w:rPr>
            </w:pPr>
            <w:r>
              <w:rPr>
                <w:rFonts w:ascii="Arial" w:cs="Arial" w:eastAsia="Arial" w:hAnsi="Arial"/>
                <w:sz w:val="15"/>
                <w:szCs w:val="15"/>
                <w:color w:val="auto"/>
              </w:rPr>
              <w:t>158</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160</w:t>
            </w:r>
          </w:p>
        </w:tc>
        <w:tc>
          <w:tcPr>
            <w:tcW w:w="0" w:type="dxa"/>
            <w:vAlign w:val="bottom"/>
          </w:tcPr>
          <w:p>
            <w:pPr>
              <w:spacing w:after="0"/>
              <w:rPr>
                <w:sz w:val="1"/>
                <w:szCs w:val="1"/>
                <w:color w:val="auto"/>
              </w:rPr>
            </w:pPr>
          </w:p>
        </w:tc>
      </w:tr>
      <w:tr>
        <w:trPr>
          <w:trHeight w:val="207"/>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Other intangible assets, net</w:t>
            </w:r>
          </w:p>
        </w:tc>
        <w:tc>
          <w:tcPr>
            <w:tcW w:w="18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39</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45</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207"/>
        </w:trPr>
        <w:tc>
          <w:tcPr>
            <w:tcW w:w="35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Other assets</w:t>
            </w:r>
          </w:p>
        </w:tc>
        <w:tc>
          <w:tcPr>
            <w:tcW w:w="18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175</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113</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290</w:t>
            </w:r>
          </w:p>
        </w:tc>
        <w:tc>
          <w:tcPr>
            <w:tcW w:w="0" w:type="dxa"/>
            <w:vAlign w:val="bottom"/>
          </w:tcPr>
          <w:p>
            <w:pPr>
              <w:spacing w:after="0"/>
              <w:rPr>
                <w:sz w:val="1"/>
                <w:szCs w:val="1"/>
                <w:color w:val="auto"/>
              </w:rPr>
            </w:pPr>
          </w:p>
        </w:tc>
      </w:tr>
      <w:tr>
        <w:trPr>
          <w:trHeight w:val="179"/>
        </w:trPr>
        <w:tc>
          <w:tcPr>
            <w:tcW w:w="350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3,680</w:t>
            </w:r>
          </w:p>
        </w:tc>
        <w:tc>
          <w:tcPr>
            <w:tcW w:w="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3,813</w:t>
            </w:r>
          </w:p>
        </w:tc>
        <w:tc>
          <w:tcPr>
            <w:tcW w:w="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3,961</w:t>
            </w: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5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 AND SHAREHOLDERS’ EQUITY</w:t>
            </w:r>
          </w:p>
        </w:tc>
        <w:tc>
          <w:tcPr>
            <w:tcW w:w="18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5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18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500" w:type="dxa"/>
            <w:vAlign w:val="bottom"/>
          </w:tcPr>
          <w:p>
            <w:pPr>
              <w:ind w:left="100"/>
              <w:spacing w:after="0"/>
              <w:rPr>
                <w:sz w:val="20"/>
                <w:szCs w:val="20"/>
                <w:color w:val="auto"/>
              </w:rPr>
            </w:pPr>
            <w:r>
              <w:rPr>
                <w:rFonts w:ascii="Arial" w:cs="Arial" w:eastAsia="Arial" w:hAnsi="Arial"/>
                <w:sz w:val="15"/>
                <w:szCs w:val="15"/>
                <w:color w:val="auto"/>
              </w:rPr>
              <w:t>Accounts payable</w:t>
            </w:r>
          </w:p>
        </w:tc>
        <w:tc>
          <w:tcPr>
            <w:tcW w:w="1800" w:type="dxa"/>
            <w:vAlign w:val="bottom"/>
          </w:tcPr>
          <w:p>
            <w:pPr>
              <w:jc w:val="right"/>
              <w:ind w:right="43"/>
              <w:spacing w:after="0"/>
              <w:rPr>
                <w:sz w:val="20"/>
                <w:szCs w:val="20"/>
                <w:color w:val="auto"/>
              </w:rPr>
            </w:pPr>
            <w:r>
              <w:rPr>
                <w:rFonts w:ascii="Arial" w:cs="Arial" w:eastAsia="Arial" w:hAnsi="Arial"/>
                <w:sz w:val="15"/>
                <w:szCs w:val="15"/>
                <w:b w:val="1"/>
                <w:bCs w:val="1"/>
                <w:color w:val="auto"/>
              </w:rPr>
              <w:t>$</w:t>
            </w:r>
          </w:p>
        </w:tc>
        <w:tc>
          <w:tcPr>
            <w:tcW w:w="1100" w:type="dxa"/>
            <w:vAlign w:val="bottom"/>
          </w:tcPr>
          <w:p>
            <w:pPr>
              <w:jc w:val="right"/>
              <w:ind w:right="143"/>
              <w:spacing w:after="0"/>
              <w:rPr>
                <w:sz w:val="20"/>
                <w:szCs w:val="20"/>
                <w:color w:val="auto"/>
              </w:rPr>
            </w:pPr>
            <w:r>
              <w:rPr>
                <w:rFonts w:ascii="Arial" w:cs="Arial" w:eastAsia="Arial" w:hAnsi="Arial"/>
                <w:sz w:val="15"/>
                <w:szCs w:val="15"/>
                <w:b w:val="1"/>
                <w:bCs w:val="1"/>
                <w:color w:val="auto"/>
              </w:rPr>
              <w:t>383</w:t>
            </w:r>
          </w:p>
        </w:tc>
        <w:tc>
          <w:tcPr>
            <w:tcW w:w="3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43"/>
              <w:spacing w:after="0"/>
              <w:rPr>
                <w:sz w:val="20"/>
                <w:szCs w:val="20"/>
                <w:color w:val="auto"/>
              </w:rPr>
            </w:pPr>
            <w:r>
              <w:rPr>
                <w:rFonts w:ascii="Arial" w:cs="Arial" w:eastAsia="Arial" w:hAnsi="Arial"/>
                <w:sz w:val="15"/>
                <w:szCs w:val="15"/>
                <w:color w:val="auto"/>
              </w:rPr>
              <w:t>241</w:t>
            </w:r>
          </w:p>
        </w:tc>
        <w:tc>
          <w:tcPr>
            <w:tcW w:w="3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258</w:t>
            </w:r>
          </w:p>
        </w:tc>
        <w:tc>
          <w:tcPr>
            <w:tcW w:w="0" w:type="dxa"/>
            <w:vAlign w:val="bottom"/>
          </w:tcPr>
          <w:p>
            <w:pPr>
              <w:spacing w:after="0"/>
              <w:rPr>
                <w:sz w:val="1"/>
                <w:szCs w:val="1"/>
                <w:color w:val="auto"/>
              </w:rPr>
            </w:pPr>
          </w:p>
        </w:tc>
      </w:tr>
      <w:tr>
        <w:trPr>
          <w:trHeight w:val="207"/>
        </w:trPr>
        <w:tc>
          <w:tcPr>
            <w:tcW w:w="35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Accrued and other liabilities</w:t>
            </w:r>
          </w:p>
        </w:tc>
        <w:tc>
          <w:tcPr>
            <w:tcW w:w="18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312</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326</w:t>
            </w: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358</w:t>
            </w: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100" w:type="dxa"/>
            <w:vAlign w:val="bottom"/>
          </w:tcPr>
          <w:p>
            <w:pPr>
              <w:jc w:val="right"/>
              <w:ind w:right="143"/>
              <w:spacing w:after="0"/>
              <w:rPr>
                <w:sz w:val="20"/>
                <w:szCs w:val="20"/>
                <w:color w:val="auto"/>
              </w:rPr>
            </w:pPr>
            <w:r>
              <w:rPr>
                <w:rFonts w:ascii="Arial" w:cs="Arial" w:eastAsia="Arial" w:hAnsi="Arial"/>
                <w:sz w:val="15"/>
                <w:szCs w:val="15"/>
                <w:b w:val="1"/>
                <w:bCs w:val="1"/>
                <w:color w:val="auto"/>
              </w:rPr>
              <w:t>695</w:t>
            </w:r>
          </w:p>
        </w:tc>
        <w:tc>
          <w:tcPr>
            <w:tcW w:w="360" w:type="dxa"/>
            <w:vAlign w:val="bottom"/>
          </w:tcPr>
          <w:p>
            <w:pPr>
              <w:spacing w:after="0"/>
              <w:rPr>
                <w:sz w:val="16"/>
                <w:szCs w:val="16"/>
                <w:color w:val="auto"/>
              </w:rPr>
            </w:pPr>
          </w:p>
        </w:tc>
        <w:tc>
          <w:tcPr>
            <w:tcW w:w="1080" w:type="dxa"/>
            <w:vAlign w:val="bottom"/>
          </w:tcPr>
          <w:p>
            <w:pPr>
              <w:jc w:val="right"/>
              <w:ind w:right="143"/>
              <w:spacing w:after="0"/>
              <w:rPr>
                <w:sz w:val="20"/>
                <w:szCs w:val="20"/>
                <w:color w:val="auto"/>
              </w:rPr>
            </w:pPr>
            <w:r>
              <w:rPr>
                <w:rFonts w:ascii="Arial" w:cs="Arial" w:eastAsia="Arial" w:hAnsi="Arial"/>
                <w:sz w:val="15"/>
                <w:szCs w:val="15"/>
                <w:color w:val="auto"/>
              </w:rPr>
              <w:t>567</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616</w:t>
            </w:r>
          </w:p>
        </w:tc>
        <w:tc>
          <w:tcPr>
            <w:tcW w:w="0" w:type="dxa"/>
            <w:vAlign w:val="bottom"/>
          </w:tcPr>
          <w:p>
            <w:pPr>
              <w:spacing w:after="0"/>
              <w:rPr>
                <w:sz w:val="1"/>
                <w:szCs w:val="1"/>
                <w:color w:val="auto"/>
              </w:rPr>
            </w:pPr>
          </w:p>
        </w:tc>
      </w:tr>
      <w:tr>
        <w:trPr>
          <w:trHeight w:val="207"/>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Long-term debt</w:t>
            </w:r>
          </w:p>
        </w:tc>
        <w:tc>
          <w:tcPr>
            <w:tcW w:w="18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124</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126</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207"/>
        </w:trPr>
        <w:tc>
          <w:tcPr>
            <w:tcW w:w="35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Other liabilities</w:t>
            </w:r>
          </w:p>
        </w:tc>
        <w:tc>
          <w:tcPr>
            <w:tcW w:w="18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410</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463</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701</w:t>
            </w:r>
          </w:p>
        </w:tc>
        <w:tc>
          <w:tcPr>
            <w:tcW w:w="0" w:type="dxa"/>
            <w:vAlign w:val="bottom"/>
          </w:tcPr>
          <w:p>
            <w:pPr>
              <w:spacing w:after="0"/>
              <w:rPr>
                <w:sz w:val="1"/>
                <w:szCs w:val="1"/>
                <w:color w:val="auto"/>
              </w:rPr>
            </w:pPr>
          </w:p>
        </w:tc>
      </w:tr>
      <w:tr>
        <w:trPr>
          <w:trHeight w:val="187"/>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Total liabilities</w:t>
            </w:r>
          </w:p>
        </w:tc>
        <w:tc>
          <w:tcPr>
            <w:tcW w:w="18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1,229</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1,156</w:t>
            </w: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1,442</w:t>
            </w:r>
          </w:p>
        </w:tc>
        <w:tc>
          <w:tcPr>
            <w:tcW w:w="0" w:type="dxa"/>
            <w:vAlign w:val="bottom"/>
          </w:tcPr>
          <w:p>
            <w:pPr>
              <w:spacing w:after="0"/>
              <w:rPr>
                <w:sz w:val="1"/>
                <w:szCs w:val="1"/>
                <w:color w:val="auto"/>
              </w:rPr>
            </w:pPr>
          </w:p>
        </w:tc>
      </w:tr>
      <w:tr>
        <w:trPr>
          <w:trHeight w:val="207"/>
        </w:trPr>
        <w:tc>
          <w:tcPr>
            <w:tcW w:w="3500" w:type="dxa"/>
            <w:vAlign w:val="bottom"/>
          </w:tcPr>
          <w:p>
            <w:pPr>
              <w:spacing w:after="0"/>
              <w:rPr>
                <w:sz w:val="20"/>
                <w:szCs w:val="20"/>
                <w:color w:val="auto"/>
              </w:rPr>
            </w:pPr>
            <w:r>
              <w:rPr>
                <w:rFonts w:ascii="Arial" w:cs="Arial" w:eastAsia="Arial" w:hAnsi="Arial"/>
                <w:sz w:val="15"/>
                <w:szCs w:val="15"/>
                <w:color w:val="auto"/>
              </w:rPr>
              <w:t>Shareholders’ equity:</w:t>
            </w:r>
          </w:p>
        </w:tc>
        <w:tc>
          <w:tcPr>
            <w:tcW w:w="1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35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Common stock and paid-in capital: 121,500,846;</w:t>
            </w:r>
          </w:p>
        </w:tc>
        <w:tc>
          <w:tcPr>
            <w:tcW w:w="1800" w:type="dxa"/>
            <w:vAlign w:val="bottom"/>
            <w:shd w:val="clear" w:color="auto" w:fill="CCEEFF"/>
          </w:tcPr>
          <w:p>
            <w:pPr>
              <w:jc w:val="right"/>
              <w:ind w:right="483"/>
              <w:spacing w:after="0"/>
              <w:rPr>
                <w:sz w:val="20"/>
                <w:szCs w:val="20"/>
                <w:color w:val="auto"/>
              </w:rPr>
            </w:pPr>
            <w:r>
              <w:rPr>
                <w:rFonts w:ascii="Arial" w:cs="Arial" w:eastAsia="Arial" w:hAnsi="Arial"/>
                <w:sz w:val="15"/>
                <w:szCs w:val="15"/>
                <w:color w:val="auto"/>
              </w:rPr>
              <w:t>133,336,171; and</w:t>
            </w:r>
          </w:p>
        </w:tc>
        <w:tc>
          <w:tcPr>
            <w:tcW w:w="1100" w:type="dxa"/>
            <w:vAlign w:val="bottom"/>
            <w:vMerge w:val="restart"/>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864</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5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121,262,456 shares outstanding, respectively</w:t>
            </w:r>
          </w:p>
        </w:tc>
        <w:tc>
          <w:tcPr>
            <w:tcW w:w="180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921</w:t>
            </w: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842</w:t>
            </w:r>
          </w:p>
        </w:tc>
        <w:tc>
          <w:tcPr>
            <w:tcW w:w="0" w:type="dxa"/>
            <w:vAlign w:val="bottom"/>
          </w:tcPr>
          <w:p>
            <w:pPr>
              <w:spacing w:after="0"/>
              <w:rPr>
                <w:sz w:val="1"/>
                <w:szCs w:val="1"/>
                <w:color w:val="auto"/>
              </w:rPr>
            </w:pPr>
          </w:p>
        </w:tc>
      </w:tr>
      <w:tr>
        <w:trPr>
          <w:trHeight w:val="207"/>
        </w:trPr>
        <w:tc>
          <w:tcPr>
            <w:tcW w:w="3500" w:type="dxa"/>
            <w:vAlign w:val="bottom"/>
          </w:tcPr>
          <w:p>
            <w:pPr>
              <w:ind w:left="100"/>
              <w:spacing w:after="0"/>
              <w:rPr>
                <w:sz w:val="20"/>
                <w:szCs w:val="20"/>
                <w:color w:val="auto"/>
              </w:rPr>
            </w:pPr>
            <w:r>
              <w:rPr>
                <w:rFonts w:ascii="Arial" w:cs="Arial" w:eastAsia="Arial" w:hAnsi="Arial"/>
                <w:sz w:val="15"/>
                <w:szCs w:val="15"/>
                <w:color w:val="auto"/>
              </w:rPr>
              <w:t>Retained earnings</w:t>
            </w:r>
          </w:p>
        </w:tc>
        <w:tc>
          <w:tcPr>
            <w:tcW w:w="1800" w:type="dxa"/>
            <w:vAlign w:val="bottom"/>
          </w:tcPr>
          <w:p>
            <w:pPr>
              <w:spacing w:after="0"/>
              <w:rPr>
                <w:sz w:val="17"/>
                <w:szCs w:val="17"/>
                <w:color w:val="auto"/>
              </w:rPr>
            </w:pPr>
          </w:p>
        </w:tc>
        <w:tc>
          <w:tcPr>
            <w:tcW w:w="1100" w:type="dxa"/>
            <w:vAlign w:val="bottom"/>
          </w:tcPr>
          <w:p>
            <w:pPr>
              <w:jc w:val="right"/>
              <w:ind w:right="143"/>
              <w:spacing w:after="0"/>
              <w:rPr>
                <w:sz w:val="20"/>
                <w:szCs w:val="20"/>
                <w:color w:val="auto"/>
              </w:rPr>
            </w:pPr>
            <w:r>
              <w:rPr>
                <w:rFonts w:ascii="Arial" w:cs="Arial" w:eastAsia="Arial" w:hAnsi="Arial"/>
                <w:sz w:val="15"/>
                <w:szCs w:val="15"/>
                <w:b w:val="1"/>
                <w:bCs w:val="1"/>
                <w:color w:val="auto"/>
              </w:rPr>
              <w:t>2,323</w:t>
            </w:r>
          </w:p>
        </w:tc>
        <w:tc>
          <w:tcPr>
            <w:tcW w:w="360" w:type="dxa"/>
            <w:vAlign w:val="bottom"/>
          </w:tcPr>
          <w:p>
            <w:pPr>
              <w:spacing w:after="0"/>
              <w:rPr>
                <w:sz w:val="17"/>
                <w:szCs w:val="17"/>
                <w:color w:val="auto"/>
              </w:rPr>
            </w:pPr>
          </w:p>
        </w:tc>
        <w:tc>
          <w:tcPr>
            <w:tcW w:w="1080" w:type="dxa"/>
            <w:vAlign w:val="bottom"/>
          </w:tcPr>
          <w:p>
            <w:pPr>
              <w:jc w:val="right"/>
              <w:ind w:right="143"/>
              <w:spacing w:after="0"/>
              <w:rPr>
                <w:sz w:val="20"/>
                <w:szCs w:val="20"/>
                <w:color w:val="auto"/>
              </w:rPr>
            </w:pPr>
            <w:r>
              <w:rPr>
                <w:rFonts w:ascii="Arial" w:cs="Arial" w:eastAsia="Arial" w:hAnsi="Arial"/>
                <w:sz w:val="15"/>
                <w:szCs w:val="15"/>
                <w:color w:val="auto"/>
              </w:rPr>
              <w:t>2,467</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2,019</w:t>
            </w:r>
          </w:p>
        </w:tc>
        <w:tc>
          <w:tcPr>
            <w:tcW w:w="0" w:type="dxa"/>
            <w:vAlign w:val="bottom"/>
          </w:tcPr>
          <w:p>
            <w:pPr>
              <w:spacing w:after="0"/>
              <w:rPr>
                <w:sz w:val="1"/>
                <w:szCs w:val="1"/>
                <w:color w:val="auto"/>
              </w:rPr>
            </w:pPr>
          </w:p>
        </w:tc>
      </w:tr>
      <w:tr>
        <w:trPr>
          <w:trHeight w:val="207"/>
        </w:trPr>
        <w:tc>
          <w:tcPr>
            <w:tcW w:w="35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Accumulated other comprehensive loss</w:t>
            </w:r>
          </w:p>
        </w:tc>
        <w:tc>
          <w:tcPr>
            <w:tcW w:w="18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(361)</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(286)</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w:t>
            </w:r>
          </w:p>
        </w:tc>
        <w:tc>
          <w:tcPr>
            <w:tcW w:w="0" w:type="dxa"/>
            <w:vAlign w:val="bottom"/>
          </w:tcPr>
          <w:p>
            <w:pPr>
              <w:spacing w:after="0"/>
              <w:rPr>
                <w:sz w:val="1"/>
                <w:szCs w:val="1"/>
                <w:color w:val="auto"/>
              </w:rPr>
            </w:pPr>
          </w:p>
        </w:tc>
      </w:tr>
      <w:tr>
        <w:trPr>
          <w:trHeight w:val="226"/>
        </w:trPr>
        <w:tc>
          <w:tcPr>
            <w:tcW w:w="5300" w:type="dxa"/>
            <w:vAlign w:val="bottom"/>
            <w:gridSpan w:val="2"/>
          </w:tcPr>
          <w:p>
            <w:pPr>
              <w:ind w:left="100"/>
              <w:spacing w:after="0"/>
              <w:rPr>
                <w:sz w:val="20"/>
                <w:szCs w:val="20"/>
                <w:color w:val="auto"/>
              </w:rPr>
            </w:pPr>
            <w:r>
              <w:rPr>
                <w:rFonts w:ascii="Arial" w:cs="Arial" w:eastAsia="Arial" w:hAnsi="Arial"/>
                <w:sz w:val="15"/>
                <w:szCs w:val="15"/>
                <w:color w:val="auto"/>
              </w:rPr>
              <w:t>Less: Treasury stock at cost: 8,109,644; 10,730,582; and 1,433,433</w:t>
            </w:r>
          </w:p>
        </w:tc>
        <w:tc>
          <w:tcPr>
            <w:tcW w:w="110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rPr>
              <w:t>(375)</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0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shares, respectively</w:t>
            </w:r>
          </w:p>
        </w:tc>
        <w:tc>
          <w:tcPr>
            <w:tcW w:w="18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(445)</w:t>
            </w: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187"/>
        </w:trPr>
        <w:tc>
          <w:tcPr>
            <w:tcW w:w="3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Total shareholders' equity</w:t>
            </w:r>
          </w:p>
        </w:tc>
        <w:tc>
          <w:tcPr>
            <w:tcW w:w="18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2,451</w:t>
            </w:r>
          </w:p>
        </w:tc>
        <w:tc>
          <w:tcPr>
            <w:tcW w:w="3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2,657</w:t>
            </w:r>
          </w:p>
        </w:tc>
        <w:tc>
          <w:tcPr>
            <w:tcW w:w="3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2,519</w:t>
            </w:r>
          </w:p>
        </w:tc>
        <w:tc>
          <w:tcPr>
            <w:tcW w:w="0" w:type="dxa"/>
            <w:vAlign w:val="bottom"/>
          </w:tcPr>
          <w:p>
            <w:pPr>
              <w:spacing w:after="0"/>
              <w:rPr>
                <w:sz w:val="1"/>
                <w:szCs w:val="1"/>
                <w:color w:val="auto"/>
              </w:rPr>
            </w:pPr>
          </w:p>
        </w:tc>
      </w:tr>
      <w:tr>
        <w:trPr>
          <w:trHeight w:val="179"/>
        </w:trPr>
        <w:tc>
          <w:tcPr>
            <w:tcW w:w="35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3,680</w:t>
            </w:r>
          </w:p>
        </w:tc>
        <w:tc>
          <w:tcPr>
            <w:tcW w:w="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3,813</w:t>
            </w:r>
          </w:p>
        </w:tc>
        <w:tc>
          <w:tcPr>
            <w:tcW w:w="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3,961</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173" w:lineRule="exact"/>
        <w:rPr>
          <w:sz w:val="20"/>
          <w:szCs w:val="20"/>
          <w:color w:val="auto"/>
        </w:rPr>
      </w:pPr>
    </w:p>
    <w:p>
      <w:pPr>
        <w:jc w:val="both"/>
        <w:ind w:firstLine="5"/>
        <w:spacing w:after="0" w:line="239" w:lineRule="auto"/>
        <w:tabs>
          <w:tab w:leader="none" w:pos="102"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balance sheet at February 3, 2018 has been derived from the previously reported audited financial statements at that date, but does not include all of the information and footnotes required by U.S. generally accepted accounting principles for complete financial statements. For further information, refer to the consolidated financial statements and footnotes thereto included in Foot Locker, Inc.’s Annual Report on Form 10-K for the year ended February 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5" w:right="139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OPERATIONS</w:t>
      </w:r>
    </w:p>
    <w:p>
      <w:pPr>
        <w:jc w:val="center"/>
        <w:spacing w:after="0" w:line="236" w:lineRule="auto"/>
        <w:rPr>
          <w:sz w:val="20"/>
          <w:szCs w:val="20"/>
          <w:color w:val="auto"/>
        </w:rPr>
      </w:pPr>
      <w:r>
        <w:rPr>
          <w:rFonts w:ascii="Arial" w:cs="Arial" w:eastAsia="Arial" w:hAnsi="Arial"/>
          <w:sz w:val="15"/>
          <w:szCs w:val="15"/>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millions, except per share amounts)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80" w:type="dxa"/>
            <w:vAlign w:val="bottom"/>
            <w:gridSpan w:val="3"/>
          </w:tcPr>
          <w:p>
            <w:pPr>
              <w:jc w:val="right"/>
              <w:ind w:right="483"/>
              <w:spacing w:after="0"/>
              <w:rPr>
                <w:sz w:val="20"/>
                <w:szCs w:val="20"/>
                <w:color w:val="auto"/>
              </w:rPr>
            </w:pPr>
            <w:r>
              <w:rPr>
                <w:rFonts w:ascii="Arial" w:cs="Arial" w:eastAsia="Arial" w:hAnsi="Arial"/>
                <w:sz w:val="15"/>
                <w:szCs w:val="15"/>
                <w:b w:val="1"/>
                <w:bCs w:val="1"/>
                <w:color w:val="auto"/>
              </w:rPr>
              <w:t>Thirteen weeks ended</w:t>
            </w:r>
          </w:p>
        </w:tc>
        <w:tc>
          <w:tcPr>
            <w:tcW w:w="320" w:type="dxa"/>
            <w:vAlign w:val="bottom"/>
          </w:tcPr>
          <w:p>
            <w:pPr>
              <w:spacing w:after="0"/>
              <w:rPr>
                <w:sz w:val="16"/>
                <w:szCs w:val="16"/>
                <w:color w:val="auto"/>
              </w:rPr>
            </w:pPr>
          </w:p>
        </w:tc>
        <w:tc>
          <w:tcPr>
            <w:tcW w:w="2220" w:type="dxa"/>
            <w:vAlign w:val="bottom"/>
            <w:gridSpan w:val="4"/>
          </w:tcPr>
          <w:p>
            <w:pPr>
              <w:jc w:val="right"/>
              <w:ind w:right="360"/>
              <w:spacing w:after="0"/>
              <w:rPr>
                <w:sz w:val="20"/>
                <w:szCs w:val="20"/>
                <w:color w:val="auto"/>
              </w:rPr>
            </w:pPr>
            <w:r>
              <w:rPr>
                <w:rFonts w:ascii="Arial" w:cs="Arial" w:eastAsia="Arial" w:hAnsi="Arial"/>
                <w:sz w:val="15"/>
                <w:szCs w:val="15"/>
                <w:b w:val="1"/>
                <w:bCs w:val="1"/>
                <w:color w:val="auto"/>
              </w:rPr>
              <w:t>Thirty-nine weeks ended</w:t>
            </w:r>
          </w:p>
        </w:tc>
        <w:tc>
          <w:tcPr>
            <w:tcW w:w="0" w:type="dxa"/>
            <w:vAlign w:val="bottom"/>
          </w:tcPr>
          <w:p>
            <w:pPr>
              <w:spacing w:after="0"/>
              <w:rPr>
                <w:sz w:val="1"/>
                <w:szCs w:val="1"/>
                <w:color w:val="auto"/>
              </w:rPr>
            </w:pPr>
          </w:p>
        </w:tc>
      </w:tr>
      <w:tr>
        <w:trPr>
          <w:trHeight w:val="151"/>
        </w:trPr>
        <w:tc>
          <w:tcPr>
            <w:tcW w:w="376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tcPr>
          <w:p>
            <w:pPr>
              <w:ind w:left="340"/>
              <w:spacing w:after="0" w:line="151" w:lineRule="exact"/>
              <w:rPr>
                <w:sz w:val="20"/>
                <w:szCs w:val="20"/>
                <w:color w:val="auto"/>
              </w:rPr>
            </w:pPr>
            <w:r>
              <w:rPr>
                <w:rFonts w:ascii="Arial" w:cs="Arial" w:eastAsia="Arial" w:hAnsi="Arial"/>
                <w:sz w:val="15"/>
                <w:szCs w:val="15"/>
                <w:b w:val="1"/>
                <w:bCs w:val="1"/>
                <w:color w:val="auto"/>
              </w:rPr>
              <w:t>November 3,</w:t>
            </w:r>
          </w:p>
        </w:tc>
        <w:tc>
          <w:tcPr>
            <w:tcW w:w="1300" w:type="dxa"/>
            <w:vAlign w:val="bottom"/>
            <w:tcBorders>
              <w:top w:val="single" w:sz="8" w:color="auto"/>
            </w:tcBorders>
            <w:gridSpan w:val="2"/>
          </w:tcPr>
          <w:p>
            <w:pPr>
              <w:jc w:val="right"/>
              <w:ind w:right="203"/>
              <w:spacing w:after="0" w:line="151" w:lineRule="exact"/>
              <w:rPr>
                <w:sz w:val="20"/>
                <w:szCs w:val="20"/>
                <w:color w:val="auto"/>
              </w:rPr>
            </w:pPr>
            <w:r>
              <w:rPr>
                <w:rFonts w:ascii="Arial" w:cs="Arial" w:eastAsia="Arial" w:hAnsi="Arial"/>
                <w:sz w:val="15"/>
                <w:szCs w:val="15"/>
                <w:b w:val="1"/>
                <w:bCs w:val="1"/>
                <w:color w:val="auto"/>
              </w:rPr>
              <w:t>October 28,</w:t>
            </w:r>
          </w:p>
        </w:tc>
        <w:tc>
          <w:tcPr>
            <w:tcW w:w="1340" w:type="dxa"/>
            <w:vAlign w:val="bottom"/>
            <w:tcBorders>
              <w:top w:val="single" w:sz="8" w:color="auto"/>
            </w:tcBorders>
            <w:gridSpan w:val="2"/>
          </w:tcPr>
          <w:p>
            <w:pPr>
              <w:ind w:left="160"/>
              <w:spacing w:after="0" w:line="151" w:lineRule="exact"/>
              <w:rPr>
                <w:sz w:val="20"/>
                <w:szCs w:val="20"/>
                <w:color w:val="auto"/>
              </w:rPr>
            </w:pPr>
            <w:r>
              <w:rPr>
                <w:rFonts w:ascii="Arial" w:cs="Arial" w:eastAsia="Arial" w:hAnsi="Arial"/>
                <w:sz w:val="15"/>
                <w:szCs w:val="15"/>
                <w:b w:val="1"/>
                <w:bCs w:val="1"/>
                <w:color w:val="auto"/>
              </w:rPr>
              <w:t>November 3,</w:t>
            </w:r>
          </w:p>
        </w:tc>
        <w:tc>
          <w:tcPr>
            <w:tcW w:w="1180" w:type="dxa"/>
            <w:vAlign w:val="bottom"/>
            <w:tcBorders>
              <w:top w:val="single" w:sz="8" w:color="auto"/>
            </w:tcBorders>
            <w:gridSpan w:val="2"/>
          </w:tcPr>
          <w:p>
            <w:pPr>
              <w:jc w:val="right"/>
              <w:ind w:right="63"/>
              <w:spacing w:after="0" w:line="151" w:lineRule="exact"/>
              <w:rPr>
                <w:sz w:val="20"/>
                <w:szCs w:val="20"/>
                <w:color w:val="auto"/>
              </w:rPr>
            </w:pPr>
            <w:r>
              <w:rPr>
                <w:rFonts w:ascii="Arial" w:cs="Arial" w:eastAsia="Arial" w:hAnsi="Arial"/>
                <w:sz w:val="15"/>
                <w:szCs w:val="15"/>
                <w:b w:val="1"/>
                <w:bCs w:val="1"/>
                <w:color w:val="auto"/>
              </w:rPr>
              <w:t>October 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7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2018</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2017</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2018</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Sales</w:t>
            </w:r>
          </w:p>
        </w:tc>
        <w:tc>
          <w:tcPr>
            <w:tcW w:w="540" w:type="dxa"/>
            <w:vAlign w:val="bottom"/>
            <w:shd w:val="clear" w:color="auto" w:fill="CCEEFF"/>
          </w:tcPr>
          <w:p>
            <w:pPr>
              <w:ind w:left="360"/>
              <w:spacing w:after="0"/>
              <w:rPr>
                <w:sz w:val="20"/>
                <w:szCs w:val="20"/>
                <w:color w:val="auto"/>
              </w:rPr>
            </w:pPr>
            <w:r>
              <w:rPr>
                <w:rFonts w:ascii="Arial" w:cs="Arial" w:eastAsia="Arial" w:hAnsi="Arial"/>
                <w:sz w:val="15"/>
                <w:szCs w:val="15"/>
                <w:b w:val="1"/>
                <w:bCs w:val="1"/>
                <w:color w:val="auto"/>
              </w:rPr>
              <w:t>$</w:t>
            </w:r>
          </w:p>
        </w:tc>
        <w:tc>
          <w:tcPr>
            <w:tcW w:w="98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1,860</w:t>
            </w:r>
          </w:p>
        </w:tc>
        <w:tc>
          <w:tcPr>
            <w:tcW w:w="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1,870</w:t>
            </w:r>
          </w:p>
        </w:tc>
        <w:tc>
          <w:tcPr>
            <w:tcW w:w="32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w:t>
            </w: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5,667</w:t>
            </w:r>
          </w:p>
        </w:tc>
        <w:tc>
          <w:tcPr>
            <w:tcW w:w="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Cost of sales</w:t>
            </w: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1,272</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1,290</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3,874</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tcPr>
          <w:p>
            <w:pPr>
              <w:spacing w:after="0"/>
              <w:rPr>
                <w:sz w:val="20"/>
                <w:szCs w:val="20"/>
                <w:color w:val="auto"/>
              </w:rPr>
            </w:pPr>
            <w:r>
              <w:rPr>
                <w:rFonts w:ascii="Arial" w:cs="Arial" w:eastAsia="Arial" w:hAnsi="Arial"/>
                <w:sz w:val="15"/>
                <w:szCs w:val="15"/>
                <w:color w:val="auto"/>
              </w:rPr>
              <w:t>Selling, general and administrative expenses</w:t>
            </w:r>
          </w:p>
        </w:tc>
        <w:tc>
          <w:tcPr>
            <w:tcW w:w="540" w:type="dxa"/>
            <w:vAlign w:val="bottom"/>
          </w:tcPr>
          <w:p>
            <w:pPr>
              <w:spacing w:after="0"/>
              <w:rPr>
                <w:sz w:val="17"/>
                <w:szCs w:val="17"/>
                <w:color w:val="auto"/>
              </w:rPr>
            </w:pPr>
          </w:p>
        </w:tc>
        <w:tc>
          <w:tcPr>
            <w:tcW w:w="980" w:type="dxa"/>
            <w:vAlign w:val="bottom"/>
          </w:tcPr>
          <w:p>
            <w:pPr>
              <w:jc w:val="right"/>
              <w:ind w:right="123"/>
              <w:spacing w:after="0"/>
              <w:rPr>
                <w:sz w:val="20"/>
                <w:szCs w:val="20"/>
                <w:color w:val="auto"/>
              </w:rPr>
            </w:pPr>
            <w:r>
              <w:rPr>
                <w:rFonts w:ascii="Arial" w:cs="Arial" w:eastAsia="Arial" w:hAnsi="Arial"/>
                <w:sz w:val="15"/>
                <w:szCs w:val="15"/>
                <w:b w:val="1"/>
                <w:bCs w:val="1"/>
                <w:color w:val="auto"/>
              </w:rPr>
              <w:t>398</w:t>
            </w:r>
          </w:p>
        </w:tc>
        <w:tc>
          <w:tcPr>
            <w:tcW w:w="340" w:type="dxa"/>
            <w:vAlign w:val="bottom"/>
          </w:tcPr>
          <w:p>
            <w:pPr>
              <w:spacing w:after="0"/>
              <w:rPr>
                <w:sz w:val="17"/>
                <w:szCs w:val="17"/>
                <w:color w:val="auto"/>
              </w:rPr>
            </w:pPr>
          </w:p>
        </w:tc>
        <w:tc>
          <w:tcPr>
            <w:tcW w:w="960" w:type="dxa"/>
            <w:vAlign w:val="bottom"/>
          </w:tcPr>
          <w:p>
            <w:pPr>
              <w:jc w:val="right"/>
              <w:ind w:right="103"/>
              <w:spacing w:after="0"/>
              <w:rPr>
                <w:sz w:val="20"/>
                <w:szCs w:val="20"/>
                <w:color w:val="auto"/>
              </w:rPr>
            </w:pPr>
            <w:r>
              <w:rPr>
                <w:rFonts w:ascii="Arial" w:cs="Arial" w:eastAsia="Arial" w:hAnsi="Arial"/>
                <w:sz w:val="15"/>
                <w:szCs w:val="15"/>
                <w:color w:val="auto"/>
              </w:rPr>
              <w:t>368</w:t>
            </w:r>
          </w:p>
        </w:tc>
        <w:tc>
          <w:tcPr>
            <w:tcW w:w="320" w:type="dxa"/>
            <w:vAlign w:val="bottom"/>
          </w:tcPr>
          <w:p>
            <w:pPr>
              <w:spacing w:after="0"/>
              <w:rPr>
                <w:sz w:val="17"/>
                <w:szCs w:val="17"/>
                <w:color w:val="auto"/>
              </w:rPr>
            </w:pPr>
          </w:p>
        </w:tc>
        <w:tc>
          <w:tcPr>
            <w:tcW w:w="1020" w:type="dxa"/>
            <w:vAlign w:val="bottom"/>
          </w:tcPr>
          <w:p>
            <w:pPr>
              <w:jc w:val="right"/>
              <w:ind w:right="123"/>
              <w:spacing w:after="0"/>
              <w:rPr>
                <w:sz w:val="20"/>
                <w:szCs w:val="20"/>
                <w:color w:val="auto"/>
              </w:rPr>
            </w:pPr>
            <w:r>
              <w:rPr>
                <w:rFonts w:ascii="Arial" w:cs="Arial" w:eastAsia="Arial" w:hAnsi="Arial"/>
                <w:sz w:val="15"/>
                <w:szCs w:val="15"/>
                <w:b w:val="1"/>
                <w:bCs w:val="1"/>
                <w:color w:val="auto"/>
              </w:rPr>
              <w:t>1,163</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Depreciation and amortization</w:t>
            </w: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44</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44</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133</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Litigation and other charges</w:t>
            </w: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2</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13</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17</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Income from operations</w:t>
            </w:r>
          </w:p>
        </w:tc>
        <w:tc>
          <w:tcPr>
            <w:tcW w:w="5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144</w:t>
            </w: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155</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480</w:t>
            </w: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 net</w:t>
            </w: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(2)</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(5)</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tcPr>
          <w:p>
            <w:pPr>
              <w:spacing w:after="0"/>
              <w:rPr>
                <w:sz w:val="20"/>
                <w:szCs w:val="20"/>
                <w:color w:val="auto"/>
              </w:rPr>
            </w:pPr>
            <w:r>
              <w:rPr>
                <w:rFonts w:ascii="Arial" w:cs="Arial" w:eastAsia="Arial" w:hAnsi="Arial"/>
                <w:sz w:val="15"/>
                <w:szCs w:val="15"/>
                <w:color w:val="auto"/>
              </w:rPr>
              <w:t>Other income</w:t>
            </w:r>
          </w:p>
        </w:tc>
        <w:tc>
          <w:tcPr>
            <w:tcW w:w="540" w:type="dxa"/>
            <w:vAlign w:val="bottom"/>
          </w:tcPr>
          <w:p>
            <w:pPr>
              <w:spacing w:after="0"/>
              <w:rPr>
                <w:sz w:val="17"/>
                <w:szCs w:val="17"/>
                <w:color w:val="auto"/>
              </w:rPr>
            </w:pPr>
          </w:p>
        </w:tc>
        <w:tc>
          <w:tcPr>
            <w:tcW w:w="980" w:type="dxa"/>
            <w:vAlign w:val="bottom"/>
          </w:tcPr>
          <w:p>
            <w:pPr>
              <w:jc w:val="right"/>
              <w:ind w:right="83"/>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7"/>
                <w:szCs w:val="17"/>
                <w:color w:val="auto"/>
              </w:rPr>
            </w:pPr>
          </w:p>
        </w:tc>
        <w:tc>
          <w:tcPr>
            <w:tcW w:w="960" w:type="dxa"/>
            <w:vAlign w:val="bottom"/>
          </w:tcPr>
          <w:p>
            <w:pPr>
              <w:jc w:val="right"/>
              <w:ind w:right="63"/>
              <w:spacing w:after="0"/>
              <w:rPr>
                <w:sz w:val="20"/>
                <w:szCs w:val="20"/>
                <w:color w:val="auto"/>
              </w:rPr>
            </w:pPr>
            <w:r>
              <w:rPr>
                <w:rFonts w:ascii="Arial" w:cs="Arial" w:eastAsia="Arial" w:hAnsi="Arial"/>
                <w:sz w:val="15"/>
                <w:szCs w:val="15"/>
                <w:color w:val="auto"/>
              </w:rPr>
              <w:t>(1)</w:t>
            </w:r>
          </w:p>
        </w:tc>
        <w:tc>
          <w:tcPr>
            <w:tcW w:w="320" w:type="dxa"/>
            <w:vAlign w:val="bottom"/>
          </w:tcPr>
          <w:p>
            <w:pPr>
              <w:spacing w:after="0"/>
              <w:rPr>
                <w:sz w:val="17"/>
                <w:szCs w:val="17"/>
                <w:color w:val="auto"/>
              </w:rPr>
            </w:pPr>
          </w:p>
        </w:tc>
        <w:tc>
          <w:tcPr>
            <w:tcW w:w="1020" w:type="dxa"/>
            <w:vAlign w:val="bottom"/>
          </w:tcPr>
          <w:p>
            <w:pPr>
              <w:jc w:val="right"/>
              <w:ind w:right="83"/>
              <w:spacing w:after="0"/>
              <w:rPr>
                <w:sz w:val="20"/>
                <w:szCs w:val="20"/>
                <w:color w:val="auto"/>
              </w:rPr>
            </w:pPr>
            <w:r>
              <w:rPr>
                <w:rFonts w:ascii="Arial" w:cs="Arial" w:eastAsia="Arial" w:hAnsi="Arial"/>
                <w:sz w:val="15"/>
                <w:szCs w:val="15"/>
                <w:b w:val="1"/>
                <w:bCs w:val="1"/>
                <w:color w:val="auto"/>
              </w:rPr>
              <w:t>(5)</w:t>
            </w:r>
          </w:p>
        </w:tc>
        <w:tc>
          <w:tcPr>
            <w:tcW w:w="34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87"/>
        </w:trPr>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Income before income taxes</w:t>
            </w:r>
          </w:p>
        </w:tc>
        <w:tc>
          <w:tcPr>
            <w:tcW w:w="5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146</w:t>
            </w:r>
          </w:p>
        </w:tc>
        <w:tc>
          <w:tcPr>
            <w:tcW w:w="3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156</w:t>
            </w:r>
          </w:p>
        </w:tc>
        <w:tc>
          <w:tcPr>
            <w:tcW w:w="3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490</w:t>
            </w:r>
          </w:p>
        </w:tc>
        <w:tc>
          <w:tcPr>
            <w:tcW w:w="3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7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Income tax expense</w:t>
            </w: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16</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54</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107</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Net income</w:t>
            </w:r>
          </w:p>
        </w:tc>
        <w:tc>
          <w:tcPr>
            <w:tcW w:w="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130</w:t>
            </w:r>
          </w:p>
        </w:tc>
        <w:tc>
          <w:tcPr>
            <w:tcW w:w="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102</w:t>
            </w:r>
          </w:p>
        </w:tc>
        <w:tc>
          <w:tcPr>
            <w:tcW w:w="3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383</w:t>
            </w:r>
          </w:p>
        </w:tc>
        <w:tc>
          <w:tcPr>
            <w:tcW w:w="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7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Basic earnings per share</w:t>
            </w:r>
          </w:p>
        </w:tc>
        <w:tc>
          <w:tcPr>
            <w:tcW w:w="540" w:type="dxa"/>
            <w:vAlign w:val="bottom"/>
            <w:shd w:val="clear" w:color="auto" w:fill="CCEEFF"/>
          </w:tcPr>
          <w:p>
            <w:pPr>
              <w:ind w:left="360"/>
              <w:spacing w:after="0"/>
              <w:rPr>
                <w:sz w:val="20"/>
                <w:szCs w:val="20"/>
                <w:color w:val="auto"/>
              </w:rPr>
            </w:pPr>
            <w:r>
              <w:rPr>
                <w:rFonts w:ascii="Arial" w:cs="Arial" w:eastAsia="Arial" w:hAnsi="Arial"/>
                <w:sz w:val="15"/>
                <w:szCs w:val="15"/>
                <w:b w:val="1"/>
                <w:bCs w:val="1"/>
                <w:color w:val="auto"/>
              </w:rPr>
              <w:t>$</w:t>
            </w:r>
          </w:p>
        </w:tc>
        <w:tc>
          <w:tcPr>
            <w:tcW w:w="98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1.14</w:t>
            </w:r>
          </w:p>
        </w:tc>
        <w:tc>
          <w:tcPr>
            <w:tcW w:w="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0.81</w:t>
            </w:r>
          </w:p>
        </w:tc>
        <w:tc>
          <w:tcPr>
            <w:tcW w:w="32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w:t>
            </w: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3.29</w:t>
            </w:r>
          </w:p>
        </w:tc>
        <w:tc>
          <w:tcPr>
            <w:tcW w:w="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tcPr>
          <w:p>
            <w:pPr>
              <w:ind w:left="100"/>
              <w:spacing w:after="0"/>
              <w:rPr>
                <w:sz w:val="20"/>
                <w:szCs w:val="20"/>
                <w:color w:val="auto"/>
              </w:rPr>
            </w:pPr>
            <w:r>
              <w:rPr>
                <w:rFonts w:ascii="Arial" w:cs="Arial" w:eastAsia="Arial" w:hAnsi="Arial"/>
                <w:sz w:val="15"/>
                <w:szCs w:val="15"/>
                <w:color w:val="auto"/>
              </w:rPr>
              <w:t>Weighted-average shares outstanding</w:t>
            </w:r>
          </w:p>
        </w:tc>
        <w:tc>
          <w:tcPr>
            <w:tcW w:w="540" w:type="dxa"/>
            <w:vAlign w:val="bottom"/>
          </w:tcPr>
          <w:p>
            <w:pPr>
              <w:spacing w:after="0"/>
              <w:rPr>
                <w:sz w:val="17"/>
                <w:szCs w:val="17"/>
                <w:color w:val="auto"/>
              </w:rPr>
            </w:pPr>
          </w:p>
        </w:tc>
        <w:tc>
          <w:tcPr>
            <w:tcW w:w="980" w:type="dxa"/>
            <w:vAlign w:val="bottom"/>
          </w:tcPr>
          <w:p>
            <w:pPr>
              <w:jc w:val="right"/>
              <w:ind w:right="123"/>
              <w:spacing w:after="0"/>
              <w:rPr>
                <w:sz w:val="20"/>
                <w:szCs w:val="20"/>
                <w:color w:val="auto"/>
              </w:rPr>
            </w:pPr>
            <w:r>
              <w:rPr>
                <w:rFonts w:ascii="Arial" w:cs="Arial" w:eastAsia="Arial" w:hAnsi="Arial"/>
                <w:sz w:val="15"/>
                <w:szCs w:val="15"/>
                <w:b w:val="1"/>
                <w:bCs w:val="1"/>
                <w:color w:val="auto"/>
              </w:rPr>
              <w:t>114.5</w:t>
            </w:r>
          </w:p>
        </w:tc>
        <w:tc>
          <w:tcPr>
            <w:tcW w:w="340" w:type="dxa"/>
            <w:vAlign w:val="bottom"/>
          </w:tcPr>
          <w:p>
            <w:pPr>
              <w:spacing w:after="0"/>
              <w:rPr>
                <w:sz w:val="17"/>
                <w:szCs w:val="17"/>
                <w:color w:val="auto"/>
              </w:rPr>
            </w:pPr>
          </w:p>
        </w:tc>
        <w:tc>
          <w:tcPr>
            <w:tcW w:w="960" w:type="dxa"/>
            <w:vAlign w:val="bottom"/>
          </w:tcPr>
          <w:p>
            <w:pPr>
              <w:jc w:val="right"/>
              <w:ind w:right="103"/>
              <w:spacing w:after="0"/>
              <w:rPr>
                <w:sz w:val="20"/>
                <w:szCs w:val="20"/>
                <w:color w:val="auto"/>
              </w:rPr>
            </w:pPr>
            <w:r>
              <w:rPr>
                <w:rFonts w:ascii="Arial" w:cs="Arial" w:eastAsia="Arial" w:hAnsi="Arial"/>
                <w:sz w:val="15"/>
                <w:szCs w:val="15"/>
                <w:color w:val="auto"/>
              </w:rPr>
              <w:t>126.0</w:t>
            </w:r>
          </w:p>
        </w:tc>
        <w:tc>
          <w:tcPr>
            <w:tcW w:w="320" w:type="dxa"/>
            <w:vAlign w:val="bottom"/>
          </w:tcPr>
          <w:p>
            <w:pPr>
              <w:spacing w:after="0"/>
              <w:rPr>
                <w:sz w:val="17"/>
                <w:szCs w:val="17"/>
                <w:color w:val="auto"/>
              </w:rPr>
            </w:pPr>
          </w:p>
        </w:tc>
        <w:tc>
          <w:tcPr>
            <w:tcW w:w="1020" w:type="dxa"/>
            <w:vAlign w:val="bottom"/>
          </w:tcPr>
          <w:p>
            <w:pPr>
              <w:jc w:val="right"/>
              <w:ind w:right="123"/>
              <w:spacing w:after="0"/>
              <w:rPr>
                <w:sz w:val="20"/>
                <w:szCs w:val="20"/>
                <w:color w:val="auto"/>
              </w:rPr>
            </w:pPr>
            <w:r>
              <w:rPr>
                <w:rFonts w:ascii="Arial" w:cs="Arial" w:eastAsia="Arial" w:hAnsi="Arial"/>
                <w:sz w:val="15"/>
                <w:szCs w:val="15"/>
                <w:b w:val="1"/>
                <w:bCs w:val="1"/>
                <w:color w:val="auto"/>
              </w:rPr>
              <w:t>116.6</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tcPr>
          <w:p>
            <w:pPr>
              <w:ind w:left="100"/>
              <w:spacing w:after="0"/>
              <w:rPr>
                <w:sz w:val="20"/>
                <w:szCs w:val="20"/>
                <w:color w:val="auto"/>
              </w:rPr>
            </w:pPr>
            <w:r>
              <w:rPr>
                <w:rFonts w:ascii="Arial" w:cs="Arial" w:eastAsia="Arial" w:hAnsi="Arial"/>
                <w:sz w:val="15"/>
                <w:szCs w:val="15"/>
                <w:color w:val="auto"/>
              </w:rPr>
              <w:t>Diluted earnings per share</w:t>
            </w:r>
          </w:p>
        </w:tc>
        <w:tc>
          <w:tcPr>
            <w:tcW w:w="540" w:type="dxa"/>
            <w:vAlign w:val="bottom"/>
          </w:tcPr>
          <w:p>
            <w:pPr>
              <w:ind w:left="360"/>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123"/>
              <w:spacing w:after="0"/>
              <w:rPr>
                <w:sz w:val="20"/>
                <w:szCs w:val="20"/>
                <w:color w:val="auto"/>
              </w:rPr>
            </w:pPr>
            <w:r>
              <w:rPr>
                <w:rFonts w:ascii="Arial" w:cs="Arial" w:eastAsia="Arial" w:hAnsi="Arial"/>
                <w:sz w:val="15"/>
                <w:szCs w:val="15"/>
                <w:b w:val="1"/>
                <w:bCs w:val="1"/>
                <w:color w:val="auto"/>
              </w:rPr>
              <w:t>1.14</w:t>
            </w:r>
          </w:p>
        </w:tc>
        <w:tc>
          <w:tcPr>
            <w:tcW w:w="3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103"/>
              <w:spacing w:after="0"/>
              <w:rPr>
                <w:sz w:val="20"/>
                <w:szCs w:val="20"/>
                <w:color w:val="auto"/>
              </w:rPr>
            </w:pPr>
            <w:r>
              <w:rPr>
                <w:rFonts w:ascii="Arial" w:cs="Arial" w:eastAsia="Arial" w:hAnsi="Arial"/>
                <w:sz w:val="15"/>
                <w:szCs w:val="15"/>
                <w:color w:val="auto"/>
              </w:rPr>
              <w:t>0.81</w:t>
            </w:r>
          </w:p>
        </w:tc>
        <w:tc>
          <w:tcPr>
            <w:tcW w:w="320" w:type="dxa"/>
            <w:vAlign w:val="bottom"/>
          </w:tcPr>
          <w:p>
            <w:pPr>
              <w:ind w:left="160"/>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ind w:right="123"/>
              <w:spacing w:after="0"/>
              <w:rPr>
                <w:sz w:val="20"/>
                <w:szCs w:val="20"/>
                <w:color w:val="auto"/>
              </w:rPr>
            </w:pPr>
            <w:r>
              <w:rPr>
                <w:rFonts w:ascii="Arial" w:cs="Arial" w:eastAsia="Arial" w:hAnsi="Arial"/>
                <w:sz w:val="15"/>
                <w:szCs w:val="15"/>
                <w:b w:val="1"/>
                <w:bCs w:val="1"/>
                <w:color w:val="auto"/>
              </w:rPr>
              <w:t>3.28</w:t>
            </w:r>
          </w:p>
        </w:tc>
        <w:tc>
          <w:tcPr>
            <w:tcW w:w="3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7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Weighted-average shares outstanding, assuming</w:t>
            </w:r>
          </w:p>
        </w:tc>
        <w:tc>
          <w:tcPr>
            <w:tcW w:w="54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115.0</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117.1</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dilution</w:t>
            </w:r>
          </w:p>
        </w:tc>
        <w:tc>
          <w:tcPr>
            <w:tcW w:w="5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126.4</w:t>
            </w: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COMPREHENSIVE INCOME</w:t>
      </w:r>
    </w:p>
    <w:p>
      <w:pPr>
        <w:jc w:val="center"/>
        <w:spacing w:after="0" w:line="236" w:lineRule="auto"/>
        <w:rPr>
          <w:sz w:val="20"/>
          <w:szCs w:val="20"/>
          <w:color w:val="auto"/>
        </w:rPr>
      </w:pPr>
      <w:r>
        <w:rPr>
          <w:rFonts w:ascii="Arial" w:cs="Arial" w:eastAsia="Arial" w:hAnsi="Arial"/>
          <w:sz w:val="15"/>
          <w:szCs w:val="15"/>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in millions)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403"/>
              <w:spacing w:after="0"/>
              <w:rPr>
                <w:sz w:val="20"/>
                <w:szCs w:val="20"/>
                <w:color w:val="auto"/>
              </w:rPr>
            </w:pPr>
            <w:r>
              <w:rPr>
                <w:rFonts w:ascii="Arial" w:cs="Arial" w:eastAsia="Arial" w:hAnsi="Arial"/>
                <w:sz w:val="15"/>
                <w:szCs w:val="15"/>
                <w:b w:val="1"/>
                <w:bCs w:val="1"/>
                <w:color w:val="auto"/>
              </w:rPr>
              <w:t>Thirteen weeks ended</w:t>
            </w:r>
          </w:p>
        </w:tc>
        <w:tc>
          <w:tcPr>
            <w:tcW w:w="2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243"/>
              <w:spacing w:after="0"/>
              <w:rPr>
                <w:sz w:val="20"/>
                <w:szCs w:val="20"/>
                <w:color w:val="auto"/>
              </w:rPr>
            </w:pPr>
            <w:r>
              <w:rPr>
                <w:rFonts w:ascii="Arial" w:cs="Arial" w:eastAsia="Arial" w:hAnsi="Arial"/>
                <w:sz w:val="15"/>
                <w:szCs w:val="15"/>
                <w:b w:val="1"/>
                <w:bCs w:val="1"/>
                <w:color w:val="auto"/>
              </w:rPr>
              <w:t>Thirty-nine weeks ended</w:t>
            </w:r>
          </w:p>
        </w:tc>
        <w:tc>
          <w:tcPr>
            <w:tcW w:w="0" w:type="dxa"/>
            <w:vAlign w:val="bottom"/>
          </w:tcPr>
          <w:p>
            <w:pPr>
              <w:spacing w:after="0"/>
              <w:rPr>
                <w:sz w:val="1"/>
                <w:szCs w:val="1"/>
                <w:color w:val="auto"/>
              </w:rPr>
            </w:pPr>
          </w:p>
        </w:tc>
      </w:tr>
      <w:tr>
        <w:trPr>
          <w:trHeight w:val="151"/>
        </w:trPr>
        <w:tc>
          <w:tcPr>
            <w:tcW w:w="4080" w:type="dxa"/>
            <w:vAlign w:val="bottom"/>
          </w:tcPr>
          <w:p>
            <w:pPr>
              <w:spacing w:after="0"/>
              <w:rPr>
                <w:sz w:val="13"/>
                <w:szCs w:val="13"/>
                <w:color w:val="auto"/>
              </w:rPr>
            </w:pPr>
          </w:p>
        </w:tc>
        <w:tc>
          <w:tcPr>
            <w:tcW w:w="1280" w:type="dxa"/>
            <w:vAlign w:val="bottom"/>
            <w:gridSpan w:val="2"/>
          </w:tcPr>
          <w:p>
            <w:pPr>
              <w:jc w:val="right"/>
              <w:ind w:right="123"/>
              <w:spacing w:after="0" w:line="151" w:lineRule="exact"/>
              <w:rPr>
                <w:sz w:val="20"/>
                <w:szCs w:val="20"/>
                <w:color w:val="auto"/>
              </w:rPr>
            </w:pPr>
            <w:r>
              <w:rPr>
                <w:rFonts w:ascii="Arial" w:cs="Arial" w:eastAsia="Arial" w:hAnsi="Arial"/>
                <w:sz w:val="15"/>
                <w:szCs w:val="15"/>
                <w:b w:val="1"/>
                <w:bCs w:val="1"/>
                <w:color w:val="auto"/>
              </w:rPr>
              <w:t>November 3,</w:t>
            </w:r>
          </w:p>
        </w:tc>
        <w:tc>
          <w:tcPr>
            <w:tcW w:w="180" w:type="dxa"/>
            <w:vAlign w:val="bottom"/>
          </w:tcPr>
          <w:p>
            <w:pPr>
              <w:spacing w:after="0"/>
              <w:rPr>
                <w:sz w:val="13"/>
                <w:szCs w:val="13"/>
                <w:color w:val="auto"/>
              </w:rPr>
            </w:pPr>
          </w:p>
        </w:tc>
        <w:tc>
          <w:tcPr>
            <w:tcW w:w="1080" w:type="dxa"/>
            <w:vAlign w:val="bottom"/>
          </w:tcPr>
          <w:p>
            <w:pPr>
              <w:jc w:val="right"/>
              <w:ind w:right="143"/>
              <w:spacing w:after="0" w:line="151" w:lineRule="exact"/>
              <w:rPr>
                <w:sz w:val="20"/>
                <w:szCs w:val="20"/>
                <w:color w:val="auto"/>
              </w:rPr>
            </w:pPr>
            <w:r>
              <w:rPr>
                <w:rFonts w:ascii="Arial" w:cs="Arial" w:eastAsia="Arial" w:hAnsi="Arial"/>
                <w:sz w:val="15"/>
                <w:szCs w:val="15"/>
                <w:b w:val="1"/>
                <w:bCs w:val="1"/>
                <w:color w:val="auto"/>
              </w:rPr>
              <w:t>October 28,</w:t>
            </w:r>
          </w:p>
        </w:tc>
        <w:tc>
          <w:tcPr>
            <w:tcW w:w="1280" w:type="dxa"/>
            <w:vAlign w:val="bottom"/>
            <w:gridSpan w:val="2"/>
          </w:tcPr>
          <w:p>
            <w:pPr>
              <w:jc w:val="right"/>
              <w:ind w:right="103"/>
              <w:spacing w:after="0" w:line="151" w:lineRule="exact"/>
              <w:rPr>
                <w:sz w:val="20"/>
                <w:szCs w:val="20"/>
                <w:color w:val="auto"/>
              </w:rPr>
            </w:pPr>
            <w:r>
              <w:rPr>
                <w:rFonts w:ascii="Arial" w:cs="Arial" w:eastAsia="Arial" w:hAnsi="Arial"/>
                <w:sz w:val="15"/>
                <w:szCs w:val="15"/>
                <w:b w:val="1"/>
                <w:bCs w:val="1"/>
                <w:color w:val="auto"/>
              </w:rPr>
              <w:t>November 3,</w:t>
            </w:r>
          </w:p>
        </w:tc>
        <w:tc>
          <w:tcPr>
            <w:tcW w:w="180" w:type="dxa"/>
            <w:vAlign w:val="bottom"/>
          </w:tcPr>
          <w:p>
            <w:pPr>
              <w:spacing w:after="0"/>
              <w:rPr>
                <w:sz w:val="13"/>
                <w:szCs w:val="13"/>
                <w:color w:val="auto"/>
              </w:rPr>
            </w:pPr>
          </w:p>
        </w:tc>
        <w:tc>
          <w:tcPr>
            <w:tcW w:w="1020" w:type="dxa"/>
            <w:vAlign w:val="bottom"/>
          </w:tcPr>
          <w:p>
            <w:pPr>
              <w:jc w:val="right"/>
              <w:ind w:right="83"/>
              <w:spacing w:after="0" w:line="151" w:lineRule="exact"/>
              <w:rPr>
                <w:sz w:val="20"/>
                <w:szCs w:val="20"/>
                <w:color w:val="auto"/>
              </w:rPr>
            </w:pPr>
            <w:r>
              <w:rPr>
                <w:rFonts w:ascii="Arial" w:cs="Arial" w:eastAsia="Arial" w:hAnsi="Arial"/>
                <w:sz w:val="15"/>
                <w:szCs w:val="15"/>
                <w:b w:val="1"/>
                <w:bCs w:val="1"/>
                <w:color w:val="auto"/>
              </w:rPr>
              <w:t>October 28,</w:t>
            </w:r>
          </w:p>
        </w:tc>
        <w:tc>
          <w:tcPr>
            <w:tcW w:w="0" w:type="dxa"/>
            <w:vAlign w:val="bottom"/>
          </w:tcPr>
          <w:p>
            <w:pPr>
              <w:spacing w:after="0"/>
              <w:rPr>
                <w:sz w:val="1"/>
                <w:szCs w:val="1"/>
                <w:color w:val="auto"/>
              </w:rPr>
            </w:pPr>
          </w:p>
        </w:tc>
      </w:tr>
      <w:tr>
        <w:trPr>
          <w:trHeight w:val="194"/>
        </w:trPr>
        <w:tc>
          <w:tcPr>
            <w:tcW w:w="40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2018</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2017</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2018</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2017</w:t>
            </w:r>
          </w:p>
        </w:tc>
        <w:tc>
          <w:tcPr>
            <w:tcW w:w="0" w:type="dxa"/>
            <w:vAlign w:val="bottom"/>
          </w:tcPr>
          <w:p>
            <w:pPr>
              <w:spacing w:after="0"/>
              <w:rPr>
                <w:sz w:val="1"/>
                <w:szCs w:val="1"/>
                <w:color w:val="auto"/>
              </w:rPr>
            </w:pPr>
          </w:p>
        </w:tc>
      </w:tr>
      <w:tr>
        <w:trPr>
          <w:trHeight w:val="187"/>
        </w:trPr>
        <w:tc>
          <w:tcPr>
            <w:tcW w:w="4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income</w:t>
            </w:r>
          </w:p>
        </w:tc>
        <w:tc>
          <w:tcPr>
            <w:tcW w:w="30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w:t>
            </w: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130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102</w:t>
            </w:r>
          </w:p>
        </w:tc>
        <w:tc>
          <w:tcPr>
            <w:tcW w:w="2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383</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333</w:t>
            </w:r>
          </w:p>
        </w:tc>
        <w:tc>
          <w:tcPr>
            <w:tcW w:w="0" w:type="dxa"/>
            <w:vAlign w:val="bottom"/>
          </w:tcPr>
          <w:p>
            <w:pPr>
              <w:spacing w:after="0"/>
              <w:rPr>
                <w:sz w:val="1"/>
                <w:szCs w:val="1"/>
                <w:color w:val="auto"/>
              </w:rPr>
            </w:pPr>
          </w:p>
        </w:tc>
      </w:tr>
      <w:tr>
        <w:trPr>
          <w:trHeight w:val="207"/>
        </w:trPr>
        <w:tc>
          <w:tcPr>
            <w:tcW w:w="4080" w:type="dxa"/>
            <w:vAlign w:val="bottom"/>
          </w:tcPr>
          <w:p>
            <w:pPr>
              <w:spacing w:after="0"/>
              <w:rPr>
                <w:sz w:val="20"/>
                <w:szCs w:val="20"/>
                <w:color w:val="auto"/>
              </w:rPr>
            </w:pPr>
            <w:r>
              <w:rPr>
                <w:rFonts w:ascii="Arial" w:cs="Arial" w:eastAsia="Arial" w:hAnsi="Arial"/>
                <w:sz w:val="15"/>
                <w:szCs w:val="15"/>
                <w:color w:val="auto"/>
              </w:rPr>
              <w:t>Other comprehensive income, net of income tax:</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80" w:type="dxa"/>
            <w:vAlign w:val="bottom"/>
          </w:tcPr>
          <w:p>
            <w:pPr>
              <w:ind w:left="100"/>
              <w:spacing w:after="0"/>
              <w:rPr>
                <w:sz w:val="20"/>
                <w:szCs w:val="20"/>
                <w:color w:val="auto"/>
              </w:rPr>
            </w:pPr>
            <w:r>
              <w:rPr>
                <w:rFonts w:ascii="Arial" w:cs="Arial" w:eastAsia="Arial" w:hAnsi="Arial"/>
                <w:sz w:val="15"/>
                <w:szCs w:val="15"/>
                <w:i w:val="1"/>
                <w:iCs w:val="1"/>
                <w:color w:val="auto"/>
              </w:rPr>
              <w:t>Foreign currency translation adjustment:</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Translation adjustment arising during the period, net of</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080" w:type="dxa"/>
            <w:vAlign w:val="bottom"/>
            <w:shd w:val="clear" w:color="auto" w:fill="CCEEFF"/>
          </w:tcPr>
          <w:p>
            <w:pPr>
              <w:ind w:left="300"/>
              <w:spacing w:after="0" w:line="170" w:lineRule="exact"/>
              <w:rPr>
                <w:sz w:val="20"/>
                <w:szCs w:val="20"/>
                <w:color w:val="auto"/>
              </w:rPr>
            </w:pPr>
            <w:r>
              <w:rPr>
                <w:rFonts w:ascii="Arial" w:cs="Arial" w:eastAsia="Arial" w:hAnsi="Arial"/>
                <w:sz w:val="15"/>
                <w:szCs w:val="15"/>
                <w:color w:val="auto"/>
              </w:rPr>
              <w:t>income tax (benefit)/expense of $(2), $-, $(9), and $5</w:t>
            </w: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(23)</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(81)</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million, respectively</w:t>
            </w:r>
          </w:p>
        </w:tc>
        <w:tc>
          <w:tcPr>
            <w:tcW w:w="30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w:t>
            </w:r>
          </w:p>
        </w:tc>
        <w:tc>
          <w:tcPr>
            <w:tcW w:w="28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207"/>
        </w:trPr>
        <w:tc>
          <w:tcPr>
            <w:tcW w:w="4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80" w:type="dxa"/>
            <w:vAlign w:val="bottom"/>
            <w:shd w:val="clear" w:color="auto" w:fill="CCEEFF"/>
          </w:tcPr>
          <w:p>
            <w:pPr>
              <w:ind w:left="100"/>
              <w:spacing w:after="0"/>
              <w:rPr>
                <w:sz w:val="20"/>
                <w:szCs w:val="20"/>
                <w:color w:val="auto"/>
              </w:rPr>
            </w:pPr>
            <w:r>
              <w:rPr>
                <w:rFonts w:ascii="Arial" w:cs="Arial" w:eastAsia="Arial" w:hAnsi="Arial"/>
                <w:sz w:val="15"/>
                <w:szCs w:val="15"/>
                <w:i w:val="1"/>
                <w:iCs w:val="1"/>
                <w:color w:val="auto"/>
              </w:rPr>
              <w:t>Cash flow hedges: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53"/>
        </w:trPr>
        <w:tc>
          <w:tcPr>
            <w:tcW w:w="4080" w:type="dxa"/>
            <w:vAlign w:val="bottom"/>
          </w:tcPr>
          <w:p>
            <w:pPr>
              <w:ind w:left="200"/>
              <w:spacing w:after="0"/>
              <w:rPr>
                <w:sz w:val="20"/>
                <w:szCs w:val="20"/>
                <w:color w:val="auto"/>
              </w:rPr>
            </w:pPr>
            <w:r>
              <w:rPr>
                <w:rFonts w:ascii="Arial" w:cs="Arial" w:eastAsia="Arial" w:hAnsi="Arial"/>
                <w:sz w:val="15"/>
                <w:szCs w:val="15"/>
                <w:color w:val="auto"/>
              </w:rPr>
              <w:t>Change in fair value of derivatives, net of income tax</w:t>
            </w:r>
          </w:p>
        </w:tc>
        <w:tc>
          <w:tcPr>
            <w:tcW w:w="30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4"/>
                <w:szCs w:val="24"/>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rPr>
              <w:t>1</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7"/>
        </w:trPr>
        <w:tc>
          <w:tcPr>
            <w:tcW w:w="4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80" w:type="dxa"/>
            <w:vAlign w:val="bottom"/>
          </w:tcPr>
          <w:p>
            <w:pPr>
              <w:ind w:left="100"/>
              <w:spacing w:after="0"/>
              <w:rPr>
                <w:sz w:val="20"/>
                <w:szCs w:val="20"/>
                <w:color w:val="auto"/>
              </w:rPr>
            </w:pPr>
            <w:r>
              <w:rPr>
                <w:rFonts w:ascii="Arial" w:cs="Arial" w:eastAsia="Arial" w:hAnsi="Arial"/>
                <w:sz w:val="15"/>
                <w:szCs w:val="15"/>
                <w:i w:val="1"/>
                <w:iCs w:val="1"/>
                <w:color w:val="auto"/>
              </w:rPr>
              <w:t>Available for sale securities: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40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Unrealized gain on available for sale securities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7"/>
        </w:trPr>
        <w:tc>
          <w:tcPr>
            <w:tcW w:w="4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80" w:type="dxa"/>
            <w:vAlign w:val="bottom"/>
            <w:shd w:val="clear" w:color="auto" w:fill="CCEEFF"/>
          </w:tcPr>
          <w:p>
            <w:pPr>
              <w:ind w:left="100"/>
              <w:spacing w:after="0"/>
              <w:rPr>
                <w:sz w:val="20"/>
                <w:szCs w:val="20"/>
                <w:color w:val="auto"/>
              </w:rPr>
            </w:pPr>
            <w:r>
              <w:rPr>
                <w:rFonts w:ascii="Arial" w:cs="Arial" w:eastAsia="Arial" w:hAnsi="Arial"/>
                <w:sz w:val="15"/>
                <w:szCs w:val="15"/>
                <w:i w:val="1"/>
                <w:iCs w:val="1"/>
                <w:color w:val="auto"/>
              </w:rPr>
              <w:t>Pension and postretirement adjustments: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220"/>
              <w:spacing w:after="0"/>
              <w:rPr>
                <w:sz w:val="20"/>
                <w:szCs w:val="20"/>
                <w:color w:val="auto"/>
              </w:rPr>
            </w:pPr>
            <w:r>
              <w:rPr>
                <w:rFonts w:ascii="Arial" w:cs="Arial" w:eastAsia="Arial" w:hAnsi="Arial"/>
                <w:sz w:val="15"/>
                <w:szCs w:val="15"/>
                <w:color w:val="auto"/>
              </w:rPr>
              <w:t>Amortization of net actuarial gain/loss and prior service</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080" w:type="dxa"/>
            <w:vAlign w:val="bottom"/>
          </w:tcPr>
          <w:p>
            <w:pPr>
              <w:ind w:left="300"/>
              <w:spacing w:after="0" w:line="170" w:lineRule="exact"/>
              <w:rPr>
                <w:sz w:val="20"/>
                <w:szCs w:val="20"/>
                <w:color w:val="auto"/>
              </w:rPr>
            </w:pPr>
            <w:r>
              <w:rPr>
                <w:rFonts w:ascii="Arial" w:cs="Arial" w:eastAsia="Arial" w:hAnsi="Arial"/>
                <w:sz w:val="15"/>
                <w:szCs w:val="15"/>
                <w:color w:val="auto"/>
              </w:rPr>
              <w:t>cost included in net periodic benefit costs, net of</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80" w:type="dxa"/>
            <w:vAlign w:val="bottom"/>
          </w:tcPr>
          <w:p>
            <w:pPr>
              <w:ind w:left="300"/>
              <w:spacing w:after="0" w:line="170" w:lineRule="exact"/>
              <w:rPr>
                <w:sz w:val="20"/>
                <w:szCs w:val="20"/>
                <w:color w:val="auto"/>
              </w:rPr>
            </w:pPr>
            <w:r>
              <w:rPr>
                <w:rFonts w:ascii="Arial" w:cs="Arial" w:eastAsia="Arial" w:hAnsi="Arial"/>
                <w:sz w:val="15"/>
                <w:szCs w:val="15"/>
                <w:color w:val="auto"/>
              </w:rPr>
              <w:t>income tax expense of $1, $1, $2, and $3 million,</w:t>
            </w:r>
          </w:p>
        </w:tc>
        <w:tc>
          <w:tcPr>
            <w:tcW w:w="300" w:type="dxa"/>
            <w:vAlign w:val="bottom"/>
          </w:tcPr>
          <w:p>
            <w:pPr>
              <w:spacing w:after="0"/>
              <w:rPr>
                <w:sz w:val="14"/>
                <w:szCs w:val="14"/>
                <w:color w:val="auto"/>
              </w:rPr>
            </w:pPr>
          </w:p>
        </w:tc>
        <w:tc>
          <w:tcPr>
            <w:tcW w:w="980" w:type="dxa"/>
            <w:vAlign w:val="bottom"/>
            <w:vMerge w:val="restart"/>
          </w:tcPr>
          <w:p>
            <w:pPr>
              <w:jc w:val="right"/>
              <w:ind w:right="63"/>
              <w:spacing w:after="0"/>
              <w:rPr>
                <w:sz w:val="20"/>
                <w:szCs w:val="20"/>
                <w:color w:val="auto"/>
              </w:rPr>
            </w:pPr>
            <w:r>
              <w:rPr>
                <w:rFonts w:ascii="Arial" w:cs="Arial" w:eastAsia="Arial" w:hAnsi="Arial"/>
                <w:sz w:val="15"/>
                <w:szCs w:val="15"/>
                <w:b w:val="1"/>
                <w:bCs w:val="1"/>
                <w:color w:val="auto"/>
              </w:rPr>
              <w:t>2</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6</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80" w:type="dxa"/>
            <w:vAlign w:val="bottom"/>
          </w:tcPr>
          <w:p>
            <w:pPr>
              <w:ind w:left="300"/>
              <w:spacing w:after="0"/>
              <w:rPr>
                <w:sz w:val="20"/>
                <w:szCs w:val="20"/>
                <w:color w:val="auto"/>
              </w:rPr>
            </w:pPr>
            <w:r>
              <w:rPr>
                <w:rFonts w:ascii="Arial" w:cs="Arial" w:eastAsia="Arial" w:hAnsi="Arial"/>
                <w:sz w:val="15"/>
                <w:szCs w:val="15"/>
                <w:color w:val="auto"/>
              </w:rPr>
              <w:t>respectively</w:t>
            </w:r>
          </w:p>
        </w:tc>
        <w:tc>
          <w:tcPr>
            <w:tcW w:w="3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43"/>
              <w:spacing w:after="0"/>
              <w:rPr>
                <w:sz w:val="20"/>
                <w:szCs w:val="20"/>
                <w:color w:val="auto"/>
              </w:rPr>
            </w:pPr>
            <w:r>
              <w:rPr>
                <w:rFonts w:ascii="Arial" w:cs="Arial" w:eastAsia="Arial" w:hAnsi="Arial"/>
                <w:sz w:val="15"/>
                <w:szCs w:val="15"/>
                <w:color w:val="auto"/>
              </w:rPr>
              <w:t>2</w:t>
            </w:r>
          </w:p>
        </w:tc>
        <w:tc>
          <w:tcPr>
            <w:tcW w:w="2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384"/>
        </w:trPr>
        <w:tc>
          <w:tcPr>
            <w:tcW w:w="40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Pension remeasurement and foreign currency</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080" w:type="dxa"/>
            <w:vAlign w:val="bottom"/>
            <w:shd w:val="clear" w:color="auto" w:fill="CCEEFF"/>
          </w:tcPr>
          <w:p>
            <w:pPr>
              <w:ind w:left="300"/>
              <w:spacing w:after="0" w:line="170" w:lineRule="exact"/>
              <w:rPr>
                <w:sz w:val="20"/>
                <w:szCs w:val="20"/>
                <w:color w:val="auto"/>
              </w:rPr>
            </w:pPr>
            <w:r>
              <w:rPr>
                <w:rFonts w:ascii="Arial" w:cs="Arial" w:eastAsia="Arial" w:hAnsi="Arial"/>
                <w:sz w:val="15"/>
                <w:szCs w:val="15"/>
                <w:color w:val="auto"/>
              </w:rPr>
              <w:t>fluctuations arising during the year, net of income tax</w:t>
            </w: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(8)</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5"/>
                <w:szCs w:val="15"/>
                <w:color w:val="auto"/>
              </w:rPr>
              <w:t>benefit of $-, $-, $3, and $- million, respectively</w:t>
            </w: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40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Comprehensive income</w:t>
            </w:r>
          </w:p>
        </w:tc>
        <w:tc>
          <w:tcPr>
            <w:tcW w:w="3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109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100</w:t>
            </w:r>
          </w:p>
        </w:tc>
        <w:tc>
          <w:tcPr>
            <w:tcW w:w="2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301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410</w:t>
            </w:r>
          </w:p>
        </w:tc>
        <w:tc>
          <w:tcPr>
            <w:tcW w:w="0" w:type="dxa"/>
            <w:vAlign w:val="bottom"/>
          </w:tcPr>
          <w:p>
            <w:pPr>
              <w:spacing w:after="0"/>
              <w:rPr>
                <w:sz w:val="1"/>
                <w:szCs w:val="1"/>
                <w:color w:val="auto"/>
              </w:rPr>
            </w:pPr>
          </w:p>
        </w:tc>
      </w:tr>
    </w:tbl>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5" w:name="page6"/>
    <w:bookmarkEnd w:id="5"/>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CASH FLOWS</w:t>
      </w:r>
    </w:p>
    <w:p>
      <w:pPr>
        <w:jc w:val="center"/>
        <w:spacing w:after="0" w:line="236" w:lineRule="auto"/>
        <w:rPr>
          <w:sz w:val="20"/>
          <w:szCs w:val="20"/>
          <w:color w:val="auto"/>
        </w:rPr>
      </w:pPr>
      <w:r>
        <w:rPr>
          <w:rFonts w:ascii="Arial" w:cs="Arial" w:eastAsia="Arial" w:hAnsi="Arial"/>
          <w:sz w:val="15"/>
          <w:szCs w:val="15"/>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in millions)</w:t>
      </w:r>
    </w:p>
    <w:p>
      <w:pPr>
        <w:spacing w:after="0" w:line="200" w:lineRule="exact"/>
        <w:rPr>
          <w:sz w:val="20"/>
          <w:szCs w:val="20"/>
          <w:color w:val="auto"/>
        </w:rPr>
      </w:pPr>
    </w:p>
    <w:p>
      <w:pPr>
        <w:spacing w:after="0" w:line="278" w:lineRule="exact"/>
        <w:rPr>
          <w:sz w:val="20"/>
          <w:szCs w:val="20"/>
          <w:color w:val="auto"/>
        </w:rPr>
      </w:pPr>
    </w:p>
    <w:p>
      <w:pPr>
        <w:ind w:left="6600"/>
        <w:spacing w:after="0"/>
        <w:rPr>
          <w:sz w:val="20"/>
          <w:szCs w:val="20"/>
          <w:color w:val="auto"/>
        </w:rPr>
      </w:pPr>
      <w:r>
        <w:rPr>
          <w:rFonts w:ascii="Arial" w:cs="Arial" w:eastAsia="Arial" w:hAnsi="Arial"/>
          <w:sz w:val="15"/>
          <w:szCs w:val="15"/>
          <w:b w:val="1"/>
          <w:bCs w:val="1"/>
          <w:color w:val="auto"/>
        </w:rPr>
        <w:t>Thirty-nine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8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November 3,</w:t>
            </w: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October 28,</w:t>
            </w:r>
          </w:p>
        </w:tc>
      </w:tr>
      <w:tr>
        <w:trPr>
          <w:trHeight w:val="194"/>
        </w:trPr>
        <w:tc>
          <w:tcPr>
            <w:tcW w:w="58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23"/>
              <w:spacing w:after="0"/>
              <w:rPr>
                <w:sz w:val="20"/>
                <w:szCs w:val="20"/>
                <w:color w:val="auto"/>
              </w:rPr>
            </w:pPr>
            <w:r>
              <w:rPr>
                <w:rFonts w:ascii="Arial" w:cs="Arial" w:eastAsia="Arial" w:hAnsi="Arial"/>
                <w:sz w:val="15"/>
                <w:szCs w:val="15"/>
                <w:b w:val="1"/>
                <w:bCs w:val="1"/>
                <w:color w:val="auto"/>
              </w:rPr>
              <w:t>2018</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2017</w:t>
            </w:r>
          </w:p>
        </w:tc>
      </w:tr>
      <w:tr>
        <w:trPr>
          <w:trHeight w:val="187"/>
        </w:trPr>
        <w:tc>
          <w:tcPr>
            <w:tcW w:w="5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From operating activities:</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7"/>
        </w:trPr>
        <w:tc>
          <w:tcPr>
            <w:tcW w:w="580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500" w:type="dxa"/>
            <w:vAlign w:val="bottom"/>
          </w:tcPr>
          <w:p>
            <w:pPr>
              <w:jc w:val="right"/>
              <w:ind w:right="183"/>
              <w:spacing w:after="0"/>
              <w:rPr>
                <w:sz w:val="20"/>
                <w:szCs w:val="20"/>
                <w:color w:val="auto"/>
              </w:rPr>
            </w:pPr>
            <w:r>
              <w:rPr>
                <w:rFonts w:ascii="Arial" w:cs="Arial" w:eastAsia="Arial" w:hAnsi="Arial"/>
                <w:sz w:val="15"/>
                <w:szCs w:val="15"/>
                <w:b w:val="1"/>
                <w:bCs w:val="1"/>
                <w:color w:val="auto"/>
              </w:rPr>
              <w:t>383</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333</w:t>
            </w:r>
          </w:p>
        </w:tc>
      </w:tr>
      <w:tr>
        <w:trPr>
          <w:trHeight w:val="353"/>
        </w:trPr>
        <w:tc>
          <w:tcPr>
            <w:tcW w:w="5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3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07"/>
        </w:trPr>
        <w:tc>
          <w:tcPr>
            <w:tcW w:w="5800" w:type="dxa"/>
            <w:vAlign w:val="bottom"/>
          </w:tcPr>
          <w:p>
            <w:pPr>
              <w:ind w:left="260"/>
              <w:spacing w:after="0"/>
              <w:rPr>
                <w:sz w:val="20"/>
                <w:szCs w:val="20"/>
                <w:color w:val="auto"/>
              </w:rPr>
            </w:pPr>
            <w:r>
              <w:rPr>
                <w:rFonts w:ascii="Arial" w:cs="Arial" w:eastAsia="Arial" w:hAnsi="Arial"/>
                <w:sz w:val="15"/>
                <w:szCs w:val="15"/>
                <w:color w:val="auto"/>
              </w:rPr>
              <w:t>Depreciation and amortization</w:t>
            </w:r>
          </w:p>
        </w:tc>
        <w:tc>
          <w:tcPr>
            <w:tcW w:w="320" w:type="dxa"/>
            <w:vAlign w:val="bottom"/>
          </w:tcPr>
          <w:p>
            <w:pPr>
              <w:spacing w:after="0"/>
              <w:rPr>
                <w:sz w:val="17"/>
                <w:szCs w:val="17"/>
                <w:color w:val="auto"/>
              </w:rPr>
            </w:pPr>
          </w:p>
        </w:tc>
        <w:tc>
          <w:tcPr>
            <w:tcW w:w="1500" w:type="dxa"/>
            <w:vAlign w:val="bottom"/>
          </w:tcPr>
          <w:p>
            <w:pPr>
              <w:jc w:val="right"/>
              <w:ind w:right="183"/>
              <w:spacing w:after="0"/>
              <w:rPr>
                <w:sz w:val="20"/>
                <w:szCs w:val="20"/>
                <w:color w:val="auto"/>
              </w:rPr>
            </w:pPr>
            <w:r>
              <w:rPr>
                <w:rFonts w:ascii="Arial" w:cs="Arial" w:eastAsia="Arial" w:hAnsi="Arial"/>
                <w:sz w:val="15"/>
                <w:szCs w:val="15"/>
                <w:b w:val="1"/>
                <w:bCs w:val="1"/>
                <w:color w:val="auto"/>
              </w:rPr>
              <w:t>133</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127</w:t>
            </w:r>
          </w:p>
        </w:tc>
      </w:tr>
      <w:tr>
        <w:trPr>
          <w:trHeight w:val="207"/>
        </w:trPr>
        <w:tc>
          <w:tcPr>
            <w:tcW w:w="5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Share-based compensation expense</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16</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r>
      <w:tr>
        <w:trPr>
          <w:trHeight w:val="207"/>
        </w:trPr>
        <w:tc>
          <w:tcPr>
            <w:tcW w:w="5800" w:type="dxa"/>
            <w:vAlign w:val="bottom"/>
          </w:tcPr>
          <w:p>
            <w:pPr>
              <w:ind w:left="260"/>
              <w:spacing w:after="0"/>
              <w:rPr>
                <w:sz w:val="20"/>
                <w:szCs w:val="20"/>
                <w:color w:val="auto"/>
              </w:rPr>
            </w:pPr>
            <w:r>
              <w:rPr>
                <w:rFonts w:ascii="Arial" w:cs="Arial" w:eastAsia="Arial" w:hAnsi="Arial"/>
                <w:sz w:val="15"/>
                <w:szCs w:val="15"/>
                <w:color w:val="auto"/>
              </w:rPr>
              <w:t>Qualified pension plan contributions</w:t>
            </w:r>
          </w:p>
        </w:tc>
        <w:tc>
          <w:tcPr>
            <w:tcW w:w="320" w:type="dxa"/>
            <w:vAlign w:val="bottom"/>
          </w:tcPr>
          <w:p>
            <w:pPr>
              <w:spacing w:after="0"/>
              <w:rPr>
                <w:sz w:val="17"/>
                <w:szCs w:val="17"/>
                <w:color w:val="auto"/>
              </w:rPr>
            </w:pPr>
          </w:p>
        </w:tc>
        <w:tc>
          <w:tcPr>
            <w:tcW w:w="1500" w:type="dxa"/>
            <w:vAlign w:val="bottom"/>
          </w:tcPr>
          <w:p>
            <w:pPr>
              <w:jc w:val="right"/>
              <w:ind w:right="143"/>
              <w:spacing w:after="0"/>
              <w:rPr>
                <w:sz w:val="20"/>
                <w:szCs w:val="20"/>
                <w:color w:val="auto"/>
              </w:rPr>
            </w:pPr>
            <w:r>
              <w:rPr>
                <w:rFonts w:ascii="Arial" w:cs="Arial" w:eastAsia="Arial" w:hAnsi="Arial"/>
                <w:sz w:val="15"/>
                <w:szCs w:val="15"/>
                <w:b w:val="1"/>
                <w:bCs w:val="1"/>
                <w:color w:val="auto"/>
              </w:rPr>
              <w:t>(128)</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07"/>
        </w:trPr>
        <w:tc>
          <w:tcPr>
            <w:tcW w:w="5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Change in assets and liabilities:</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7"/>
        </w:trPr>
        <w:tc>
          <w:tcPr>
            <w:tcW w:w="5800" w:type="dxa"/>
            <w:vAlign w:val="bottom"/>
          </w:tcPr>
          <w:p>
            <w:pPr>
              <w:ind w:left="380"/>
              <w:spacing w:after="0"/>
              <w:rPr>
                <w:sz w:val="20"/>
                <w:szCs w:val="20"/>
                <w:color w:val="auto"/>
              </w:rPr>
            </w:pPr>
            <w:r>
              <w:rPr>
                <w:rFonts w:ascii="Arial" w:cs="Arial" w:eastAsia="Arial" w:hAnsi="Arial"/>
                <w:sz w:val="15"/>
                <w:szCs w:val="15"/>
                <w:color w:val="auto"/>
              </w:rPr>
              <w:t>Merchandise inventories</w:t>
            </w:r>
          </w:p>
        </w:tc>
        <w:tc>
          <w:tcPr>
            <w:tcW w:w="320" w:type="dxa"/>
            <w:vAlign w:val="bottom"/>
          </w:tcPr>
          <w:p>
            <w:pPr>
              <w:spacing w:after="0"/>
              <w:rPr>
                <w:sz w:val="17"/>
                <w:szCs w:val="17"/>
                <w:color w:val="auto"/>
              </w:rPr>
            </w:pPr>
          </w:p>
        </w:tc>
        <w:tc>
          <w:tcPr>
            <w:tcW w:w="1500" w:type="dxa"/>
            <w:vAlign w:val="bottom"/>
          </w:tcPr>
          <w:p>
            <w:pPr>
              <w:jc w:val="right"/>
              <w:ind w:right="143"/>
              <w:spacing w:after="0"/>
              <w:rPr>
                <w:sz w:val="20"/>
                <w:szCs w:val="20"/>
                <w:color w:val="auto"/>
              </w:rPr>
            </w:pPr>
            <w:r>
              <w:rPr>
                <w:rFonts w:ascii="Arial" w:cs="Arial" w:eastAsia="Arial" w:hAnsi="Arial"/>
                <w:sz w:val="15"/>
                <w:szCs w:val="15"/>
                <w:b w:val="1"/>
                <w:bCs w:val="1"/>
                <w:color w:val="auto"/>
              </w:rPr>
              <w:t>(57)</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207"/>
        </w:trPr>
        <w:tc>
          <w:tcPr>
            <w:tcW w:w="58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Accounts payable</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133</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r>
      <w:tr>
        <w:trPr>
          <w:trHeight w:val="207"/>
        </w:trPr>
        <w:tc>
          <w:tcPr>
            <w:tcW w:w="5800" w:type="dxa"/>
            <w:vAlign w:val="bottom"/>
          </w:tcPr>
          <w:p>
            <w:pPr>
              <w:ind w:left="380"/>
              <w:spacing w:after="0"/>
              <w:rPr>
                <w:sz w:val="20"/>
                <w:szCs w:val="20"/>
                <w:color w:val="auto"/>
              </w:rPr>
            </w:pPr>
            <w:r>
              <w:rPr>
                <w:rFonts w:ascii="Arial" w:cs="Arial" w:eastAsia="Arial" w:hAnsi="Arial"/>
                <w:sz w:val="15"/>
                <w:szCs w:val="15"/>
                <w:color w:val="auto"/>
              </w:rPr>
              <w:t>Accrued and other liabilities</w:t>
            </w:r>
          </w:p>
        </w:tc>
        <w:tc>
          <w:tcPr>
            <w:tcW w:w="320" w:type="dxa"/>
            <w:vAlign w:val="bottom"/>
          </w:tcPr>
          <w:p>
            <w:pPr>
              <w:spacing w:after="0"/>
              <w:rPr>
                <w:sz w:val="17"/>
                <w:szCs w:val="17"/>
                <w:color w:val="auto"/>
              </w:rPr>
            </w:pPr>
          </w:p>
        </w:tc>
        <w:tc>
          <w:tcPr>
            <w:tcW w:w="1500" w:type="dxa"/>
            <w:vAlign w:val="bottom"/>
          </w:tcPr>
          <w:p>
            <w:pPr>
              <w:jc w:val="right"/>
              <w:ind w:right="143"/>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207"/>
        </w:trPr>
        <w:tc>
          <w:tcPr>
            <w:tcW w:w="58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Pension litigation accrual</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17</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r>
      <w:tr>
        <w:trPr>
          <w:trHeight w:val="207"/>
        </w:trPr>
        <w:tc>
          <w:tcPr>
            <w:tcW w:w="5800" w:type="dxa"/>
            <w:vAlign w:val="bottom"/>
          </w:tcPr>
          <w:p>
            <w:pPr>
              <w:ind w:left="380"/>
              <w:spacing w:after="0"/>
              <w:rPr>
                <w:sz w:val="20"/>
                <w:szCs w:val="20"/>
                <w:color w:val="auto"/>
              </w:rPr>
            </w:pPr>
            <w:r>
              <w:rPr>
                <w:rFonts w:ascii="Arial" w:cs="Arial" w:eastAsia="Arial" w:hAnsi="Arial"/>
                <w:sz w:val="15"/>
                <w:szCs w:val="15"/>
                <w:color w:val="auto"/>
              </w:rPr>
              <w:t>Class counsel fees paid in connection with pension litigation</w:t>
            </w:r>
          </w:p>
        </w:tc>
        <w:tc>
          <w:tcPr>
            <w:tcW w:w="320" w:type="dxa"/>
            <w:vAlign w:val="bottom"/>
          </w:tcPr>
          <w:p>
            <w:pPr>
              <w:spacing w:after="0"/>
              <w:rPr>
                <w:sz w:val="17"/>
                <w:szCs w:val="17"/>
                <w:color w:val="auto"/>
              </w:rPr>
            </w:pPr>
          </w:p>
        </w:tc>
        <w:tc>
          <w:tcPr>
            <w:tcW w:w="1500" w:type="dxa"/>
            <w:vAlign w:val="bottom"/>
          </w:tcPr>
          <w:p>
            <w:pPr>
              <w:jc w:val="right"/>
              <w:ind w:right="143"/>
              <w:spacing w:after="0"/>
              <w:rPr>
                <w:sz w:val="20"/>
                <w:szCs w:val="20"/>
                <w:color w:val="auto"/>
              </w:rPr>
            </w:pPr>
            <w:r>
              <w:rPr>
                <w:rFonts w:ascii="Arial" w:cs="Arial" w:eastAsia="Arial" w:hAnsi="Arial"/>
                <w:sz w:val="15"/>
                <w:szCs w:val="15"/>
                <w:b w:val="1"/>
                <w:bCs w:val="1"/>
                <w:color w:val="auto"/>
              </w:rPr>
              <w:t>(97)</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58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5"/>
                <w:szCs w:val="15"/>
                <w:color w:val="auto"/>
              </w:rPr>
              <w:t>Other, net</w:t>
            </w:r>
          </w:p>
        </w:tc>
        <w:tc>
          <w:tcPr>
            <w:tcW w:w="3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22</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w:t>
            </w:r>
          </w:p>
        </w:tc>
      </w:tr>
      <w:tr>
        <w:trPr>
          <w:trHeight w:val="187"/>
        </w:trPr>
        <w:tc>
          <w:tcPr>
            <w:tcW w:w="58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Net cash provided by operating activities</w:t>
            </w: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422</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496</w:t>
            </w:r>
          </w:p>
        </w:tc>
      </w:tr>
      <w:tr>
        <w:trPr>
          <w:trHeight w:val="187"/>
        </w:trPr>
        <w:tc>
          <w:tcPr>
            <w:tcW w:w="5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07"/>
        </w:trPr>
        <w:tc>
          <w:tcPr>
            <w:tcW w:w="5800" w:type="dxa"/>
            <w:vAlign w:val="bottom"/>
          </w:tcPr>
          <w:p>
            <w:pPr>
              <w:spacing w:after="0"/>
              <w:rPr>
                <w:sz w:val="20"/>
                <w:szCs w:val="20"/>
                <w:color w:val="auto"/>
              </w:rPr>
            </w:pPr>
            <w:r>
              <w:rPr>
                <w:rFonts w:ascii="Arial" w:cs="Arial" w:eastAsia="Arial" w:hAnsi="Arial"/>
                <w:sz w:val="15"/>
                <w:szCs w:val="15"/>
                <w:b w:val="1"/>
                <w:bCs w:val="1"/>
                <w:color w:val="auto"/>
              </w:rPr>
              <w:t>From investing activities:</w:t>
            </w: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7"/>
        </w:trPr>
        <w:tc>
          <w:tcPr>
            <w:tcW w:w="5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Capital expenditures</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(153)</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w:t>
            </w:r>
          </w:p>
        </w:tc>
      </w:tr>
      <w:tr>
        <w:trPr>
          <w:trHeight w:val="207"/>
        </w:trPr>
        <w:tc>
          <w:tcPr>
            <w:tcW w:w="5800" w:type="dxa"/>
            <w:vAlign w:val="bottom"/>
          </w:tcPr>
          <w:p>
            <w:pPr>
              <w:ind w:left="140"/>
              <w:spacing w:after="0"/>
              <w:rPr>
                <w:sz w:val="20"/>
                <w:szCs w:val="20"/>
                <w:color w:val="auto"/>
              </w:rPr>
            </w:pPr>
            <w:r>
              <w:rPr>
                <w:rFonts w:ascii="Arial" w:cs="Arial" w:eastAsia="Arial" w:hAnsi="Arial"/>
                <w:sz w:val="15"/>
                <w:szCs w:val="15"/>
                <w:color w:val="auto"/>
              </w:rPr>
              <w:t>Investment in equity securities</w:t>
            </w:r>
          </w:p>
        </w:tc>
        <w:tc>
          <w:tcPr>
            <w:tcW w:w="320" w:type="dxa"/>
            <w:vAlign w:val="bottom"/>
          </w:tcPr>
          <w:p>
            <w:pPr>
              <w:spacing w:after="0"/>
              <w:rPr>
                <w:sz w:val="17"/>
                <w:szCs w:val="17"/>
                <w:color w:val="auto"/>
              </w:rPr>
            </w:pPr>
          </w:p>
        </w:tc>
        <w:tc>
          <w:tcPr>
            <w:tcW w:w="1500" w:type="dxa"/>
            <w:vAlign w:val="bottom"/>
          </w:tcPr>
          <w:p>
            <w:pPr>
              <w:jc w:val="right"/>
              <w:ind w:right="143"/>
              <w:spacing w:after="0"/>
              <w:rPr>
                <w:sz w:val="20"/>
                <w:szCs w:val="20"/>
                <w:color w:val="auto"/>
              </w:rPr>
            </w:pPr>
            <w:r>
              <w:rPr>
                <w:rFonts w:ascii="Arial" w:cs="Arial" w:eastAsia="Arial" w:hAnsi="Arial"/>
                <w:sz w:val="15"/>
                <w:szCs w:val="15"/>
                <w:b w:val="1"/>
                <w:bCs w:val="1"/>
                <w:color w:val="auto"/>
              </w:rPr>
              <w:t>(6)</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5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Insurance proceeds related to loss on property and equipment</w:t>
            </w:r>
          </w:p>
        </w:tc>
        <w:tc>
          <w:tcPr>
            <w:tcW w:w="3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2</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7"/>
        </w:trPr>
        <w:tc>
          <w:tcPr>
            <w:tcW w:w="58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Net cash used in investing activities</w:t>
            </w: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(157)</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w:t>
            </w:r>
          </w:p>
        </w:tc>
      </w:tr>
      <w:tr>
        <w:trPr>
          <w:trHeight w:val="187"/>
        </w:trPr>
        <w:tc>
          <w:tcPr>
            <w:tcW w:w="5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07"/>
        </w:trPr>
        <w:tc>
          <w:tcPr>
            <w:tcW w:w="5800" w:type="dxa"/>
            <w:vAlign w:val="bottom"/>
          </w:tcPr>
          <w:p>
            <w:pPr>
              <w:spacing w:after="0"/>
              <w:rPr>
                <w:sz w:val="20"/>
                <w:szCs w:val="20"/>
                <w:color w:val="auto"/>
              </w:rPr>
            </w:pPr>
            <w:r>
              <w:rPr>
                <w:rFonts w:ascii="Arial" w:cs="Arial" w:eastAsia="Arial" w:hAnsi="Arial"/>
                <w:sz w:val="15"/>
                <w:szCs w:val="15"/>
                <w:b w:val="1"/>
                <w:bCs w:val="1"/>
                <w:color w:val="auto"/>
              </w:rPr>
              <w:t>From financing activities:</w:t>
            </w: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7"/>
        </w:trPr>
        <w:tc>
          <w:tcPr>
            <w:tcW w:w="5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Purchase of treasury shares</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(313)</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(362)</w:t>
            </w:r>
          </w:p>
        </w:tc>
      </w:tr>
      <w:tr>
        <w:trPr>
          <w:trHeight w:val="207"/>
        </w:trPr>
        <w:tc>
          <w:tcPr>
            <w:tcW w:w="5800" w:type="dxa"/>
            <w:vAlign w:val="bottom"/>
          </w:tcPr>
          <w:p>
            <w:pPr>
              <w:ind w:left="140"/>
              <w:spacing w:after="0"/>
              <w:rPr>
                <w:sz w:val="20"/>
                <w:szCs w:val="20"/>
                <w:color w:val="auto"/>
              </w:rPr>
            </w:pPr>
            <w:r>
              <w:rPr>
                <w:rFonts w:ascii="Arial" w:cs="Arial" w:eastAsia="Arial" w:hAnsi="Arial"/>
                <w:sz w:val="15"/>
                <w:szCs w:val="15"/>
                <w:color w:val="auto"/>
              </w:rPr>
              <w:t>Dividends paid on common stock</w:t>
            </w:r>
          </w:p>
        </w:tc>
        <w:tc>
          <w:tcPr>
            <w:tcW w:w="320" w:type="dxa"/>
            <w:vAlign w:val="bottom"/>
          </w:tcPr>
          <w:p>
            <w:pPr>
              <w:spacing w:after="0"/>
              <w:rPr>
                <w:sz w:val="17"/>
                <w:szCs w:val="17"/>
                <w:color w:val="auto"/>
              </w:rPr>
            </w:pPr>
          </w:p>
        </w:tc>
        <w:tc>
          <w:tcPr>
            <w:tcW w:w="1500" w:type="dxa"/>
            <w:vAlign w:val="bottom"/>
          </w:tcPr>
          <w:p>
            <w:pPr>
              <w:jc w:val="right"/>
              <w:ind w:right="143"/>
              <w:spacing w:after="0"/>
              <w:rPr>
                <w:sz w:val="20"/>
                <w:szCs w:val="20"/>
                <w:color w:val="auto"/>
              </w:rPr>
            </w:pPr>
            <w:r>
              <w:rPr>
                <w:rFonts w:ascii="Arial" w:cs="Arial" w:eastAsia="Arial" w:hAnsi="Arial"/>
                <w:sz w:val="15"/>
                <w:szCs w:val="15"/>
                <w:b w:val="1"/>
                <w:bCs w:val="1"/>
                <w:color w:val="auto"/>
              </w:rPr>
              <w:t>(120)</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(120)</w:t>
            </w:r>
          </w:p>
        </w:tc>
      </w:tr>
      <w:tr>
        <w:trPr>
          <w:trHeight w:val="207"/>
        </w:trPr>
        <w:tc>
          <w:tcPr>
            <w:tcW w:w="5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exercise of stock options</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4</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r>
      <w:tr>
        <w:trPr>
          <w:trHeight w:val="207"/>
        </w:trPr>
        <w:tc>
          <w:tcPr>
            <w:tcW w:w="5800" w:type="dxa"/>
            <w:vAlign w:val="bottom"/>
          </w:tcPr>
          <w:p>
            <w:pPr>
              <w:ind w:left="140"/>
              <w:spacing w:after="0"/>
              <w:rPr>
                <w:sz w:val="20"/>
                <w:szCs w:val="20"/>
                <w:color w:val="auto"/>
              </w:rPr>
            </w:pPr>
            <w:r>
              <w:rPr>
                <w:rFonts w:ascii="Arial" w:cs="Arial" w:eastAsia="Arial" w:hAnsi="Arial"/>
                <w:sz w:val="15"/>
                <w:szCs w:val="15"/>
                <w:color w:val="auto"/>
              </w:rPr>
              <w:t>Treasury stock reissued under employee stock plan</w:t>
            </w:r>
          </w:p>
        </w:tc>
        <w:tc>
          <w:tcPr>
            <w:tcW w:w="320" w:type="dxa"/>
            <w:vAlign w:val="bottom"/>
          </w:tcPr>
          <w:p>
            <w:pPr>
              <w:spacing w:after="0"/>
              <w:rPr>
                <w:sz w:val="17"/>
                <w:szCs w:val="17"/>
                <w:color w:val="auto"/>
              </w:rPr>
            </w:pPr>
          </w:p>
        </w:tc>
        <w:tc>
          <w:tcPr>
            <w:tcW w:w="1500" w:type="dxa"/>
            <w:vAlign w:val="bottom"/>
          </w:tcPr>
          <w:p>
            <w:pPr>
              <w:jc w:val="right"/>
              <w:ind w:right="183"/>
              <w:spacing w:after="0"/>
              <w:rPr>
                <w:sz w:val="20"/>
                <w:szCs w:val="20"/>
                <w:color w:val="auto"/>
              </w:rPr>
            </w:pPr>
            <w:r>
              <w:rPr>
                <w:rFonts w:ascii="Arial" w:cs="Arial" w:eastAsia="Arial" w:hAnsi="Arial"/>
                <w:sz w:val="15"/>
                <w:szCs w:val="15"/>
                <w:b w:val="1"/>
                <w:bCs w:val="1"/>
                <w:color w:val="auto"/>
              </w:rPr>
              <w:t>2</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353"/>
        </w:trPr>
        <w:tc>
          <w:tcPr>
            <w:tcW w:w="5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Shares of common stock repurchased to satisfy tax withholding obligations</w:t>
            </w:r>
          </w:p>
        </w:tc>
        <w:tc>
          <w:tcPr>
            <w:tcW w:w="32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w:t>
            </w:r>
          </w:p>
        </w:tc>
        <w:tc>
          <w:tcPr>
            <w:tcW w:w="3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r>
      <w:tr>
        <w:trPr>
          <w:trHeight w:val="187"/>
        </w:trPr>
        <w:tc>
          <w:tcPr>
            <w:tcW w:w="58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Net cash used in financing activities</w:t>
            </w: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(428)</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(475)</w:t>
            </w:r>
          </w:p>
        </w:tc>
      </w:tr>
      <w:tr>
        <w:trPr>
          <w:trHeight w:val="187"/>
        </w:trPr>
        <w:tc>
          <w:tcPr>
            <w:tcW w:w="5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365"/>
        </w:trPr>
        <w:tc>
          <w:tcPr>
            <w:tcW w:w="58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Effect of exchange rate fluctuations on cash, cash equivalents, and restricted cash</w:t>
            </w: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(32)</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w:t>
            </w:r>
          </w:p>
        </w:tc>
      </w:tr>
      <w:tr>
        <w:trPr>
          <w:trHeight w:val="187"/>
        </w:trPr>
        <w:tc>
          <w:tcPr>
            <w:tcW w:w="5800" w:type="dxa"/>
            <w:vAlign w:val="bottom"/>
            <w:shd w:val="clear" w:color="auto" w:fill="CCEEFF"/>
          </w:tcPr>
          <w:p>
            <w:pPr>
              <w:spacing w:after="0"/>
              <w:rPr>
                <w:sz w:val="20"/>
                <w:szCs w:val="20"/>
                <w:color w:val="auto"/>
              </w:rPr>
            </w:pPr>
            <w:r>
              <w:rPr>
                <w:rFonts w:ascii="Arial" w:cs="Arial" w:eastAsia="Arial" w:hAnsi="Arial"/>
                <w:sz w:val="15"/>
                <w:szCs w:val="15"/>
                <w:color w:val="auto"/>
              </w:rPr>
              <w:t>Net change in cash, cash equivalents, and restricted cash</w:t>
            </w:r>
          </w:p>
        </w:tc>
        <w:tc>
          <w:tcPr>
            <w:tcW w:w="3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(195)</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w:t>
            </w:r>
          </w:p>
        </w:tc>
      </w:tr>
      <w:tr>
        <w:trPr>
          <w:trHeight w:val="207"/>
        </w:trPr>
        <w:tc>
          <w:tcPr>
            <w:tcW w:w="58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Cash, cash equivalents, and restricted cash at beginning of period</w:t>
            </w: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1,031</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1,073</w:t>
            </w:r>
          </w:p>
        </w:tc>
      </w:tr>
      <w:tr>
        <w:trPr>
          <w:trHeight w:val="179"/>
        </w:trPr>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Cash, cash equivalents, and restricted cash at end of period</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50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836</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920</w:t>
            </w:r>
          </w:p>
        </w:tc>
      </w:tr>
      <w:tr>
        <w:trPr>
          <w:trHeight w:val="195"/>
        </w:trPr>
        <w:tc>
          <w:tcPr>
            <w:tcW w:w="5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paid during the period:</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7"/>
        </w:trPr>
        <w:tc>
          <w:tcPr>
            <w:tcW w:w="5800" w:type="dxa"/>
            <w:vAlign w:val="bottom"/>
          </w:tcPr>
          <w:p>
            <w:pPr>
              <w:ind w:left="140"/>
              <w:spacing w:after="0"/>
              <w:rPr>
                <w:sz w:val="20"/>
                <w:szCs w:val="20"/>
                <w:color w:val="auto"/>
              </w:rPr>
            </w:pPr>
            <w:r>
              <w:rPr>
                <w:rFonts w:ascii="Arial" w:cs="Arial" w:eastAsia="Arial" w:hAnsi="Arial"/>
                <w:sz w:val="15"/>
                <w:szCs w:val="15"/>
                <w:color w:val="auto"/>
              </w:rPr>
              <w:t>Interest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500" w:type="dxa"/>
            <w:vAlign w:val="bottom"/>
          </w:tcPr>
          <w:p>
            <w:pPr>
              <w:jc w:val="right"/>
              <w:ind w:right="183"/>
              <w:spacing w:after="0"/>
              <w:rPr>
                <w:sz w:val="20"/>
                <w:szCs w:val="20"/>
                <w:color w:val="auto"/>
              </w:rPr>
            </w:pPr>
            <w:r>
              <w:rPr>
                <w:rFonts w:ascii="Arial" w:cs="Arial" w:eastAsia="Arial" w:hAnsi="Arial"/>
                <w:sz w:val="15"/>
                <w:szCs w:val="15"/>
                <w:b w:val="1"/>
                <w:bCs w:val="1"/>
                <w:color w:val="auto"/>
              </w:rPr>
              <w:t>5</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207"/>
        </w:trPr>
        <w:tc>
          <w:tcPr>
            <w:tcW w:w="5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Income taxes</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50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169</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187</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5" w:right="1399" w:bottom="1440" w:gutter="0" w:footer="0" w:header="0"/>
        </w:sectPr>
      </w:pPr>
    </w:p>
    <w:bookmarkStart w:id="6" w:name="page7"/>
    <w:bookmarkEnd w:id="6"/>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ind w:right="5700" w:firstLine="5"/>
        <w:spacing w:after="0" w:line="373" w:lineRule="auto"/>
        <w:tabs>
          <w:tab w:leader="none" w:pos="171"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i w:val="1"/>
          <w:iCs w:val="1"/>
          <w:color w:val="auto"/>
        </w:rPr>
        <w:t>Basis of Presentation</w:t>
      </w:r>
    </w:p>
    <w:p>
      <w:pPr>
        <w:spacing w:after="0" w:line="60"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The accompanying condensed consolidated financial statements contained in this report are unaudited. In the opinion of management, the condensed consolidated financial statements include all normal, recurring adjustments necessary for a fair presentation of the results for the interim periods of the fiscal year ending February 2, 2019 and of the fiscal year ended February 3, 2018.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Consolidated Financial Statements contained in Foot Locker, Inc.’s (the “Company”) Form 10-K for the year ended February 3, 2018, as filed with the U.S. Securities and Exchange Commission (the “SEC”) on March 29, 2018.</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 xml:space="preserve">Other than the changes to the </w:t>
      </w:r>
      <w:r>
        <w:rPr>
          <w:rFonts w:ascii="Arial" w:cs="Arial" w:eastAsia="Arial" w:hAnsi="Arial"/>
          <w:sz w:val="15"/>
          <w:szCs w:val="15"/>
          <w:i w:val="1"/>
          <w:iCs w:val="1"/>
          <w:color w:val="auto"/>
        </w:rPr>
        <w:t>Revenue Recognition</w:t>
      </w:r>
      <w:r>
        <w:rPr>
          <w:rFonts w:ascii="Arial" w:cs="Arial" w:eastAsia="Arial" w:hAnsi="Arial"/>
          <w:sz w:val="15"/>
          <w:szCs w:val="15"/>
          <w:color w:val="auto"/>
        </w:rPr>
        <w:t xml:space="preserve"> policies as a result of the recently adopted accounting standards discussed below, there were no significant changes to our significant accounting policies disclosed in Note 1, </w:t>
      </w:r>
      <w:r>
        <w:rPr>
          <w:rFonts w:ascii="Arial" w:cs="Arial" w:eastAsia="Arial" w:hAnsi="Arial"/>
          <w:sz w:val="15"/>
          <w:szCs w:val="15"/>
          <w:i w:val="1"/>
          <w:iCs w:val="1"/>
          <w:color w:val="auto"/>
        </w:rPr>
        <w:t>Summary of Significant Accounting</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Policies </w:t>
      </w:r>
      <w:r>
        <w:rPr>
          <w:rFonts w:ascii="Arial" w:cs="Arial" w:eastAsia="Arial" w:hAnsi="Arial"/>
          <w:sz w:val="15"/>
          <w:szCs w:val="15"/>
          <w:color w:val="auto"/>
        </w:rPr>
        <w:t>of our Annual Report on Form 10-K for the year ended February 3, 2018.</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Recently Adopted Accounting Pronouncements</w:t>
      </w:r>
    </w:p>
    <w:p>
      <w:pPr>
        <w:spacing w:after="0" w:line="83"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 xml:space="preserve">In May 2014, the Financial Accounting Standards Board (“FASB”) issued Accounting Standards Update (“ASU”) 2014-09, </w:t>
      </w:r>
      <w:r>
        <w:rPr>
          <w:rFonts w:ascii="Arial" w:cs="Arial" w:eastAsia="Arial" w:hAnsi="Arial"/>
          <w:sz w:val="15"/>
          <w:szCs w:val="15"/>
          <w:i w:val="1"/>
          <w:iCs w:val="1"/>
          <w:color w:val="auto"/>
        </w:rPr>
        <w:t>Revenue</w:t>
      </w:r>
      <w:r>
        <w:rPr>
          <w:rFonts w:ascii="Arial" w:cs="Arial" w:eastAsia="Arial" w:hAnsi="Arial"/>
          <w:sz w:val="15"/>
          <w:szCs w:val="15"/>
          <w:color w:val="auto"/>
        </w:rPr>
        <w:t xml:space="preserve"> </w:t>
      </w:r>
      <w:r>
        <w:rPr>
          <w:rFonts w:ascii="Arial" w:cs="Arial" w:eastAsia="Arial" w:hAnsi="Arial"/>
          <w:sz w:val="15"/>
          <w:szCs w:val="15"/>
          <w:i w:val="1"/>
          <w:iCs w:val="1"/>
          <w:color w:val="auto"/>
        </w:rPr>
        <w:t>from Contracts with Customers (Topic 606)</w:t>
      </w:r>
      <w:r>
        <w:rPr>
          <w:rFonts w:ascii="Arial" w:cs="Arial" w:eastAsia="Arial" w:hAnsi="Arial"/>
          <w:sz w:val="15"/>
          <w:szCs w:val="15"/>
          <w:color w:val="auto"/>
        </w:rPr>
        <w:t>. The core principle of Topic 606 is to recognize revenue to depict the transfer of promised</w:t>
      </w:r>
      <w:r>
        <w:rPr>
          <w:rFonts w:ascii="Arial" w:cs="Arial" w:eastAsia="Arial" w:hAnsi="Arial"/>
          <w:sz w:val="15"/>
          <w:szCs w:val="15"/>
          <w:i w:val="1"/>
          <w:iCs w:val="1"/>
          <w:color w:val="auto"/>
        </w:rPr>
        <w:t xml:space="preserve"> </w:t>
      </w:r>
      <w:r>
        <w:rPr>
          <w:rFonts w:ascii="Arial" w:cs="Arial" w:eastAsia="Arial" w:hAnsi="Arial"/>
          <w:sz w:val="15"/>
          <w:szCs w:val="15"/>
          <w:color w:val="auto"/>
        </w:rPr>
        <w:t>goods or services to customers in an amount that reflects the consideration to which the entity expects to be entitled in exchange for those goods or services. The Company adopted ASU 2014-09 during the first quarter of 2018 using the modified retrospective method. We recognized $5 million, or $4 million net of tax, as the cumulative effect of initially applying the new revenue standard as an increase to the opening balance of retained earnings.</w:t>
      </w:r>
    </w:p>
    <w:p>
      <w:pPr>
        <w:spacing w:after="0" w:line="55"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 xml:space="preserve">In October 2016, the FASB issued ASU 2016-16, </w:t>
      </w:r>
      <w:r>
        <w:rPr>
          <w:rFonts w:ascii="Arial" w:cs="Arial" w:eastAsia="Arial" w:hAnsi="Arial"/>
          <w:sz w:val="15"/>
          <w:szCs w:val="15"/>
          <w:i w:val="1"/>
          <w:iCs w:val="1"/>
          <w:color w:val="auto"/>
        </w:rPr>
        <w:t>Income Taxes (Topic 740): Intra-Entity Transfers of Assets Other Than Inventory</w:t>
      </w:r>
      <w:r>
        <w:rPr>
          <w:rFonts w:ascii="Arial" w:cs="Arial" w:eastAsia="Arial" w:hAnsi="Arial"/>
          <w:sz w:val="15"/>
          <w:szCs w:val="15"/>
          <w:color w:val="auto"/>
        </w:rPr>
        <w:t>. ASU 2016-16 requires recognition of income tax consequences of an intra-entity transfer of an asset other than inventory when the transfer occurs. The Company adopted this ASU during the first quarter of 2018 using the modified retrospective method, and as a result increased deferred income tax assets by $37 million. The Company recorded an adjustment to opening retained earnings to write off the income tax effects that had been deferred from past intercompany transactions involving non-inventory assets. The Company also recorded deferred tax assets with an offset to opening retained earnings for amounts that were not previously recognized under the previous guidance but are recognized under this ASU.</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Other recently adopted ASUs are discussed within the applicable disclosures on the following pages.</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Recent Accounting Pronouncements Not Yet Adopted</w:t>
      </w:r>
    </w:p>
    <w:p>
      <w:pPr>
        <w:spacing w:after="0" w:line="83" w:lineRule="exact"/>
        <w:rPr>
          <w:sz w:val="20"/>
          <w:szCs w:val="20"/>
          <w:color w:val="auto"/>
        </w:rPr>
      </w:pPr>
    </w:p>
    <w:p>
      <w:pPr>
        <w:jc w:val="both"/>
        <w:spacing w:after="0"/>
        <w:rPr>
          <w:sz w:val="20"/>
          <w:szCs w:val="20"/>
          <w:color w:val="auto"/>
        </w:rPr>
      </w:pPr>
      <w:r>
        <w:rPr>
          <w:rFonts w:ascii="Arial" w:cs="Arial" w:eastAsia="Arial" w:hAnsi="Arial"/>
          <w:sz w:val="15"/>
          <w:szCs w:val="15"/>
          <w:color w:val="auto"/>
        </w:rPr>
        <w:t xml:space="preserve">In February 2016, the FASB issued ASU 2016-02,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This ASU requires lessees to recognize a lease liability, on a discounted basis, and a right-of-use asset for all leases, as well as additional disclosure regarding leasing arrangements. In July 2018, the FASB issued ASU 2018-11, </w:t>
      </w:r>
      <w:r>
        <w:rPr>
          <w:rFonts w:ascii="Arial" w:cs="Arial" w:eastAsia="Arial" w:hAnsi="Arial"/>
          <w:sz w:val="15"/>
          <w:szCs w:val="15"/>
          <w:i w:val="1"/>
          <w:iCs w:val="1"/>
          <w:color w:val="auto"/>
        </w:rPr>
        <w:t>Leases (Topic 842): Targeted Improvements,</w:t>
      </w:r>
      <w:r>
        <w:rPr>
          <w:rFonts w:ascii="Arial" w:cs="Arial" w:eastAsia="Arial" w:hAnsi="Arial"/>
          <w:sz w:val="15"/>
          <w:szCs w:val="15"/>
          <w:color w:val="auto"/>
        </w:rPr>
        <w:t xml:space="preserve"> which provides an optional transition method of applying the new lease standard. Topic 842 can be applied using either a modified retrospective approach at the beginning of the earliest period presented, or as permitted by ASU 2018-11, at the beginning of the period in which it is adopted. These new leasing standards are effective for fiscal years beginning after December 15, 2018, including interim periods therein. The Company intends to adopt Topic 842 during the first quarter of 2019 using the optional transition method provided by ASU 2018-11. The Company has historically presented a non-GAAP measure to adjust its balance sheet to present operating leases as if they were capital leases. Based upon that analysis and our current evaluation of the standard, we estimate the adoption will result in the addition of $3.2 billion to $3.7 billion of assets and liabilities to our consolidated balance sheet, with no significant change to our consolidated statements of operations or cash flows. The actual amount of additional assets and liabilities that will be recorded upon adoption will depend on the discount and foreign currency rates that are in effect as of the adoption date, as well liabilities associated with leases that will be executed before the adoption date.</w:t>
      </w:r>
    </w:p>
    <w:p>
      <w:pPr>
        <w:spacing w:after="0" w:line="245"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Other recently issued accounting pronouncements did not, or are not believed by management to, have a material effect on the Company’s present or future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190500</wp:posOffset>
            </wp:positionV>
            <wp:extent cx="5817870" cy="48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5" w:right="139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 Recognition</w:t>
      </w:r>
    </w:p>
    <w:p>
      <w:pPr>
        <w:spacing w:after="0" w:line="184" w:lineRule="exact"/>
        <w:rPr>
          <w:sz w:val="20"/>
          <w:szCs w:val="20"/>
          <w:color w:val="auto"/>
        </w:rPr>
      </w:pPr>
    </w:p>
    <w:p>
      <w:pPr>
        <w:jc w:val="both"/>
        <w:ind w:right="20"/>
        <w:spacing w:after="0" w:line="254" w:lineRule="auto"/>
        <w:rPr>
          <w:sz w:val="20"/>
          <w:szCs w:val="20"/>
          <w:color w:val="auto"/>
        </w:rPr>
      </w:pPr>
      <w:r>
        <w:rPr>
          <w:rFonts w:ascii="Arial" w:cs="Arial" w:eastAsia="Arial" w:hAnsi="Arial"/>
          <w:sz w:val="15"/>
          <w:szCs w:val="15"/>
          <w:color w:val="auto"/>
        </w:rPr>
        <w:t>Store revenue is recognized at the point of sale and includes merchandise, net of returns, and excludes taxes. Revenue from layaway sales is recognized when the customer receives the product, rather than when the initial deposit is paid.</w:t>
      </w:r>
    </w:p>
    <w:p>
      <w:pPr>
        <w:spacing w:after="0" w:line="146" w:lineRule="exact"/>
        <w:rPr>
          <w:sz w:val="20"/>
          <w:szCs w:val="20"/>
          <w:color w:val="auto"/>
        </w:rPr>
      </w:pPr>
    </w:p>
    <w:p>
      <w:pPr>
        <w:jc w:val="both"/>
        <w:ind w:right="20"/>
        <w:spacing w:after="0"/>
        <w:rPr>
          <w:sz w:val="20"/>
          <w:szCs w:val="20"/>
          <w:color w:val="auto"/>
        </w:rPr>
      </w:pPr>
      <w:r>
        <w:rPr>
          <w:rFonts w:ascii="Arial" w:cs="Arial" w:eastAsia="Arial" w:hAnsi="Arial"/>
          <w:sz w:val="15"/>
          <w:szCs w:val="15"/>
          <w:color w:val="auto"/>
        </w:rPr>
        <w:t>In conjunction with the adoption of Topic 606 during the first quarter of 2018, we have determined that revenue for merchandise that is shipped to our customers from our distribution centers and stores will be recognized upon shipment date. Total revenue recognized includes shipping and handling fees. We have determined that control of the promised good is passed to the customer upon shipment date since the customer has legal title, the rewards of ownership, and paid for the merchandise as of the shipment date. This reflects a change in timing in how we previously recognized revenue for our direct-to-customer sales. Prior to the adoption of Topic 606, the Company recognized such revenue upon date of delivery. As a result of this change, the Company recorded $1 million, net of tax, as an increase to opening retained earnings to reflect the cumulative effect of adopting this change. We have elected to account for shipping and handling as a fulfillment activity. The Company accrues the cost and recognized revenue for these activities upon shipment date.</w:t>
      </w: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Gift Cards</w:t>
      </w:r>
    </w:p>
    <w:p>
      <w:pPr>
        <w:spacing w:after="0" w:line="184" w:lineRule="exact"/>
        <w:rPr>
          <w:sz w:val="20"/>
          <w:szCs w:val="20"/>
          <w:color w:val="auto"/>
        </w:rPr>
      </w:pPr>
    </w:p>
    <w:p>
      <w:pPr>
        <w:jc w:val="both"/>
        <w:ind w:right="20"/>
        <w:spacing w:after="0" w:line="243" w:lineRule="auto"/>
        <w:rPr>
          <w:sz w:val="20"/>
          <w:szCs w:val="20"/>
          <w:color w:val="auto"/>
        </w:rPr>
      </w:pPr>
      <w:r>
        <w:rPr>
          <w:rFonts w:ascii="Arial" w:cs="Arial" w:eastAsia="Arial" w:hAnsi="Arial"/>
          <w:sz w:val="15"/>
          <w:szCs w:val="15"/>
          <w:color w:val="auto"/>
        </w:rPr>
        <w:t>The Company sells gift cards which do not have expiration dates. Revenue from gift card sales is recorded when the gift cards are redeemed by customers. Effective as of the first quarter of 2018 with the adoption of Topic 606, gift card breakage is recognized as revenue in proportion to the pattern of rights exercised by the customer, unless there is a legal obligation to remit the value of unredeemed gift cards to the relevant jurisdictions. This reflects a change in our accounting for gift card breakage from the remote method to the proportional method. As a result of adopting Topic 606, the Company recorded $4 million, or $3 million net of tax, as an increase to opening retained earnings to reflect the cumulative effect of this change based upon historical redemption patterns. Additionally, breakage income was previously recorded within selling, general and administrative expenses; however, with the adoption of this standard in the first quarter of 2018, this income is reported as part of sales. This change in classification is not considered significant.</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Revenue</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Sales disaggregated based upon sales channel is presented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5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5"/>
                <w:szCs w:val="15"/>
                <w:b w:val="1"/>
                <w:bCs w:val="1"/>
                <w:color w:val="auto"/>
              </w:rPr>
              <w:t>Thirteen weeks ended</w:t>
            </w:r>
          </w:p>
        </w:tc>
        <w:tc>
          <w:tcPr>
            <w:tcW w:w="5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ind w:left="40"/>
              <w:spacing w:after="0"/>
              <w:rPr>
                <w:sz w:val="20"/>
                <w:szCs w:val="20"/>
                <w:color w:val="auto"/>
              </w:rPr>
            </w:pPr>
            <w:r>
              <w:rPr>
                <w:rFonts w:ascii="Arial" w:cs="Arial" w:eastAsia="Arial" w:hAnsi="Arial"/>
                <w:sz w:val="15"/>
                <w:szCs w:val="15"/>
                <w:b w:val="1"/>
                <w:bCs w:val="1"/>
                <w:color w:val="auto"/>
              </w:rPr>
              <w:t>Thirty-nine weeks ended</w:t>
            </w:r>
          </w:p>
        </w:tc>
      </w:tr>
      <w:tr>
        <w:trPr>
          <w:trHeight w:val="196"/>
        </w:trPr>
        <w:tc>
          <w:tcPr>
            <w:tcW w:w="2500" w:type="dxa"/>
            <w:vAlign w:val="bottom"/>
          </w:tcPr>
          <w:p>
            <w:pPr>
              <w:spacing w:after="0"/>
              <w:rPr>
                <w:sz w:val="17"/>
                <w:szCs w:val="17"/>
                <w:color w:val="auto"/>
              </w:rPr>
            </w:pPr>
          </w:p>
        </w:tc>
        <w:tc>
          <w:tcPr>
            <w:tcW w:w="2420" w:type="dxa"/>
            <w:vAlign w:val="bottom"/>
            <w:gridSpan w:val="2"/>
          </w:tcPr>
          <w:p>
            <w:pPr>
              <w:jc w:val="right"/>
              <w:ind w:right="223"/>
              <w:spacing w:after="0"/>
              <w:rPr>
                <w:sz w:val="20"/>
                <w:szCs w:val="20"/>
                <w:color w:val="auto"/>
              </w:rPr>
            </w:pPr>
            <w:r>
              <w:rPr>
                <w:rFonts w:ascii="Arial" w:cs="Arial" w:eastAsia="Arial" w:hAnsi="Arial"/>
                <w:sz w:val="15"/>
                <w:szCs w:val="15"/>
                <w:b w:val="1"/>
                <w:bCs w:val="1"/>
                <w:color w:val="auto"/>
              </w:rPr>
              <w:t>November 3,</w:t>
            </w:r>
          </w:p>
        </w:tc>
        <w:tc>
          <w:tcPr>
            <w:tcW w:w="1440" w:type="dxa"/>
            <w:vAlign w:val="bottom"/>
            <w:gridSpan w:val="2"/>
          </w:tcPr>
          <w:p>
            <w:pPr>
              <w:jc w:val="right"/>
              <w:ind w:right="263"/>
              <w:spacing w:after="0"/>
              <w:rPr>
                <w:sz w:val="20"/>
                <w:szCs w:val="20"/>
                <w:color w:val="auto"/>
              </w:rPr>
            </w:pPr>
            <w:r>
              <w:rPr>
                <w:rFonts w:ascii="Arial" w:cs="Arial" w:eastAsia="Arial" w:hAnsi="Arial"/>
                <w:sz w:val="15"/>
                <w:szCs w:val="15"/>
                <w:b w:val="1"/>
                <w:bCs w:val="1"/>
                <w:color w:val="auto"/>
              </w:rPr>
              <w:t>October 28,</w:t>
            </w:r>
          </w:p>
        </w:tc>
        <w:tc>
          <w:tcPr>
            <w:tcW w:w="1360" w:type="dxa"/>
            <w:vAlign w:val="bottom"/>
            <w:gridSpan w:val="2"/>
          </w:tcPr>
          <w:p>
            <w:pPr>
              <w:jc w:val="right"/>
              <w:ind w:right="143"/>
              <w:spacing w:after="0"/>
              <w:rPr>
                <w:sz w:val="20"/>
                <w:szCs w:val="20"/>
                <w:color w:val="auto"/>
              </w:rPr>
            </w:pPr>
            <w:r>
              <w:rPr>
                <w:rFonts w:ascii="Arial" w:cs="Arial" w:eastAsia="Arial" w:hAnsi="Arial"/>
                <w:sz w:val="15"/>
                <w:szCs w:val="15"/>
                <w:b w:val="1"/>
                <w:bCs w:val="1"/>
                <w:color w:val="auto"/>
              </w:rPr>
              <w:t>November 3,</w:t>
            </w:r>
          </w:p>
        </w:tc>
        <w:tc>
          <w:tcPr>
            <w:tcW w:w="280" w:type="dxa"/>
            <w:vAlign w:val="bottom"/>
          </w:tcPr>
          <w:p>
            <w:pPr>
              <w:spacing w:after="0"/>
              <w:rPr>
                <w:sz w:val="17"/>
                <w:szCs w:val="17"/>
                <w:color w:val="auto"/>
              </w:rPr>
            </w:pPr>
          </w:p>
        </w:tc>
        <w:tc>
          <w:tcPr>
            <w:tcW w:w="1100" w:type="dxa"/>
            <w:vAlign w:val="bottom"/>
          </w:tcPr>
          <w:p>
            <w:pPr>
              <w:jc w:val="right"/>
              <w:ind w:right="123"/>
              <w:spacing w:after="0"/>
              <w:rPr>
                <w:sz w:val="20"/>
                <w:szCs w:val="20"/>
                <w:color w:val="auto"/>
              </w:rPr>
            </w:pPr>
            <w:r>
              <w:rPr>
                <w:rFonts w:ascii="Arial" w:cs="Arial" w:eastAsia="Arial" w:hAnsi="Arial"/>
                <w:sz w:val="15"/>
                <w:szCs w:val="15"/>
                <w:b w:val="1"/>
                <w:bCs w:val="1"/>
                <w:color w:val="auto"/>
              </w:rPr>
              <w:t>October 28,</w:t>
            </w:r>
          </w:p>
        </w:tc>
      </w:tr>
      <w:tr>
        <w:trPr>
          <w:trHeight w:val="197"/>
        </w:trPr>
        <w:tc>
          <w:tcPr>
            <w:tcW w:w="25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2018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5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2017</w:t>
            </w:r>
          </w:p>
        </w:tc>
      </w:tr>
      <w:tr>
        <w:trPr>
          <w:trHeight w:val="187"/>
        </w:trPr>
        <w:tc>
          <w:tcPr>
            <w:tcW w:w="2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 in millions)</w:t>
            </w: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7"/>
        </w:trPr>
        <w:tc>
          <w:tcPr>
            <w:tcW w:w="2500" w:type="dxa"/>
            <w:vAlign w:val="bottom"/>
            <w:shd w:val="clear" w:color="auto" w:fill="CCEEFF"/>
          </w:tcPr>
          <w:p>
            <w:pPr>
              <w:spacing w:after="0"/>
              <w:rPr>
                <w:sz w:val="20"/>
                <w:szCs w:val="20"/>
                <w:color w:val="auto"/>
              </w:rPr>
            </w:pPr>
            <w:r>
              <w:rPr>
                <w:rFonts w:ascii="Arial" w:cs="Arial" w:eastAsia="Arial" w:hAnsi="Arial"/>
                <w:sz w:val="15"/>
                <w:szCs w:val="15"/>
                <w:color w:val="auto"/>
              </w:rPr>
              <w:t>Stores</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106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1,591</w:t>
            </w:r>
          </w:p>
        </w:tc>
        <w:tc>
          <w:tcPr>
            <w:tcW w:w="860" w:type="dxa"/>
            <w:vAlign w:val="bottom"/>
            <w:shd w:val="clear" w:color="auto" w:fill="CCEEFF"/>
          </w:tcPr>
          <w:p>
            <w:pPr>
              <w:jc w:val="right"/>
              <w:ind w:right="523"/>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1,612</w:t>
            </w:r>
          </w:p>
        </w:tc>
        <w:tc>
          <w:tcPr>
            <w:tcW w:w="46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4,876</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4,819</w:t>
            </w:r>
          </w:p>
        </w:tc>
      </w:tr>
      <w:tr>
        <w:trPr>
          <w:trHeight w:val="207"/>
        </w:trPr>
        <w:tc>
          <w:tcPr>
            <w:tcW w:w="25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Direct-to-customers</w:t>
            </w:r>
          </w:p>
        </w:tc>
        <w:tc>
          <w:tcPr>
            <w:tcW w:w="1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269</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258</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791</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753</w:t>
            </w:r>
          </w:p>
        </w:tc>
      </w:tr>
      <w:tr>
        <w:trPr>
          <w:trHeight w:val="179"/>
        </w:trPr>
        <w:tc>
          <w:tcPr>
            <w:tcW w:w="2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Total sales</w:t>
            </w: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1,860</w:t>
            </w:r>
          </w:p>
        </w:tc>
        <w:tc>
          <w:tcPr>
            <w:tcW w:w="860" w:type="dxa"/>
            <w:vAlign w:val="bottom"/>
            <w:tcBorders>
              <w:bottom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1,870</w:t>
            </w:r>
          </w:p>
        </w:tc>
        <w:tc>
          <w:tcPr>
            <w:tcW w:w="4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5,667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5,572</w:t>
            </w:r>
          </w:p>
        </w:tc>
      </w:tr>
    </w:tbl>
    <w:p>
      <w:pPr>
        <w:spacing w:after="0" w:line="165" w:lineRule="exact"/>
        <w:rPr>
          <w:sz w:val="20"/>
          <w:szCs w:val="20"/>
          <w:color w:val="auto"/>
        </w:rPr>
      </w:pPr>
    </w:p>
    <w:p>
      <w:pPr>
        <w:ind w:right="300"/>
        <w:spacing w:after="0" w:line="254" w:lineRule="auto"/>
        <w:rPr>
          <w:sz w:val="20"/>
          <w:szCs w:val="20"/>
          <w:color w:val="auto"/>
        </w:rPr>
      </w:pPr>
      <w:r>
        <w:rPr>
          <w:rFonts w:ascii="Arial" w:cs="Arial" w:eastAsia="Arial" w:hAnsi="Arial"/>
          <w:sz w:val="15"/>
          <w:szCs w:val="15"/>
          <w:color w:val="auto"/>
        </w:rPr>
        <w:t>Sales disaggregated based upon geographic area is presented in the below table. Sales are attributable to the geographic area in which the sales transaction is fulfilled.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5"/>
                <w:szCs w:val="15"/>
                <w:b w:val="1"/>
                <w:bCs w:val="1"/>
                <w:color w:val="auto"/>
              </w:rPr>
              <w:t>Thirteen weeks ended</w:t>
            </w:r>
          </w:p>
        </w:tc>
        <w:tc>
          <w:tcPr>
            <w:tcW w:w="5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Thirty-nine weeks ended</w:t>
            </w:r>
          </w:p>
        </w:tc>
        <w:tc>
          <w:tcPr>
            <w:tcW w:w="4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2300" w:type="dxa"/>
            <w:vAlign w:val="bottom"/>
          </w:tcPr>
          <w:p>
            <w:pPr>
              <w:spacing w:after="0"/>
              <w:rPr>
                <w:sz w:val="17"/>
                <w:szCs w:val="17"/>
                <w:color w:val="auto"/>
              </w:rPr>
            </w:pPr>
          </w:p>
        </w:tc>
        <w:tc>
          <w:tcPr>
            <w:tcW w:w="2620" w:type="dxa"/>
            <w:vAlign w:val="bottom"/>
            <w:gridSpan w:val="2"/>
          </w:tcPr>
          <w:p>
            <w:pPr>
              <w:jc w:val="right"/>
              <w:ind w:right="223"/>
              <w:spacing w:after="0"/>
              <w:rPr>
                <w:sz w:val="20"/>
                <w:szCs w:val="20"/>
                <w:color w:val="auto"/>
              </w:rPr>
            </w:pPr>
            <w:r>
              <w:rPr>
                <w:rFonts w:ascii="Arial" w:cs="Arial" w:eastAsia="Arial" w:hAnsi="Arial"/>
                <w:sz w:val="15"/>
                <w:szCs w:val="15"/>
                <w:b w:val="1"/>
                <w:bCs w:val="1"/>
                <w:color w:val="auto"/>
              </w:rPr>
              <w:t>November 3,</w:t>
            </w:r>
          </w:p>
        </w:tc>
        <w:tc>
          <w:tcPr>
            <w:tcW w:w="1440" w:type="dxa"/>
            <w:vAlign w:val="bottom"/>
            <w:gridSpan w:val="2"/>
          </w:tcPr>
          <w:p>
            <w:pPr>
              <w:jc w:val="right"/>
              <w:ind w:right="263"/>
              <w:spacing w:after="0"/>
              <w:rPr>
                <w:sz w:val="20"/>
                <w:szCs w:val="20"/>
                <w:color w:val="auto"/>
              </w:rPr>
            </w:pPr>
            <w:r>
              <w:rPr>
                <w:rFonts w:ascii="Arial" w:cs="Arial" w:eastAsia="Arial" w:hAnsi="Arial"/>
                <w:sz w:val="15"/>
                <w:szCs w:val="15"/>
                <w:b w:val="1"/>
                <w:bCs w:val="1"/>
                <w:color w:val="auto"/>
              </w:rPr>
              <w:t>October 28,</w:t>
            </w:r>
          </w:p>
        </w:tc>
        <w:tc>
          <w:tcPr>
            <w:tcW w:w="1420" w:type="dxa"/>
            <w:vAlign w:val="bottom"/>
            <w:gridSpan w:val="2"/>
          </w:tcPr>
          <w:p>
            <w:pPr>
              <w:jc w:val="right"/>
              <w:ind w:right="203"/>
              <w:spacing w:after="0"/>
              <w:rPr>
                <w:sz w:val="20"/>
                <w:szCs w:val="20"/>
                <w:color w:val="auto"/>
              </w:rPr>
            </w:pPr>
            <w:r>
              <w:rPr>
                <w:rFonts w:ascii="Arial" w:cs="Arial" w:eastAsia="Arial" w:hAnsi="Arial"/>
                <w:sz w:val="15"/>
                <w:szCs w:val="15"/>
                <w:b w:val="1"/>
                <w:bCs w:val="1"/>
                <w:color w:val="auto"/>
              </w:rPr>
              <w:t>November 3,</w:t>
            </w:r>
          </w:p>
        </w:tc>
        <w:tc>
          <w:tcPr>
            <w:tcW w:w="1320" w:type="dxa"/>
            <w:vAlign w:val="bottom"/>
            <w:gridSpan w:val="2"/>
          </w:tcPr>
          <w:p>
            <w:pPr>
              <w:jc w:val="right"/>
              <w:ind w:right="123"/>
              <w:spacing w:after="0"/>
              <w:rPr>
                <w:sz w:val="20"/>
                <w:szCs w:val="20"/>
                <w:color w:val="auto"/>
              </w:rPr>
            </w:pPr>
            <w:r>
              <w:rPr>
                <w:rFonts w:ascii="Arial" w:cs="Arial" w:eastAsia="Arial" w:hAnsi="Arial"/>
                <w:sz w:val="15"/>
                <w:szCs w:val="15"/>
                <w:b w:val="1"/>
                <w:bCs w:val="1"/>
                <w:color w:val="auto"/>
              </w:rPr>
              <w:t>October 28,</w:t>
            </w:r>
          </w:p>
        </w:tc>
        <w:tc>
          <w:tcPr>
            <w:tcW w:w="20" w:type="dxa"/>
            <w:vAlign w:val="bottom"/>
          </w:tcPr>
          <w:p>
            <w:pPr>
              <w:spacing w:after="0"/>
              <w:rPr>
                <w:sz w:val="17"/>
                <w:szCs w:val="17"/>
                <w:color w:val="auto"/>
              </w:rPr>
            </w:pPr>
          </w:p>
        </w:tc>
      </w:tr>
      <w:tr>
        <w:trPr>
          <w:trHeight w:val="197"/>
        </w:trPr>
        <w:tc>
          <w:tcPr>
            <w:tcW w:w="2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2018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5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2018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4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7"/>
        </w:trPr>
        <w:tc>
          <w:tcPr>
            <w:tcW w:w="2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 in millions)</w:t>
            </w: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2300" w:type="dxa"/>
            <w:vAlign w:val="bottom"/>
            <w:shd w:val="clear" w:color="auto" w:fill="CCEEFF"/>
          </w:tcPr>
          <w:p>
            <w:pPr>
              <w:spacing w:after="0"/>
              <w:rPr>
                <w:sz w:val="20"/>
                <w:szCs w:val="20"/>
                <w:color w:val="auto"/>
              </w:rPr>
            </w:pPr>
            <w:r>
              <w:rPr>
                <w:rFonts w:ascii="Arial" w:cs="Arial" w:eastAsia="Arial" w:hAnsi="Arial"/>
                <w:sz w:val="15"/>
                <w:szCs w:val="15"/>
                <w:color w:val="auto"/>
              </w:rPr>
              <w:t>United States</w:t>
            </w:r>
          </w:p>
        </w:tc>
        <w:tc>
          <w:tcPr>
            <w:tcW w:w="156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106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1,297</w:t>
            </w:r>
          </w:p>
        </w:tc>
        <w:tc>
          <w:tcPr>
            <w:tcW w:w="860" w:type="dxa"/>
            <w:vAlign w:val="bottom"/>
            <w:shd w:val="clear" w:color="auto" w:fill="CCEEFF"/>
          </w:tcPr>
          <w:p>
            <w:pPr>
              <w:jc w:val="right"/>
              <w:ind w:right="523"/>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1,316</w:t>
            </w:r>
          </w:p>
        </w:tc>
        <w:tc>
          <w:tcPr>
            <w:tcW w:w="46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w:t>
            </w:r>
          </w:p>
        </w:tc>
        <w:tc>
          <w:tcPr>
            <w:tcW w:w="96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4,018</w:t>
            </w:r>
          </w:p>
        </w:tc>
        <w:tc>
          <w:tcPr>
            <w:tcW w:w="880" w:type="dxa"/>
            <w:vAlign w:val="bottom"/>
            <w:shd w:val="clear" w:color="auto" w:fill="CCEEFF"/>
          </w:tcPr>
          <w:p>
            <w:pPr>
              <w:jc w:val="right"/>
              <w:ind w:right="523"/>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3,962</w:t>
            </w:r>
          </w:p>
        </w:tc>
        <w:tc>
          <w:tcPr>
            <w:tcW w:w="20" w:type="dxa"/>
            <w:vAlign w:val="bottom"/>
          </w:tcPr>
          <w:p>
            <w:pPr>
              <w:spacing w:after="0"/>
              <w:rPr>
                <w:sz w:val="17"/>
                <w:szCs w:val="17"/>
                <w:color w:val="auto"/>
              </w:rPr>
            </w:pPr>
          </w:p>
        </w:tc>
      </w:tr>
      <w:tr>
        <w:trPr>
          <w:trHeight w:val="207"/>
        </w:trPr>
        <w:tc>
          <w:tcPr>
            <w:tcW w:w="2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International</w:t>
            </w:r>
          </w:p>
        </w:tc>
        <w:tc>
          <w:tcPr>
            <w:tcW w:w="15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563</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554</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1,649</w:t>
            </w: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1,610</w:t>
            </w:r>
          </w:p>
        </w:tc>
        <w:tc>
          <w:tcPr>
            <w:tcW w:w="20" w:type="dxa"/>
            <w:vAlign w:val="bottom"/>
          </w:tcPr>
          <w:p>
            <w:pPr>
              <w:spacing w:after="0"/>
              <w:rPr>
                <w:sz w:val="17"/>
                <w:szCs w:val="17"/>
                <w:color w:val="auto"/>
              </w:rPr>
            </w:pPr>
          </w:p>
        </w:tc>
      </w:tr>
      <w:tr>
        <w:trPr>
          <w:trHeight w:val="179"/>
        </w:trPr>
        <w:tc>
          <w:tcPr>
            <w:tcW w:w="2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Total sales</w:t>
            </w:r>
          </w:p>
        </w:tc>
        <w:tc>
          <w:tcPr>
            <w:tcW w:w="15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1,860</w:t>
            </w:r>
          </w:p>
        </w:tc>
        <w:tc>
          <w:tcPr>
            <w:tcW w:w="860" w:type="dxa"/>
            <w:vAlign w:val="bottom"/>
            <w:tcBorders>
              <w:bottom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1,870</w:t>
            </w:r>
          </w:p>
        </w:tc>
        <w:tc>
          <w:tcPr>
            <w:tcW w:w="4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5,667</w:t>
            </w:r>
          </w:p>
        </w:tc>
        <w:tc>
          <w:tcPr>
            <w:tcW w:w="880" w:type="dxa"/>
            <w:vAlign w:val="bottom"/>
            <w:tcBorders>
              <w:bottom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5,572</w:t>
            </w:r>
          </w:p>
        </w:tc>
        <w:tc>
          <w:tcPr>
            <w:tcW w:w="20" w:type="dxa"/>
            <w:vAlign w:val="bottom"/>
          </w:tcPr>
          <w:p>
            <w:pPr>
              <w:spacing w:after="0"/>
              <w:rPr>
                <w:sz w:val="15"/>
                <w:szCs w:val="15"/>
                <w:color w:val="auto"/>
              </w:rPr>
            </w:pPr>
          </w:p>
        </w:tc>
      </w:tr>
      <w:tr>
        <w:trPr>
          <w:trHeight w:val="545"/>
        </w:trPr>
        <w:tc>
          <w:tcPr>
            <w:tcW w:w="2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60" w:type="dxa"/>
            <w:vAlign w:val="bottom"/>
          </w:tcPr>
          <w:p>
            <w:pPr>
              <w:jc w:val="right"/>
              <w:ind w:right="243"/>
              <w:spacing w:after="0"/>
              <w:rPr>
                <w:sz w:val="20"/>
                <w:szCs w:val="20"/>
                <w:color w:val="auto"/>
              </w:rPr>
            </w:pPr>
            <w:r>
              <w:rPr>
                <w:rFonts w:ascii="Arial" w:cs="Arial" w:eastAsia="Arial" w:hAnsi="Arial"/>
                <w:sz w:val="15"/>
                <w:szCs w:val="15"/>
                <w:color w:val="auto"/>
              </w:rPr>
              <w:t>6</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8"/>
        </w:trPr>
        <w:tc>
          <w:tcPr>
            <w:tcW w:w="230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2300" w:type="dxa"/>
            <w:vAlign w:val="bottom"/>
            <w:tcBorders>
              <w:bottom w:val="single" w:sz="8" w:color="EEEEEE"/>
            </w:tcBorders>
          </w:tcPr>
          <w:p>
            <w:pPr>
              <w:spacing w:after="0" w:line="20" w:lineRule="exact"/>
              <w:rPr>
                <w:sz w:val="1"/>
                <w:szCs w:val="1"/>
                <w:color w:val="auto"/>
              </w:rPr>
            </w:pPr>
          </w:p>
        </w:tc>
        <w:tc>
          <w:tcPr>
            <w:tcW w:w="156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116" w:right="137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860" w:type="dxa"/>
            <w:vAlign w:val="bottom"/>
          </w:tcPr>
          <w:p>
            <w:pPr>
              <w:spacing w:after="0"/>
              <w:rPr>
                <w:sz w:val="20"/>
                <w:szCs w:val="20"/>
                <w:color w:val="auto"/>
              </w:rPr>
            </w:pPr>
            <w:r>
              <w:rPr>
                <w:rFonts w:ascii="Arial" w:cs="Arial" w:eastAsia="Arial" w:hAnsi="Arial"/>
                <w:sz w:val="15"/>
                <w:szCs w:val="15"/>
                <w:i w:val="1"/>
                <w:iCs w:val="1"/>
                <w:color w:val="auto"/>
              </w:rPr>
              <w:t>Contract Liabilities</w:t>
            </w: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5"/>
        </w:trPr>
        <w:tc>
          <w:tcPr>
            <w:tcW w:w="6860" w:type="dxa"/>
            <w:vAlign w:val="bottom"/>
          </w:tcPr>
          <w:p>
            <w:pPr>
              <w:spacing w:after="0"/>
              <w:rPr>
                <w:sz w:val="20"/>
                <w:szCs w:val="20"/>
                <w:color w:val="auto"/>
              </w:rPr>
            </w:pPr>
            <w:r>
              <w:rPr>
                <w:rFonts w:ascii="Arial" w:cs="Arial" w:eastAsia="Arial" w:hAnsi="Arial"/>
                <w:sz w:val="15"/>
                <w:szCs w:val="15"/>
                <w:color w:val="auto"/>
              </w:rPr>
              <w:t>The table below presents the activity of our gift card liability balance:</w:t>
            </w:r>
          </w:p>
        </w:tc>
        <w:tc>
          <w:tcPr>
            <w:tcW w:w="13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85"/>
        </w:trPr>
        <w:tc>
          <w:tcPr>
            <w:tcW w:w="6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in millions)</w:t>
            </w:r>
          </w:p>
        </w:tc>
      </w:tr>
      <w:tr>
        <w:trPr>
          <w:trHeight w:val="162"/>
        </w:trPr>
        <w:tc>
          <w:tcPr>
            <w:tcW w:w="6860" w:type="dxa"/>
            <w:vAlign w:val="bottom"/>
          </w:tcPr>
          <w:p>
            <w:pPr>
              <w:spacing w:after="0" w:line="163" w:lineRule="exact"/>
              <w:rPr>
                <w:sz w:val="20"/>
                <w:szCs w:val="20"/>
                <w:color w:val="auto"/>
              </w:rPr>
            </w:pPr>
            <w:r>
              <w:rPr>
                <w:rFonts w:ascii="Arial" w:cs="Arial" w:eastAsia="Arial" w:hAnsi="Arial"/>
                <w:sz w:val="15"/>
                <w:szCs w:val="15"/>
                <w:color w:val="auto"/>
              </w:rPr>
              <w:t>Balance at February 4, 2018</w:t>
            </w:r>
          </w:p>
        </w:tc>
        <w:tc>
          <w:tcPr>
            <w:tcW w:w="1320" w:type="dxa"/>
            <w:vAlign w:val="bottom"/>
          </w:tcPr>
          <w:p>
            <w:pPr>
              <w:jc w:val="right"/>
              <w:ind w:right="223"/>
              <w:spacing w:after="0" w:line="163" w:lineRule="exact"/>
              <w:rPr>
                <w:sz w:val="20"/>
                <w:szCs w:val="20"/>
                <w:color w:val="auto"/>
              </w:rPr>
            </w:pPr>
            <w:r>
              <w:rPr>
                <w:rFonts w:ascii="Arial" w:cs="Arial" w:eastAsia="Arial" w:hAnsi="Arial"/>
                <w:sz w:val="15"/>
                <w:szCs w:val="15"/>
                <w:color w:val="auto"/>
              </w:rPr>
              <w:t>$</w:t>
            </w:r>
          </w:p>
        </w:tc>
        <w:tc>
          <w:tcPr>
            <w:tcW w:w="920" w:type="dxa"/>
            <w:vAlign w:val="bottom"/>
          </w:tcPr>
          <w:p>
            <w:pPr>
              <w:jc w:val="right"/>
              <w:spacing w:after="0" w:line="163" w:lineRule="exact"/>
              <w:rPr>
                <w:sz w:val="20"/>
                <w:szCs w:val="20"/>
                <w:color w:val="auto"/>
              </w:rPr>
            </w:pPr>
            <w:r>
              <w:rPr>
                <w:rFonts w:ascii="Arial" w:cs="Arial" w:eastAsia="Arial" w:hAnsi="Arial"/>
                <w:sz w:val="15"/>
                <w:szCs w:val="15"/>
                <w:color w:val="auto"/>
              </w:rPr>
              <w:t>38</w:t>
            </w:r>
          </w:p>
        </w:tc>
      </w:tr>
      <w:tr>
        <w:trPr>
          <w:trHeight w:val="182"/>
        </w:trPr>
        <w:tc>
          <w:tcPr>
            <w:tcW w:w="68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Redemptions</w:t>
            </w:r>
          </w:p>
        </w:tc>
        <w:tc>
          <w:tcPr>
            <w:tcW w:w="13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w:t>
            </w:r>
          </w:p>
        </w:tc>
      </w:tr>
      <w:tr>
        <w:trPr>
          <w:trHeight w:val="182"/>
        </w:trPr>
        <w:tc>
          <w:tcPr>
            <w:tcW w:w="6860" w:type="dxa"/>
            <w:vAlign w:val="bottom"/>
          </w:tcPr>
          <w:p>
            <w:pPr>
              <w:ind w:left="200"/>
              <w:spacing w:after="0"/>
              <w:rPr>
                <w:sz w:val="20"/>
                <w:szCs w:val="20"/>
                <w:color w:val="auto"/>
              </w:rPr>
            </w:pPr>
            <w:r>
              <w:rPr>
                <w:rFonts w:ascii="Arial" w:cs="Arial" w:eastAsia="Arial" w:hAnsi="Arial"/>
                <w:sz w:val="15"/>
                <w:szCs w:val="15"/>
                <w:color w:val="auto"/>
              </w:rPr>
              <w:t>Cumulative catch-up adjustment to retained earnings from the adoption of Topic 606</w:t>
            </w:r>
          </w:p>
        </w:tc>
        <w:tc>
          <w:tcPr>
            <w:tcW w:w="1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82"/>
        </w:trPr>
        <w:tc>
          <w:tcPr>
            <w:tcW w:w="68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Breakage recognized</w:t>
            </w:r>
          </w:p>
        </w:tc>
        <w:tc>
          <w:tcPr>
            <w:tcW w:w="13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r>
      <w:tr>
        <w:trPr>
          <w:trHeight w:val="182"/>
        </w:trPr>
        <w:tc>
          <w:tcPr>
            <w:tcW w:w="6860" w:type="dxa"/>
            <w:vAlign w:val="bottom"/>
          </w:tcPr>
          <w:p>
            <w:pPr>
              <w:ind w:left="200"/>
              <w:spacing w:after="0"/>
              <w:rPr>
                <w:sz w:val="20"/>
                <w:szCs w:val="20"/>
                <w:color w:val="auto"/>
              </w:rPr>
            </w:pPr>
            <w:r>
              <w:rPr>
                <w:rFonts w:ascii="Arial" w:cs="Arial" w:eastAsia="Arial" w:hAnsi="Arial"/>
                <w:sz w:val="15"/>
                <w:szCs w:val="15"/>
                <w:color w:val="auto"/>
              </w:rPr>
              <w:t>Activations</w:t>
            </w:r>
          </w:p>
        </w:tc>
        <w:tc>
          <w:tcPr>
            <w:tcW w:w="1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58</w:t>
            </w:r>
          </w:p>
        </w:tc>
      </w:tr>
      <w:tr>
        <w:trPr>
          <w:trHeight w:val="182"/>
        </w:trPr>
        <w:tc>
          <w:tcPr>
            <w:tcW w:w="68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5"/>
                <w:szCs w:val="15"/>
                <w:color w:val="auto"/>
              </w:rPr>
              <w:t>Foreign currency fluctuations</w:t>
            </w:r>
          </w:p>
        </w:tc>
        <w:tc>
          <w:tcPr>
            <w:tcW w:w="13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167"/>
        </w:trPr>
        <w:tc>
          <w:tcPr>
            <w:tcW w:w="6860" w:type="dxa"/>
            <w:vAlign w:val="bottom"/>
            <w:tcBorders>
              <w:bottom w:val="single" w:sz="8" w:color="auto"/>
            </w:tcBorders>
          </w:tcPr>
          <w:p>
            <w:pPr>
              <w:spacing w:after="0" w:line="163" w:lineRule="exact"/>
              <w:rPr>
                <w:sz w:val="20"/>
                <w:szCs w:val="20"/>
                <w:color w:val="auto"/>
              </w:rPr>
            </w:pPr>
            <w:r>
              <w:rPr>
                <w:rFonts w:ascii="Arial" w:cs="Arial" w:eastAsia="Arial" w:hAnsi="Arial"/>
                <w:sz w:val="15"/>
                <w:szCs w:val="15"/>
                <w:b w:val="1"/>
                <w:bCs w:val="1"/>
                <w:color w:val="auto"/>
              </w:rPr>
              <w:t>Balance at November 3, 2018</w:t>
            </w:r>
          </w:p>
        </w:tc>
        <w:tc>
          <w:tcPr>
            <w:tcW w:w="1320" w:type="dxa"/>
            <w:vAlign w:val="bottom"/>
            <w:tcBorders>
              <w:bottom w:val="single" w:sz="8" w:color="auto"/>
            </w:tcBorders>
          </w:tcPr>
          <w:p>
            <w:pPr>
              <w:jc w:val="right"/>
              <w:ind w:right="223"/>
              <w:spacing w:after="0" w:line="163" w:lineRule="exact"/>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24</w:t>
            </w:r>
          </w:p>
        </w:tc>
      </w:tr>
    </w:tbl>
    <w:p>
      <w:pPr>
        <w:spacing w:after="0" w:line="67" w:lineRule="exact"/>
        <w:rPr>
          <w:sz w:val="20"/>
          <w:szCs w:val="20"/>
          <w:color w:val="auto"/>
        </w:rPr>
      </w:pPr>
    </w:p>
    <w:p>
      <w:pPr>
        <w:jc w:val="both"/>
        <w:ind w:right="20"/>
        <w:spacing w:after="0" w:line="254" w:lineRule="auto"/>
        <w:rPr>
          <w:sz w:val="20"/>
          <w:szCs w:val="20"/>
          <w:color w:val="auto"/>
        </w:rPr>
      </w:pPr>
      <w:r>
        <w:rPr>
          <w:rFonts w:ascii="Arial" w:cs="Arial" w:eastAsia="Arial" w:hAnsi="Arial"/>
          <w:sz w:val="15"/>
          <w:szCs w:val="15"/>
          <w:color w:val="auto"/>
        </w:rPr>
        <w:t>Due to the fact that most gift cards are redeemed within 12 months, the Company elected not to disclose information about remaining performance obligations.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Segment Information</w:t>
      </w:r>
    </w:p>
    <w:p>
      <w:pPr>
        <w:spacing w:after="0" w:line="186" w:lineRule="exact"/>
        <w:rPr>
          <w:sz w:val="20"/>
          <w:szCs w:val="20"/>
          <w:color w:val="auto"/>
        </w:rPr>
      </w:pPr>
    </w:p>
    <w:p>
      <w:pPr>
        <w:jc w:val="both"/>
        <w:ind w:left="20" w:right="40"/>
        <w:spacing w:after="0" w:line="241" w:lineRule="auto"/>
        <w:rPr>
          <w:sz w:val="20"/>
          <w:szCs w:val="20"/>
          <w:color w:val="auto"/>
        </w:rPr>
      </w:pPr>
      <w:r>
        <w:rPr>
          <w:rFonts w:ascii="Arial" w:cs="Arial" w:eastAsia="Arial" w:hAnsi="Arial"/>
          <w:sz w:val="15"/>
          <w:szCs w:val="15"/>
          <w:color w:val="auto"/>
        </w:rPr>
        <w:t>The Company has integrated all available shopping channels including stores, websites, and catalogs. Store sales are primarily fulfilled from the store’s inventory, but may also be shipped from any of our distribution centers or from a different store location if an item is not available at the original store. Direct-to-customer orders are primarily shipped to our customers through our distribution centers but may also be shipped from any store or a combination of our distribution centers and stores depending on the availability of particular items.</w:t>
      </w:r>
    </w:p>
    <w:p>
      <w:pPr>
        <w:spacing w:after="0" w:line="341" w:lineRule="exact"/>
        <w:rPr>
          <w:sz w:val="20"/>
          <w:szCs w:val="20"/>
          <w:color w:val="auto"/>
        </w:rPr>
      </w:pPr>
    </w:p>
    <w:p>
      <w:pPr>
        <w:jc w:val="both"/>
        <w:ind w:right="20"/>
        <w:spacing w:after="0" w:line="238" w:lineRule="auto"/>
        <w:rPr>
          <w:sz w:val="20"/>
          <w:szCs w:val="20"/>
          <w:color w:val="auto"/>
        </w:rPr>
      </w:pPr>
      <w:r>
        <w:rPr>
          <w:rFonts w:ascii="Arial" w:cs="Arial" w:eastAsia="Arial" w:hAnsi="Arial"/>
          <w:sz w:val="15"/>
          <w:szCs w:val="15"/>
          <w:color w:val="auto"/>
        </w:rPr>
        <w:t>Our operating segments are identified according to how our business activities are managed and evaluated by our chief operating decision maker, our CEO. Prior to fiscal 2018, the Company had two reportable segments: Athletic Stores and Direct-to-Customers. Beginning in fiscal 2018, the Company has changed its organizational and internal reporting structure in order to execute our omni-channel strategy. In light of these changes, the Company has re-evaluated its operating segments, which now reflect the combination of stores and direct-to-customer by geography. The Company has determined that it has two operating segments, North America and International. Our North America operating segment includes the results of the following banners operating in the U.S. and Canada: Foot Locker, Kids Foot Locker, Lady Foot Locker, Champs Sports, Footaction, and SIX:02, including each of their related e-commerce businesses, as well as our Eastbay business that includes internet, catalog, and team sales. Our International operating segment includes the results of the following banners operating in Europe, Asia, Australia, and New Zealand: Foot Locker, Runners Point, Sidestep, and Kids Foot Locker, including each of their related e-commerce businesses. We have further aggregated these operating segments into one reportable segment based upon their shared customer base and similar economic characteristics. Prior-year information has been restated to reflect this change.</w:t>
      </w:r>
    </w:p>
    <w:p>
      <w:pPr>
        <w:spacing w:after="0" w:line="185"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The Company evaluates performance based on several factors, of which the primary financial measure is the banner’s financial results referred to as division profit. Division profit reflects income before income taxes, pension litigation charge, corporate expense, non-operating income, and net interest income. The following table summarizes our results: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80" w:type="dxa"/>
            <w:vAlign w:val="bottom"/>
            <w:gridSpan w:val="3"/>
          </w:tcPr>
          <w:p>
            <w:pPr>
              <w:jc w:val="right"/>
              <w:ind w:right="523"/>
              <w:spacing w:after="0"/>
              <w:rPr>
                <w:sz w:val="20"/>
                <w:szCs w:val="20"/>
                <w:color w:val="auto"/>
              </w:rPr>
            </w:pPr>
            <w:r>
              <w:rPr>
                <w:rFonts w:ascii="Arial" w:cs="Arial" w:eastAsia="Arial" w:hAnsi="Arial"/>
                <w:sz w:val="15"/>
                <w:szCs w:val="15"/>
                <w:b w:val="1"/>
                <w:bCs w:val="1"/>
                <w:color w:val="auto"/>
              </w:rPr>
              <w:t>Thirteen weeks ended</w:t>
            </w:r>
          </w:p>
        </w:tc>
        <w:tc>
          <w:tcPr>
            <w:tcW w:w="420" w:type="dxa"/>
            <w:vAlign w:val="bottom"/>
          </w:tcPr>
          <w:p>
            <w:pPr>
              <w:spacing w:after="0"/>
              <w:rPr>
                <w:sz w:val="16"/>
                <w:szCs w:val="16"/>
                <w:color w:val="auto"/>
              </w:rPr>
            </w:pPr>
          </w:p>
        </w:tc>
        <w:tc>
          <w:tcPr>
            <w:tcW w:w="2200" w:type="dxa"/>
            <w:vAlign w:val="bottom"/>
            <w:gridSpan w:val="4"/>
          </w:tcPr>
          <w:p>
            <w:pPr>
              <w:jc w:val="right"/>
              <w:ind w:right="400"/>
              <w:spacing w:after="0"/>
              <w:rPr>
                <w:sz w:val="20"/>
                <w:szCs w:val="20"/>
                <w:color w:val="auto"/>
              </w:rPr>
            </w:pPr>
            <w:r>
              <w:rPr>
                <w:rFonts w:ascii="Arial" w:cs="Arial" w:eastAsia="Arial" w:hAnsi="Arial"/>
                <w:sz w:val="15"/>
                <w:szCs w:val="15"/>
                <w:b w:val="1"/>
                <w:bCs w:val="1"/>
                <w:color w:val="auto"/>
              </w:rPr>
              <w:t>Thirty-nine weeks ended</w:t>
            </w:r>
          </w:p>
        </w:tc>
        <w:tc>
          <w:tcPr>
            <w:tcW w:w="0" w:type="dxa"/>
            <w:vAlign w:val="bottom"/>
          </w:tcPr>
          <w:p>
            <w:pPr>
              <w:spacing w:after="0"/>
              <w:rPr>
                <w:sz w:val="1"/>
                <w:szCs w:val="1"/>
                <w:color w:val="auto"/>
              </w:rPr>
            </w:pPr>
          </w:p>
        </w:tc>
      </w:tr>
      <w:tr>
        <w:trPr>
          <w:trHeight w:val="175"/>
        </w:trPr>
        <w:tc>
          <w:tcPr>
            <w:tcW w:w="37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jc w:val="right"/>
              <w:ind w:right="183"/>
              <w:spacing w:after="0"/>
              <w:rPr>
                <w:sz w:val="20"/>
                <w:szCs w:val="20"/>
                <w:color w:val="auto"/>
              </w:rPr>
            </w:pPr>
            <w:r>
              <w:rPr>
                <w:rFonts w:ascii="Arial" w:cs="Arial" w:eastAsia="Arial" w:hAnsi="Arial"/>
                <w:sz w:val="15"/>
                <w:szCs w:val="15"/>
                <w:b w:val="1"/>
                <w:bCs w:val="1"/>
                <w:color w:val="auto"/>
              </w:rPr>
              <w:t>November 3,</w:t>
            </w:r>
          </w:p>
        </w:tc>
        <w:tc>
          <w:tcPr>
            <w:tcW w:w="1360" w:type="dxa"/>
            <w:vAlign w:val="bottom"/>
            <w:tcBorders>
              <w:top w:val="single" w:sz="8" w:color="auto"/>
            </w:tcBorders>
            <w:gridSpan w:val="2"/>
          </w:tcPr>
          <w:p>
            <w:pPr>
              <w:jc w:val="right"/>
              <w:ind w:right="243"/>
              <w:spacing w:after="0"/>
              <w:rPr>
                <w:sz w:val="20"/>
                <w:szCs w:val="20"/>
                <w:color w:val="auto"/>
              </w:rPr>
            </w:pPr>
            <w:r>
              <w:rPr>
                <w:rFonts w:ascii="Arial" w:cs="Arial" w:eastAsia="Arial" w:hAnsi="Arial"/>
                <w:sz w:val="15"/>
                <w:szCs w:val="15"/>
                <w:b w:val="1"/>
                <w:bCs w:val="1"/>
                <w:color w:val="auto"/>
              </w:rPr>
              <w:t>October 28,</w:t>
            </w:r>
          </w:p>
        </w:tc>
        <w:tc>
          <w:tcPr>
            <w:tcW w:w="1360" w:type="dxa"/>
            <w:vAlign w:val="bottom"/>
            <w:tcBorders>
              <w:top w:val="single" w:sz="8" w:color="auto"/>
            </w:tcBorders>
            <w:gridSpan w:val="2"/>
          </w:tcPr>
          <w:p>
            <w:pPr>
              <w:jc w:val="right"/>
              <w:ind w:right="203"/>
              <w:spacing w:after="0"/>
              <w:rPr>
                <w:sz w:val="20"/>
                <w:szCs w:val="20"/>
                <w:color w:val="auto"/>
              </w:rPr>
            </w:pPr>
            <w:r>
              <w:rPr>
                <w:rFonts w:ascii="Arial" w:cs="Arial" w:eastAsia="Arial" w:hAnsi="Arial"/>
                <w:sz w:val="15"/>
                <w:szCs w:val="15"/>
                <w:b w:val="1"/>
                <w:bCs w:val="1"/>
                <w:color w:val="auto"/>
              </w:rPr>
              <w:t>November 3,</w:t>
            </w:r>
          </w:p>
        </w:tc>
        <w:tc>
          <w:tcPr>
            <w:tcW w:w="1240" w:type="dxa"/>
            <w:vAlign w:val="bottom"/>
            <w:tcBorders>
              <w:top w:val="single" w:sz="8" w:color="auto"/>
            </w:tcBorders>
            <w:gridSpan w:val="2"/>
          </w:tcPr>
          <w:p>
            <w:pPr>
              <w:jc w:val="right"/>
              <w:ind w:right="103"/>
              <w:spacing w:after="0"/>
              <w:rPr>
                <w:sz w:val="20"/>
                <w:szCs w:val="20"/>
                <w:color w:val="auto"/>
              </w:rPr>
            </w:pPr>
            <w:r>
              <w:rPr>
                <w:rFonts w:ascii="Arial" w:cs="Arial" w:eastAsia="Arial" w:hAnsi="Arial"/>
                <w:sz w:val="15"/>
                <w:szCs w:val="15"/>
                <w:b w:val="1"/>
                <w:bCs w:val="1"/>
                <w:color w:val="auto"/>
              </w:rPr>
              <w:t>October 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2018</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2017</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2018</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 in millions)</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Sales</w:t>
            </w:r>
          </w:p>
        </w:tc>
        <w:tc>
          <w:tcPr>
            <w:tcW w:w="34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w:t>
            </w: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1,860</w:t>
            </w:r>
          </w:p>
        </w:tc>
        <w:tc>
          <w:tcPr>
            <w:tcW w:w="3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1,870</w:t>
            </w:r>
          </w:p>
        </w:tc>
        <w:tc>
          <w:tcPr>
            <w:tcW w:w="42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5,667</w:t>
            </w:r>
          </w:p>
        </w:tc>
        <w:tc>
          <w:tcPr>
            <w:tcW w:w="3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Results</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80" w:type="dxa"/>
            <w:vAlign w:val="bottom"/>
          </w:tcPr>
          <w:p>
            <w:pPr>
              <w:spacing w:after="0"/>
              <w:rPr>
                <w:sz w:val="20"/>
                <w:szCs w:val="20"/>
                <w:color w:val="auto"/>
              </w:rPr>
            </w:pPr>
            <w:r>
              <w:rPr>
                <w:rFonts w:ascii="Arial" w:cs="Arial" w:eastAsia="Arial" w:hAnsi="Arial"/>
                <w:sz w:val="15"/>
                <w:szCs w:val="15"/>
                <w:color w:val="auto"/>
              </w:rPr>
              <w:t>Division profit</w:t>
            </w:r>
          </w:p>
        </w:tc>
        <w:tc>
          <w:tcPr>
            <w:tcW w:w="340" w:type="dxa"/>
            <w:vAlign w:val="bottom"/>
          </w:tcPr>
          <w:p>
            <w:pPr>
              <w:spacing w:after="0"/>
              <w:rPr>
                <w:sz w:val="16"/>
                <w:szCs w:val="16"/>
                <w:color w:val="auto"/>
              </w:rPr>
            </w:pPr>
          </w:p>
        </w:tc>
        <w:tc>
          <w:tcPr>
            <w:tcW w:w="1020" w:type="dxa"/>
            <w:vAlign w:val="bottom"/>
          </w:tcPr>
          <w:p>
            <w:pPr>
              <w:jc w:val="right"/>
              <w:ind w:right="123"/>
              <w:spacing w:after="0"/>
              <w:rPr>
                <w:sz w:val="20"/>
                <w:szCs w:val="20"/>
                <w:color w:val="auto"/>
              </w:rPr>
            </w:pPr>
            <w:r>
              <w:rPr>
                <w:rFonts w:ascii="Arial" w:cs="Arial" w:eastAsia="Arial" w:hAnsi="Arial"/>
                <w:sz w:val="15"/>
                <w:szCs w:val="15"/>
                <w:b w:val="1"/>
                <w:bCs w:val="1"/>
                <w:color w:val="auto"/>
              </w:rPr>
              <w:t>165</w:t>
            </w:r>
          </w:p>
        </w:tc>
        <w:tc>
          <w:tcPr>
            <w:tcW w:w="340" w:type="dxa"/>
            <w:vAlign w:val="bottom"/>
          </w:tcPr>
          <w:p>
            <w:pPr>
              <w:spacing w:after="0"/>
              <w:rPr>
                <w:sz w:val="16"/>
                <w:szCs w:val="16"/>
                <w:color w:val="auto"/>
              </w:rPr>
            </w:pPr>
          </w:p>
        </w:tc>
        <w:tc>
          <w:tcPr>
            <w:tcW w:w="1020" w:type="dxa"/>
            <w:vAlign w:val="bottom"/>
          </w:tcPr>
          <w:p>
            <w:pPr>
              <w:jc w:val="right"/>
              <w:ind w:right="103"/>
              <w:spacing w:after="0"/>
              <w:rPr>
                <w:sz w:val="20"/>
                <w:szCs w:val="20"/>
                <w:color w:val="auto"/>
              </w:rPr>
            </w:pPr>
            <w:r>
              <w:rPr>
                <w:rFonts w:ascii="Arial" w:cs="Arial" w:eastAsia="Arial" w:hAnsi="Arial"/>
                <w:sz w:val="15"/>
                <w:szCs w:val="15"/>
                <w:color w:val="auto"/>
              </w:rPr>
              <w:t>180</w:t>
            </w:r>
          </w:p>
        </w:tc>
        <w:tc>
          <w:tcPr>
            <w:tcW w:w="420" w:type="dxa"/>
            <w:vAlign w:val="bottom"/>
          </w:tcPr>
          <w:p>
            <w:pPr>
              <w:spacing w:after="0"/>
              <w:rPr>
                <w:sz w:val="16"/>
                <w:szCs w:val="16"/>
                <w:color w:val="auto"/>
              </w:rPr>
            </w:pPr>
          </w:p>
        </w:tc>
        <w:tc>
          <w:tcPr>
            <w:tcW w:w="940" w:type="dxa"/>
            <w:vAlign w:val="bottom"/>
          </w:tcPr>
          <w:p>
            <w:pPr>
              <w:jc w:val="right"/>
              <w:ind w:right="103"/>
              <w:spacing w:after="0"/>
              <w:rPr>
                <w:sz w:val="20"/>
                <w:szCs w:val="20"/>
                <w:color w:val="auto"/>
              </w:rPr>
            </w:pPr>
            <w:r>
              <w:rPr>
                <w:rFonts w:ascii="Arial" w:cs="Arial" w:eastAsia="Arial" w:hAnsi="Arial"/>
                <w:sz w:val="15"/>
                <w:szCs w:val="15"/>
                <w:b w:val="1"/>
                <w:bCs w:val="1"/>
                <w:color w:val="auto"/>
              </w:rPr>
              <w:t>543</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spacing w:after="0"/>
              <w:rPr>
                <w:sz w:val="20"/>
                <w:szCs w:val="20"/>
                <w:color w:val="auto"/>
              </w:rPr>
            </w:pPr>
            <w:r>
              <w:rPr>
                <w:rFonts w:ascii="Arial" w:cs="Arial" w:eastAsia="Arial" w:hAnsi="Arial"/>
                <w:sz w:val="15"/>
                <w:szCs w:val="15"/>
                <w:color w:val="auto"/>
              </w:rPr>
              <w:t xml:space="preserve">Less: Pension litigation and reorganization charges </w:t>
            </w:r>
            <w:r>
              <w:rPr>
                <w:rFonts w:ascii="Arial" w:cs="Arial" w:eastAsia="Arial" w:hAnsi="Arial"/>
                <w:sz w:val="8"/>
                <w:szCs w:val="8"/>
                <w:color w:val="auto"/>
              </w:rPr>
              <w:t>(1)</w:t>
            </w:r>
          </w:p>
        </w:tc>
        <w:tc>
          <w:tcPr>
            <w:tcW w:w="34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2</w:t>
            </w:r>
          </w:p>
        </w:tc>
        <w:tc>
          <w:tcPr>
            <w:tcW w:w="34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rPr>
              <w:t>13</w:t>
            </w:r>
          </w:p>
        </w:tc>
        <w:tc>
          <w:tcPr>
            <w:tcW w:w="42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17</w:t>
            </w:r>
          </w:p>
        </w:tc>
        <w:tc>
          <w:tcPr>
            <w:tcW w:w="34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3780" w:type="dxa"/>
            <w:vAlign w:val="bottom"/>
            <w:shd w:val="clear" w:color="auto" w:fill="CCEEFF"/>
          </w:tcPr>
          <w:p>
            <w:pPr>
              <w:ind w:left="80"/>
              <w:spacing w:after="0"/>
              <w:rPr>
                <w:sz w:val="20"/>
                <w:szCs w:val="20"/>
                <w:color w:val="auto"/>
              </w:rPr>
            </w:pPr>
            <w:r>
              <w:rPr>
                <w:rFonts w:ascii="Arial" w:cs="Arial" w:eastAsia="Arial" w:hAnsi="Arial"/>
                <w:sz w:val="8"/>
                <w:szCs w:val="8"/>
                <w:color w:val="auto"/>
              </w:rPr>
              <w:t>(2)</w:t>
            </w:r>
          </w:p>
        </w:tc>
        <w:tc>
          <w:tcPr>
            <w:tcW w:w="340" w:type="dxa"/>
            <w:vAlign w:val="bottom"/>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37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xml:space="preserve">Less: Corporate expense </w:t>
            </w:r>
            <w:r>
              <w:rPr>
                <w:rFonts w:ascii="Arial" w:cs="Arial" w:eastAsia="Arial" w:hAnsi="Arial"/>
                <w:sz w:val="8"/>
                <w:szCs w:val="8"/>
                <w:color w:val="auto"/>
              </w:rPr>
              <w:t>(3)</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19</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12</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46</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spacing w:after="0"/>
              <w:rPr>
                <w:sz w:val="20"/>
                <w:szCs w:val="20"/>
                <w:color w:val="auto"/>
              </w:rPr>
            </w:pPr>
            <w:r>
              <w:rPr>
                <w:rFonts w:ascii="Arial" w:cs="Arial" w:eastAsia="Arial" w:hAnsi="Arial"/>
                <w:sz w:val="15"/>
                <w:szCs w:val="15"/>
                <w:color w:val="auto"/>
              </w:rPr>
              <w:t>Income from operations</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144</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155</w:t>
            </w: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480</w:t>
            </w: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780" w:type="dxa"/>
            <w:vAlign w:val="bottom"/>
          </w:tcPr>
          <w:p>
            <w:pPr>
              <w:spacing w:after="0"/>
              <w:rPr>
                <w:sz w:val="20"/>
                <w:szCs w:val="20"/>
                <w:color w:val="auto"/>
              </w:rPr>
            </w:pPr>
            <w:r>
              <w:rPr>
                <w:rFonts w:ascii="Arial" w:cs="Arial" w:eastAsia="Arial" w:hAnsi="Arial"/>
                <w:sz w:val="15"/>
                <w:szCs w:val="15"/>
                <w:color w:val="auto"/>
              </w:rPr>
              <w:t>Interest income, net</w:t>
            </w:r>
          </w:p>
        </w:tc>
        <w:tc>
          <w:tcPr>
            <w:tcW w:w="340" w:type="dxa"/>
            <w:vAlign w:val="bottom"/>
          </w:tcPr>
          <w:p>
            <w:pPr>
              <w:spacing w:after="0"/>
              <w:rPr>
                <w:sz w:val="16"/>
                <w:szCs w:val="16"/>
                <w:color w:val="auto"/>
              </w:rPr>
            </w:pPr>
          </w:p>
        </w:tc>
        <w:tc>
          <w:tcPr>
            <w:tcW w:w="1020" w:type="dxa"/>
            <w:vAlign w:val="bottom"/>
          </w:tcPr>
          <w:p>
            <w:pPr>
              <w:jc w:val="right"/>
              <w:ind w:right="63"/>
              <w:spacing w:after="0"/>
              <w:rPr>
                <w:sz w:val="20"/>
                <w:szCs w:val="20"/>
                <w:color w:val="auto"/>
              </w:rPr>
            </w:pPr>
            <w:r>
              <w:rPr>
                <w:rFonts w:ascii="Arial" w:cs="Arial" w:eastAsia="Arial" w:hAnsi="Arial"/>
                <w:sz w:val="15"/>
                <w:szCs w:val="15"/>
                <w:b w:val="1"/>
                <w:bCs w:val="1"/>
                <w:color w:val="auto"/>
              </w:rPr>
              <w:t>(2)</w:t>
            </w:r>
          </w:p>
        </w:tc>
        <w:tc>
          <w:tcPr>
            <w:tcW w:w="340" w:type="dxa"/>
            <w:vAlign w:val="bottom"/>
          </w:tcPr>
          <w:p>
            <w:pPr>
              <w:spacing w:after="0"/>
              <w:rPr>
                <w:sz w:val="16"/>
                <w:szCs w:val="16"/>
                <w:color w:val="auto"/>
              </w:rPr>
            </w:pPr>
          </w:p>
        </w:tc>
        <w:tc>
          <w:tcPr>
            <w:tcW w:w="102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6"/>
                <w:szCs w:val="16"/>
                <w:color w:val="auto"/>
              </w:rPr>
            </w:pPr>
          </w:p>
        </w:tc>
        <w:tc>
          <w:tcPr>
            <w:tcW w:w="940" w:type="dxa"/>
            <w:vAlign w:val="bottom"/>
          </w:tcPr>
          <w:p>
            <w:pPr>
              <w:jc w:val="right"/>
              <w:ind w:right="63"/>
              <w:spacing w:after="0"/>
              <w:rPr>
                <w:sz w:val="20"/>
                <w:szCs w:val="20"/>
                <w:color w:val="auto"/>
              </w:rPr>
            </w:pPr>
            <w:r>
              <w:rPr>
                <w:rFonts w:ascii="Arial" w:cs="Arial" w:eastAsia="Arial" w:hAnsi="Arial"/>
                <w:sz w:val="15"/>
                <w:szCs w:val="15"/>
                <w:b w:val="1"/>
                <w:bCs w:val="1"/>
                <w:color w:val="auto"/>
              </w:rPr>
              <w:t>(5)</w:t>
            </w:r>
          </w:p>
        </w:tc>
        <w:tc>
          <w:tcPr>
            <w:tcW w:w="34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 xml:space="preserve">Other income </w:t>
            </w:r>
            <w:r>
              <w:rPr>
                <w:rFonts w:ascii="Arial" w:cs="Arial" w:eastAsia="Arial" w:hAnsi="Arial"/>
                <w:sz w:val="8"/>
                <w:szCs w:val="8"/>
                <w:color w:val="auto"/>
              </w:rPr>
              <w:t>(4)</w:t>
            </w:r>
          </w:p>
        </w:tc>
        <w:tc>
          <w:tcPr>
            <w:tcW w:w="3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w:t>
            </w:r>
          </w:p>
        </w:tc>
        <w:tc>
          <w:tcPr>
            <w:tcW w:w="3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w:t>
            </w:r>
          </w:p>
        </w:tc>
        <w:tc>
          <w:tcPr>
            <w:tcW w:w="4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5</w:t>
            </w:r>
          </w:p>
        </w:tc>
        <w:tc>
          <w:tcPr>
            <w:tcW w:w="3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780" w:type="dxa"/>
            <w:vAlign w:val="bottom"/>
            <w:tcBorders>
              <w:bottom w:val="single" w:sz="8" w:color="auto"/>
            </w:tcBorders>
          </w:tcPr>
          <w:p>
            <w:pPr>
              <w:spacing w:after="0" w:line="163" w:lineRule="exact"/>
              <w:rPr>
                <w:sz w:val="20"/>
                <w:szCs w:val="20"/>
                <w:color w:val="auto"/>
              </w:rPr>
            </w:pPr>
            <w:r>
              <w:rPr>
                <w:rFonts w:ascii="Arial" w:cs="Arial" w:eastAsia="Arial" w:hAnsi="Arial"/>
                <w:sz w:val="15"/>
                <w:szCs w:val="15"/>
                <w:color w:val="auto"/>
              </w:rPr>
              <w:t>Income before income taxes</w:t>
            </w:r>
          </w:p>
        </w:tc>
        <w:tc>
          <w:tcPr>
            <w:tcW w:w="340" w:type="dxa"/>
            <w:vAlign w:val="bottom"/>
            <w:tcBorders>
              <w:bottom w:val="single" w:sz="8" w:color="auto"/>
            </w:tcBorders>
          </w:tcPr>
          <w:p>
            <w:pPr>
              <w:jc w:val="right"/>
              <w:ind w:right="43"/>
              <w:spacing w:after="0" w:line="163" w:lineRule="exact"/>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123"/>
              <w:spacing w:after="0" w:line="163" w:lineRule="exact"/>
              <w:rPr>
                <w:sz w:val="20"/>
                <w:szCs w:val="20"/>
                <w:color w:val="auto"/>
              </w:rPr>
            </w:pPr>
            <w:r>
              <w:rPr>
                <w:rFonts w:ascii="Arial" w:cs="Arial" w:eastAsia="Arial" w:hAnsi="Arial"/>
                <w:sz w:val="15"/>
                <w:szCs w:val="15"/>
                <w:b w:val="1"/>
                <w:bCs w:val="1"/>
                <w:color w:val="auto"/>
              </w:rPr>
              <w:t>146</w:t>
            </w:r>
          </w:p>
        </w:tc>
        <w:tc>
          <w:tcPr>
            <w:tcW w:w="340" w:type="dxa"/>
            <w:vAlign w:val="bottom"/>
            <w:tcBorders>
              <w:bottom w:val="single" w:sz="8" w:color="auto"/>
            </w:tcBorders>
          </w:tcPr>
          <w:p>
            <w:pPr>
              <w:jc w:val="right"/>
              <w:ind w:right="43"/>
              <w:spacing w:after="0" w:line="163"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103"/>
              <w:spacing w:after="0" w:line="163" w:lineRule="exact"/>
              <w:rPr>
                <w:sz w:val="20"/>
                <w:szCs w:val="20"/>
                <w:color w:val="auto"/>
              </w:rPr>
            </w:pPr>
            <w:r>
              <w:rPr>
                <w:rFonts w:ascii="Arial" w:cs="Arial" w:eastAsia="Arial" w:hAnsi="Arial"/>
                <w:sz w:val="15"/>
                <w:szCs w:val="15"/>
                <w:color w:val="auto"/>
              </w:rPr>
              <w:t>156</w:t>
            </w:r>
          </w:p>
        </w:tc>
        <w:tc>
          <w:tcPr>
            <w:tcW w:w="420" w:type="dxa"/>
            <w:vAlign w:val="bottom"/>
            <w:tcBorders>
              <w:bottom w:val="single" w:sz="8" w:color="auto"/>
            </w:tcBorders>
          </w:tcPr>
          <w:p>
            <w:pPr>
              <w:jc w:val="right"/>
              <w:ind w:right="123"/>
              <w:spacing w:after="0" w:line="163" w:lineRule="exact"/>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103"/>
              <w:spacing w:after="0" w:line="163" w:lineRule="exact"/>
              <w:rPr>
                <w:sz w:val="20"/>
                <w:szCs w:val="20"/>
                <w:color w:val="auto"/>
              </w:rPr>
            </w:pPr>
            <w:r>
              <w:rPr>
                <w:rFonts w:ascii="Arial" w:cs="Arial" w:eastAsia="Arial" w:hAnsi="Arial"/>
                <w:sz w:val="15"/>
                <w:szCs w:val="15"/>
                <w:b w:val="1"/>
                <w:bCs w:val="1"/>
                <w:color w:val="auto"/>
              </w:rPr>
              <w:t>490</w:t>
            </w:r>
          </w:p>
        </w:tc>
        <w:tc>
          <w:tcPr>
            <w:tcW w:w="340" w:type="dxa"/>
            <w:vAlign w:val="bottom"/>
            <w:tcBorders>
              <w:bottom w:val="single" w:sz="8" w:color="auto"/>
            </w:tcBorders>
          </w:tcPr>
          <w:p>
            <w:pPr>
              <w:jc w:val="right"/>
              <w:ind w:right="43"/>
              <w:spacing w:after="0" w:line="163"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498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3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463"/>
              <w:spacing w:after="0"/>
              <w:rPr>
                <w:sz w:val="20"/>
                <w:szCs w:val="20"/>
                <w:color w:val="auto"/>
              </w:rPr>
            </w:pPr>
            <w:r>
              <w:rPr>
                <w:rFonts w:ascii="Arial" w:cs="Arial" w:eastAsia="Arial" w:hAnsi="Arial"/>
                <w:sz w:val="15"/>
                <w:szCs w:val="15"/>
                <w:color w:val="auto"/>
              </w:rPr>
              <w:t>7</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7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78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115" w:right="1379" w:bottom="1440" w:gutter="0" w:footer="0" w:header="0"/>
        </w:sectPr>
      </w:pPr>
    </w:p>
    <w:bookmarkStart w:id="9" w:name="page10"/>
    <w:bookmarkEnd w:id="9"/>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270" w:lineRule="exact"/>
        <w:rPr>
          <w:sz w:val="20"/>
          <w:szCs w:val="20"/>
          <w:color w:val="auto"/>
        </w:rPr>
      </w:pPr>
    </w:p>
    <w:p>
      <w:pPr>
        <w:jc w:val="both"/>
        <w:ind w:left="660" w:right="120" w:hanging="375"/>
        <w:spacing w:after="0" w:line="239" w:lineRule="auto"/>
        <w:tabs>
          <w:tab w:leader="none" w:pos="660" w:val="left"/>
        </w:tabs>
        <w:numPr>
          <w:ilvl w:val="1"/>
          <w:numId w:val="5"/>
        </w:numPr>
        <w:rPr>
          <w:rFonts w:ascii="Arial" w:cs="Arial" w:eastAsia="Arial" w:hAnsi="Arial"/>
          <w:sz w:val="11"/>
          <w:szCs w:val="11"/>
          <w:color w:val="auto"/>
        </w:rPr>
      </w:pPr>
      <w:r>
        <w:rPr>
          <w:rFonts w:ascii="Arial" w:cs="Arial" w:eastAsia="Arial" w:hAnsi="Arial"/>
          <w:sz w:val="12"/>
          <w:szCs w:val="12"/>
          <w:color w:val="auto"/>
        </w:rPr>
        <w:t xml:space="preserve">Included in the thirteen and thirty-nine weeks ended November 3, 2018 are pre-tax charges of $2 million and $17 million, respectively, relating to a pension litigation matter described further in Note 14, </w:t>
      </w:r>
      <w:r>
        <w:rPr>
          <w:rFonts w:ascii="Arial" w:cs="Arial" w:eastAsia="Arial" w:hAnsi="Arial"/>
          <w:sz w:val="12"/>
          <w:szCs w:val="12"/>
          <w:i w:val="1"/>
          <w:iCs w:val="1"/>
          <w:color w:val="auto"/>
        </w:rPr>
        <w:t>Legal Proceedings</w:t>
      </w:r>
      <w:r>
        <w:rPr>
          <w:rFonts w:ascii="Arial" w:cs="Arial" w:eastAsia="Arial" w:hAnsi="Arial"/>
          <w:sz w:val="12"/>
          <w:szCs w:val="12"/>
          <w:color w:val="auto"/>
        </w:rPr>
        <w:t>. Included in the thirty-nine weeks ended October 28, 2017 is a pre-tax charge of $50 million relating to the same matter.</w:t>
      </w:r>
    </w:p>
    <w:p>
      <w:pPr>
        <w:spacing w:after="0" w:line="74" w:lineRule="exact"/>
        <w:rPr>
          <w:rFonts w:ascii="Arial" w:cs="Arial" w:eastAsia="Arial" w:hAnsi="Arial"/>
          <w:sz w:val="11"/>
          <w:szCs w:val="11"/>
          <w:color w:val="auto"/>
        </w:rPr>
      </w:pPr>
    </w:p>
    <w:p>
      <w:pPr>
        <w:ind w:left="660" w:right="120" w:hanging="375"/>
        <w:spacing w:after="0" w:line="246" w:lineRule="auto"/>
        <w:tabs>
          <w:tab w:leader="none" w:pos="660" w:val="left"/>
        </w:tabs>
        <w:numPr>
          <w:ilvl w:val="1"/>
          <w:numId w:val="5"/>
        </w:numPr>
        <w:rPr>
          <w:rFonts w:ascii="Arial" w:cs="Arial" w:eastAsia="Arial" w:hAnsi="Arial"/>
          <w:sz w:val="11"/>
          <w:szCs w:val="11"/>
          <w:color w:val="auto"/>
        </w:rPr>
      </w:pPr>
      <w:r>
        <w:rPr>
          <w:rFonts w:ascii="Arial" w:cs="Arial" w:eastAsia="Arial" w:hAnsi="Arial"/>
          <w:sz w:val="12"/>
          <w:szCs w:val="12"/>
          <w:color w:val="auto"/>
        </w:rPr>
        <w:t xml:space="preserve">During the third quarter of 2017, the Company recorded a $13 million pre-tax charge as a result of the Company reorganizing its organizational structure, described more fully in Note 4, </w:t>
      </w:r>
      <w:r>
        <w:rPr>
          <w:rFonts w:ascii="Arial" w:cs="Arial" w:eastAsia="Arial" w:hAnsi="Arial"/>
          <w:sz w:val="12"/>
          <w:szCs w:val="12"/>
          <w:i w:val="1"/>
          <w:iCs w:val="1"/>
          <w:color w:val="auto"/>
        </w:rPr>
        <w:t>Litigation and Other Charges</w:t>
      </w:r>
      <w:r>
        <w:rPr>
          <w:rFonts w:ascii="Arial" w:cs="Arial" w:eastAsia="Arial" w:hAnsi="Arial"/>
          <w:sz w:val="12"/>
          <w:szCs w:val="12"/>
          <w:color w:val="auto"/>
        </w:rPr>
        <w:t>.</w:t>
      </w:r>
    </w:p>
    <w:p>
      <w:pPr>
        <w:spacing w:after="0" w:line="82" w:lineRule="exact"/>
        <w:rPr>
          <w:rFonts w:ascii="Arial" w:cs="Arial" w:eastAsia="Arial" w:hAnsi="Arial"/>
          <w:sz w:val="11"/>
          <w:szCs w:val="11"/>
          <w:color w:val="auto"/>
        </w:rPr>
      </w:pPr>
    </w:p>
    <w:p>
      <w:pPr>
        <w:jc w:val="both"/>
        <w:ind w:left="660" w:right="120" w:hanging="375"/>
        <w:spacing w:after="0" w:line="197" w:lineRule="auto"/>
        <w:tabs>
          <w:tab w:leader="none" w:pos="660" w:val="left"/>
        </w:tabs>
        <w:numPr>
          <w:ilvl w:val="1"/>
          <w:numId w:val="5"/>
        </w:numPr>
        <w:rPr>
          <w:rFonts w:ascii="Arial" w:cs="Arial" w:eastAsia="Arial" w:hAnsi="Arial"/>
          <w:sz w:val="21"/>
          <w:szCs w:val="21"/>
          <w:color w:val="auto"/>
          <w:vertAlign w:val="superscript"/>
        </w:rPr>
      </w:pPr>
      <w:r>
        <w:rPr>
          <w:rFonts w:ascii="Arial" w:cs="Arial" w:eastAsia="Arial" w:hAnsi="Arial"/>
          <w:sz w:val="12"/>
          <w:szCs w:val="12"/>
          <w:color w:val="auto"/>
        </w:rPr>
        <w:t>Corporate expense consists of unallocated selling, general and administrative expenses as well as depreciation and amortization related to the Company’s corporate headquarters, centrally managed departments, unallocated insurance and benefit programs, certain foreign exchange transaction gains and losses, and other items.</w:t>
      </w:r>
    </w:p>
    <w:p>
      <w:pPr>
        <w:spacing w:after="0" w:line="49" w:lineRule="exact"/>
        <w:rPr>
          <w:rFonts w:ascii="Arial" w:cs="Arial" w:eastAsia="Arial" w:hAnsi="Arial"/>
          <w:sz w:val="21"/>
          <w:szCs w:val="21"/>
          <w:color w:val="auto"/>
          <w:vertAlign w:val="superscript"/>
        </w:rPr>
      </w:pPr>
    </w:p>
    <w:p>
      <w:pPr>
        <w:jc w:val="both"/>
        <w:ind w:left="660" w:right="120" w:hanging="375"/>
        <w:spacing w:after="0" w:line="258" w:lineRule="auto"/>
        <w:tabs>
          <w:tab w:leader="none" w:pos="660" w:val="left"/>
        </w:tabs>
        <w:numPr>
          <w:ilvl w:val="1"/>
          <w:numId w:val="5"/>
        </w:numPr>
        <w:rPr>
          <w:rFonts w:ascii="Arial" w:cs="Arial" w:eastAsia="Arial" w:hAnsi="Arial"/>
          <w:sz w:val="11"/>
          <w:szCs w:val="11"/>
          <w:color w:val="auto"/>
        </w:rPr>
      </w:pPr>
      <w:r>
        <w:rPr>
          <w:rFonts w:ascii="Arial" w:cs="Arial" w:eastAsia="Arial" w:hAnsi="Arial"/>
          <w:sz w:val="12"/>
          <w:szCs w:val="12"/>
          <w:color w:val="auto"/>
        </w:rPr>
        <w:t>Other income includes non-operating items, such as lease termination gains, franchise royalty income, changes in fair value, premiums paid, realized gains and losses associated with foreign currency option contracts, changes in the market value of our available-for-sale security in conjunction with the adoption of ASU 2016-01 as of the beginning of 2018, and net benefit expense related to our pension and postretirement programs excluding the service cost component conjunction with the adoption of ASU 2017-07 as of the beginning of 2018.</w:t>
      </w:r>
    </w:p>
    <w:p>
      <w:pPr>
        <w:spacing w:after="0" w:line="76" w:lineRule="exact"/>
        <w:rPr>
          <w:rFonts w:ascii="Arial" w:cs="Arial" w:eastAsia="Arial" w:hAnsi="Arial"/>
          <w:sz w:val="11"/>
          <w:szCs w:val="11"/>
          <w:color w:val="auto"/>
        </w:rPr>
      </w:pPr>
    </w:p>
    <w:p>
      <w:pPr>
        <w:ind w:left="180" w:hanging="175"/>
        <w:spacing w:after="0"/>
        <w:tabs>
          <w:tab w:leader="none" w:pos="18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Litigation and Other Charges</w:t>
      </w:r>
    </w:p>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 xml:space="preserve">As more fully discussed in Note 14, </w:t>
      </w:r>
      <w:r>
        <w:rPr>
          <w:rFonts w:ascii="Arial" w:cs="Arial" w:eastAsia="Arial" w:hAnsi="Arial"/>
          <w:sz w:val="15"/>
          <w:szCs w:val="15"/>
          <w:i w:val="1"/>
          <w:iCs w:val="1"/>
          <w:color w:val="auto"/>
        </w:rPr>
        <w:t>Legal Proceedings,</w:t>
      </w:r>
      <w:r>
        <w:rPr>
          <w:rFonts w:ascii="Arial" w:cs="Arial" w:eastAsia="Arial" w:hAnsi="Arial"/>
          <w:sz w:val="15"/>
          <w:szCs w:val="15"/>
          <w:color w:val="auto"/>
        </w:rPr>
        <w:t xml:space="preserve"> the Company recorded charges related to the pension litigation judgment of $2 million and $17 million for the thirteen and thirty-nine weeks ended November 3, 2018. For the thirty-nine weeks ended November 3, 2018, the Company recorded charges of $13 million, which represented adjustments to the estimated cost of reformation and interest. Professional fees in connection with the plan reformation were incurred totaling $2 million and $4 million for the thirteen and thirty-nine weeks ended November 3, 2018, respectively. During the thirty-nine weeks ended October 28, 2017, the Company recorded a $50 million charge related to the same matter.</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During the third quarter of the prior year, the Company recorded a charge for $13 million as a result of reorganizing its organizational structure. The following is a roll forward of the liability related to that event for the thirty-nine weeks ended November 3, 2018:</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00" w:type="dxa"/>
            <w:vAlign w:val="bottom"/>
          </w:tcPr>
          <w:p>
            <w:pPr>
              <w:jc w:val="right"/>
              <w:ind w:right="243"/>
              <w:spacing w:after="0"/>
              <w:rPr>
                <w:sz w:val="20"/>
                <w:szCs w:val="20"/>
                <w:color w:val="auto"/>
              </w:rPr>
            </w:pPr>
            <w:r>
              <w:rPr>
                <w:rFonts w:ascii="Arial" w:cs="Arial" w:eastAsia="Arial" w:hAnsi="Arial"/>
                <w:sz w:val="15"/>
                <w:szCs w:val="15"/>
                <w:b w:val="1"/>
                <w:bCs w:val="1"/>
                <w:color w:val="auto"/>
              </w:rPr>
              <w:t>Severance and</w:t>
            </w:r>
          </w:p>
        </w:tc>
        <w:tc>
          <w:tcPr>
            <w:tcW w:w="360" w:type="dxa"/>
            <w:vAlign w:val="bottom"/>
          </w:tcPr>
          <w:p>
            <w:pPr>
              <w:spacing w:after="0"/>
              <w:rPr>
                <w:sz w:val="15"/>
                <w:szCs w:val="15"/>
                <w:color w:val="auto"/>
              </w:rPr>
            </w:pPr>
          </w:p>
        </w:tc>
        <w:tc>
          <w:tcPr>
            <w:tcW w:w="1520" w:type="dxa"/>
            <w:vAlign w:val="bottom"/>
          </w:tcPr>
          <w:p>
            <w:pPr>
              <w:jc w:val="center"/>
              <w:ind w:right="103"/>
              <w:spacing w:after="0"/>
              <w:rPr>
                <w:sz w:val="20"/>
                <w:szCs w:val="20"/>
                <w:color w:val="auto"/>
              </w:rPr>
            </w:pPr>
            <w:r>
              <w:rPr>
                <w:rFonts w:ascii="Arial" w:cs="Arial" w:eastAsia="Arial" w:hAnsi="Arial"/>
                <w:sz w:val="15"/>
                <w:szCs w:val="15"/>
                <w:b w:val="1"/>
                <w:bCs w:val="1"/>
                <w:color w:val="auto"/>
              </w:rPr>
              <w:t>Other Related</w:t>
            </w: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4"/>
        </w:trPr>
        <w:tc>
          <w:tcPr>
            <w:tcW w:w="29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Benefit Costs</w:t>
            </w:r>
          </w:p>
        </w:tc>
        <w:tc>
          <w:tcPr>
            <w:tcW w:w="3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03"/>
              <w:spacing w:after="0"/>
              <w:rPr>
                <w:sz w:val="20"/>
                <w:szCs w:val="20"/>
                <w:color w:val="auto"/>
              </w:rPr>
            </w:pPr>
            <w:r>
              <w:rPr>
                <w:rFonts w:ascii="Arial" w:cs="Arial" w:eastAsia="Arial" w:hAnsi="Arial"/>
                <w:sz w:val="15"/>
                <w:szCs w:val="15"/>
                <w:b w:val="1"/>
                <w:bCs w:val="1"/>
                <w:color w:val="auto"/>
              </w:rPr>
              <w:t>Charges</w:t>
            </w:r>
          </w:p>
        </w:tc>
        <w:tc>
          <w:tcPr>
            <w:tcW w:w="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rPr>
              <w:t>Total</w:t>
            </w:r>
          </w:p>
        </w:tc>
      </w:tr>
      <w:tr>
        <w:trPr>
          <w:trHeight w:val="162"/>
        </w:trPr>
        <w:tc>
          <w:tcPr>
            <w:tcW w:w="2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ind w:left="80"/>
              <w:spacing w:after="0" w:line="163" w:lineRule="exact"/>
              <w:rPr>
                <w:sz w:val="20"/>
                <w:szCs w:val="20"/>
                <w:color w:val="auto"/>
              </w:rPr>
            </w:pPr>
            <w:r>
              <w:rPr>
                <w:rFonts w:ascii="Arial" w:cs="Arial" w:eastAsia="Arial" w:hAnsi="Arial"/>
                <w:sz w:val="15"/>
                <w:szCs w:val="15"/>
                <w:color w:val="auto"/>
              </w:rPr>
              <w:t>($ in millions)</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2"/>
        </w:trPr>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rPr>
              <w:t>Balance at February 3, 2018</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5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5</w:t>
            </w:r>
          </w:p>
        </w:tc>
        <w:tc>
          <w:tcPr>
            <w:tcW w:w="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520" w:type="dxa"/>
            <w:vAlign w:val="bottom"/>
            <w:shd w:val="clear" w:color="auto" w:fill="CCEEFF"/>
          </w:tcPr>
          <w:p>
            <w:pPr>
              <w:jc w:val="center"/>
              <w:ind w:left="943"/>
              <w:spacing w:after="0"/>
              <w:rPr>
                <w:sz w:val="20"/>
                <w:szCs w:val="20"/>
                <w:color w:val="auto"/>
              </w:rPr>
            </w:pPr>
            <w:r>
              <w:rPr>
                <w:rFonts w:ascii="Arial" w:cs="Arial" w:eastAsia="Arial" w:hAnsi="Arial"/>
                <w:sz w:val="15"/>
                <w:szCs w:val="15"/>
                <w:color w:val="auto"/>
              </w:rPr>
              <w:t>2</w:t>
            </w:r>
          </w:p>
        </w:tc>
        <w:tc>
          <w:tcPr>
            <w:tcW w:w="54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center"/>
              <w:ind w:left="903"/>
              <w:spacing w:after="0"/>
              <w:rPr>
                <w:sz w:val="20"/>
                <w:szCs w:val="20"/>
                <w:color w:val="auto"/>
              </w:rPr>
            </w:pPr>
            <w:r>
              <w:rPr>
                <w:rFonts w:ascii="Arial" w:cs="Arial" w:eastAsia="Arial" w:hAnsi="Arial"/>
                <w:sz w:val="15"/>
                <w:szCs w:val="15"/>
                <w:color w:val="auto"/>
                <w:w w:val="95"/>
              </w:rPr>
              <w:t>7</w:t>
            </w:r>
          </w:p>
        </w:tc>
      </w:tr>
      <w:tr>
        <w:trPr>
          <w:trHeight w:val="182"/>
        </w:trPr>
        <w:tc>
          <w:tcPr>
            <w:tcW w:w="29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Cash payments</w:t>
            </w:r>
          </w:p>
        </w:tc>
        <w:tc>
          <w:tcPr>
            <w:tcW w:w="1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(5)</w:t>
            </w:r>
          </w:p>
        </w:tc>
        <w:tc>
          <w:tcPr>
            <w:tcW w:w="3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left="923"/>
              <w:spacing w:after="0"/>
              <w:rPr>
                <w:sz w:val="20"/>
                <w:szCs w:val="20"/>
                <w:color w:val="auto"/>
              </w:rPr>
            </w:pPr>
            <w:r>
              <w:rPr>
                <w:rFonts w:ascii="Arial" w:cs="Arial" w:eastAsia="Arial" w:hAnsi="Arial"/>
                <w:sz w:val="15"/>
                <w:szCs w:val="15"/>
                <w:color w:val="auto"/>
              </w:rPr>
              <w:t>(1)</w:t>
            </w:r>
          </w:p>
        </w:tc>
        <w:tc>
          <w:tcPr>
            <w:tcW w:w="5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left="883"/>
              <w:spacing w:after="0"/>
              <w:rPr>
                <w:sz w:val="20"/>
                <w:szCs w:val="20"/>
                <w:color w:val="auto"/>
              </w:rPr>
            </w:pPr>
            <w:r>
              <w:rPr>
                <w:rFonts w:ascii="Arial" w:cs="Arial" w:eastAsia="Arial" w:hAnsi="Arial"/>
                <w:sz w:val="15"/>
                <w:szCs w:val="15"/>
                <w:color w:val="auto"/>
                <w:w w:val="97"/>
              </w:rPr>
              <w:t>(6)</w:t>
            </w:r>
          </w:p>
        </w:tc>
      </w:tr>
      <w:tr>
        <w:trPr>
          <w:trHeight w:val="179"/>
        </w:trPr>
        <w:tc>
          <w:tcPr>
            <w:tcW w:w="2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Balance at November 3, 2018</w:t>
            </w:r>
          </w:p>
        </w:tc>
        <w:tc>
          <w:tcPr>
            <w:tcW w:w="11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w:t>
            </w:r>
          </w:p>
        </w:tc>
        <w:tc>
          <w:tcPr>
            <w:tcW w:w="15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1520" w:type="dxa"/>
            <w:vAlign w:val="bottom"/>
            <w:tcBorders>
              <w:bottom w:val="single" w:sz="8" w:color="auto"/>
            </w:tcBorders>
            <w:shd w:val="clear" w:color="auto" w:fill="CCEEFF"/>
          </w:tcPr>
          <w:p>
            <w:pPr>
              <w:jc w:val="center"/>
              <w:ind w:left="943"/>
              <w:spacing w:after="0"/>
              <w:rPr>
                <w:sz w:val="20"/>
                <w:szCs w:val="20"/>
                <w:color w:val="auto"/>
              </w:rPr>
            </w:pPr>
            <w:r>
              <w:rPr>
                <w:rFonts w:ascii="Arial" w:cs="Arial" w:eastAsia="Arial" w:hAnsi="Arial"/>
                <w:sz w:val="15"/>
                <w:szCs w:val="15"/>
                <w:b w:val="1"/>
                <w:bCs w:val="1"/>
                <w:color w:val="auto"/>
              </w:rPr>
              <w:t>1</w:t>
            </w:r>
          </w:p>
        </w:tc>
        <w:tc>
          <w:tcPr>
            <w:tcW w:w="54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shd w:val="clear" w:color="auto" w:fill="CCEEFF"/>
          </w:tcPr>
          <w:p>
            <w:pPr>
              <w:jc w:val="center"/>
              <w:ind w:left="903"/>
              <w:spacing w:after="0"/>
              <w:rPr>
                <w:sz w:val="20"/>
                <w:szCs w:val="20"/>
                <w:color w:val="auto"/>
              </w:rPr>
            </w:pPr>
            <w:r>
              <w:rPr>
                <w:rFonts w:ascii="Arial" w:cs="Arial" w:eastAsia="Arial" w:hAnsi="Arial"/>
                <w:sz w:val="15"/>
                <w:szCs w:val="15"/>
                <w:b w:val="1"/>
                <w:bCs w:val="1"/>
                <w:color w:val="auto"/>
                <w:w w:val="95"/>
              </w:rPr>
              <w:t>1</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Restricted Cash</w:t>
      </w:r>
    </w:p>
    <w:p>
      <w:pPr>
        <w:spacing w:after="0" w:line="186"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following table provides a reconciliation of cash and cash equivalents, as reported on our condensed consolidated balance sheets, to cash, cash equivalents, and restricted cash, as reported on our condensed consolidated statements of cash flows.</w:t>
      </w:r>
    </w:p>
    <w:tbl>
      <w:tblPr>
        <w:tblLayout w:type="fixed"/>
        <w:tblInd w:w="0" w:type="dxa"/>
        <w:tblCellMar>
          <w:top w:w="0" w:type="dxa"/>
          <w:left w:w="0" w:type="dxa"/>
          <w:bottom w:w="0" w:type="dxa"/>
          <w:right w:w="0" w:type="dxa"/>
        </w:tblCellMar>
      </w:tblPr>
      <w:tr>
        <w:trPr>
          <w:trHeight w:val="165"/>
        </w:trPr>
        <w:tc>
          <w:tcPr>
            <w:tcW w:w="4180" w:type="dxa"/>
            <w:vAlign w:val="bottom"/>
          </w:tcPr>
          <w:p>
            <w:pPr>
              <w:spacing w:after="0"/>
              <w:rPr>
                <w:sz w:val="14"/>
                <w:szCs w:val="14"/>
                <w:color w:val="auto"/>
              </w:rPr>
            </w:pPr>
          </w:p>
        </w:tc>
        <w:tc>
          <w:tcPr>
            <w:tcW w:w="1960" w:type="dxa"/>
            <w:vAlign w:val="bottom"/>
            <w:gridSpan w:val="2"/>
          </w:tcPr>
          <w:p>
            <w:pPr>
              <w:jc w:val="right"/>
              <w:ind w:right="303"/>
              <w:spacing w:after="0" w:line="165" w:lineRule="exact"/>
              <w:rPr>
                <w:sz w:val="20"/>
                <w:szCs w:val="20"/>
                <w:color w:val="auto"/>
              </w:rPr>
            </w:pPr>
            <w:r>
              <w:rPr>
                <w:rFonts w:ascii="Arial" w:cs="Arial" w:eastAsia="Arial" w:hAnsi="Arial"/>
                <w:sz w:val="15"/>
                <w:szCs w:val="15"/>
                <w:b w:val="1"/>
                <w:bCs w:val="1"/>
                <w:color w:val="auto"/>
              </w:rPr>
              <w:t>November 3,</w:t>
            </w:r>
          </w:p>
        </w:tc>
        <w:tc>
          <w:tcPr>
            <w:tcW w:w="1560" w:type="dxa"/>
            <w:vAlign w:val="bottom"/>
            <w:gridSpan w:val="2"/>
          </w:tcPr>
          <w:p>
            <w:pPr>
              <w:jc w:val="center"/>
              <w:ind w:right="63"/>
              <w:spacing w:after="0" w:line="165" w:lineRule="exact"/>
              <w:rPr>
                <w:sz w:val="20"/>
                <w:szCs w:val="20"/>
                <w:color w:val="auto"/>
              </w:rPr>
            </w:pPr>
            <w:r>
              <w:rPr>
                <w:rFonts w:ascii="Arial" w:cs="Arial" w:eastAsia="Arial" w:hAnsi="Arial"/>
                <w:sz w:val="15"/>
                <w:szCs w:val="15"/>
                <w:b w:val="1"/>
                <w:bCs w:val="1"/>
                <w:color w:val="auto"/>
              </w:rPr>
              <w:t>October 28,</w:t>
            </w:r>
          </w:p>
        </w:tc>
        <w:tc>
          <w:tcPr>
            <w:tcW w:w="320" w:type="dxa"/>
            <w:vAlign w:val="bottom"/>
          </w:tcPr>
          <w:p>
            <w:pPr>
              <w:spacing w:after="0"/>
              <w:rPr>
                <w:sz w:val="14"/>
                <w:szCs w:val="14"/>
                <w:color w:val="auto"/>
              </w:rPr>
            </w:pPr>
          </w:p>
        </w:tc>
        <w:tc>
          <w:tcPr>
            <w:tcW w:w="1080" w:type="dxa"/>
            <w:vAlign w:val="bottom"/>
          </w:tcPr>
          <w:p>
            <w:pPr>
              <w:jc w:val="right"/>
              <w:ind w:right="163"/>
              <w:spacing w:after="0" w:line="165" w:lineRule="exact"/>
              <w:rPr>
                <w:sz w:val="20"/>
                <w:szCs w:val="20"/>
                <w:color w:val="auto"/>
              </w:rPr>
            </w:pPr>
            <w:r>
              <w:rPr>
                <w:rFonts w:ascii="Arial" w:cs="Arial" w:eastAsia="Arial" w:hAnsi="Arial"/>
                <w:sz w:val="15"/>
                <w:szCs w:val="15"/>
                <w:b w:val="1"/>
                <w:bCs w:val="1"/>
                <w:color w:val="auto"/>
              </w:rPr>
              <w:t>February 3,</w:t>
            </w:r>
          </w:p>
        </w:tc>
      </w:tr>
      <w:tr>
        <w:trPr>
          <w:trHeight w:val="205"/>
        </w:trPr>
        <w:tc>
          <w:tcPr>
            <w:tcW w:w="4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b w:val="1"/>
                <w:bCs w:val="1"/>
                <w:color w:val="auto"/>
              </w:rPr>
              <w:t>2018</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483"/>
              <w:spacing w:after="0"/>
              <w:rPr>
                <w:sz w:val="20"/>
                <w:szCs w:val="20"/>
                <w:color w:val="auto"/>
              </w:rPr>
            </w:pPr>
            <w:r>
              <w:rPr>
                <w:rFonts w:ascii="Arial" w:cs="Arial" w:eastAsia="Arial" w:hAnsi="Arial"/>
                <w:sz w:val="15"/>
                <w:szCs w:val="15"/>
                <w:b w:val="1"/>
                <w:bCs w:val="1"/>
                <w:color w:val="auto"/>
              </w:rPr>
              <w:t>2017</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2018</w:t>
            </w:r>
          </w:p>
        </w:tc>
      </w:tr>
      <w:tr>
        <w:trPr>
          <w:trHeight w:val="187"/>
        </w:trPr>
        <w:tc>
          <w:tcPr>
            <w:tcW w:w="4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43"/>
              <w:spacing w:after="0"/>
              <w:rPr>
                <w:sz w:val="20"/>
                <w:szCs w:val="20"/>
                <w:color w:val="auto"/>
              </w:rPr>
            </w:pPr>
            <w:r>
              <w:rPr>
                <w:rFonts w:ascii="Arial" w:cs="Arial" w:eastAsia="Arial" w:hAnsi="Arial"/>
                <w:sz w:val="15"/>
                <w:szCs w:val="15"/>
                <w:color w:val="auto"/>
              </w:rPr>
              <w:t>($ in millions)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8"/>
        </w:trPr>
        <w:tc>
          <w:tcPr>
            <w:tcW w:w="418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w:t>
            </w:r>
          </w:p>
        </w:tc>
        <w:tc>
          <w:tcPr>
            <w:tcW w:w="114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748</w:t>
            </w:r>
          </w:p>
        </w:tc>
        <w:tc>
          <w:tcPr>
            <w:tcW w:w="4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890</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849</w:t>
            </w:r>
          </w:p>
        </w:tc>
      </w:tr>
      <w:tr>
        <w:trPr>
          <w:trHeight w:val="207"/>
        </w:trPr>
        <w:tc>
          <w:tcPr>
            <w:tcW w:w="4180" w:type="dxa"/>
            <w:vAlign w:val="bottom"/>
          </w:tcPr>
          <w:p>
            <w:pPr>
              <w:spacing w:after="0"/>
              <w:rPr>
                <w:sz w:val="20"/>
                <w:szCs w:val="20"/>
                <w:color w:val="auto"/>
              </w:rPr>
            </w:pPr>
            <w:r>
              <w:rPr>
                <w:rFonts w:ascii="Arial" w:cs="Arial" w:eastAsia="Arial" w:hAnsi="Arial"/>
                <w:sz w:val="15"/>
                <w:szCs w:val="15"/>
                <w:color w:val="auto"/>
              </w:rPr>
              <w:t>Restricted cash included in other current assets</w:t>
            </w:r>
          </w:p>
        </w:tc>
        <w:tc>
          <w:tcPr>
            <w:tcW w:w="820" w:type="dxa"/>
            <w:vAlign w:val="bottom"/>
          </w:tcPr>
          <w:p>
            <w:pPr>
              <w:spacing w:after="0"/>
              <w:rPr>
                <w:sz w:val="17"/>
                <w:szCs w:val="17"/>
                <w:color w:val="auto"/>
              </w:rPr>
            </w:pPr>
          </w:p>
        </w:tc>
        <w:tc>
          <w:tcPr>
            <w:tcW w:w="1140" w:type="dxa"/>
            <w:vAlign w:val="bottom"/>
          </w:tcPr>
          <w:p>
            <w:pPr>
              <w:jc w:val="right"/>
              <w:ind w:right="143"/>
              <w:spacing w:after="0"/>
              <w:rPr>
                <w:sz w:val="20"/>
                <w:szCs w:val="20"/>
                <w:color w:val="auto"/>
              </w:rPr>
            </w:pPr>
            <w:r>
              <w:rPr>
                <w:rFonts w:ascii="Arial" w:cs="Arial" w:eastAsia="Arial" w:hAnsi="Arial"/>
                <w:sz w:val="15"/>
                <w:szCs w:val="15"/>
                <w:b w:val="1"/>
                <w:bCs w:val="1"/>
                <w:color w:val="auto"/>
              </w:rPr>
              <w:t>2</w:t>
            </w:r>
          </w:p>
        </w:tc>
        <w:tc>
          <w:tcPr>
            <w:tcW w:w="420" w:type="dxa"/>
            <w:vAlign w:val="bottom"/>
          </w:tcPr>
          <w:p>
            <w:pPr>
              <w:spacing w:after="0"/>
              <w:rPr>
                <w:sz w:val="17"/>
                <w:szCs w:val="17"/>
                <w:color w:val="auto"/>
              </w:rPr>
            </w:pPr>
          </w:p>
        </w:tc>
        <w:tc>
          <w:tcPr>
            <w:tcW w:w="1140" w:type="dxa"/>
            <w:vAlign w:val="bottom"/>
          </w:tcPr>
          <w:p>
            <w:pPr>
              <w:jc w:val="right"/>
              <w:ind w:right="143"/>
              <w:spacing w:after="0"/>
              <w:rPr>
                <w:sz w:val="20"/>
                <w:szCs w:val="20"/>
                <w:color w:val="auto"/>
              </w:rPr>
            </w:pPr>
            <w:r>
              <w:rPr>
                <w:rFonts w:ascii="Arial" w:cs="Arial" w:eastAsia="Arial" w:hAnsi="Arial"/>
                <w:sz w:val="15"/>
                <w:szCs w:val="15"/>
                <w:color w:val="auto"/>
              </w:rPr>
              <w:t>1</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7"/>
        </w:trPr>
        <w:tc>
          <w:tcPr>
            <w:tcW w:w="4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Restricted cash included in other non-current assets</w:t>
            </w:r>
          </w:p>
        </w:tc>
        <w:tc>
          <w:tcPr>
            <w:tcW w:w="8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86</w:t>
            </w:r>
          </w:p>
        </w:tc>
        <w:tc>
          <w:tcPr>
            <w:tcW w:w="4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29</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w:t>
            </w:r>
          </w:p>
        </w:tc>
      </w:tr>
      <w:tr>
        <w:trPr>
          <w:trHeight w:val="179"/>
        </w:trPr>
        <w:tc>
          <w:tcPr>
            <w:tcW w:w="4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Cash, cash equivalents, and restricted cash</w:t>
            </w:r>
          </w:p>
        </w:tc>
        <w:tc>
          <w:tcPr>
            <w:tcW w:w="8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836</w:t>
            </w:r>
          </w:p>
        </w:tc>
        <w:tc>
          <w:tcPr>
            <w:tcW w:w="4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920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1,031</w:t>
            </w:r>
          </w:p>
        </w:tc>
      </w:tr>
    </w:tbl>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Amounts included in restricted cash primarily relate to funds deposited in a qualified settlement fund in connection with the pension litigation, as well amounts held in escrow in connection with various leasing arrangements in Europe. In addition, restricted cash reflects deposits held in insurance trusts in order to satisfy the requirement to collateralize part of the self-insured workers’ compensation and liability claims.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Goodwill</w:t>
      </w:r>
    </w:p>
    <w:p>
      <w:pPr>
        <w:spacing w:after="0" w:line="186" w:lineRule="exact"/>
        <w:rPr>
          <w:sz w:val="20"/>
          <w:szCs w:val="20"/>
          <w:color w:val="auto"/>
        </w:rPr>
      </w:pPr>
    </w:p>
    <w:p>
      <w:pPr>
        <w:jc w:val="both"/>
        <w:ind w:right="20"/>
        <w:spacing w:after="0" w:line="254" w:lineRule="auto"/>
        <w:rPr>
          <w:sz w:val="20"/>
          <w:szCs w:val="20"/>
          <w:color w:val="auto"/>
        </w:rPr>
      </w:pPr>
      <w:r>
        <w:rPr>
          <w:rFonts w:ascii="Arial" w:cs="Arial" w:eastAsia="Arial" w:hAnsi="Arial"/>
          <w:sz w:val="15"/>
          <w:szCs w:val="15"/>
          <w:color w:val="auto"/>
        </w:rPr>
        <w:t>Annually during the first quarter, or more frequently if impairment indicators arise, the Company reviews goodwill and intangible assets with indefinite lives for impairment.</w:t>
      </w:r>
    </w:p>
    <w:p>
      <w:pPr>
        <w:spacing w:after="0" w:line="158" w:lineRule="exact"/>
        <w:rPr>
          <w:sz w:val="20"/>
          <w:szCs w:val="20"/>
          <w:color w:val="auto"/>
        </w:rPr>
      </w:pPr>
    </w:p>
    <w:p>
      <w:pPr>
        <w:jc w:val="both"/>
        <w:ind w:right="20"/>
        <w:spacing w:after="0"/>
        <w:rPr>
          <w:sz w:val="20"/>
          <w:szCs w:val="20"/>
          <w:color w:val="auto"/>
        </w:rPr>
      </w:pPr>
      <w:r>
        <w:rPr>
          <w:rFonts w:ascii="Arial" w:cs="Arial" w:eastAsia="Arial" w:hAnsi="Arial"/>
          <w:sz w:val="15"/>
          <w:szCs w:val="15"/>
          <w:color w:val="auto"/>
        </w:rPr>
        <w:t>As a result of the first quarter 2018 change in our organizational and internal reporting structure, we have determined that we have one reportable segment. We have reassessed our reporting units in light of this change and have deemed the collective omni-channel banners in North America and International to be the two reporting units at which goodwill is tested. Therefore, goodwill was re-allocated to these reporting units based on their relative fair values. As required, we conducted our annual impairment review both before and after this change. Neither review resulted in the recognition of impairment, as the fair value of each reporting unit exceeded its carrying value.</w:t>
      </w:r>
    </w:p>
    <w:p>
      <w:pPr>
        <w:spacing w:after="0" w:line="3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Other Intangible Assets, net</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The components of finite-lived intangible assets and intangible assets not subject to amortization are as follows: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right"/>
              <w:ind w:right="303"/>
              <w:spacing w:after="0"/>
              <w:rPr>
                <w:sz w:val="20"/>
                <w:szCs w:val="20"/>
                <w:color w:val="auto"/>
              </w:rPr>
            </w:pPr>
            <w:r>
              <w:rPr>
                <w:rFonts w:ascii="Arial" w:cs="Arial" w:eastAsia="Arial" w:hAnsi="Arial"/>
                <w:sz w:val="15"/>
                <w:szCs w:val="15"/>
                <w:b w:val="1"/>
                <w:bCs w:val="1"/>
                <w:color w:val="auto"/>
              </w:rPr>
              <w:t>November 3, 2018</w:t>
            </w:r>
          </w:p>
        </w:tc>
        <w:tc>
          <w:tcPr>
            <w:tcW w:w="2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jc w:val="right"/>
              <w:ind w:right="363"/>
              <w:spacing w:after="0"/>
              <w:rPr>
                <w:sz w:val="20"/>
                <w:szCs w:val="20"/>
                <w:color w:val="auto"/>
              </w:rPr>
            </w:pPr>
            <w:r>
              <w:rPr>
                <w:rFonts w:ascii="Arial" w:cs="Arial" w:eastAsia="Arial" w:hAnsi="Arial"/>
                <w:sz w:val="15"/>
                <w:szCs w:val="15"/>
                <w:b w:val="1"/>
                <w:bCs w:val="1"/>
                <w:color w:val="auto"/>
              </w:rPr>
              <w:t>October 28, 2017</w:t>
            </w: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right"/>
              <w:ind w:right="343"/>
              <w:spacing w:after="0"/>
              <w:rPr>
                <w:sz w:val="20"/>
                <w:szCs w:val="20"/>
                <w:color w:val="auto"/>
              </w:rPr>
            </w:pPr>
            <w:r>
              <w:rPr>
                <w:rFonts w:ascii="Arial" w:cs="Arial" w:eastAsia="Arial" w:hAnsi="Arial"/>
                <w:sz w:val="15"/>
                <w:szCs w:val="15"/>
                <w:b w:val="1"/>
                <w:bCs w:val="1"/>
                <w:color w:val="auto"/>
              </w:rPr>
              <w:t>February 3, 2018</w:t>
            </w:r>
          </w:p>
        </w:tc>
        <w:tc>
          <w:tcPr>
            <w:tcW w:w="0" w:type="dxa"/>
            <w:vAlign w:val="bottom"/>
          </w:tcPr>
          <w:p>
            <w:pPr>
              <w:spacing w:after="0"/>
              <w:rPr>
                <w:sz w:val="1"/>
                <w:szCs w:val="1"/>
                <w:color w:val="auto"/>
              </w:rPr>
            </w:pPr>
          </w:p>
        </w:tc>
      </w:tr>
      <w:tr>
        <w:trPr>
          <w:trHeight w:val="151"/>
        </w:trPr>
        <w:tc>
          <w:tcPr>
            <w:tcW w:w="2780" w:type="dxa"/>
            <w:vAlign w:val="bottom"/>
          </w:tcPr>
          <w:p>
            <w:pPr>
              <w:spacing w:after="0"/>
              <w:rPr>
                <w:sz w:val="13"/>
                <w:szCs w:val="13"/>
                <w:color w:val="auto"/>
              </w:rPr>
            </w:pPr>
          </w:p>
        </w:tc>
        <w:tc>
          <w:tcPr>
            <w:tcW w:w="700" w:type="dxa"/>
            <w:vAlign w:val="bottom"/>
            <w:gridSpan w:val="2"/>
          </w:tcPr>
          <w:p>
            <w:pPr>
              <w:ind w:left="120"/>
              <w:spacing w:after="0" w:line="151" w:lineRule="exact"/>
              <w:rPr>
                <w:sz w:val="20"/>
                <w:szCs w:val="20"/>
                <w:color w:val="auto"/>
              </w:rPr>
            </w:pPr>
            <w:r>
              <w:rPr>
                <w:rFonts w:ascii="Arial" w:cs="Arial" w:eastAsia="Arial" w:hAnsi="Arial"/>
                <w:sz w:val="15"/>
                <w:szCs w:val="15"/>
                <w:b w:val="1"/>
                <w:bCs w:val="1"/>
                <w:color w:val="auto"/>
              </w:rPr>
              <w:t>Gross</w:t>
            </w:r>
          </w:p>
        </w:tc>
        <w:tc>
          <w:tcPr>
            <w:tcW w:w="760" w:type="dxa"/>
            <w:vAlign w:val="bottom"/>
            <w:gridSpan w:val="2"/>
          </w:tcPr>
          <w:p>
            <w:pPr>
              <w:ind w:left="80"/>
              <w:spacing w:after="0" w:line="151" w:lineRule="exact"/>
              <w:rPr>
                <w:sz w:val="20"/>
                <w:szCs w:val="20"/>
                <w:color w:val="auto"/>
              </w:rPr>
            </w:pPr>
            <w:r>
              <w:rPr>
                <w:rFonts w:ascii="Arial" w:cs="Arial" w:eastAsia="Arial" w:hAnsi="Arial"/>
                <w:sz w:val="15"/>
                <w:szCs w:val="15"/>
                <w:b w:val="1"/>
                <w:bCs w:val="1"/>
                <w:color w:val="auto"/>
              </w:rPr>
              <w:t>Accum.</w:t>
            </w:r>
          </w:p>
        </w:tc>
        <w:tc>
          <w:tcPr>
            <w:tcW w:w="160" w:type="dxa"/>
            <w:vAlign w:val="bottom"/>
          </w:tcPr>
          <w:p>
            <w:pPr>
              <w:spacing w:after="0"/>
              <w:rPr>
                <w:sz w:val="13"/>
                <w:szCs w:val="13"/>
                <w:color w:val="auto"/>
              </w:rPr>
            </w:pPr>
          </w:p>
        </w:tc>
        <w:tc>
          <w:tcPr>
            <w:tcW w:w="480" w:type="dxa"/>
            <w:vAlign w:val="bottom"/>
          </w:tcPr>
          <w:p>
            <w:pPr>
              <w:jc w:val="right"/>
              <w:ind w:right="143"/>
              <w:spacing w:after="0" w:line="151" w:lineRule="exact"/>
              <w:rPr>
                <w:sz w:val="20"/>
                <w:szCs w:val="20"/>
                <w:color w:val="auto"/>
              </w:rPr>
            </w:pPr>
            <w:r>
              <w:rPr>
                <w:rFonts w:ascii="Arial" w:cs="Arial" w:eastAsia="Arial" w:hAnsi="Arial"/>
                <w:sz w:val="15"/>
                <w:szCs w:val="15"/>
                <w:b w:val="1"/>
                <w:bCs w:val="1"/>
                <w:color w:val="auto"/>
                <w:w w:val="99"/>
              </w:rPr>
              <w:t>Net</w:t>
            </w:r>
          </w:p>
        </w:tc>
        <w:tc>
          <w:tcPr>
            <w:tcW w:w="680" w:type="dxa"/>
            <w:vAlign w:val="bottom"/>
            <w:gridSpan w:val="2"/>
          </w:tcPr>
          <w:p>
            <w:pPr>
              <w:jc w:val="right"/>
              <w:ind w:right="43"/>
              <w:spacing w:after="0" w:line="151" w:lineRule="exact"/>
              <w:rPr>
                <w:sz w:val="20"/>
                <w:szCs w:val="20"/>
                <w:color w:val="auto"/>
              </w:rPr>
            </w:pPr>
            <w:r>
              <w:rPr>
                <w:rFonts w:ascii="Arial" w:cs="Arial" w:eastAsia="Arial" w:hAnsi="Arial"/>
                <w:sz w:val="15"/>
                <w:szCs w:val="15"/>
                <w:b w:val="1"/>
                <w:bCs w:val="1"/>
                <w:color w:val="auto"/>
              </w:rPr>
              <w:t>Gross</w:t>
            </w:r>
          </w:p>
        </w:tc>
        <w:tc>
          <w:tcPr>
            <w:tcW w:w="760" w:type="dxa"/>
            <w:vAlign w:val="bottom"/>
            <w:gridSpan w:val="2"/>
          </w:tcPr>
          <w:p>
            <w:pPr>
              <w:ind w:left="80"/>
              <w:spacing w:after="0" w:line="151" w:lineRule="exact"/>
              <w:rPr>
                <w:sz w:val="20"/>
                <w:szCs w:val="20"/>
                <w:color w:val="auto"/>
              </w:rPr>
            </w:pPr>
            <w:r>
              <w:rPr>
                <w:rFonts w:ascii="Arial" w:cs="Arial" w:eastAsia="Arial" w:hAnsi="Arial"/>
                <w:sz w:val="15"/>
                <w:szCs w:val="15"/>
                <w:b w:val="1"/>
                <w:bCs w:val="1"/>
                <w:color w:val="auto"/>
              </w:rPr>
              <w:t>Accum.</w:t>
            </w:r>
          </w:p>
        </w:tc>
        <w:tc>
          <w:tcPr>
            <w:tcW w:w="180" w:type="dxa"/>
            <w:vAlign w:val="bottom"/>
          </w:tcPr>
          <w:p>
            <w:pPr>
              <w:spacing w:after="0"/>
              <w:rPr>
                <w:sz w:val="13"/>
                <w:szCs w:val="13"/>
                <w:color w:val="auto"/>
              </w:rPr>
            </w:pPr>
          </w:p>
        </w:tc>
        <w:tc>
          <w:tcPr>
            <w:tcW w:w="500" w:type="dxa"/>
            <w:vAlign w:val="bottom"/>
          </w:tcPr>
          <w:p>
            <w:pPr>
              <w:jc w:val="right"/>
              <w:ind w:right="163"/>
              <w:spacing w:after="0" w:line="151" w:lineRule="exact"/>
              <w:rPr>
                <w:sz w:val="20"/>
                <w:szCs w:val="20"/>
                <w:color w:val="auto"/>
              </w:rPr>
            </w:pPr>
            <w:r>
              <w:rPr>
                <w:rFonts w:ascii="Arial" w:cs="Arial" w:eastAsia="Arial" w:hAnsi="Arial"/>
                <w:sz w:val="15"/>
                <w:szCs w:val="15"/>
                <w:b w:val="1"/>
                <w:bCs w:val="1"/>
                <w:color w:val="auto"/>
                <w:w w:val="99"/>
              </w:rPr>
              <w:t>Net</w:t>
            </w:r>
          </w:p>
        </w:tc>
        <w:tc>
          <w:tcPr>
            <w:tcW w:w="680" w:type="dxa"/>
            <w:vAlign w:val="bottom"/>
            <w:gridSpan w:val="2"/>
          </w:tcPr>
          <w:p>
            <w:pPr>
              <w:jc w:val="right"/>
              <w:ind w:right="43"/>
              <w:spacing w:after="0" w:line="151" w:lineRule="exact"/>
              <w:rPr>
                <w:sz w:val="20"/>
                <w:szCs w:val="20"/>
                <w:color w:val="auto"/>
              </w:rPr>
            </w:pPr>
            <w:r>
              <w:rPr>
                <w:rFonts w:ascii="Arial" w:cs="Arial" w:eastAsia="Arial" w:hAnsi="Arial"/>
                <w:sz w:val="15"/>
                <w:szCs w:val="15"/>
                <w:b w:val="1"/>
                <w:bCs w:val="1"/>
                <w:color w:val="auto"/>
              </w:rPr>
              <w:t>Gross</w:t>
            </w:r>
          </w:p>
        </w:tc>
        <w:tc>
          <w:tcPr>
            <w:tcW w:w="760" w:type="dxa"/>
            <w:vAlign w:val="bottom"/>
            <w:gridSpan w:val="2"/>
          </w:tcPr>
          <w:p>
            <w:pPr>
              <w:ind w:left="100"/>
              <w:spacing w:after="0" w:line="151" w:lineRule="exact"/>
              <w:rPr>
                <w:sz w:val="20"/>
                <w:szCs w:val="20"/>
                <w:color w:val="auto"/>
              </w:rPr>
            </w:pPr>
            <w:r>
              <w:rPr>
                <w:rFonts w:ascii="Arial" w:cs="Arial" w:eastAsia="Arial" w:hAnsi="Arial"/>
                <w:sz w:val="15"/>
                <w:szCs w:val="15"/>
                <w:b w:val="1"/>
                <w:bCs w:val="1"/>
                <w:color w:val="auto"/>
              </w:rPr>
              <w:t>Accum.</w:t>
            </w:r>
          </w:p>
        </w:tc>
        <w:tc>
          <w:tcPr>
            <w:tcW w:w="200" w:type="dxa"/>
            <w:vAlign w:val="bottom"/>
          </w:tcPr>
          <w:p>
            <w:pPr>
              <w:spacing w:after="0"/>
              <w:rPr>
                <w:sz w:val="13"/>
                <w:szCs w:val="13"/>
                <w:color w:val="auto"/>
              </w:rPr>
            </w:pPr>
          </w:p>
        </w:tc>
        <w:tc>
          <w:tcPr>
            <w:tcW w:w="460" w:type="dxa"/>
            <w:vAlign w:val="bottom"/>
          </w:tcPr>
          <w:p>
            <w:pPr>
              <w:jc w:val="right"/>
              <w:ind w:right="103"/>
              <w:spacing w:after="0" w:line="151" w:lineRule="exact"/>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194"/>
        </w:trPr>
        <w:tc>
          <w:tcPr>
            <w:tcW w:w="27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in millions)</w:t>
            </w:r>
          </w:p>
        </w:tc>
        <w:tc>
          <w:tcPr>
            <w:tcW w:w="70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5"/>
                <w:szCs w:val="15"/>
                <w:b w:val="1"/>
                <w:bCs w:val="1"/>
                <w:color w:val="auto"/>
              </w:rPr>
              <w:t>value</w:t>
            </w:r>
          </w:p>
        </w:tc>
        <w:tc>
          <w:tcPr>
            <w:tcW w:w="76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5"/>
                <w:szCs w:val="15"/>
                <w:b w:val="1"/>
                <w:bCs w:val="1"/>
                <w:color w:val="auto"/>
              </w:rPr>
              <w:t>amort.</w:t>
            </w:r>
          </w:p>
        </w:tc>
        <w:tc>
          <w:tcPr>
            <w:tcW w:w="64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5"/>
                <w:szCs w:val="15"/>
                <w:b w:val="1"/>
                <w:bCs w:val="1"/>
                <w:color w:val="auto"/>
              </w:rPr>
              <w:t>value</w:t>
            </w:r>
          </w:p>
        </w:tc>
        <w:tc>
          <w:tcPr>
            <w:tcW w:w="68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5"/>
                <w:szCs w:val="15"/>
                <w:b w:val="1"/>
                <w:bCs w:val="1"/>
                <w:color w:val="auto"/>
              </w:rPr>
              <w:t>value</w:t>
            </w:r>
          </w:p>
        </w:tc>
        <w:tc>
          <w:tcPr>
            <w:tcW w:w="76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5"/>
                <w:szCs w:val="15"/>
                <w:b w:val="1"/>
                <w:bCs w:val="1"/>
                <w:color w:val="auto"/>
              </w:rPr>
              <w:t>amort.</w:t>
            </w:r>
          </w:p>
        </w:tc>
        <w:tc>
          <w:tcPr>
            <w:tcW w:w="68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5"/>
                <w:szCs w:val="15"/>
                <w:b w:val="1"/>
                <w:bCs w:val="1"/>
                <w:color w:val="auto"/>
              </w:rPr>
              <w:t>value</w:t>
            </w:r>
          </w:p>
        </w:tc>
        <w:tc>
          <w:tcPr>
            <w:tcW w:w="68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5"/>
                <w:szCs w:val="15"/>
                <w:b w:val="1"/>
                <w:bCs w:val="1"/>
                <w:color w:val="auto"/>
              </w:rPr>
              <w:t>value</w:t>
            </w:r>
          </w:p>
        </w:tc>
        <w:tc>
          <w:tcPr>
            <w:tcW w:w="7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5"/>
                <w:szCs w:val="15"/>
                <w:b w:val="1"/>
                <w:bCs w:val="1"/>
                <w:color w:val="auto"/>
              </w:rPr>
              <w:t>amort.</w:t>
            </w:r>
          </w:p>
        </w:tc>
        <w:tc>
          <w:tcPr>
            <w:tcW w:w="66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5"/>
                <w:szCs w:val="15"/>
                <w:b w:val="1"/>
                <w:bCs w:val="1"/>
                <w:color w:val="auto"/>
              </w:rPr>
              <w:t>value</w:t>
            </w:r>
          </w:p>
        </w:tc>
        <w:tc>
          <w:tcPr>
            <w:tcW w:w="0" w:type="dxa"/>
            <w:vAlign w:val="bottom"/>
          </w:tcPr>
          <w:p>
            <w:pPr>
              <w:spacing w:after="0"/>
              <w:rPr>
                <w:sz w:val="1"/>
                <w:szCs w:val="1"/>
                <w:color w:val="auto"/>
              </w:rPr>
            </w:pPr>
          </w:p>
        </w:tc>
      </w:tr>
      <w:tr>
        <w:trPr>
          <w:trHeight w:val="162"/>
        </w:trPr>
        <w:tc>
          <w:tcPr>
            <w:tcW w:w="2780" w:type="dxa"/>
            <w:vAlign w:val="bottom"/>
          </w:tcPr>
          <w:p>
            <w:pPr>
              <w:spacing w:after="0" w:line="163" w:lineRule="exact"/>
              <w:rPr>
                <w:sz w:val="20"/>
                <w:szCs w:val="20"/>
                <w:color w:val="auto"/>
              </w:rPr>
            </w:pPr>
            <w:r>
              <w:rPr>
                <w:rFonts w:ascii="Arial" w:cs="Arial" w:eastAsia="Arial" w:hAnsi="Arial"/>
                <w:sz w:val="15"/>
                <w:szCs w:val="15"/>
                <w:color w:val="auto"/>
              </w:rPr>
              <w:t xml:space="preserve">Amortized intangible assets: </w:t>
            </w:r>
            <w:r>
              <w:rPr>
                <w:rFonts w:ascii="Arial" w:cs="Arial" w:eastAsia="Arial" w:hAnsi="Arial"/>
                <w:sz w:val="8"/>
                <w:szCs w:val="8"/>
                <w:color w:val="auto"/>
              </w:rPr>
              <w:t>(1)</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Lease acquisition costs</w:t>
            </w:r>
          </w:p>
        </w:tc>
        <w:tc>
          <w:tcPr>
            <w:tcW w:w="280" w:type="dxa"/>
            <w:vAlign w:val="bottom"/>
            <w:shd w:val="clear" w:color="auto" w:fill="CCEEFF"/>
          </w:tcPr>
          <w:p>
            <w:pPr>
              <w:ind w:left="100"/>
              <w:spacing w:after="0"/>
              <w:rPr>
                <w:sz w:val="20"/>
                <w:szCs w:val="20"/>
                <w:color w:val="auto"/>
              </w:rPr>
            </w:pPr>
            <w:r>
              <w:rPr>
                <w:rFonts w:ascii="Arial" w:cs="Arial" w:eastAsia="Arial" w:hAnsi="Arial"/>
                <w:sz w:val="15"/>
                <w:szCs w:val="15"/>
                <w:b w:val="1"/>
                <w:bCs w:val="1"/>
                <w:color w:val="auto"/>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121</w:t>
            </w:r>
          </w:p>
        </w:tc>
        <w:tc>
          <w:tcPr>
            <w:tcW w:w="260" w:type="dxa"/>
            <w:vAlign w:val="bottom"/>
            <w:shd w:val="clear" w:color="auto" w:fill="CCEEFF"/>
          </w:tcPr>
          <w:p>
            <w:pPr>
              <w:ind w:left="100"/>
              <w:spacing w:after="0"/>
              <w:rPr>
                <w:sz w:val="20"/>
                <w:szCs w:val="20"/>
                <w:color w:val="auto"/>
              </w:rPr>
            </w:pPr>
            <w:r>
              <w:rPr>
                <w:rFonts w:ascii="Arial" w:cs="Arial" w:eastAsia="Arial" w:hAnsi="Arial"/>
                <w:sz w:val="15"/>
                <w:szCs w:val="15"/>
                <w:b w:val="1"/>
                <w:bCs w:val="1"/>
                <w:color w:val="auto"/>
              </w:rPr>
              <w:t>$</w:t>
            </w: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(111)</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10</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129</w:t>
            </w:r>
          </w:p>
        </w:tc>
        <w:tc>
          <w:tcPr>
            <w:tcW w:w="2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w:t>
            </w:r>
          </w:p>
        </w:tc>
        <w:tc>
          <w:tcPr>
            <w:tcW w:w="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135</w:t>
            </w:r>
          </w:p>
        </w:tc>
        <w:tc>
          <w:tcPr>
            <w:tcW w:w="2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82"/>
        </w:trPr>
        <w:tc>
          <w:tcPr>
            <w:tcW w:w="2780" w:type="dxa"/>
            <w:vAlign w:val="bottom"/>
          </w:tcPr>
          <w:p>
            <w:pPr>
              <w:ind w:left="320"/>
              <w:spacing w:after="0"/>
              <w:rPr>
                <w:sz w:val="20"/>
                <w:szCs w:val="20"/>
                <w:color w:val="auto"/>
              </w:rPr>
            </w:pPr>
            <w:r>
              <w:rPr>
                <w:rFonts w:ascii="Arial" w:cs="Arial" w:eastAsia="Arial" w:hAnsi="Arial"/>
                <w:sz w:val="15"/>
                <w:szCs w:val="15"/>
                <w:color w:val="auto"/>
              </w:rPr>
              <w:t>Trademarks / trade names</w:t>
            </w:r>
          </w:p>
        </w:tc>
        <w:tc>
          <w:tcPr>
            <w:tcW w:w="280" w:type="dxa"/>
            <w:vAlign w:val="bottom"/>
          </w:tcPr>
          <w:p>
            <w:pPr>
              <w:spacing w:after="0"/>
              <w:rPr>
                <w:sz w:val="15"/>
                <w:szCs w:val="15"/>
                <w:color w:val="auto"/>
              </w:rPr>
            </w:pPr>
          </w:p>
        </w:tc>
        <w:tc>
          <w:tcPr>
            <w:tcW w:w="420" w:type="dxa"/>
            <w:vAlign w:val="bottom"/>
          </w:tcPr>
          <w:p>
            <w:pPr>
              <w:jc w:val="right"/>
              <w:ind w:right="3"/>
              <w:spacing w:after="0"/>
              <w:rPr>
                <w:sz w:val="20"/>
                <w:szCs w:val="20"/>
                <w:color w:val="auto"/>
              </w:rPr>
            </w:pPr>
            <w:r>
              <w:rPr>
                <w:rFonts w:ascii="Arial" w:cs="Arial" w:eastAsia="Arial" w:hAnsi="Arial"/>
                <w:sz w:val="15"/>
                <w:szCs w:val="15"/>
                <w:b w:val="1"/>
                <w:bCs w:val="1"/>
                <w:color w:val="auto"/>
              </w:rPr>
              <w:t>20</w:t>
            </w:r>
          </w:p>
        </w:tc>
        <w:tc>
          <w:tcPr>
            <w:tcW w:w="260" w:type="dxa"/>
            <w:vAlign w:val="bottom"/>
          </w:tcPr>
          <w:p>
            <w:pPr>
              <w:spacing w:after="0"/>
              <w:rPr>
                <w:sz w:val="15"/>
                <w:szCs w:val="15"/>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b w:val="1"/>
                <w:bCs w:val="1"/>
                <w:color w:val="auto"/>
              </w:rPr>
              <w:t>(15)</w:t>
            </w:r>
          </w:p>
        </w:tc>
        <w:tc>
          <w:tcPr>
            <w:tcW w:w="160" w:type="dxa"/>
            <w:vAlign w:val="bottom"/>
          </w:tcPr>
          <w:p>
            <w:pPr>
              <w:spacing w:after="0"/>
              <w:rPr>
                <w:sz w:val="15"/>
                <w:szCs w:val="15"/>
                <w:color w:val="auto"/>
              </w:rPr>
            </w:pPr>
          </w:p>
        </w:tc>
        <w:tc>
          <w:tcPr>
            <w:tcW w:w="480" w:type="dxa"/>
            <w:vAlign w:val="bottom"/>
          </w:tcPr>
          <w:p>
            <w:pPr>
              <w:jc w:val="right"/>
              <w:ind w:right="3"/>
              <w:spacing w:after="0"/>
              <w:rPr>
                <w:sz w:val="20"/>
                <w:szCs w:val="20"/>
                <w:color w:val="auto"/>
              </w:rPr>
            </w:pPr>
            <w:r>
              <w:rPr>
                <w:rFonts w:ascii="Arial" w:cs="Arial" w:eastAsia="Arial" w:hAnsi="Arial"/>
                <w:sz w:val="15"/>
                <w:szCs w:val="15"/>
                <w:b w:val="1"/>
                <w:bCs w:val="1"/>
                <w:color w:val="auto"/>
              </w:rPr>
              <w:t>5</w:t>
            </w:r>
          </w:p>
        </w:tc>
        <w:tc>
          <w:tcPr>
            <w:tcW w:w="260" w:type="dxa"/>
            <w:vAlign w:val="bottom"/>
          </w:tcPr>
          <w:p>
            <w:pPr>
              <w:spacing w:after="0"/>
              <w:rPr>
                <w:sz w:val="15"/>
                <w:szCs w:val="15"/>
                <w:color w:val="auto"/>
              </w:rPr>
            </w:pPr>
          </w:p>
        </w:tc>
        <w:tc>
          <w:tcPr>
            <w:tcW w:w="420" w:type="dxa"/>
            <w:vAlign w:val="bottom"/>
          </w:tcPr>
          <w:p>
            <w:pPr>
              <w:jc w:val="right"/>
              <w:ind w:right="3"/>
              <w:spacing w:after="0"/>
              <w:rPr>
                <w:sz w:val="20"/>
                <w:szCs w:val="20"/>
                <w:color w:val="auto"/>
              </w:rPr>
            </w:pPr>
            <w:r>
              <w:rPr>
                <w:rFonts w:ascii="Arial" w:cs="Arial" w:eastAsia="Arial" w:hAnsi="Arial"/>
                <w:sz w:val="15"/>
                <w:szCs w:val="15"/>
                <w:color w:val="auto"/>
              </w:rPr>
              <w:t>20</w:t>
            </w: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(13)</w:t>
            </w:r>
          </w:p>
        </w:tc>
        <w:tc>
          <w:tcPr>
            <w:tcW w:w="180" w:type="dxa"/>
            <w:vAlign w:val="bottom"/>
          </w:tcPr>
          <w:p>
            <w:pPr>
              <w:spacing w:after="0"/>
              <w:rPr>
                <w:sz w:val="15"/>
                <w:szCs w:val="15"/>
                <w:color w:val="auto"/>
              </w:rPr>
            </w:pPr>
          </w:p>
        </w:tc>
        <w:tc>
          <w:tcPr>
            <w:tcW w:w="500" w:type="dxa"/>
            <w:vAlign w:val="bottom"/>
          </w:tcPr>
          <w:p>
            <w:pPr>
              <w:jc w:val="right"/>
              <w:ind w:right="23"/>
              <w:spacing w:after="0"/>
              <w:rPr>
                <w:sz w:val="20"/>
                <w:szCs w:val="20"/>
                <w:color w:val="auto"/>
              </w:rPr>
            </w:pPr>
            <w:r>
              <w:rPr>
                <w:rFonts w:ascii="Arial" w:cs="Arial" w:eastAsia="Arial" w:hAnsi="Arial"/>
                <w:sz w:val="15"/>
                <w:szCs w:val="15"/>
                <w:color w:val="auto"/>
              </w:rPr>
              <w:t>7</w:t>
            </w:r>
          </w:p>
        </w:tc>
        <w:tc>
          <w:tcPr>
            <w:tcW w:w="260" w:type="dxa"/>
            <w:vAlign w:val="bottom"/>
          </w:tcPr>
          <w:p>
            <w:pPr>
              <w:spacing w:after="0"/>
              <w:rPr>
                <w:sz w:val="15"/>
                <w:szCs w:val="15"/>
                <w:color w:val="auto"/>
              </w:rPr>
            </w:pPr>
          </w:p>
        </w:tc>
        <w:tc>
          <w:tcPr>
            <w:tcW w:w="420" w:type="dxa"/>
            <w:vAlign w:val="bottom"/>
          </w:tcPr>
          <w:p>
            <w:pPr>
              <w:jc w:val="right"/>
              <w:ind w:right="3"/>
              <w:spacing w:after="0"/>
              <w:rPr>
                <w:sz w:val="20"/>
                <w:szCs w:val="20"/>
                <w:color w:val="auto"/>
              </w:rPr>
            </w:pPr>
            <w:r>
              <w:rPr>
                <w:rFonts w:ascii="Arial" w:cs="Arial" w:eastAsia="Arial" w:hAnsi="Arial"/>
                <w:sz w:val="15"/>
                <w:szCs w:val="15"/>
                <w:color w:val="auto"/>
              </w:rPr>
              <w:t>20</w:t>
            </w:r>
          </w:p>
        </w:tc>
        <w:tc>
          <w:tcPr>
            <w:tcW w:w="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(14)</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82"/>
        </w:trPr>
        <w:tc>
          <w:tcPr>
            <w:tcW w:w="27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Favorable leases</w:t>
            </w:r>
          </w:p>
        </w:tc>
        <w:tc>
          <w:tcPr>
            <w:tcW w:w="2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w:t>
            </w:r>
          </w:p>
        </w:tc>
        <w:tc>
          <w:tcPr>
            <w:tcW w:w="2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w:t>
            </w:r>
          </w:p>
        </w:tc>
        <w:tc>
          <w:tcPr>
            <w:tcW w:w="1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w:t>
            </w:r>
          </w:p>
        </w:tc>
        <w:tc>
          <w:tcPr>
            <w:tcW w:w="2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w:t>
            </w:r>
          </w:p>
        </w:tc>
        <w:tc>
          <w:tcPr>
            <w:tcW w:w="2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c>
          <w:tcPr>
            <w:tcW w:w="2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w:t>
            </w:r>
          </w:p>
        </w:tc>
        <w:tc>
          <w:tcPr>
            <w:tcW w:w="2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2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2"/>
        </w:trPr>
        <w:tc>
          <w:tcPr>
            <w:tcW w:w="2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b w:val="1"/>
                <w:bCs w:val="1"/>
                <w:color w:val="auto"/>
              </w:rPr>
              <w:t>$</w:t>
            </w:r>
          </w:p>
        </w:tc>
        <w:tc>
          <w:tcPr>
            <w:tcW w:w="42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b w:val="1"/>
                <w:bCs w:val="1"/>
                <w:color w:val="auto"/>
              </w:rPr>
              <w:t>148</w:t>
            </w:r>
          </w:p>
        </w:tc>
        <w:tc>
          <w:tcPr>
            <w:tcW w:w="26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b w:val="1"/>
                <w:bCs w:val="1"/>
                <w:color w:val="auto"/>
              </w:rPr>
              <w:t>$</w:t>
            </w:r>
          </w:p>
        </w:tc>
        <w:tc>
          <w:tcPr>
            <w:tcW w:w="50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b w:val="1"/>
                <w:bCs w:val="1"/>
                <w:color w:val="auto"/>
              </w:rPr>
              <w:t>(132)</w:t>
            </w:r>
          </w:p>
        </w:tc>
        <w:tc>
          <w:tcPr>
            <w:tcW w:w="1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w:t>
            </w:r>
          </w:p>
        </w:tc>
        <w:tc>
          <w:tcPr>
            <w:tcW w:w="48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b w:val="1"/>
                <w:bCs w:val="1"/>
                <w:color w:val="auto"/>
              </w:rPr>
              <w:t>16</w:t>
            </w:r>
          </w:p>
        </w:tc>
        <w:tc>
          <w:tcPr>
            <w:tcW w:w="26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color w:val="auto"/>
              </w:rPr>
              <w:t>156</w:t>
            </w:r>
          </w:p>
        </w:tc>
        <w:tc>
          <w:tcPr>
            <w:tcW w:w="26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(136)</w:t>
            </w:r>
          </w:p>
        </w:tc>
        <w:tc>
          <w:tcPr>
            <w:tcW w:w="1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ind w:right="23"/>
              <w:spacing w:after="0" w:line="163" w:lineRule="exact"/>
              <w:rPr>
                <w:sz w:val="20"/>
                <w:szCs w:val="20"/>
                <w:color w:val="auto"/>
              </w:rPr>
            </w:pPr>
            <w:r>
              <w:rPr>
                <w:rFonts w:ascii="Arial" w:cs="Arial" w:eastAsia="Arial" w:hAnsi="Arial"/>
                <w:sz w:val="15"/>
                <w:szCs w:val="15"/>
                <w:color w:val="auto"/>
              </w:rPr>
              <w:t>20</w:t>
            </w:r>
          </w:p>
        </w:tc>
        <w:tc>
          <w:tcPr>
            <w:tcW w:w="260" w:type="dxa"/>
            <w:vAlign w:val="bottom"/>
            <w:tcBorders>
              <w:bottom w:val="single" w:sz="8" w:color="auto"/>
            </w:tcBorders>
          </w:tcPr>
          <w:p>
            <w:pPr>
              <w:jc w:val="right"/>
              <w:ind w:right="23"/>
              <w:spacing w:after="0" w:line="163"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color w:val="auto"/>
              </w:rPr>
              <w:t>162</w:t>
            </w:r>
          </w:p>
        </w:tc>
        <w:tc>
          <w:tcPr>
            <w:tcW w:w="28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(142)</w:t>
            </w:r>
          </w:p>
        </w:tc>
        <w:tc>
          <w:tcPr>
            <w:tcW w:w="2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99"/>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 xml:space="preserve">Indefinite life intangible assets: </w:t>
            </w:r>
            <w:r>
              <w:rPr>
                <w:rFonts w:ascii="Arial" w:cs="Arial" w:eastAsia="Arial" w:hAnsi="Arial"/>
                <w:sz w:val="8"/>
                <w:szCs w:val="8"/>
                <w:color w:val="auto"/>
              </w:rPr>
              <w:t>(1)</w:t>
            </w: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80" w:type="dxa"/>
            <w:vAlign w:val="bottom"/>
          </w:tcPr>
          <w:p>
            <w:pPr>
              <w:ind w:left="320"/>
              <w:spacing w:after="0"/>
              <w:rPr>
                <w:sz w:val="20"/>
                <w:szCs w:val="20"/>
                <w:color w:val="auto"/>
              </w:rPr>
            </w:pPr>
            <w:r>
              <w:rPr>
                <w:rFonts w:ascii="Arial" w:cs="Arial" w:eastAsia="Arial" w:hAnsi="Arial"/>
                <w:sz w:val="15"/>
                <w:szCs w:val="15"/>
                <w:color w:val="auto"/>
              </w:rPr>
              <w:t>Runners Point Group trademarks /</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48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rPr>
              <w:t>23</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78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trade names</w:t>
            </w:r>
          </w:p>
        </w:tc>
        <w:tc>
          <w:tcPr>
            <w:tcW w:w="2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25</w:t>
            </w:r>
          </w:p>
        </w:tc>
        <w:tc>
          <w:tcPr>
            <w:tcW w:w="2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67"/>
        </w:trPr>
        <w:tc>
          <w:tcPr>
            <w:tcW w:w="2780" w:type="dxa"/>
            <w:vAlign w:val="bottom"/>
            <w:tcBorders>
              <w:bottom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rPr>
              <w:t>Other intangible assets, net</w:t>
            </w:r>
          </w:p>
        </w:tc>
        <w:tc>
          <w:tcPr>
            <w:tcW w:w="2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b w:val="1"/>
                <w:bCs w:val="1"/>
                <w:color w:val="auto"/>
              </w:rPr>
              <w:t>$</w:t>
            </w:r>
          </w:p>
        </w:tc>
        <w:tc>
          <w:tcPr>
            <w:tcW w:w="480" w:type="dxa"/>
            <w:vAlign w:val="bottom"/>
            <w:tcBorders>
              <w:bottom w:val="single" w:sz="8" w:color="auto"/>
            </w:tcBorders>
            <w:shd w:val="clear" w:color="auto" w:fill="CCEEFF"/>
          </w:tcPr>
          <w:p>
            <w:pPr>
              <w:jc w:val="right"/>
              <w:ind w:right="3"/>
              <w:spacing w:after="0" w:line="163" w:lineRule="exact"/>
              <w:rPr>
                <w:sz w:val="20"/>
                <w:szCs w:val="20"/>
                <w:color w:val="auto"/>
              </w:rPr>
            </w:pPr>
            <w:r>
              <w:rPr>
                <w:rFonts w:ascii="Arial" w:cs="Arial" w:eastAsia="Arial" w:hAnsi="Arial"/>
                <w:sz w:val="15"/>
                <w:szCs w:val="15"/>
                <w:b w:val="1"/>
                <w:bCs w:val="1"/>
                <w:color w:val="auto"/>
              </w:rPr>
              <w:t>39</w:t>
            </w:r>
          </w:p>
        </w:tc>
        <w:tc>
          <w:tcPr>
            <w:tcW w:w="2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shd w:val="clear" w:color="auto" w:fill="CCEEFF"/>
          </w:tcPr>
          <w:p>
            <w:pPr>
              <w:jc w:val="right"/>
              <w:ind w:right="23"/>
              <w:spacing w:after="0" w:line="163" w:lineRule="exact"/>
              <w:rPr>
                <w:sz w:val="20"/>
                <w:szCs w:val="20"/>
                <w:color w:val="auto"/>
              </w:rPr>
            </w:pPr>
            <w:r>
              <w:rPr>
                <w:rFonts w:ascii="Arial" w:cs="Arial" w:eastAsia="Arial" w:hAnsi="Arial"/>
                <w:sz w:val="15"/>
                <w:szCs w:val="15"/>
                <w:color w:val="auto"/>
              </w:rPr>
              <w:t>45</w:t>
            </w:r>
          </w:p>
        </w:tc>
        <w:tc>
          <w:tcPr>
            <w:tcW w:w="2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60" w:right="140" w:hanging="375"/>
        <w:spacing w:after="0" w:line="246" w:lineRule="auto"/>
        <w:tabs>
          <w:tab w:leader="none" w:pos="660" w:val="left"/>
        </w:tabs>
        <w:numPr>
          <w:ilvl w:val="0"/>
          <w:numId w:val="7"/>
        </w:numPr>
        <w:rPr>
          <w:rFonts w:ascii="Arial" w:cs="Arial" w:eastAsia="Arial" w:hAnsi="Arial"/>
          <w:sz w:val="11"/>
          <w:szCs w:val="11"/>
          <w:color w:val="auto"/>
        </w:rPr>
      </w:pPr>
      <w:r>
        <w:rPr>
          <w:rFonts w:ascii="Arial" w:cs="Arial" w:eastAsia="Arial" w:hAnsi="Arial"/>
          <w:sz w:val="12"/>
          <w:szCs w:val="12"/>
          <w:color w:val="auto"/>
        </w:rPr>
        <w:t>The change in the ending balances also reflects the effect of foreign currency fluctuations due primarily to the movements of the euro in relation to the U.S. dollar.</w:t>
      </w:r>
    </w:p>
    <w:p>
      <w:pPr>
        <w:spacing w:after="0" w:line="199" w:lineRule="exact"/>
        <w:rPr>
          <w:sz w:val="20"/>
          <w:szCs w:val="20"/>
          <w:color w:val="auto"/>
        </w:rPr>
      </w:pPr>
    </w:p>
    <w:p>
      <w:pPr>
        <w:ind w:right="20"/>
        <w:spacing w:after="0" w:line="254" w:lineRule="auto"/>
        <w:rPr>
          <w:sz w:val="20"/>
          <w:szCs w:val="20"/>
          <w:color w:val="auto"/>
        </w:rPr>
      </w:pPr>
      <w:r>
        <w:rPr>
          <w:rFonts w:ascii="Arial" w:cs="Arial" w:eastAsia="Arial" w:hAnsi="Arial"/>
          <w:sz w:val="15"/>
          <w:szCs w:val="15"/>
          <w:color w:val="auto"/>
        </w:rPr>
        <w:t>The annual review of intangible assets with indefinite lives performed during the first quarter of 2018 did not result in the recognition of impairment. Amortization expense recorded is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2"/>
          </w:tcPr>
          <w:p>
            <w:pPr>
              <w:jc w:val="right"/>
              <w:ind w:right="363"/>
              <w:spacing w:after="0"/>
              <w:rPr>
                <w:sz w:val="20"/>
                <w:szCs w:val="20"/>
                <w:color w:val="auto"/>
              </w:rPr>
            </w:pPr>
            <w:r>
              <w:rPr>
                <w:rFonts w:ascii="Arial" w:cs="Arial" w:eastAsia="Arial" w:hAnsi="Arial"/>
                <w:sz w:val="15"/>
                <w:szCs w:val="15"/>
                <w:b w:val="1"/>
                <w:bCs w:val="1"/>
                <w:color w:val="auto"/>
              </w:rPr>
              <w:t>Thirteen weeks ended</w:t>
            </w:r>
          </w:p>
        </w:tc>
        <w:tc>
          <w:tcPr>
            <w:tcW w:w="3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jc w:val="right"/>
              <w:ind w:right="483"/>
              <w:spacing w:after="0"/>
              <w:rPr>
                <w:sz w:val="20"/>
                <w:szCs w:val="20"/>
                <w:color w:val="auto"/>
              </w:rPr>
            </w:pPr>
            <w:r>
              <w:rPr>
                <w:rFonts w:ascii="Arial" w:cs="Arial" w:eastAsia="Arial" w:hAnsi="Arial"/>
                <w:sz w:val="15"/>
                <w:szCs w:val="15"/>
                <w:b w:val="1"/>
                <w:bCs w:val="1"/>
                <w:color w:val="auto"/>
              </w:rPr>
              <w:t>Thirty-nine weeks ended</w:t>
            </w:r>
          </w:p>
        </w:tc>
        <w:tc>
          <w:tcPr>
            <w:tcW w:w="20" w:type="dxa"/>
            <w:vAlign w:val="bottom"/>
          </w:tcPr>
          <w:p>
            <w:pPr>
              <w:spacing w:after="0"/>
              <w:rPr>
                <w:sz w:val="18"/>
                <w:szCs w:val="18"/>
                <w:color w:val="auto"/>
              </w:rPr>
            </w:pPr>
          </w:p>
        </w:tc>
      </w:tr>
      <w:tr>
        <w:trPr>
          <w:trHeight w:val="183"/>
        </w:trPr>
        <w:tc>
          <w:tcPr>
            <w:tcW w:w="2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jc w:val="center"/>
              <w:ind w:right="143"/>
              <w:spacing w:after="0"/>
              <w:rPr>
                <w:sz w:val="20"/>
                <w:szCs w:val="20"/>
                <w:color w:val="auto"/>
              </w:rPr>
            </w:pPr>
            <w:r>
              <w:rPr>
                <w:rFonts w:ascii="Arial" w:cs="Arial" w:eastAsia="Arial" w:hAnsi="Arial"/>
                <w:sz w:val="15"/>
                <w:szCs w:val="15"/>
                <w:b w:val="1"/>
                <w:bCs w:val="1"/>
                <w:color w:val="auto"/>
              </w:rPr>
              <w:t>November 3,</w:t>
            </w:r>
          </w:p>
        </w:tc>
        <w:tc>
          <w:tcPr>
            <w:tcW w:w="1300" w:type="dxa"/>
            <w:vAlign w:val="bottom"/>
          </w:tcPr>
          <w:p>
            <w:pPr>
              <w:jc w:val="center"/>
              <w:ind w:left="223"/>
              <w:spacing w:after="0"/>
              <w:rPr>
                <w:sz w:val="20"/>
                <w:szCs w:val="20"/>
                <w:color w:val="auto"/>
              </w:rPr>
            </w:pPr>
            <w:r>
              <w:rPr>
                <w:rFonts w:ascii="Arial" w:cs="Arial" w:eastAsia="Arial" w:hAnsi="Arial"/>
                <w:sz w:val="15"/>
                <w:szCs w:val="15"/>
                <w:b w:val="1"/>
                <w:bCs w:val="1"/>
                <w:color w:val="auto"/>
              </w:rPr>
              <w:t>October 28,</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ind w:right="203"/>
              <w:spacing w:after="0"/>
              <w:rPr>
                <w:sz w:val="20"/>
                <w:szCs w:val="20"/>
                <w:color w:val="auto"/>
              </w:rPr>
            </w:pPr>
            <w:r>
              <w:rPr>
                <w:rFonts w:ascii="Arial" w:cs="Arial" w:eastAsia="Arial" w:hAnsi="Arial"/>
                <w:sz w:val="15"/>
                <w:szCs w:val="15"/>
                <w:b w:val="1"/>
                <w:bCs w:val="1"/>
                <w:color w:val="auto"/>
              </w:rPr>
              <w:t>November 3,</w:t>
            </w:r>
          </w:p>
        </w:tc>
        <w:tc>
          <w:tcPr>
            <w:tcW w:w="300" w:type="dxa"/>
            <w:vAlign w:val="bottom"/>
          </w:tcPr>
          <w:p>
            <w:pPr>
              <w:spacing w:after="0"/>
              <w:rPr>
                <w:sz w:val="15"/>
                <w:szCs w:val="15"/>
                <w:color w:val="auto"/>
              </w:rPr>
            </w:pPr>
          </w:p>
        </w:tc>
        <w:tc>
          <w:tcPr>
            <w:tcW w:w="1160" w:type="dxa"/>
            <w:vAlign w:val="bottom"/>
          </w:tcPr>
          <w:p>
            <w:pPr>
              <w:jc w:val="right"/>
              <w:ind w:right="203"/>
              <w:spacing w:after="0"/>
              <w:rPr>
                <w:sz w:val="20"/>
                <w:szCs w:val="20"/>
                <w:color w:val="auto"/>
              </w:rPr>
            </w:pPr>
            <w:r>
              <w:rPr>
                <w:rFonts w:ascii="Arial" w:cs="Arial" w:eastAsia="Arial" w:hAnsi="Arial"/>
                <w:sz w:val="15"/>
                <w:szCs w:val="15"/>
                <w:b w:val="1"/>
                <w:bCs w:val="1"/>
                <w:color w:val="auto"/>
              </w:rPr>
              <w:t>October 28,</w:t>
            </w:r>
          </w:p>
        </w:tc>
        <w:tc>
          <w:tcPr>
            <w:tcW w:w="20" w:type="dxa"/>
            <w:vAlign w:val="bottom"/>
          </w:tcPr>
          <w:p>
            <w:pPr>
              <w:spacing w:after="0"/>
              <w:rPr>
                <w:sz w:val="15"/>
                <w:szCs w:val="15"/>
                <w:color w:val="auto"/>
              </w:rPr>
            </w:pPr>
          </w:p>
        </w:tc>
      </w:tr>
      <w:tr>
        <w:trPr>
          <w:trHeight w:val="211"/>
        </w:trPr>
        <w:tc>
          <w:tcPr>
            <w:tcW w:w="2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2018</w:t>
            </w:r>
          </w:p>
        </w:tc>
        <w:tc>
          <w:tcPr>
            <w:tcW w:w="130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2017</w:t>
            </w:r>
          </w:p>
        </w:tc>
        <w:tc>
          <w:tcPr>
            <w:tcW w:w="3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2018</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2017</w:t>
            </w:r>
          </w:p>
        </w:tc>
        <w:tc>
          <w:tcPr>
            <w:tcW w:w="20" w:type="dxa"/>
            <w:vAlign w:val="bottom"/>
          </w:tcPr>
          <w:p>
            <w:pPr>
              <w:spacing w:after="0"/>
              <w:rPr>
                <w:sz w:val="18"/>
                <w:szCs w:val="18"/>
                <w:color w:val="auto"/>
              </w:rPr>
            </w:pPr>
          </w:p>
        </w:tc>
      </w:tr>
      <w:tr>
        <w:trPr>
          <w:trHeight w:val="194"/>
        </w:trPr>
        <w:tc>
          <w:tcPr>
            <w:tcW w:w="2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1103"/>
              <w:spacing w:after="0"/>
              <w:rPr>
                <w:sz w:val="20"/>
                <w:szCs w:val="20"/>
                <w:color w:val="auto"/>
              </w:rPr>
            </w:pPr>
            <w:r>
              <w:rPr>
                <w:rFonts w:ascii="Arial" w:cs="Arial" w:eastAsia="Arial" w:hAnsi="Arial"/>
                <w:sz w:val="15"/>
                <w:szCs w:val="15"/>
                <w:color w:val="auto"/>
              </w:rPr>
              <w:t>($ in millions)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2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Amortization expense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w:t>
            </w:r>
          </w:p>
        </w:tc>
        <w:tc>
          <w:tcPr>
            <w:tcW w:w="1300" w:type="dxa"/>
            <w:vAlign w:val="bottom"/>
            <w:tcBorders>
              <w:bottom w:val="single" w:sz="8" w:color="auto"/>
            </w:tcBorders>
            <w:shd w:val="clear" w:color="auto" w:fill="CCEEFF"/>
          </w:tcPr>
          <w:p>
            <w:pPr>
              <w:jc w:val="right"/>
              <w:ind w:right="923"/>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6"/>
                <w:szCs w:val="16"/>
                <w:color w:val="auto"/>
              </w:rPr>
            </w:pPr>
          </w:p>
        </w:tc>
      </w:tr>
      <w:tr>
        <w:trPr>
          <w:trHeight w:val="367"/>
        </w:trPr>
        <w:tc>
          <w:tcPr>
            <w:tcW w:w="5740" w:type="dxa"/>
            <w:vAlign w:val="bottom"/>
            <w:gridSpan w:val="4"/>
          </w:tcPr>
          <w:p>
            <w:pPr>
              <w:spacing w:after="0"/>
              <w:rPr>
                <w:sz w:val="20"/>
                <w:szCs w:val="20"/>
                <w:color w:val="auto"/>
              </w:rPr>
            </w:pPr>
            <w:r>
              <w:rPr>
                <w:rFonts w:ascii="Arial" w:cs="Arial" w:eastAsia="Arial" w:hAnsi="Arial"/>
                <w:sz w:val="15"/>
                <w:szCs w:val="15"/>
                <w:color w:val="auto"/>
              </w:rPr>
              <w:t>Estimated future amortization expense for finite-life intangible assets is as follows:</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2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 in millions)</w:t>
            </w:r>
          </w:p>
        </w:tc>
        <w:tc>
          <w:tcPr>
            <w:tcW w:w="20" w:type="dxa"/>
            <w:vAlign w:val="bottom"/>
          </w:tcPr>
          <w:p>
            <w:pPr>
              <w:spacing w:after="0"/>
              <w:rPr>
                <w:sz w:val="19"/>
                <w:szCs w:val="19"/>
                <w:color w:val="auto"/>
              </w:rPr>
            </w:pPr>
          </w:p>
        </w:tc>
      </w:tr>
      <w:tr>
        <w:trPr>
          <w:trHeight w:val="187"/>
        </w:trPr>
        <w:tc>
          <w:tcPr>
            <w:tcW w:w="2320" w:type="dxa"/>
            <w:vAlign w:val="bottom"/>
            <w:shd w:val="clear" w:color="auto" w:fill="CCEEFF"/>
          </w:tcPr>
          <w:p>
            <w:pPr>
              <w:spacing w:after="0"/>
              <w:rPr>
                <w:sz w:val="20"/>
                <w:szCs w:val="20"/>
                <w:color w:val="auto"/>
              </w:rPr>
            </w:pPr>
            <w:r>
              <w:rPr>
                <w:rFonts w:ascii="Arial" w:cs="Arial" w:eastAsia="Arial" w:hAnsi="Arial"/>
                <w:sz w:val="15"/>
                <w:szCs w:val="15"/>
                <w:color w:val="auto"/>
              </w:rPr>
              <w:t>Remainder of 2018</w:t>
            </w:r>
          </w:p>
        </w:tc>
        <w:tc>
          <w:tcPr>
            <w:tcW w:w="9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6"/>
                <w:szCs w:val="16"/>
                <w:color w:val="auto"/>
              </w:rPr>
            </w:pPr>
          </w:p>
        </w:tc>
      </w:tr>
      <w:tr>
        <w:trPr>
          <w:trHeight w:val="207"/>
        </w:trPr>
        <w:tc>
          <w:tcPr>
            <w:tcW w:w="2320" w:type="dxa"/>
            <w:vAlign w:val="bottom"/>
          </w:tcPr>
          <w:p>
            <w:pPr>
              <w:spacing w:after="0"/>
              <w:rPr>
                <w:sz w:val="20"/>
                <w:szCs w:val="20"/>
                <w:color w:val="auto"/>
              </w:rPr>
            </w:pPr>
            <w:r>
              <w:rPr>
                <w:rFonts w:ascii="Arial" w:cs="Arial" w:eastAsia="Arial" w:hAnsi="Arial"/>
                <w:sz w:val="15"/>
                <w:szCs w:val="15"/>
                <w:color w:val="auto"/>
              </w:rPr>
              <w:t>2019</w:t>
            </w:r>
          </w:p>
        </w:tc>
        <w:tc>
          <w:tcPr>
            <w:tcW w:w="9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7"/>
                <w:szCs w:val="17"/>
                <w:color w:val="auto"/>
              </w:rPr>
            </w:pPr>
          </w:p>
        </w:tc>
      </w:tr>
      <w:tr>
        <w:trPr>
          <w:trHeight w:val="207"/>
        </w:trPr>
        <w:tc>
          <w:tcPr>
            <w:tcW w:w="2320" w:type="dxa"/>
            <w:vAlign w:val="bottom"/>
            <w:shd w:val="clear" w:color="auto" w:fill="CCEEFF"/>
          </w:tcPr>
          <w:p>
            <w:pPr>
              <w:spacing w:after="0"/>
              <w:rPr>
                <w:sz w:val="20"/>
                <w:szCs w:val="20"/>
                <w:color w:val="auto"/>
              </w:rPr>
            </w:pPr>
            <w:r>
              <w:rPr>
                <w:rFonts w:ascii="Arial" w:cs="Arial" w:eastAsia="Arial" w:hAnsi="Arial"/>
                <w:sz w:val="15"/>
                <w:szCs w:val="15"/>
                <w:color w:val="auto"/>
              </w:rPr>
              <w:t>2020</w:t>
            </w:r>
          </w:p>
        </w:tc>
        <w:tc>
          <w:tcPr>
            <w:tcW w:w="9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7"/>
                <w:szCs w:val="17"/>
                <w:color w:val="auto"/>
              </w:rPr>
            </w:pPr>
          </w:p>
        </w:tc>
      </w:tr>
      <w:tr>
        <w:trPr>
          <w:trHeight w:val="207"/>
        </w:trPr>
        <w:tc>
          <w:tcPr>
            <w:tcW w:w="2320" w:type="dxa"/>
            <w:vAlign w:val="bottom"/>
          </w:tcPr>
          <w:p>
            <w:pPr>
              <w:spacing w:after="0"/>
              <w:rPr>
                <w:sz w:val="20"/>
                <w:szCs w:val="20"/>
                <w:color w:val="auto"/>
              </w:rPr>
            </w:pPr>
            <w:r>
              <w:rPr>
                <w:rFonts w:ascii="Arial" w:cs="Arial" w:eastAsia="Arial" w:hAnsi="Arial"/>
                <w:sz w:val="15"/>
                <w:szCs w:val="15"/>
                <w:color w:val="auto"/>
              </w:rPr>
              <w:t>2021</w:t>
            </w:r>
          </w:p>
        </w:tc>
        <w:tc>
          <w:tcPr>
            <w:tcW w:w="9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7"/>
                <w:szCs w:val="17"/>
                <w:color w:val="auto"/>
              </w:rPr>
            </w:pPr>
          </w:p>
        </w:tc>
      </w:tr>
      <w:tr>
        <w:trPr>
          <w:trHeight w:val="207"/>
        </w:trPr>
        <w:tc>
          <w:tcPr>
            <w:tcW w:w="2320" w:type="dxa"/>
            <w:vAlign w:val="bottom"/>
            <w:shd w:val="clear" w:color="auto" w:fill="CCEEFF"/>
          </w:tcPr>
          <w:p>
            <w:pPr>
              <w:spacing w:after="0"/>
              <w:rPr>
                <w:sz w:val="20"/>
                <w:szCs w:val="20"/>
                <w:color w:val="auto"/>
              </w:rPr>
            </w:pPr>
            <w:r>
              <w:rPr>
                <w:rFonts w:ascii="Arial" w:cs="Arial" w:eastAsia="Arial" w:hAnsi="Arial"/>
                <w:sz w:val="15"/>
                <w:szCs w:val="15"/>
                <w:color w:val="auto"/>
              </w:rPr>
              <w:t>2022</w:t>
            </w:r>
          </w:p>
        </w:tc>
        <w:tc>
          <w:tcPr>
            <w:tcW w:w="9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7"/>
                <w:szCs w:val="17"/>
                <w:color w:val="auto"/>
              </w:rPr>
            </w:pPr>
          </w:p>
        </w:tc>
      </w:tr>
      <w:tr>
        <w:trPr>
          <w:trHeight w:val="207"/>
        </w:trPr>
        <w:tc>
          <w:tcPr>
            <w:tcW w:w="23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2023</w:t>
            </w:r>
          </w:p>
        </w:tc>
        <w:tc>
          <w:tcPr>
            <w:tcW w:w="9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7"/>
                <w:szCs w:val="17"/>
                <w:color w:val="auto"/>
              </w:rPr>
            </w:pPr>
          </w:p>
        </w:tc>
      </w:tr>
      <w:tr>
        <w:trPr>
          <w:trHeight w:val="731"/>
        </w:trPr>
        <w:tc>
          <w:tcPr>
            <w:tcW w:w="2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jc w:val="right"/>
              <w:ind w:right="1063"/>
              <w:spacing w:after="0"/>
              <w:rPr>
                <w:sz w:val="20"/>
                <w:szCs w:val="20"/>
                <w:color w:val="auto"/>
              </w:rPr>
            </w:pPr>
            <w:r>
              <w:rPr>
                <w:rFonts w:ascii="Arial" w:cs="Arial" w:eastAsia="Arial" w:hAnsi="Arial"/>
                <w:sz w:val="15"/>
                <w:szCs w:val="15"/>
                <w:color w:val="auto"/>
              </w:rPr>
              <w:t>9</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8"/>
        </w:trPr>
        <w:tc>
          <w:tcPr>
            <w:tcW w:w="23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232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116" w:right="1379" w:bottom="1440" w:gutter="0" w:footer="0" w:header="0"/>
        </w:sectPr>
      </w:pPr>
    </w:p>
    <w:bookmarkStart w:id="11" w:name="page12"/>
    <w:bookmarkEnd w:id="11"/>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Accumulated Other Comprehensive Loss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Accumulated other comprehensive loss (“AOCL”), net of tax, is comprised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80" w:type="dxa"/>
            <w:vAlign w:val="bottom"/>
          </w:tcPr>
          <w:p>
            <w:pPr>
              <w:spacing w:after="0"/>
              <w:rPr>
                <w:sz w:val="15"/>
                <w:szCs w:val="15"/>
                <w:color w:val="auto"/>
              </w:rPr>
            </w:pPr>
          </w:p>
        </w:tc>
        <w:tc>
          <w:tcPr>
            <w:tcW w:w="1980" w:type="dxa"/>
            <w:vAlign w:val="bottom"/>
            <w:gridSpan w:val="2"/>
          </w:tcPr>
          <w:p>
            <w:pPr>
              <w:ind w:left="700"/>
              <w:spacing w:after="0"/>
              <w:rPr>
                <w:sz w:val="20"/>
                <w:szCs w:val="20"/>
                <w:color w:val="auto"/>
              </w:rPr>
            </w:pPr>
            <w:r>
              <w:rPr>
                <w:rFonts w:ascii="Arial" w:cs="Arial" w:eastAsia="Arial" w:hAnsi="Arial"/>
                <w:sz w:val="15"/>
                <w:szCs w:val="15"/>
                <w:b w:val="1"/>
                <w:bCs w:val="1"/>
                <w:color w:val="auto"/>
              </w:rPr>
              <w:t>November 3,</w:t>
            </w:r>
          </w:p>
        </w:tc>
        <w:tc>
          <w:tcPr>
            <w:tcW w:w="1480" w:type="dxa"/>
            <w:vAlign w:val="bottom"/>
            <w:gridSpan w:val="2"/>
          </w:tcPr>
          <w:p>
            <w:pPr>
              <w:jc w:val="right"/>
              <w:ind w:right="323"/>
              <w:spacing w:after="0"/>
              <w:rPr>
                <w:sz w:val="20"/>
                <w:szCs w:val="20"/>
                <w:color w:val="auto"/>
              </w:rPr>
            </w:pPr>
            <w:r>
              <w:rPr>
                <w:rFonts w:ascii="Arial" w:cs="Arial" w:eastAsia="Arial" w:hAnsi="Arial"/>
                <w:sz w:val="15"/>
                <w:szCs w:val="15"/>
                <w:b w:val="1"/>
                <w:bCs w:val="1"/>
                <w:color w:val="auto"/>
              </w:rPr>
              <w:t>October 28,</w:t>
            </w:r>
          </w:p>
        </w:tc>
        <w:tc>
          <w:tcPr>
            <w:tcW w:w="1260" w:type="dxa"/>
            <w:vAlign w:val="bottom"/>
            <w:gridSpan w:val="2"/>
          </w:tcPr>
          <w:p>
            <w:pPr>
              <w:jc w:val="right"/>
              <w:ind w:right="123"/>
              <w:spacing w:after="0"/>
              <w:rPr>
                <w:sz w:val="20"/>
                <w:szCs w:val="20"/>
                <w:color w:val="auto"/>
              </w:rPr>
            </w:pPr>
            <w:r>
              <w:rPr>
                <w:rFonts w:ascii="Arial" w:cs="Arial" w:eastAsia="Arial" w:hAnsi="Arial"/>
                <w:sz w:val="15"/>
                <w:szCs w:val="15"/>
                <w:b w:val="1"/>
                <w:bCs w:val="1"/>
                <w:color w:val="auto"/>
              </w:rPr>
              <w:t>February 3,</w:t>
            </w:r>
          </w:p>
        </w:tc>
      </w:tr>
      <w:tr>
        <w:trPr>
          <w:trHeight w:val="194"/>
        </w:trPr>
        <w:tc>
          <w:tcPr>
            <w:tcW w:w="4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2018</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63"/>
              <w:spacing w:after="0"/>
              <w:rPr>
                <w:sz w:val="20"/>
                <w:szCs w:val="20"/>
                <w:color w:val="auto"/>
              </w:rPr>
            </w:pPr>
            <w:r>
              <w:rPr>
                <w:rFonts w:ascii="Arial" w:cs="Arial" w:eastAsia="Arial" w:hAnsi="Arial"/>
                <w:sz w:val="15"/>
                <w:szCs w:val="15"/>
                <w:b w:val="1"/>
                <w:bCs w:val="1"/>
                <w:color w:val="auto"/>
              </w:rPr>
              <w:t>2017</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2018</w:t>
            </w:r>
          </w:p>
        </w:tc>
      </w:tr>
      <w:tr>
        <w:trPr>
          <w:trHeight w:val="187"/>
        </w:trPr>
        <w:tc>
          <w:tcPr>
            <w:tcW w:w="4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00"/>
              <w:spacing w:after="0"/>
              <w:rPr>
                <w:sz w:val="20"/>
                <w:szCs w:val="20"/>
                <w:color w:val="auto"/>
              </w:rPr>
            </w:pPr>
            <w:r>
              <w:rPr>
                <w:rFonts w:ascii="Arial" w:cs="Arial" w:eastAsia="Arial" w:hAnsi="Arial"/>
                <w:sz w:val="15"/>
                <w:szCs w:val="15"/>
                <w:color w:val="auto"/>
              </w:rPr>
              <w:t>($ in millions)</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87"/>
        </w:trPr>
        <w:tc>
          <w:tcPr>
            <w:tcW w:w="4380" w:type="dxa"/>
            <w:vAlign w:val="bottom"/>
            <w:shd w:val="clear" w:color="auto" w:fill="CCEEFF"/>
          </w:tcPr>
          <w:p>
            <w:pPr>
              <w:spacing w:after="0"/>
              <w:rPr>
                <w:sz w:val="20"/>
                <w:szCs w:val="20"/>
                <w:color w:val="auto"/>
              </w:rPr>
            </w:pPr>
            <w:r>
              <w:rPr>
                <w:rFonts w:ascii="Arial" w:cs="Arial" w:eastAsia="Arial" w:hAnsi="Arial"/>
                <w:sz w:val="15"/>
                <w:szCs w:val="15"/>
                <w:color w:val="auto"/>
              </w:rPr>
              <w:t>Foreign currency translation adjustments</w:t>
            </w:r>
          </w:p>
        </w:tc>
        <w:tc>
          <w:tcPr>
            <w:tcW w:w="880" w:type="dxa"/>
            <w:vAlign w:val="bottom"/>
            <w:shd w:val="clear" w:color="auto" w:fill="CCEEFF"/>
          </w:tcPr>
          <w:p>
            <w:pPr>
              <w:ind w:left="680"/>
              <w:spacing w:after="0"/>
              <w:rPr>
                <w:sz w:val="20"/>
                <w:szCs w:val="20"/>
                <w:color w:val="auto"/>
              </w:rPr>
            </w:pPr>
            <w:r>
              <w:rPr>
                <w:rFonts w:ascii="Arial" w:cs="Arial" w:eastAsia="Arial" w:hAnsi="Arial"/>
                <w:sz w:val="15"/>
                <w:szCs w:val="15"/>
                <w:b w:val="1"/>
                <w:bCs w:val="1"/>
                <w:color w:val="auto"/>
              </w:rPr>
              <w:t>$</w:t>
            </w:r>
          </w:p>
        </w:tc>
        <w:tc>
          <w:tcPr>
            <w:tcW w:w="110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(90)</w:t>
            </w:r>
          </w:p>
        </w:tc>
        <w:tc>
          <w:tcPr>
            <w:tcW w:w="3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(57)</w:t>
            </w:r>
          </w:p>
        </w:tc>
        <w:tc>
          <w:tcPr>
            <w:tcW w:w="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r>
      <w:tr>
        <w:trPr>
          <w:trHeight w:val="207"/>
        </w:trPr>
        <w:tc>
          <w:tcPr>
            <w:tcW w:w="4380" w:type="dxa"/>
            <w:vAlign w:val="bottom"/>
          </w:tcPr>
          <w:p>
            <w:pPr>
              <w:spacing w:after="0"/>
              <w:rPr>
                <w:sz w:val="20"/>
                <w:szCs w:val="20"/>
                <w:color w:val="auto"/>
              </w:rPr>
            </w:pPr>
            <w:r>
              <w:rPr>
                <w:rFonts w:ascii="Arial" w:cs="Arial" w:eastAsia="Arial" w:hAnsi="Arial"/>
                <w:sz w:val="15"/>
                <w:szCs w:val="15"/>
                <w:color w:val="auto"/>
              </w:rPr>
              <w:t>Cash flow hedges</w:t>
            </w:r>
          </w:p>
        </w:tc>
        <w:tc>
          <w:tcPr>
            <w:tcW w:w="880" w:type="dxa"/>
            <w:vAlign w:val="bottom"/>
          </w:tcPr>
          <w:p>
            <w:pPr>
              <w:spacing w:after="0"/>
              <w:rPr>
                <w:sz w:val="17"/>
                <w:szCs w:val="17"/>
                <w:color w:val="auto"/>
              </w:rPr>
            </w:pPr>
          </w:p>
        </w:tc>
        <w:tc>
          <w:tcPr>
            <w:tcW w:w="1100" w:type="dxa"/>
            <w:vAlign w:val="bottom"/>
          </w:tcPr>
          <w:p>
            <w:pPr>
              <w:jc w:val="right"/>
              <w:ind w:right="163"/>
              <w:spacing w:after="0"/>
              <w:rPr>
                <w:sz w:val="20"/>
                <w:szCs w:val="20"/>
                <w:color w:val="auto"/>
              </w:rPr>
            </w:pPr>
            <w:r>
              <w:rPr>
                <w:rFonts w:ascii="Arial" w:cs="Arial" w:eastAsia="Arial" w:hAnsi="Arial"/>
                <w:sz w:val="15"/>
                <w:szCs w:val="15"/>
                <w:b w:val="1"/>
                <w:bCs w:val="1"/>
                <w:color w:val="auto"/>
              </w:rPr>
              <w:t>1</w:t>
            </w:r>
          </w:p>
        </w:tc>
        <w:tc>
          <w:tcPr>
            <w:tcW w:w="380" w:type="dxa"/>
            <w:vAlign w:val="bottom"/>
          </w:tcPr>
          <w:p>
            <w:pPr>
              <w:spacing w:after="0"/>
              <w:rPr>
                <w:sz w:val="17"/>
                <w:szCs w:val="17"/>
                <w:color w:val="auto"/>
              </w:rPr>
            </w:pPr>
          </w:p>
        </w:tc>
        <w:tc>
          <w:tcPr>
            <w:tcW w:w="1100" w:type="dxa"/>
            <w:vAlign w:val="bottom"/>
          </w:tcPr>
          <w:p>
            <w:pPr>
              <w:jc w:val="right"/>
              <w:ind w:right="163"/>
              <w:spacing w:after="0"/>
              <w:rPr>
                <w:sz w:val="20"/>
                <w:szCs w:val="20"/>
                <w:color w:val="auto"/>
              </w:rPr>
            </w:pPr>
            <w:r>
              <w:rPr>
                <w:rFonts w:ascii="Arial" w:cs="Arial" w:eastAsia="Arial" w:hAnsi="Arial"/>
                <w:sz w:val="15"/>
                <w:szCs w:val="15"/>
                <w:color w:val="auto"/>
              </w:rPr>
              <w:t>2</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Unrecognized pension cost and postretirement benefit</w:t>
            </w:r>
          </w:p>
        </w:tc>
        <w:tc>
          <w:tcPr>
            <w:tcW w:w="8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(272)</w:t>
            </w:r>
          </w:p>
        </w:tc>
        <w:tc>
          <w:tcPr>
            <w:tcW w:w="3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(231)</w:t>
            </w:r>
          </w:p>
        </w:tc>
        <w:tc>
          <w:tcPr>
            <w:tcW w:w="3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(270)</w:t>
            </w:r>
          </w:p>
        </w:tc>
      </w:tr>
      <w:tr>
        <w:trPr>
          <w:trHeight w:val="179"/>
        </w:trPr>
        <w:tc>
          <w:tcPr>
            <w:tcW w:w="4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680"/>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(361)</w:t>
            </w:r>
          </w:p>
        </w:tc>
        <w:tc>
          <w:tcPr>
            <w:tcW w:w="38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(286)</w:t>
            </w:r>
          </w:p>
        </w:tc>
        <w:tc>
          <w:tcPr>
            <w:tcW w:w="3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(279)</w:t>
            </w:r>
          </w:p>
        </w:tc>
      </w:tr>
    </w:tbl>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20" w:type="dxa"/>
            <w:vAlign w:val="bottom"/>
            <w:gridSpan w:val="5"/>
          </w:tcPr>
          <w:p>
            <w:pPr>
              <w:spacing w:after="0"/>
              <w:rPr>
                <w:sz w:val="20"/>
                <w:szCs w:val="20"/>
                <w:color w:val="auto"/>
              </w:rPr>
            </w:pPr>
            <w:r>
              <w:rPr>
                <w:rFonts w:ascii="Arial" w:cs="Arial" w:eastAsia="Arial" w:hAnsi="Arial"/>
                <w:sz w:val="15"/>
                <w:szCs w:val="15"/>
                <w:color w:val="auto"/>
              </w:rPr>
              <w:t>The changes in AOCL for the thirty-nine weeks ended November 3, 2018 were as follows: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5"/>
        </w:trPr>
        <w:tc>
          <w:tcPr>
            <w:tcW w:w="3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60" w:type="dxa"/>
            <w:vAlign w:val="bottom"/>
            <w:gridSpan w:val="2"/>
          </w:tcPr>
          <w:p>
            <w:pPr>
              <w:jc w:val="center"/>
              <w:ind w:right="23"/>
              <w:spacing w:after="0"/>
              <w:rPr>
                <w:sz w:val="20"/>
                <w:szCs w:val="20"/>
                <w:color w:val="auto"/>
              </w:rPr>
            </w:pPr>
            <w:r>
              <w:rPr>
                <w:rFonts w:ascii="Arial" w:cs="Arial" w:eastAsia="Arial" w:hAnsi="Arial"/>
                <w:sz w:val="15"/>
                <w:szCs w:val="15"/>
                <w:b w:val="1"/>
                <w:bCs w:val="1"/>
                <w:color w:val="auto"/>
              </w:rPr>
              <w:t>Items Related</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2"/>
        </w:trPr>
        <w:tc>
          <w:tcPr>
            <w:tcW w:w="3380" w:type="dxa"/>
            <w:vAlign w:val="bottom"/>
          </w:tcPr>
          <w:p>
            <w:pPr>
              <w:spacing w:after="0"/>
              <w:rPr>
                <w:sz w:val="15"/>
                <w:szCs w:val="15"/>
                <w:color w:val="auto"/>
              </w:rPr>
            </w:pPr>
          </w:p>
        </w:tc>
        <w:tc>
          <w:tcPr>
            <w:tcW w:w="1500" w:type="dxa"/>
            <w:vAlign w:val="bottom"/>
            <w:gridSpan w:val="2"/>
          </w:tcPr>
          <w:p>
            <w:pPr>
              <w:jc w:val="center"/>
              <w:ind w:right="103"/>
              <w:spacing w:after="0"/>
              <w:rPr>
                <w:sz w:val="20"/>
                <w:szCs w:val="20"/>
                <w:color w:val="auto"/>
              </w:rPr>
            </w:pPr>
            <w:r>
              <w:rPr>
                <w:rFonts w:ascii="Arial" w:cs="Arial" w:eastAsia="Arial" w:hAnsi="Arial"/>
                <w:sz w:val="15"/>
                <w:szCs w:val="15"/>
                <w:b w:val="1"/>
                <w:bCs w:val="1"/>
                <w:color w:val="auto"/>
              </w:rPr>
              <w:t>Foreign Currency</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gridSpan w:val="2"/>
          </w:tcPr>
          <w:p>
            <w:pPr>
              <w:jc w:val="center"/>
              <w:ind w:right="23"/>
              <w:spacing w:after="0"/>
              <w:rPr>
                <w:sz w:val="20"/>
                <w:szCs w:val="20"/>
                <w:color w:val="auto"/>
              </w:rPr>
            </w:pPr>
            <w:r>
              <w:rPr>
                <w:rFonts w:ascii="Arial" w:cs="Arial" w:eastAsia="Arial" w:hAnsi="Arial"/>
                <w:sz w:val="15"/>
                <w:szCs w:val="15"/>
                <w:b w:val="1"/>
                <w:bCs w:val="1"/>
                <w:color w:val="auto"/>
              </w:rPr>
              <w:t>to Pension and</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3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center"/>
              <w:ind w:right="343"/>
              <w:spacing w:after="0"/>
              <w:rPr>
                <w:sz w:val="20"/>
                <w:szCs w:val="20"/>
                <w:color w:val="auto"/>
              </w:rPr>
            </w:pPr>
            <w:r>
              <w:rPr>
                <w:rFonts w:ascii="Arial" w:cs="Arial" w:eastAsia="Arial" w:hAnsi="Arial"/>
                <w:sz w:val="15"/>
                <w:szCs w:val="15"/>
                <w:b w:val="1"/>
                <w:bCs w:val="1"/>
                <w:color w:val="auto"/>
              </w:rPr>
              <w:t>Translation</w:t>
            </w:r>
          </w:p>
        </w:tc>
        <w:tc>
          <w:tcPr>
            <w:tcW w:w="240" w:type="dxa"/>
            <w:vAlign w:val="bottom"/>
          </w:tcPr>
          <w:p>
            <w:pPr>
              <w:spacing w:after="0"/>
              <w:rPr>
                <w:sz w:val="15"/>
                <w:szCs w:val="15"/>
                <w:color w:val="auto"/>
              </w:rPr>
            </w:pPr>
          </w:p>
        </w:tc>
        <w:tc>
          <w:tcPr>
            <w:tcW w:w="1200" w:type="dxa"/>
            <w:vAlign w:val="bottom"/>
          </w:tcPr>
          <w:p>
            <w:pPr>
              <w:jc w:val="center"/>
              <w:ind w:right="303"/>
              <w:spacing w:after="0"/>
              <w:rPr>
                <w:sz w:val="20"/>
                <w:szCs w:val="20"/>
                <w:color w:val="auto"/>
              </w:rPr>
            </w:pPr>
            <w:r>
              <w:rPr>
                <w:rFonts w:ascii="Arial" w:cs="Arial" w:eastAsia="Arial" w:hAnsi="Arial"/>
                <w:sz w:val="15"/>
                <w:szCs w:val="15"/>
                <w:b w:val="1"/>
                <w:bCs w:val="1"/>
                <w:color w:val="auto"/>
              </w:rPr>
              <w:t>Cash Flow</w:t>
            </w:r>
          </w:p>
        </w:tc>
        <w:tc>
          <w:tcPr>
            <w:tcW w:w="1460" w:type="dxa"/>
            <w:vAlign w:val="bottom"/>
            <w:gridSpan w:val="2"/>
          </w:tcPr>
          <w:p>
            <w:pPr>
              <w:jc w:val="center"/>
              <w:ind w:right="23"/>
              <w:spacing w:after="0"/>
              <w:rPr>
                <w:sz w:val="20"/>
                <w:szCs w:val="20"/>
                <w:color w:val="auto"/>
              </w:rPr>
            </w:pPr>
            <w:r>
              <w:rPr>
                <w:rFonts w:ascii="Arial" w:cs="Arial" w:eastAsia="Arial" w:hAnsi="Arial"/>
                <w:sz w:val="15"/>
                <w:szCs w:val="15"/>
                <w:b w:val="1"/>
                <w:bCs w:val="1"/>
                <w:color w:val="auto"/>
              </w:rPr>
              <w:t>Postretirement</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4"/>
        </w:trPr>
        <w:tc>
          <w:tcPr>
            <w:tcW w:w="3380" w:type="dxa"/>
            <w:vAlign w:val="bottom"/>
          </w:tcPr>
          <w:p>
            <w:pPr>
              <w:spacing w:after="0"/>
              <w:rPr>
                <w:sz w:val="20"/>
                <w:szCs w:val="20"/>
                <w:color w:val="auto"/>
              </w:rPr>
            </w:pPr>
            <w:r>
              <w:rPr>
                <w:rFonts w:ascii="Arial" w:cs="Arial" w:eastAsia="Arial" w:hAnsi="Arial"/>
                <w:sz w:val="15"/>
                <w:szCs w:val="15"/>
                <w:color w:val="auto"/>
              </w:rPr>
              <w:t>($ in millions)</w:t>
            </w:r>
          </w:p>
        </w:tc>
        <w:tc>
          <w:tcPr>
            <w:tcW w:w="1500" w:type="dxa"/>
            <w:vAlign w:val="bottom"/>
            <w:gridSpan w:val="2"/>
          </w:tcPr>
          <w:p>
            <w:pPr>
              <w:jc w:val="center"/>
              <w:ind w:right="103"/>
              <w:spacing w:after="0"/>
              <w:rPr>
                <w:sz w:val="20"/>
                <w:szCs w:val="20"/>
                <w:color w:val="auto"/>
              </w:rPr>
            </w:pPr>
            <w:r>
              <w:rPr>
                <w:rFonts w:ascii="Arial" w:cs="Arial" w:eastAsia="Arial" w:hAnsi="Arial"/>
                <w:sz w:val="15"/>
                <w:szCs w:val="15"/>
                <w:b w:val="1"/>
                <w:bCs w:val="1"/>
                <w:color w:val="auto"/>
              </w:rPr>
              <w:t>Adjustments</w:t>
            </w:r>
          </w:p>
        </w:tc>
        <w:tc>
          <w:tcPr>
            <w:tcW w:w="240" w:type="dxa"/>
            <w:vAlign w:val="bottom"/>
          </w:tcPr>
          <w:p>
            <w:pPr>
              <w:spacing w:after="0"/>
              <w:rPr>
                <w:sz w:val="16"/>
                <w:szCs w:val="16"/>
                <w:color w:val="auto"/>
              </w:rPr>
            </w:pPr>
          </w:p>
        </w:tc>
        <w:tc>
          <w:tcPr>
            <w:tcW w:w="1200" w:type="dxa"/>
            <w:vAlign w:val="bottom"/>
          </w:tcPr>
          <w:p>
            <w:pPr>
              <w:jc w:val="center"/>
              <w:ind w:right="323"/>
              <w:spacing w:after="0"/>
              <w:rPr>
                <w:sz w:val="20"/>
                <w:szCs w:val="20"/>
                <w:color w:val="auto"/>
              </w:rPr>
            </w:pPr>
            <w:r>
              <w:rPr>
                <w:rFonts w:ascii="Arial" w:cs="Arial" w:eastAsia="Arial" w:hAnsi="Arial"/>
                <w:sz w:val="15"/>
                <w:szCs w:val="15"/>
                <w:b w:val="1"/>
                <w:bCs w:val="1"/>
                <w:color w:val="auto"/>
              </w:rPr>
              <w:t>Hedges</w:t>
            </w:r>
          </w:p>
        </w:tc>
        <w:tc>
          <w:tcPr>
            <w:tcW w:w="320" w:type="dxa"/>
            <w:vAlign w:val="bottom"/>
          </w:tcPr>
          <w:p>
            <w:pPr>
              <w:spacing w:after="0"/>
              <w:rPr>
                <w:sz w:val="16"/>
                <w:szCs w:val="16"/>
                <w:color w:val="auto"/>
              </w:rPr>
            </w:pPr>
          </w:p>
        </w:tc>
        <w:tc>
          <w:tcPr>
            <w:tcW w:w="1140" w:type="dxa"/>
            <w:vAlign w:val="bottom"/>
          </w:tcPr>
          <w:p>
            <w:pPr>
              <w:jc w:val="center"/>
              <w:ind w:right="343"/>
              <w:spacing w:after="0"/>
              <w:rPr>
                <w:sz w:val="20"/>
                <w:szCs w:val="20"/>
                <w:color w:val="auto"/>
              </w:rPr>
            </w:pPr>
            <w:r>
              <w:rPr>
                <w:rFonts w:ascii="Arial" w:cs="Arial" w:eastAsia="Arial" w:hAnsi="Arial"/>
                <w:sz w:val="15"/>
                <w:szCs w:val="15"/>
                <w:b w:val="1"/>
                <w:bCs w:val="1"/>
                <w:color w:val="auto"/>
              </w:rPr>
              <w:t>Benefits</w:t>
            </w:r>
          </w:p>
        </w:tc>
        <w:tc>
          <w:tcPr>
            <w:tcW w:w="260" w:type="dxa"/>
            <w:vAlign w:val="bottom"/>
          </w:tcPr>
          <w:p>
            <w:pPr>
              <w:spacing w:after="0"/>
              <w:rPr>
                <w:sz w:val="16"/>
                <w:szCs w:val="16"/>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Total</w:t>
            </w:r>
          </w:p>
        </w:tc>
      </w:tr>
      <w:tr>
        <w:trPr>
          <w:trHeight w:val="187"/>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Balance as of February 3, 2018</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(9)</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top w:val="single" w:sz="8" w:color="auto"/>
            </w:tcBorders>
            <w:shd w:val="clear" w:color="auto" w:fill="CCEEFF"/>
          </w:tcPr>
          <w:p>
            <w:pPr>
              <w:jc w:val="center"/>
              <w:ind w:left="723"/>
              <w:spacing w:after="0"/>
              <w:rPr>
                <w:sz w:val="20"/>
                <w:szCs w:val="20"/>
                <w:color w:val="auto"/>
              </w:rPr>
            </w:pPr>
            <w:r>
              <w:rPr>
                <w:rFonts w:ascii="Arial" w:cs="Arial" w:eastAsia="Arial" w:hAnsi="Arial"/>
                <w:sz w:val="15"/>
                <w:szCs w:val="15"/>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(270)</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(279)</w:t>
            </w:r>
          </w:p>
        </w:tc>
        <w:tc>
          <w:tcPr>
            <w:tcW w:w="20" w:type="dxa"/>
            <w:vAlign w:val="bottom"/>
          </w:tcPr>
          <w:p>
            <w:pPr>
              <w:spacing w:after="0"/>
              <w:rPr>
                <w:sz w:val="16"/>
                <w:szCs w:val="16"/>
                <w:color w:val="auto"/>
              </w:rPr>
            </w:pPr>
          </w:p>
        </w:tc>
      </w:tr>
      <w:tr>
        <w:trPr>
          <w:trHeight w:val="207"/>
        </w:trPr>
        <w:tc>
          <w:tcPr>
            <w:tcW w:w="3380" w:type="dxa"/>
            <w:vAlign w:val="bottom"/>
          </w:tcPr>
          <w:p>
            <w:pPr>
              <w:spacing w:after="0"/>
              <w:rPr>
                <w:sz w:val="20"/>
                <w:szCs w:val="20"/>
                <w:color w:val="auto"/>
              </w:rPr>
            </w:pPr>
            <w:r>
              <w:rPr>
                <w:rFonts w:ascii="Arial" w:cs="Arial" w:eastAsia="Arial" w:hAnsi="Arial"/>
                <w:sz w:val="15"/>
                <w:szCs w:val="15"/>
                <w:color w:val="auto"/>
              </w:rPr>
              <w:t>OCI before reclassification</w:t>
            </w:r>
          </w:p>
        </w:tc>
        <w:tc>
          <w:tcPr>
            <w:tcW w:w="260" w:type="dxa"/>
            <w:vAlign w:val="bottom"/>
          </w:tcPr>
          <w:p>
            <w:pPr>
              <w:spacing w:after="0"/>
              <w:rPr>
                <w:sz w:val="17"/>
                <w:szCs w:val="17"/>
                <w:color w:val="auto"/>
              </w:rPr>
            </w:pPr>
          </w:p>
        </w:tc>
        <w:tc>
          <w:tcPr>
            <w:tcW w:w="1240" w:type="dxa"/>
            <w:vAlign w:val="bottom"/>
          </w:tcPr>
          <w:p>
            <w:pPr>
              <w:jc w:val="right"/>
              <w:ind w:right="83"/>
              <w:spacing w:after="0"/>
              <w:rPr>
                <w:sz w:val="20"/>
                <w:szCs w:val="20"/>
                <w:color w:val="auto"/>
              </w:rPr>
            </w:pPr>
            <w:r>
              <w:rPr>
                <w:rFonts w:ascii="Arial" w:cs="Arial" w:eastAsia="Arial" w:hAnsi="Arial"/>
                <w:sz w:val="15"/>
                <w:szCs w:val="15"/>
                <w:color w:val="auto"/>
              </w:rPr>
              <w:t>(81)</w:t>
            </w:r>
          </w:p>
        </w:tc>
        <w:tc>
          <w:tcPr>
            <w:tcW w:w="240" w:type="dxa"/>
            <w:vAlign w:val="bottom"/>
          </w:tcPr>
          <w:p>
            <w:pPr>
              <w:spacing w:after="0"/>
              <w:rPr>
                <w:sz w:val="17"/>
                <w:szCs w:val="17"/>
                <w:color w:val="auto"/>
              </w:rPr>
            </w:pPr>
          </w:p>
        </w:tc>
        <w:tc>
          <w:tcPr>
            <w:tcW w:w="1200" w:type="dxa"/>
            <w:vAlign w:val="bottom"/>
          </w:tcPr>
          <w:p>
            <w:pPr>
              <w:jc w:val="center"/>
              <w:ind w:left="703"/>
              <w:spacing w:after="0"/>
              <w:rPr>
                <w:sz w:val="20"/>
                <w:szCs w:val="20"/>
                <w:color w:val="auto"/>
              </w:rPr>
            </w:pPr>
            <w:r>
              <w:rPr>
                <w:rFonts w:ascii="Arial" w:cs="Arial" w:eastAsia="Arial" w:hAnsi="Arial"/>
                <w:sz w:val="15"/>
                <w:szCs w:val="15"/>
                <w:color w:val="auto"/>
              </w:rPr>
              <w:t>1</w:t>
            </w:r>
          </w:p>
        </w:tc>
        <w:tc>
          <w:tcPr>
            <w:tcW w:w="320" w:type="dxa"/>
            <w:vAlign w:val="bottom"/>
          </w:tcPr>
          <w:p>
            <w:pPr>
              <w:spacing w:after="0"/>
              <w:rPr>
                <w:sz w:val="17"/>
                <w:szCs w:val="17"/>
                <w:color w:val="auto"/>
              </w:rPr>
            </w:pPr>
          </w:p>
        </w:tc>
        <w:tc>
          <w:tcPr>
            <w:tcW w:w="1140" w:type="dxa"/>
            <w:vAlign w:val="bottom"/>
          </w:tcPr>
          <w:p>
            <w:pPr>
              <w:jc w:val="right"/>
              <w:ind w:right="83"/>
              <w:spacing w:after="0"/>
              <w:rPr>
                <w:sz w:val="20"/>
                <w:szCs w:val="20"/>
                <w:color w:val="auto"/>
              </w:rPr>
            </w:pPr>
            <w:r>
              <w:rPr>
                <w:rFonts w:ascii="Arial" w:cs="Arial" w:eastAsia="Arial" w:hAnsi="Arial"/>
                <w:sz w:val="15"/>
                <w:szCs w:val="15"/>
                <w:color w:val="auto"/>
              </w:rPr>
              <w:t>1</w:t>
            </w:r>
          </w:p>
        </w:tc>
        <w:tc>
          <w:tcPr>
            <w:tcW w:w="26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5"/>
                <w:szCs w:val="15"/>
                <w:color w:val="auto"/>
              </w:rPr>
              <w:t>(79)</w:t>
            </w:r>
          </w:p>
        </w:tc>
      </w:tr>
      <w:tr>
        <w:trPr>
          <w:trHeight w:val="177"/>
        </w:trPr>
        <w:tc>
          <w:tcPr>
            <w:tcW w:w="3380" w:type="dxa"/>
            <w:vAlign w:val="bottom"/>
            <w:shd w:val="clear" w:color="auto" w:fill="CCEEFF"/>
          </w:tcPr>
          <w:p>
            <w:pPr>
              <w:spacing w:after="0"/>
              <w:rPr>
                <w:sz w:val="20"/>
                <w:szCs w:val="20"/>
                <w:color w:val="auto"/>
              </w:rPr>
            </w:pPr>
            <w:r>
              <w:rPr>
                <w:rFonts w:ascii="Arial" w:cs="Arial" w:eastAsia="Arial" w:hAnsi="Arial"/>
                <w:sz w:val="15"/>
                <w:szCs w:val="15"/>
                <w:color w:val="auto"/>
              </w:rPr>
              <w:t>Amortization of pension actuarial (gain)/loss,</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3380" w:type="dxa"/>
            <w:vAlign w:val="bottom"/>
            <w:shd w:val="clear" w:color="auto" w:fill="CCEEFF"/>
          </w:tcPr>
          <w:p>
            <w:pPr>
              <w:ind w:left="80"/>
              <w:spacing w:after="0"/>
              <w:rPr>
                <w:sz w:val="20"/>
                <w:szCs w:val="20"/>
                <w:color w:val="auto"/>
              </w:rPr>
            </w:pPr>
            <w:r>
              <w:rPr>
                <w:rFonts w:ascii="Arial" w:cs="Arial" w:eastAsia="Arial" w:hAnsi="Arial"/>
                <w:sz w:val="15"/>
                <w:szCs w:val="15"/>
                <w:color w:val="auto"/>
              </w:rPr>
              <w:t>net of tax</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left="723"/>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6</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20" w:type="dxa"/>
            <w:vAlign w:val="bottom"/>
          </w:tcPr>
          <w:p>
            <w:pPr>
              <w:spacing w:after="0"/>
              <w:rPr>
                <w:sz w:val="15"/>
                <w:szCs w:val="15"/>
                <w:color w:val="auto"/>
              </w:rPr>
            </w:pPr>
          </w:p>
        </w:tc>
      </w:tr>
      <w:tr>
        <w:trPr>
          <w:trHeight w:val="207"/>
        </w:trPr>
        <w:tc>
          <w:tcPr>
            <w:tcW w:w="3380" w:type="dxa"/>
            <w:vAlign w:val="bottom"/>
          </w:tcPr>
          <w:p>
            <w:pPr>
              <w:spacing w:after="0"/>
              <w:rPr>
                <w:sz w:val="20"/>
                <w:szCs w:val="20"/>
                <w:color w:val="auto"/>
              </w:rPr>
            </w:pPr>
            <w:r>
              <w:rPr>
                <w:rFonts w:ascii="Arial" w:cs="Arial" w:eastAsia="Arial" w:hAnsi="Arial"/>
                <w:sz w:val="15"/>
                <w:szCs w:val="15"/>
                <w:color w:val="auto"/>
              </w:rPr>
              <w:t>Pension remeasurement, net of tax</w:t>
            </w:r>
          </w:p>
        </w:tc>
        <w:tc>
          <w:tcPr>
            <w:tcW w:w="260" w:type="dxa"/>
            <w:vAlign w:val="bottom"/>
          </w:tcPr>
          <w:p>
            <w:pPr>
              <w:spacing w:after="0"/>
              <w:rPr>
                <w:sz w:val="17"/>
                <w:szCs w:val="17"/>
                <w:color w:val="auto"/>
              </w:rPr>
            </w:pPr>
          </w:p>
        </w:tc>
        <w:tc>
          <w:tcPr>
            <w:tcW w:w="124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200" w:type="dxa"/>
            <w:vAlign w:val="bottom"/>
          </w:tcPr>
          <w:p>
            <w:pPr>
              <w:jc w:val="center"/>
              <w:ind w:left="7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(9)</w:t>
            </w:r>
          </w:p>
        </w:tc>
        <w:tc>
          <w:tcPr>
            <w:tcW w:w="26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5"/>
                <w:szCs w:val="15"/>
                <w:color w:val="auto"/>
              </w:rPr>
              <w:t>(9)</w:t>
            </w:r>
          </w:p>
        </w:tc>
      </w:tr>
      <w:tr>
        <w:trPr>
          <w:trHeight w:val="187"/>
        </w:trPr>
        <w:tc>
          <w:tcPr>
            <w:tcW w:w="3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Other comprehensive income</w:t>
            </w: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(81)</w:t>
            </w: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center"/>
              <w:ind w:left="703"/>
              <w:spacing w:after="0"/>
              <w:rPr>
                <w:sz w:val="20"/>
                <w:szCs w:val="20"/>
                <w:color w:val="auto"/>
              </w:rPr>
            </w:pPr>
            <w:r>
              <w:rPr>
                <w:rFonts w:ascii="Arial" w:cs="Arial" w:eastAsia="Arial" w:hAnsi="Arial"/>
                <w:sz w:val="15"/>
                <w:szCs w:val="15"/>
                <w:color w:val="auto"/>
              </w:rPr>
              <w:t>1</w:t>
            </w: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w:t>
            </w: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20" w:type="dxa"/>
            <w:vAlign w:val="bottom"/>
          </w:tcPr>
          <w:p>
            <w:pPr>
              <w:spacing w:after="0"/>
              <w:rPr>
                <w:sz w:val="16"/>
                <w:szCs w:val="16"/>
                <w:color w:val="auto"/>
              </w:rPr>
            </w:pPr>
          </w:p>
        </w:tc>
      </w:tr>
      <w:tr>
        <w:trPr>
          <w:trHeight w:val="179"/>
        </w:trPr>
        <w:tc>
          <w:tcPr>
            <w:tcW w:w="33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Balance as of November 3, 2018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(90)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tcBorders>
              <w:bottom w:val="single" w:sz="8" w:color="auto"/>
            </w:tcBorders>
          </w:tcPr>
          <w:p>
            <w:pPr>
              <w:jc w:val="center"/>
              <w:ind w:left="703"/>
              <w:spacing w:after="0"/>
              <w:rPr>
                <w:sz w:val="20"/>
                <w:szCs w:val="20"/>
                <w:color w:val="auto"/>
              </w:rPr>
            </w:pPr>
            <w:r>
              <w:rPr>
                <w:rFonts w:ascii="Arial" w:cs="Arial" w:eastAsia="Arial" w:hAnsi="Arial"/>
                <w:sz w:val="15"/>
                <w:szCs w:val="15"/>
                <w:b w:val="1"/>
                <w:bCs w:val="1"/>
                <w:color w:val="auto"/>
              </w:rPr>
              <w:t>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(272)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(361)</w:t>
            </w:r>
          </w:p>
        </w:tc>
        <w:tc>
          <w:tcPr>
            <w:tcW w:w="20" w:type="dxa"/>
            <w:vAlign w:val="bottom"/>
          </w:tcPr>
          <w:p>
            <w:pPr>
              <w:spacing w:after="0"/>
              <w:rPr>
                <w:sz w:val="15"/>
                <w:szCs w:val="15"/>
                <w:color w:val="auto"/>
              </w:rPr>
            </w:pPr>
          </w:p>
        </w:tc>
      </w:tr>
      <w:tr>
        <w:trPr>
          <w:trHeight w:val="350"/>
        </w:trPr>
        <w:tc>
          <w:tcPr>
            <w:tcW w:w="6640" w:type="dxa"/>
            <w:vAlign w:val="bottom"/>
            <w:gridSpan w:val="6"/>
          </w:tcPr>
          <w:p>
            <w:pPr>
              <w:spacing w:after="0"/>
              <w:rPr>
                <w:sz w:val="20"/>
                <w:szCs w:val="20"/>
                <w:color w:val="auto"/>
              </w:rPr>
            </w:pPr>
            <w:r>
              <w:rPr>
                <w:rFonts w:ascii="Arial" w:cs="Arial" w:eastAsia="Arial" w:hAnsi="Arial"/>
                <w:sz w:val="15"/>
                <w:szCs w:val="15"/>
                <w:color w:val="auto"/>
              </w:rPr>
              <w:t>Reclassifications from AOCL for the thirty-nine weeks ended November 3, 2018 were as follows:</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9"/>
        </w:trPr>
        <w:tc>
          <w:tcPr>
            <w:tcW w:w="3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5"/>
                <w:szCs w:val="15"/>
                <w:color w:val="auto"/>
              </w:rPr>
              <w:t>in millions)</w:t>
            </w:r>
          </w:p>
        </w:tc>
      </w:tr>
      <w:tr>
        <w:trPr>
          <w:trHeight w:val="187"/>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Amortization of actuarial (gain) loss:</w:t>
            </w:r>
          </w:p>
        </w:tc>
        <w:tc>
          <w:tcPr>
            <w:tcW w:w="26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3380" w:type="dxa"/>
            <w:vAlign w:val="bottom"/>
          </w:tcPr>
          <w:p>
            <w:pPr>
              <w:ind w:left="180"/>
              <w:spacing w:after="0"/>
              <w:rPr>
                <w:sz w:val="20"/>
                <w:szCs w:val="20"/>
                <w:color w:val="auto"/>
              </w:rPr>
            </w:pPr>
            <w:r>
              <w:rPr>
                <w:rFonts w:ascii="Arial" w:cs="Arial" w:eastAsia="Arial" w:hAnsi="Arial"/>
                <w:sz w:val="15"/>
                <w:szCs w:val="15"/>
                <w:color w:val="auto"/>
              </w:rPr>
              <w:t>Pension benefits- amortization of actuarial loss</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w:t>
            </w:r>
          </w:p>
        </w:tc>
        <w:tc>
          <w:tcPr>
            <w:tcW w:w="20" w:type="dxa"/>
            <w:vAlign w:val="bottom"/>
          </w:tcPr>
          <w:p>
            <w:pPr>
              <w:spacing w:after="0"/>
              <w:rPr>
                <w:sz w:val="17"/>
                <w:szCs w:val="17"/>
                <w:color w:val="auto"/>
              </w:rPr>
            </w:pPr>
          </w:p>
        </w:tc>
      </w:tr>
      <w:tr>
        <w:trPr>
          <w:trHeight w:val="207"/>
        </w:trPr>
        <w:tc>
          <w:tcPr>
            <w:tcW w:w="488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5"/>
                <w:szCs w:val="15"/>
                <w:color w:val="auto"/>
              </w:rPr>
              <w:t>Postretirement benefits- amortization of actuarial gain</w:t>
            </w: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7"/>
                <w:szCs w:val="17"/>
                <w:color w:val="auto"/>
              </w:rPr>
            </w:pPr>
          </w:p>
        </w:tc>
      </w:tr>
      <w:tr>
        <w:trPr>
          <w:trHeight w:val="187"/>
        </w:trPr>
        <w:tc>
          <w:tcPr>
            <w:tcW w:w="3380" w:type="dxa"/>
            <w:vAlign w:val="bottom"/>
          </w:tcPr>
          <w:p>
            <w:pPr>
              <w:spacing w:after="0"/>
              <w:rPr>
                <w:sz w:val="20"/>
                <w:szCs w:val="20"/>
                <w:color w:val="auto"/>
              </w:rPr>
            </w:pPr>
            <w:r>
              <w:rPr>
                <w:rFonts w:ascii="Arial" w:cs="Arial" w:eastAsia="Arial" w:hAnsi="Arial"/>
                <w:sz w:val="15"/>
                <w:szCs w:val="15"/>
                <w:color w:val="auto"/>
              </w:rPr>
              <w:t>Net periodic benefit cost (see Note 12)</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w:t>
            </w:r>
          </w:p>
        </w:tc>
        <w:tc>
          <w:tcPr>
            <w:tcW w:w="20" w:type="dxa"/>
            <w:vAlign w:val="bottom"/>
          </w:tcPr>
          <w:p>
            <w:pPr>
              <w:spacing w:after="0"/>
              <w:rPr>
                <w:sz w:val="16"/>
                <w:szCs w:val="16"/>
                <w:color w:val="auto"/>
              </w:rPr>
            </w:pPr>
          </w:p>
        </w:tc>
      </w:tr>
      <w:tr>
        <w:trPr>
          <w:trHeight w:val="207"/>
        </w:trPr>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Income tax benefit</w:t>
            </w: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7"/>
                <w:szCs w:val="17"/>
                <w:color w:val="auto"/>
              </w:rPr>
            </w:pPr>
          </w:p>
        </w:tc>
      </w:tr>
      <w:tr>
        <w:trPr>
          <w:trHeight w:val="179"/>
        </w:trPr>
        <w:tc>
          <w:tcPr>
            <w:tcW w:w="33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Net of tax</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20" w:type="dxa"/>
            <w:vAlign w:val="bottom"/>
          </w:tcPr>
          <w:p>
            <w:pPr>
              <w:spacing w:after="0"/>
              <w:rPr>
                <w:sz w:val="15"/>
                <w:szCs w:val="15"/>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Income Taxes</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 xml:space="preserve">In March 2018, the FASB issued ASU 2018-05, </w:t>
      </w:r>
      <w:r>
        <w:rPr>
          <w:rFonts w:ascii="Arial" w:cs="Arial" w:eastAsia="Arial" w:hAnsi="Arial"/>
          <w:sz w:val="15"/>
          <w:szCs w:val="15"/>
          <w:i w:val="1"/>
          <w:iCs w:val="1"/>
          <w:color w:val="auto"/>
        </w:rPr>
        <w:t>Income Taxes (Topic 740): Amendments to SEC Paragraphs Pursuant to SEC Staff</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Accounting Bulletin No. 118 </w:t>
      </w:r>
      <w:r>
        <w:rPr>
          <w:rFonts w:ascii="Arial" w:cs="Arial" w:eastAsia="Arial" w:hAnsi="Arial"/>
          <w:sz w:val="15"/>
          <w:szCs w:val="15"/>
          <w:color w:val="auto"/>
        </w:rPr>
        <w:t>(“SAB 118”). This update provides guidance on income tax accounting implications under Public Law</w:t>
      </w:r>
      <w:r>
        <w:rPr>
          <w:rFonts w:ascii="Arial" w:cs="Arial" w:eastAsia="Arial" w:hAnsi="Arial"/>
          <w:sz w:val="15"/>
          <w:szCs w:val="15"/>
          <w:i w:val="1"/>
          <w:iCs w:val="1"/>
          <w:color w:val="auto"/>
        </w:rPr>
        <w:t xml:space="preserve"> </w:t>
      </w:r>
      <w:r>
        <w:rPr>
          <w:rFonts w:ascii="Arial" w:cs="Arial" w:eastAsia="Arial" w:hAnsi="Arial"/>
          <w:sz w:val="15"/>
          <w:szCs w:val="15"/>
          <w:color w:val="auto"/>
        </w:rPr>
        <w:t>115-97, informally known as the Tax Cuts and Jobs Act (the "Tax Act"), which was enacted on December 22, 2017. The Tax Act significantly revised the U.S. corporate income tax by, among other things, lowering the statutory corporate tax rate from 35 percent to 21 percent, eliminating certain deductions, imposing a mandatory one-time tax on accumulated earnings of foreign subsidiaries, introducing new tax regimes, and changing how foreign earnings are subject to U.S. tax. SAB 118 addressed the application of GAAP to situations when a registrant does not have the necessary information available, prepared, or analyzed (including computations) in reasonable detail to complete the accounting for certain income tax effects of the Tax Act.</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As of February 3, 2018, the Company had not completed the determination of the accounting implications of the Tax Act on the Company’s tax accruals. However, we reasonably estimated the effects of the Tax Act and recognized a provisional net tax expense of $99 million associated with the Tax Act in the fourth quarter of 2017. During the thirteen and thirty-nine weeks ended November 3, 2018, the Company reduced its provisional calculation by $16 million and $17 million, respectively, which primarily represented revised estimates of foreign tax credits.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Our accounting for the Tax Act is still incomplete as we have not finalized the taxation of deemed repatriation of foreign income previously deferred from U.S. income taxes and adjustments to our deferred taxes. We are continuing to analyze additional information, regulatory guidance, and developing technical interpretations to complete our accounting for these items. Our accounting will be completed during the fourth quarter as provided by SAB 118.</w:t>
      </w:r>
    </w:p>
    <w:p>
      <w:pPr>
        <w:spacing w:after="0" w:line="156"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The Company continues to evaluate the provisions of the Tax Act, including the global intangible low-taxed income (“GILTI”), the foreign derived intangible income (“FDII”) provisions, and the base erosion and anti-abuse tax (“BEAT”). The Company has made an accounting policy election to treat GILTI taxes as a current period expense.</w:t>
      </w:r>
    </w:p>
    <w:p>
      <w:pPr>
        <w:spacing w:after="0" w:line="153"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The ultimate effect of the Tax Act may differ from these provisional amounts, possibly materially, due to, among other things, additional analysis, changes in interpretations and assumptions the Company has made, additional regulatory guidance that may be issued, as well as any related actions the Company may take.</w:t>
      </w:r>
    </w:p>
    <w:p>
      <w:pPr>
        <w:spacing w:after="0" w:line="153" w:lineRule="exact"/>
        <w:rPr>
          <w:sz w:val="20"/>
          <w:szCs w:val="20"/>
          <w:color w:val="auto"/>
        </w:rPr>
      </w:pPr>
    </w:p>
    <w:p>
      <w:pPr>
        <w:jc w:val="both"/>
        <w:ind w:right="20"/>
        <w:spacing w:after="0" w:line="241" w:lineRule="auto"/>
        <w:rPr>
          <w:sz w:val="20"/>
          <w:szCs w:val="20"/>
          <w:color w:val="auto"/>
        </w:rPr>
      </w:pPr>
      <w:r>
        <w:rPr>
          <w:rFonts w:ascii="Arial" w:cs="Arial" w:eastAsia="Arial" w:hAnsi="Arial"/>
          <w:sz w:val="15"/>
          <w:szCs w:val="15"/>
          <w:color w:val="auto"/>
        </w:rPr>
        <w:t>For the thirteen and thirty-nine weeks ended November 3, 2018, the Company recorded income tax provisions of $16 million and $107 million, which represented effective tax rates of 10.8 percent and 21.8 percent, respectively. For the thirteen and thirty-nine weeks ended October 28, 2017, the Company recorded income tax provisions of $54 million and $165 million, which represented effective tax rates of 34.7 percent and 33.2 percent, respectively. The Company’s interim provision for income taxes is measured using an annual effective tax rate, adjusted for discrete items that occur within the periods presented.</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Fair Value Measurements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The Company’s financial assets recorded at fair value are categorized as follows:</w:t>
      </w:r>
    </w:p>
    <w:p>
      <w:pPr>
        <w:spacing w:after="0" w:line="162" w:lineRule="exact"/>
        <w:rPr>
          <w:sz w:val="20"/>
          <w:szCs w:val="20"/>
          <w:color w:val="auto"/>
        </w:rPr>
      </w:pPr>
    </w:p>
    <w:p>
      <w:pPr>
        <w:ind w:left="180"/>
        <w:spacing w:after="0"/>
        <w:tabs>
          <w:tab w:leader="none" w:pos="1080" w:val="left"/>
        </w:tabs>
        <w:rPr>
          <w:sz w:val="20"/>
          <w:szCs w:val="20"/>
          <w:color w:val="auto"/>
        </w:rPr>
      </w:pPr>
      <w:r>
        <w:rPr>
          <w:rFonts w:ascii="Arial" w:cs="Arial" w:eastAsia="Arial" w:hAnsi="Arial"/>
          <w:sz w:val="15"/>
          <w:szCs w:val="15"/>
          <w:b w:val="1"/>
          <w:bCs w:val="1"/>
          <w:color w:val="auto"/>
        </w:rPr>
        <w:t>Level 1 –</w:t>
      </w:r>
      <w:r>
        <w:rPr>
          <w:sz w:val="20"/>
          <w:szCs w:val="20"/>
          <w:color w:val="auto"/>
        </w:rPr>
        <w:tab/>
      </w:r>
      <w:r>
        <w:rPr>
          <w:rFonts w:ascii="Arial" w:cs="Arial" w:eastAsia="Arial" w:hAnsi="Arial"/>
          <w:sz w:val="15"/>
          <w:szCs w:val="15"/>
          <w:color w:val="auto"/>
        </w:rPr>
        <w:t>Quoted prices for identical instruments in active markets.</w:t>
      </w:r>
    </w:p>
    <w:p>
      <w:pPr>
        <w:spacing w:after="0" w:line="241" w:lineRule="exact"/>
        <w:rPr>
          <w:sz w:val="20"/>
          <w:szCs w:val="20"/>
          <w:color w:val="auto"/>
        </w:rPr>
      </w:pPr>
    </w:p>
    <w:p>
      <w:pPr>
        <w:jc w:val="both"/>
        <w:ind w:left="1140" w:right="20" w:hanging="936"/>
        <w:spacing w:after="0" w:line="245" w:lineRule="auto"/>
        <w:tabs>
          <w:tab w:leader="none" w:pos="1120" w:val="left"/>
        </w:tabs>
        <w:rPr>
          <w:sz w:val="20"/>
          <w:szCs w:val="20"/>
          <w:color w:val="auto"/>
        </w:rPr>
      </w:pPr>
      <w:r>
        <w:rPr>
          <w:rFonts w:ascii="Arial" w:cs="Arial" w:eastAsia="Arial" w:hAnsi="Arial"/>
          <w:sz w:val="15"/>
          <w:szCs w:val="15"/>
          <w:b w:val="1"/>
          <w:bCs w:val="1"/>
          <w:color w:val="auto"/>
        </w:rPr>
        <w:t>Level 2 –</w:t>
      </w:r>
      <w:r>
        <w:rPr>
          <w:sz w:val="20"/>
          <w:szCs w:val="20"/>
          <w:color w:val="auto"/>
        </w:rPr>
        <w:tab/>
      </w:r>
      <w:r>
        <w:rPr>
          <w:rFonts w:ascii="Arial" w:cs="Arial" w:eastAsia="Arial" w:hAnsi="Arial"/>
          <w:sz w:val="15"/>
          <w:szCs w:val="15"/>
          <w:color w:val="auto"/>
        </w:rPr>
        <w:t>Quoted prices for similar instruments in active markets; quoted prices for identical or similar instruments in markets that are not active; and model-derived valuations in which all significant inputs or significant value-drivers are observable in active markets.</w:t>
      </w:r>
    </w:p>
    <w:p>
      <w:pPr>
        <w:spacing w:after="0" w:line="116" w:lineRule="exact"/>
        <w:rPr>
          <w:sz w:val="20"/>
          <w:szCs w:val="20"/>
          <w:color w:val="auto"/>
        </w:rPr>
      </w:pPr>
    </w:p>
    <w:p>
      <w:pPr>
        <w:ind w:left="200"/>
        <w:spacing w:after="0"/>
        <w:tabs>
          <w:tab w:leader="none" w:pos="1120" w:val="left"/>
        </w:tabs>
        <w:rPr>
          <w:sz w:val="20"/>
          <w:szCs w:val="20"/>
          <w:color w:val="auto"/>
        </w:rPr>
      </w:pPr>
      <w:r>
        <w:rPr>
          <w:rFonts w:ascii="Arial" w:cs="Arial" w:eastAsia="Arial" w:hAnsi="Arial"/>
          <w:sz w:val="15"/>
          <w:szCs w:val="15"/>
          <w:b w:val="1"/>
          <w:bCs w:val="1"/>
          <w:color w:val="auto"/>
        </w:rPr>
        <w:t>Level 3 –</w:t>
      </w:r>
      <w:r>
        <w:rPr>
          <w:sz w:val="20"/>
          <w:szCs w:val="20"/>
          <w:color w:val="auto"/>
        </w:rPr>
        <w:tab/>
      </w:r>
      <w:r>
        <w:rPr>
          <w:rFonts w:ascii="Arial" w:cs="Arial" w:eastAsia="Arial" w:hAnsi="Arial"/>
          <w:sz w:val="15"/>
          <w:szCs w:val="15"/>
          <w:color w:val="auto"/>
        </w:rPr>
        <w:t>Model-derived valuations in which one or more significant inputs or significant value-drivers are unobservable.</w:t>
      </w:r>
    </w:p>
    <w:p>
      <w:pPr>
        <w:spacing w:after="0" w:line="200" w:lineRule="exact"/>
        <w:rPr>
          <w:sz w:val="20"/>
          <w:szCs w:val="20"/>
          <w:color w:val="auto"/>
        </w:rPr>
      </w:pPr>
    </w:p>
    <w:p>
      <w:pPr>
        <w:spacing w:after="0" w:line="205" w:lineRule="exact"/>
        <w:rPr>
          <w:sz w:val="20"/>
          <w:szCs w:val="20"/>
          <w:color w:val="auto"/>
        </w:rPr>
      </w:pPr>
    </w:p>
    <w:p>
      <w:pPr>
        <w:ind w:right="20"/>
        <w:spacing w:after="0" w:line="254" w:lineRule="auto"/>
        <w:rPr>
          <w:sz w:val="20"/>
          <w:szCs w:val="20"/>
          <w:color w:val="auto"/>
        </w:rPr>
      </w:pPr>
      <w:r>
        <w:rPr>
          <w:rFonts w:ascii="Arial" w:cs="Arial" w:eastAsia="Arial" w:hAnsi="Arial"/>
          <w:sz w:val="15"/>
          <w:szCs w:val="15"/>
          <w:color w:val="auto"/>
        </w:rPr>
        <w:t>The following table provides a summary of the Company’s recognized assets and liabilities that are measured at fair value on a recurring basis: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40"/>
              <w:spacing w:after="0"/>
              <w:rPr>
                <w:sz w:val="20"/>
                <w:szCs w:val="20"/>
                <w:color w:val="auto"/>
              </w:rPr>
            </w:pPr>
            <w:r>
              <w:rPr>
                <w:rFonts w:ascii="Arial" w:cs="Arial" w:eastAsia="Arial" w:hAnsi="Arial"/>
                <w:sz w:val="15"/>
                <w:szCs w:val="15"/>
                <w:b w:val="1"/>
                <w:bCs w:val="1"/>
                <w:color w:val="auto"/>
              </w:rPr>
              <w:t>As of November 3, 2018</w:t>
            </w: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60"/>
              <w:spacing w:after="0"/>
              <w:rPr>
                <w:sz w:val="20"/>
                <w:szCs w:val="20"/>
                <w:color w:val="auto"/>
              </w:rPr>
            </w:pPr>
            <w:r>
              <w:rPr>
                <w:rFonts w:ascii="Arial" w:cs="Arial" w:eastAsia="Arial" w:hAnsi="Arial"/>
                <w:sz w:val="15"/>
                <w:szCs w:val="15"/>
                <w:b w:val="1"/>
                <w:bCs w:val="1"/>
                <w:color w:val="auto"/>
              </w:rPr>
              <w:t>As of October 28, 2017</w:t>
            </w: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rPr>
              <w:t>As of February 3, 2018</w:t>
            </w:r>
          </w:p>
        </w:tc>
        <w:tc>
          <w:tcPr>
            <w:tcW w:w="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4"/>
          </w:tcPr>
          <w:p>
            <w:pPr>
              <w:ind w:left="460"/>
              <w:spacing w:after="0"/>
              <w:rPr>
                <w:sz w:val="20"/>
                <w:szCs w:val="20"/>
                <w:color w:val="auto"/>
              </w:rPr>
            </w:pPr>
            <w:r>
              <w:rPr>
                <w:rFonts w:ascii="Arial" w:cs="Arial" w:eastAsia="Arial" w:hAnsi="Arial"/>
                <w:sz w:val="15"/>
                <w:szCs w:val="15"/>
                <w:color w:val="auto"/>
              </w:rPr>
              <w:t>($ in millions)</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2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ind w:left="220"/>
              <w:spacing w:after="0"/>
              <w:rPr>
                <w:sz w:val="20"/>
                <w:szCs w:val="20"/>
                <w:color w:val="auto"/>
              </w:rPr>
            </w:pPr>
            <w:r>
              <w:rPr>
                <w:rFonts w:ascii="Arial" w:cs="Arial" w:eastAsia="Arial" w:hAnsi="Arial"/>
                <w:sz w:val="15"/>
                <w:szCs w:val="15"/>
                <w:b w:val="1"/>
                <w:bCs w:val="1"/>
                <w:color w:val="auto"/>
              </w:rPr>
              <w:t>Level 1</w:t>
            </w: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Level 2</w:t>
            </w: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Level 3</w:t>
            </w: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Level 1</w:t>
            </w: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Level 2</w:t>
            </w: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Level 3</w:t>
            </w: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Level 1</w:t>
            </w: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Level 2</w:t>
            </w: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Level 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2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3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2240" w:type="dxa"/>
            <w:vAlign w:val="bottom"/>
          </w:tcPr>
          <w:p>
            <w:pPr>
              <w:spacing w:after="0"/>
              <w:rPr>
                <w:sz w:val="20"/>
                <w:szCs w:val="20"/>
                <w:color w:val="auto"/>
              </w:rPr>
            </w:pPr>
            <w:r>
              <w:rPr>
                <w:rFonts w:ascii="Arial" w:cs="Arial" w:eastAsia="Arial" w:hAnsi="Arial"/>
                <w:sz w:val="15"/>
                <w:szCs w:val="15"/>
                <w:color w:val="auto"/>
              </w:rPr>
              <w:t>Investment in equity securities</w:t>
            </w:r>
          </w:p>
        </w:tc>
        <w:tc>
          <w:tcPr>
            <w:tcW w:w="320" w:type="dxa"/>
            <w:vAlign w:val="bottom"/>
          </w:tcPr>
          <w:p>
            <w:pPr>
              <w:ind w:left="180"/>
              <w:spacing w:after="0"/>
              <w:rPr>
                <w:sz w:val="20"/>
                <w:szCs w:val="20"/>
                <w:color w:val="auto"/>
              </w:rPr>
            </w:pPr>
            <w:r>
              <w:rPr>
                <w:rFonts w:ascii="Arial" w:cs="Arial" w:eastAsia="Arial" w:hAnsi="Arial"/>
                <w:sz w:val="15"/>
                <w:szCs w:val="15"/>
                <w:b w:val="1"/>
                <w:bCs w:val="1"/>
                <w:color w:val="auto"/>
              </w:rPr>
              <w:t>$</w:t>
            </w:r>
          </w:p>
        </w:tc>
        <w:tc>
          <w:tcPr>
            <w:tcW w:w="560" w:type="dxa"/>
            <w:vAlign w:val="bottom"/>
          </w:tcPr>
          <w:p>
            <w:pPr>
              <w:ind w:left="340"/>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440" w:type="dxa"/>
            <w:vAlign w:val="bottom"/>
          </w:tcPr>
          <w:p>
            <w:pPr>
              <w:jc w:val="right"/>
              <w:ind w:right="43"/>
              <w:spacing w:after="0"/>
              <w:rPr>
                <w:sz w:val="20"/>
                <w:szCs w:val="20"/>
                <w:color w:val="auto"/>
              </w:rPr>
            </w:pPr>
            <w:r>
              <w:rPr>
                <w:rFonts w:ascii="Arial" w:cs="Arial" w:eastAsia="Arial" w:hAnsi="Arial"/>
                <w:sz w:val="15"/>
                <w:szCs w:val="15"/>
                <w:b w:val="1"/>
                <w:bCs w:val="1"/>
                <w:color w:val="auto"/>
              </w:rPr>
              <w:t>21</w:t>
            </w:r>
          </w:p>
        </w:tc>
        <w:tc>
          <w:tcPr>
            <w:tcW w:w="500" w:type="dxa"/>
            <w:vAlign w:val="bottom"/>
          </w:tcPr>
          <w:p>
            <w:pPr>
              <w:jc w:val="right"/>
              <w:ind w:right="283"/>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ind w:left="4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540" w:type="dxa"/>
            <w:vAlign w:val="bottom"/>
          </w:tcPr>
          <w:p>
            <w:pPr>
              <w:ind w:left="320"/>
              <w:spacing w:after="0"/>
              <w:rPr>
                <w:sz w:val="20"/>
                <w:szCs w:val="20"/>
                <w:color w:val="auto"/>
              </w:rPr>
            </w:pPr>
            <w:r>
              <w:rPr>
                <w:rFonts w:ascii="Arial" w:cs="Arial" w:eastAsia="Arial" w:hAnsi="Arial"/>
                <w:sz w:val="15"/>
                <w:szCs w:val="15"/>
                <w:color w:val="auto"/>
              </w:rPr>
              <w:t>—</w:t>
            </w:r>
          </w:p>
        </w:tc>
        <w:tc>
          <w:tcPr>
            <w:tcW w:w="340" w:type="dxa"/>
            <w:vAlign w:val="bottom"/>
          </w:tcPr>
          <w:p>
            <w:pPr>
              <w:ind w:left="60"/>
              <w:spacing w:after="0"/>
              <w:rPr>
                <w:sz w:val="20"/>
                <w:szCs w:val="20"/>
                <w:color w:val="auto"/>
              </w:rPr>
            </w:pPr>
            <w:r>
              <w:rPr>
                <w:rFonts w:ascii="Arial" w:cs="Arial" w:eastAsia="Arial" w:hAnsi="Arial"/>
                <w:sz w:val="15"/>
                <w:szCs w:val="15"/>
                <w:color w:val="auto"/>
              </w:rPr>
              <w:t>$</w:t>
            </w:r>
          </w:p>
        </w:tc>
        <w:tc>
          <w:tcPr>
            <w:tcW w:w="400" w:type="dxa"/>
            <w:vAlign w:val="bottom"/>
          </w:tcPr>
          <w:p>
            <w:pPr>
              <w:ind w:left="180"/>
              <w:spacing w:after="0"/>
              <w:rPr>
                <w:sz w:val="20"/>
                <w:szCs w:val="20"/>
                <w:color w:val="auto"/>
              </w:rPr>
            </w:pPr>
            <w:r>
              <w:rPr>
                <w:rFonts w:ascii="Arial" w:cs="Arial" w:eastAsia="Arial" w:hAnsi="Arial"/>
                <w:sz w:val="15"/>
                <w:szCs w:val="15"/>
                <w:color w:val="auto"/>
              </w:rPr>
              <w:t>—</w:t>
            </w:r>
          </w:p>
        </w:tc>
        <w:tc>
          <w:tcPr>
            <w:tcW w:w="480" w:type="dxa"/>
            <w:vAlign w:val="bottom"/>
          </w:tcPr>
          <w:p>
            <w:pPr>
              <w:ind w:left="60"/>
              <w:spacing w:after="0"/>
              <w:rPr>
                <w:sz w:val="20"/>
                <w:szCs w:val="20"/>
                <w:color w:val="auto"/>
              </w:rPr>
            </w:pPr>
            <w:r>
              <w:rPr>
                <w:rFonts w:ascii="Arial" w:cs="Arial" w:eastAsia="Arial" w:hAnsi="Arial"/>
                <w:sz w:val="15"/>
                <w:szCs w:val="15"/>
                <w:color w:val="auto"/>
              </w:rPr>
              <w:t>$</w:t>
            </w:r>
          </w:p>
        </w:tc>
        <w:tc>
          <w:tcPr>
            <w:tcW w:w="260" w:type="dxa"/>
            <w:vAlign w:val="bottom"/>
          </w:tcPr>
          <w:p>
            <w:pPr>
              <w:ind w:left="40"/>
              <w:spacing w:after="0"/>
              <w:rPr>
                <w:sz w:val="20"/>
                <w:szCs w:val="20"/>
                <w:color w:val="auto"/>
              </w:rPr>
            </w:pPr>
            <w:r>
              <w:rPr>
                <w:rFonts w:ascii="Arial" w:cs="Arial" w:eastAsia="Arial" w:hAnsi="Arial"/>
                <w:sz w:val="15"/>
                <w:szCs w:val="15"/>
                <w:color w:val="auto"/>
              </w:rPr>
              <w:t>—</w:t>
            </w:r>
          </w:p>
        </w:tc>
        <w:tc>
          <w:tcPr>
            <w:tcW w:w="240" w:type="dxa"/>
            <w:vAlign w:val="bottom"/>
          </w:tcPr>
          <w:p>
            <w:pPr>
              <w:ind w:left="60"/>
              <w:spacing w:after="0"/>
              <w:rPr>
                <w:sz w:val="20"/>
                <w:szCs w:val="20"/>
                <w:color w:val="auto"/>
              </w:rPr>
            </w:pPr>
            <w:r>
              <w:rPr>
                <w:rFonts w:ascii="Arial" w:cs="Arial" w:eastAsia="Arial" w:hAnsi="Arial"/>
                <w:sz w:val="15"/>
                <w:szCs w:val="15"/>
                <w:color w:val="auto"/>
              </w:rPr>
              <w:t>$</w:t>
            </w:r>
          </w:p>
        </w:tc>
        <w:tc>
          <w:tcPr>
            <w:tcW w:w="520" w:type="dxa"/>
            <w:vAlign w:val="bottom"/>
          </w:tcPr>
          <w:p>
            <w:pPr>
              <w:ind w:left="320"/>
              <w:spacing w:after="0"/>
              <w:rPr>
                <w:sz w:val="20"/>
                <w:szCs w:val="20"/>
                <w:color w:val="auto"/>
              </w:rPr>
            </w:pPr>
            <w:r>
              <w:rPr>
                <w:rFonts w:ascii="Arial" w:cs="Arial" w:eastAsia="Arial" w:hAnsi="Arial"/>
                <w:sz w:val="15"/>
                <w:szCs w:val="15"/>
                <w:color w:val="auto"/>
              </w:rPr>
              <w:t>—</w:t>
            </w:r>
          </w:p>
        </w:tc>
        <w:tc>
          <w:tcPr>
            <w:tcW w:w="36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420" w:type="dxa"/>
            <w:vAlign w:val="bottom"/>
          </w:tcPr>
          <w:p>
            <w:pPr>
              <w:ind w:left="220"/>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220" w:type="dxa"/>
            <w:vAlign w:val="bottom"/>
          </w:tcPr>
          <w:p>
            <w:pPr>
              <w:ind w:left="60"/>
              <w:spacing w:after="0"/>
              <w:rPr>
                <w:sz w:val="20"/>
                <w:szCs w:val="20"/>
                <w:color w:val="auto"/>
              </w:rPr>
            </w:pPr>
            <w:r>
              <w:rPr>
                <w:rFonts w:ascii="Arial" w:cs="Arial" w:eastAsia="Arial" w:hAnsi="Arial"/>
                <w:sz w:val="15"/>
                <w:szCs w:val="15"/>
                <w:color w:val="auto"/>
                <w:w w:val="93"/>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240" w:type="dxa"/>
            <w:vAlign w:val="bottom"/>
            <w:shd w:val="clear" w:color="auto" w:fill="CCEEFF"/>
          </w:tcPr>
          <w:p>
            <w:pPr>
              <w:spacing w:after="0"/>
              <w:rPr>
                <w:sz w:val="20"/>
                <w:szCs w:val="20"/>
                <w:color w:val="auto"/>
              </w:rPr>
            </w:pPr>
            <w:r>
              <w:rPr>
                <w:rFonts w:ascii="Arial" w:cs="Arial" w:eastAsia="Arial" w:hAnsi="Arial"/>
                <w:sz w:val="15"/>
                <w:szCs w:val="15"/>
                <w:color w:val="auto"/>
              </w:rPr>
              <w:t>Available-for-sale security</w:t>
            </w: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ind w:left="340"/>
              <w:spacing w:after="0"/>
              <w:rPr>
                <w:sz w:val="20"/>
                <w:szCs w:val="20"/>
                <w:color w:val="auto"/>
              </w:rPr>
            </w:pPr>
            <w:r>
              <w:rPr>
                <w:rFonts w:ascii="Arial" w:cs="Arial" w:eastAsia="Arial" w:hAnsi="Arial"/>
                <w:sz w:val="15"/>
                <w:szCs w:val="15"/>
                <w:b w:val="1"/>
                <w:bCs w:val="1"/>
                <w:color w:val="auto"/>
              </w:rPr>
              <w:t>—</w:t>
            </w: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6</w:t>
            </w: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7</w:t>
            </w: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7</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ind w:left="60"/>
              <w:spacing w:after="0"/>
              <w:rPr>
                <w:sz w:val="20"/>
                <w:szCs w:val="20"/>
                <w:color w:val="auto"/>
              </w:rPr>
            </w:pPr>
            <w:r>
              <w:rPr>
                <w:rFonts w:ascii="Arial" w:cs="Arial" w:eastAsia="Arial" w:hAnsi="Arial"/>
                <w:sz w:val="15"/>
                <w:szCs w:val="15"/>
                <w:color w:val="auto"/>
                <w:w w:val="93"/>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40" w:type="dxa"/>
            <w:vAlign w:val="bottom"/>
          </w:tcPr>
          <w:p>
            <w:pPr>
              <w:spacing w:after="0"/>
              <w:rPr>
                <w:sz w:val="20"/>
                <w:szCs w:val="20"/>
                <w:color w:val="auto"/>
              </w:rPr>
            </w:pPr>
            <w:r>
              <w:rPr>
                <w:rFonts w:ascii="Arial" w:cs="Arial" w:eastAsia="Arial" w:hAnsi="Arial"/>
                <w:sz w:val="15"/>
                <w:szCs w:val="15"/>
                <w:color w:val="auto"/>
              </w:rPr>
              <w:t>Foreign exchange forward</w:t>
            </w:r>
          </w:p>
        </w:tc>
        <w:tc>
          <w:tcPr>
            <w:tcW w:w="320" w:type="dxa"/>
            <w:vAlign w:val="bottom"/>
          </w:tcPr>
          <w:p>
            <w:pPr>
              <w:spacing w:after="0"/>
              <w:rPr>
                <w:sz w:val="18"/>
                <w:szCs w:val="18"/>
                <w:color w:val="auto"/>
              </w:rPr>
            </w:pPr>
          </w:p>
        </w:tc>
        <w:tc>
          <w:tcPr>
            <w:tcW w:w="560" w:type="dxa"/>
            <w:vAlign w:val="bottom"/>
            <w:vMerge w:val="restart"/>
          </w:tcPr>
          <w:p>
            <w:pPr>
              <w:ind w:left="340"/>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8"/>
                <w:szCs w:val="18"/>
                <w:color w:val="auto"/>
              </w:rPr>
            </w:pPr>
          </w:p>
        </w:tc>
        <w:tc>
          <w:tcPr>
            <w:tcW w:w="44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1</w:t>
            </w:r>
          </w:p>
        </w:tc>
        <w:tc>
          <w:tcPr>
            <w:tcW w:w="500" w:type="dxa"/>
            <w:vAlign w:val="bottom"/>
          </w:tcPr>
          <w:p>
            <w:pPr>
              <w:spacing w:after="0"/>
              <w:rPr>
                <w:sz w:val="18"/>
                <w:szCs w:val="18"/>
                <w:color w:val="auto"/>
              </w:rPr>
            </w:pPr>
          </w:p>
        </w:tc>
        <w:tc>
          <w:tcPr>
            <w:tcW w:w="28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24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contracts</w:t>
            </w:r>
          </w:p>
        </w:tc>
        <w:tc>
          <w:tcPr>
            <w:tcW w:w="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2</w:t>
            </w:r>
          </w:p>
        </w:tc>
        <w:tc>
          <w:tcPr>
            <w:tcW w:w="4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1</w:t>
            </w:r>
          </w:p>
        </w:tc>
        <w:tc>
          <w:tcPr>
            <w:tcW w:w="5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w w:val="9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Total Assets</w:t>
            </w:r>
          </w:p>
        </w:tc>
        <w:tc>
          <w:tcPr>
            <w:tcW w:w="3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5"/>
                <w:szCs w:val="15"/>
                <w:b w:val="1"/>
                <w:bCs w:val="1"/>
                <w:color w:val="auto"/>
              </w:rPr>
              <w:t>—  $</w:t>
            </w:r>
          </w:p>
        </w:tc>
        <w:tc>
          <w:tcPr>
            <w:tcW w:w="4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28</w:t>
            </w:r>
          </w:p>
        </w:tc>
        <w:tc>
          <w:tcPr>
            <w:tcW w:w="50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b w:val="1"/>
                <w:bCs w:val="1"/>
                <w:color w:val="auto"/>
              </w:rPr>
              <w:t>$</w:t>
            </w:r>
          </w:p>
        </w:tc>
        <w:tc>
          <w:tcPr>
            <w:tcW w:w="44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w:t>
            </w:r>
          </w:p>
        </w:tc>
        <w:tc>
          <w:tcPr>
            <w:tcW w:w="880" w:type="dxa"/>
            <w:vAlign w:val="bottom"/>
            <w:tcBorders>
              <w:bottom w:val="single" w:sz="8" w:color="auto"/>
            </w:tcBorders>
            <w:gridSpan w:val="2"/>
            <w:shd w:val="clear" w:color="auto" w:fill="CCEEFF"/>
          </w:tcPr>
          <w:p>
            <w:pPr>
              <w:ind w:left="320"/>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w:t>
            </w:r>
          </w:p>
        </w:tc>
        <w:tc>
          <w:tcPr>
            <w:tcW w:w="4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5"/>
                <w:szCs w:val="15"/>
                <w:color w:val="auto"/>
              </w:rPr>
              <w:t>9</w:t>
            </w:r>
          </w:p>
        </w:tc>
        <w:tc>
          <w:tcPr>
            <w:tcW w:w="4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5"/>
                <w:szCs w:val="15"/>
                <w:color w:val="auto"/>
              </w:rPr>
              <w:t>8</w:t>
            </w:r>
          </w:p>
        </w:tc>
        <w:tc>
          <w:tcPr>
            <w:tcW w:w="5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w w:val="9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240" w:type="dxa"/>
            <w:vAlign w:val="bottom"/>
          </w:tcPr>
          <w:p>
            <w:pPr>
              <w:spacing w:after="0"/>
              <w:rPr>
                <w:sz w:val="20"/>
                <w:szCs w:val="20"/>
                <w:color w:val="auto"/>
              </w:rPr>
            </w:pPr>
            <w:r>
              <w:rPr>
                <w:rFonts w:ascii="Arial" w:cs="Arial" w:eastAsia="Arial" w:hAnsi="Arial"/>
                <w:sz w:val="15"/>
                <w:szCs w:val="15"/>
                <w:b w:val="1"/>
                <w:bCs w:val="1"/>
                <w:color w:val="auto"/>
              </w:rPr>
              <w:t>Liabilities</w:t>
            </w: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240" w:type="dxa"/>
            <w:vAlign w:val="bottom"/>
            <w:shd w:val="clear" w:color="auto" w:fill="CCEEFF"/>
          </w:tcPr>
          <w:p>
            <w:pPr>
              <w:spacing w:after="0"/>
              <w:rPr>
                <w:sz w:val="20"/>
                <w:szCs w:val="20"/>
                <w:color w:val="auto"/>
              </w:rPr>
            </w:pPr>
            <w:r>
              <w:rPr>
                <w:rFonts w:ascii="Arial" w:cs="Arial" w:eastAsia="Arial" w:hAnsi="Arial"/>
                <w:sz w:val="15"/>
                <w:szCs w:val="15"/>
                <w:color w:val="auto"/>
              </w:rPr>
              <w:t>Foreign exchange forward</w:t>
            </w:r>
          </w:p>
        </w:tc>
        <w:tc>
          <w:tcPr>
            <w:tcW w:w="320" w:type="dxa"/>
            <w:vAlign w:val="bottom"/>
            <w:shd w:val="clear" w:color="auto" w:fill="CCEEFF"/>
          </w:tcPr>
          <w:p>
            <w:pPr>
              <w:spacing w:after="0"/>
              <w:rPr>
                <w:sz w:val="18"/>
                <w:szCs w:val="18"/>
                <w:color w:val="auto"/>
              </w:rPr>
            </w:pPr>
          </w:p>
        </w:tc>
        <w:tc>
          <w:tcPr>
            <w:tcW w:w="560" w:type="dxa"/>
            <w:vAlign w:val="bottom"/>
            <w:vMerge w:val="restart"/>
            <w:shd w:val="clear" w:color="auto" w:fill="CCEEFF"/>
          </w:tcPr>
          <w:p>
            <w:pPr>
              <w:ind w:left="340"/>
              <w:spacing w:after="0"/>
              <w:rPr>
                <w:sz w:val="20"/>
                <w:szCs w:val="20"/>
                <w:color w:val="auto"/>
              </w:rPr>
            </w:pPr>
            <w:r>
              <w:rPr>
                <w:rFonts w:ascii="Arial" w:cs="Arial" w:eastAsia="Arial" w:hAnsi="Arial"/>
                <w:sz w:val="15"/>
                <w:szCs w:val="15"/>
                <w:b w:val="1"/>
                <w:bCs w:val="1"/>
                <w:color w:val="auto"/>
              </w:rPr>
              <w:t>—</w:t>
            </w:r>
          </w:p>
        </w:tc>
        <w:tc>
          <w:tcPr>
            <w:tcW w:w="320" w:type="dxa"/>
            <w:vAlign w:val="bottom"/>
            <w:shd w:val="clear" w:color="auto" w:fill="CCEEFF"/>
          </w:tcPr>
          <w:p>
            <w:pPr>
              <w:spacing w:after="0"/>
              <w:rPr>
                <w:sz w:val="18"/>
                <w:szCs w:val="18"/>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5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ind w:left="4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rPr>
              <w:t>contracts</w:t>
            </w:r>
          </w:p>
        </w:tc>
        <w:tc>
          <w:tcPr>
            <w:tcW w:w="3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vMerge w:val="continue"/>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5"/>
                <w:szCs w:val="15"/>
                <w:color w:val="auto"/>
              </w:rPr>
              <w:t>1</w:t>
            </w:r>
          </w:p>
        </w:tc>
        <w:tc>
          <w:tcPr>
            <w:tcW w:w="4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5"/>
                <w:szCs w:val="15"/>
                <w:color w:val="auto"/>
              </w:rPr>
              <w:t>1</w:t>
            </w:r>
          </w:p>
        </w:tc>
        <w:tc>
          <w:tcPr>
            <w:tcW w:w="5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w w:val="9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2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Total Liabilities</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gridSpan w:val="2"/>
          </w:tcPr>
          <w:p>
            <w:pPr>
              <w:ind w:left="340"/>
              <w:spacing w:after="0"/>
              <w:rPr>
                <w:sz w:val="20"/>
                <w:szCs w:val="20"/>
                <w:color w:val="auto"/>
              </w:rPr>
            </w:pPr>
            <w:r>
              <w:rPr>
                <w:rFonts w:ascii="Arial" w:cs="Arial" w:eastAsia="Arial" w:hAnsi="Arial"/>
                <w:sz w:val="15"/>
                <w:szCs w:val="15"/>
                <w:b w:val="1"/>
                <w:bCs w:val="1"/>
                <w:color w:val="auto"/>
              </w:rPr>
              <w:t>—  $</w:t>
            </w:r>
          </w:p>
        </w:tc>
        <w:tc>
          <w:tcPr>
            <w:tcW w:w="940" w:type="dxa"/>
            <w:vAlign w:val="bottom"/>
            <w:tcBorders>
              <w:bottom w:val="single" w:sz="8" w:color="auto"/>
            </w:tcBorders>
            <w:gridSpan w:val="2"/>
          </w:tcPr>
          <w:p>
            <w:pPr>
              <w:jc w:val="right"/>
              <w:ind w:right="283"/>
              <w:spacing w:after="0"/>
              <w:rPr>
                <w:sz w:val="20"/>
                <w:szCs w:val="20"/>
                <w:color w:val="auto"/>
              </w:rPr>
            </w:pPr>
            <w:r>
              <w:rPr>
                <w:rFonts w:ascii="Arial" w:cs="Arial" w:eastAsia="Arial" w:hAnsi="Arial"/>
                <w:sz w:val="15"/>
                <w:szCs w:val="15"/>
                <w:b w:val="1"/>
                <w:bCs w:val="1"/>
                <w:color w:val="auto"/>
              </w:rPr>
              <w:t>—  $</w:t>
            </w:r>
          </w:p>
        </w:tc>
        <w:tc>
          <w:tcPr>
            <w:tcW w:w="44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w:t>
            </w:r>
          </w:p>
        </w:tc>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1</w:t>
            </w: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1</w:t>
            </w:r>
          </w:p>
        </w:tc>
        <w:tc>
          <w:tcPr>
            <w:tcW w:w="50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w w:val="9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5"/>
        </w:trPr>
        <w:tc>
          <w:tcPr>
            <w:tcW w:w="2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5"/>
                <w:szCs w:val="15"/>
                <w:color w:val="auto"/>
              </w:rPr>
              <w:t>11</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2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116" w:right="137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76"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 xml:space="preserve">As of February 3, 2018, the Company adopted ASU 2016-01, </w:t>
      </w:r>
      <w:r>
        <w:rPr>
          <w:rFonts w:ascii="Arial" w:cs="Arial" w:eastAsia="Arial" w:hAnsi="Arial"/>
          <w:sz w:val="15"/>
          <w:szCs w:val="15"/>
          <w:i w:val="1"/>
          <w:iCs w:val="1"/>
          <w:color w:val="auto"/>
        </w:rPr>
        <w:t>Financial Instruments – Overall (Subtopic 825-10): Recognition and</w:t>
      </w:r>
      <w:r>
        <w:rPr>
          <w:rFonts w:ascii="Arial" w:cs="Arial" w:eastAsia="Arial" w:hAnsi="Arial"/>
          <w:sz w:val="15"/>
          <w:szCs w:val="15"/>
          <w:color w:val="auto"/>
        </w:rPr>
        <w:t xml:space="preserve"> </w:t>
      </w:r>
      <w:r>
        <w:rPr>
          <w:rFonts w:ascii="Arial" w:cs="Arial" w:eastAsia="Arial" w:hAnsi="Arial"/>
          <w:sz w:val="15"/>
          <w:szCs w:val="15"/>
          <w:i w:val="1"/>
          <w:iCs w:val="1"/>
          <w:color w:val="auto"/>
        </w:rPr>
        <w:t>Measurement of Financial Assets and Financial Liabilities</w:t>
      </w:r>
      <w:r>
        <w:rPr>
          <w:rFonts w:ascii="Arial" w:cs="Arial" w:eastAsia="Arial" w:hAnsi="Arial"/>
          <w:sz w:val="15"/>
          <w:szCs w:val="15"/>
          <w:color w:val="auto"/>
        </w:rPr>
        <w:t>. The Company’s equity investment, under the practicability exception, is</w:t>
      </w:r>
      <w:r>
        <w:rPr>
          <w:rFonts w:ascii="Arial" w:cs="Arial" w:eastAsia="Arial" w:hAnsi="Arial"/>
          <w:sz w:val="15"/>
          <w:szCs w:val="15"/>
          <w:i w:val="1"/>
          <w:iCs w:val="1"/>
          <w:color w:val="auto"/>
        </w:rPr>
        <w:t xml:space="preserve"> </w:t>
      </w:r>
      <w:r>
        <w:rPr>
          <w:rFonts w:ascii="Arial" w:cs="Arial" w:eastAsia="Arial" w:hAnsi="Arial"/>
          <w:sz w:val="15"/>
          <w:szCs w:val="15"/>
          <w:color w:val="auto"/>
        </w:rPr>
        <w:t>now measured at cost adjusted for changes in observable prices minus impairment. Additionally, our security classified as available-for-sale is now recorded at fair value with gains and losses reported to other income in our Statement of Operations, whereas previously it was recorded to AOCL. The adjustment recorded to retained earnings as a result of adopting ASU 2016-01 was not significant. The fair value of the Company’s investment in equity securities is determined by using quoted prices for identical or similar instruments in markets that are not active and therefore are classified as Level 2. The fair value of the auction rate security is determined by using quoted prices for similar instruments in active markets and accordingly is classified as a Level 2 instrument.</w:t>
      </w:r>
    </w:p>
    <w:p>
      <w:pPr>
        <w:spacing w:after="0" w:line="157"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The Company’s derivative financial instruments are valued using market-based inputs to valuation models. These valuation models require a variety of inputs, including contractual terms, market prices, yield curves, and measures of volatility and therefore are classified as Level 2 instruments.</w:t>
      </w:r>
    </w:p>
    <w:p>
      <w:pPr>
        <w:spacing w:after="0" w:line="153" w:lineRule="exact"/>
        <w:rPr>
          <w:sz w:val="20"/>
          <w:szCs w:val="20"/>
          <w:color w:val="auto"/>
        </w:rPr>
      </w:pPr>
    </w:p>
    <w:p>
      <w:pPr>
        <w:jc w:val="both"/>
        <w:ind w:right="20"/>
        <w:spacing w:after="0" w:line="247" w:lineRule="auto"/>
        <w:rPr>
          <w:sz w:val="20"/>
          <w:szCs w:val="20"/>
          <w:color w:val="auto"/>
        </w:rPr>
      </w:pPr>
      <w:r>
        <w:rPr>
          <w:rFonts w:ascii="Arial" w:cs="Arial" w:eastAsia="Arial" w:hAnsi="Arial"/>
          <w:sz w:val="15"/>
          <w:szCs w:val="15"/>
          <w:color w:val="auto"/>
        </w:rPr>
        <w:t>There were no transfers into or out of Level 1, Level 2, or Level 3 assets and liabilities for any of the periods presented. The carrying value and estimated fair value of long-term debt and obligations under capital leases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40" w:type="dxa"/>
            <w:vAlign w:val="bottom"/>
          </w:tcPr>
          <w:p>
            <w:pPr>
              <w:spacing w:after="0"/>
              <w:rPr>
                <w:sz w:val="15"/>
                <w:szCs w:val="15"/>
                <w:color w:val="auto"/>
              </w:rPr>
            </w:pPr>
          </w:p>
        </w:tc>
        <w:tc>
          <w:tcPr>
            <w:tcW w:w="3220" w:type="dxa"/>
            <w:vAlign w:val="bottom"/>
            <w:gridSpan w:val="2"/>
          </w:tcPr>
          <w:p>
            <w:pPr>
              <w:jc w:val="right"/>
              <w:ind w:right="243"/>
              <w:spacing w:after="0"/>
              <w:rPr>
                <w:sz w:val="20"/>
                <w:szCs w:val="20"/>
                <w:color w:val="auto"/>
              </w:rPr>
            </w:pPr>
            <w:r>
              <w:rPr>
                <w:rFonts w:ascii="Arial" w:cs="Arial" w:eastAsia="Arial" w:hAnsi="Arial"/>
                <w:sz w:val="15"/>
                <w:szCs w:val="15"/>
                <w:b w:val="1"/>
                <w:bCs w:val="1"/>
                <w:color w:val="auto"/>
              </w:rPr>
              <w:t>November 3,</w:t>
            </w:r>
          </w:p>
        </w:tc>
        <w:tc>
          <w:tcPr>
            <w:tcW w:w="260" w:type="dxa"/>
            <w:vAlign w:val="bottom"/>
          </w:tcPr>
          <w:p>
            <w:pPr>
              <w:spacing w:after="0"/>
              <w:rPr>
                <w:sz w:val="15"/>
                <w:szCs w:val="15"/>
                <w:color w:val="auto"/>
              </w:rPr>
            </w:pPr>
          </w:p>
        </w:tc>
        <w:tc>
          <w:tcPr>
            <w:tcW w:w="1300" w:type="dxa"/>
            <w:vAlign w:val="bottom"/>
          </w:tcPr>
          <w:p>
            <w:pPr>
              <w:jc w:val="center"/>
              <w:ind w:right="263"/>
              <w:spacing w:after="0"/>
              <w:rPr>
                <w:sz w:val="20"/>
                <w:szCs w:val="20"/>
                <w:color w:val="auto"/>
              </w:rPr>
            </w:pPr>
            <w:r>
              <w:rPr>
                <w:rFonts w:ascii="Arial" w:cs="Arial" w:eastAsia="Arial" w:hAnsi="Arial"/>
                <w:sz w:val="15"/>
                <w:szCs w:val="15"/>
                <w:b w:val="1"/>
                <w:bCs w:val="1"/>
                <w:color w:val="auto"/>
              </w:rPr>
              <w:t>October 28,</w:t>
            </w:r>
          </w:p>
        </w:tc>
        <w:tc>
          <w:tcPr>
            <w:tcW w:w="280" w:type="dxa"/>
            <w:vAlign w:val="bottom"/>
          </w:tcPr>
          <w:p>
            <w:pPr>
              <w:spacing w:after="0"/>
              <w:rPr>
                <w:sz w:val="15"/>
                <w:szCs w:val="15"/>
                <w:color w:val="auto"/>
              </w:rPr>
            </w:pPr>
          </w:p>
        </w:tc>
        <w:tc>
          <w:tcPr>
            <w:tcW w:w="1100" w:type="dxa"/>
            <w:vAlign w:val="bottom"/>
          </w:tcPr>
          <w:p>
            <w:pPr>
              <w:jc w:val="right"/>
              <w:ind w:right="183"/>
              <w:spacing w:after="0"/>
              <w:rPr>
                <w:sz w:val="20"/>
                <w:szCs w:val="20"/>
                <w:color w:val="auto"/>
              </w:rPr>
            </w:pPr>
            <w:r>
              <w:rPr>
                <w:rFonts w:ascii="Arial" w:cs="Arial" w:eastAsia="Arial" w:hAnsi="Arial"/>
                <w:sz w:val="15"/>
                <w:szCs w:val="15"/>
                <w:b w:val="1"/>
                <w:bCs w:val="1"/>
                <w:color w:val="auto"/>
              </w:rPr>
              <w:t>February 3,</w:t>
            </w:r>
          </w:p>
        </w:tc>
      </w:tr>
      <w:tr>
        <w:trPr>
          <w:trHeight w:val="194"/>
        </w:trPr>
        <w:tc>
          <w:tcPr>
            <w:tcW w:w="29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2018</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83"/>
              <w:spacing w:after="0"/>
              <w:rPr>
                <w:sz w:val="20"/>
                <w:szCs w:val="20"/>
                <w:color w:val="auto"/>
              </w:rPr>
            </w:pPr>
            <w:r>
              <w:rPr>
                <w:rFonts w:ascii="Arial" w:cs="Arial" w:eastAsia="Arial" w:hAnsi="Arial"/>
                <w:sz w:val="15"/>
                <w:szCs w:val="15"/>
                <w:b w:val="1"/>
                <w:bCs w:val="1"/>
                <w:color w:val="auto"/>
              </w:rPr>
              <w:t>2017</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2018</w:t>
            </w:r>
          </w:p>
        </w:tc>
      </w:tr>
      <w:tr>
        <w:trPr>
          <w:trHeight w:val="187"/>
        </w:trPr>
        <w:tc>
          <w:tcPr>
            <w:tcW w:w="29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right="283"/>
              <w:spacing w:after="0"/>
              <w:rPr>
                <w:sz w:val="20"/>
                <w:szCs w:val="20"/>
                <w:color w:val="auto"/>
              </w:rPr>
            </w:pPr>
            <w:r>
              <w:rPr>
                <w:rFonts w:ascii="Arial" w:cs="Arial" w:eastAsia="Arial" w:hAnsi="Arial"/>
                <w:sz w:val="15"/>
                <w:szCs w:val="15"/>
                <w:color w:val="auto"/>
              </w:rPr>
              <w:t>($ in millions)</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7"/>
        </w:trPr>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rPr>
              <w:t>Carrying value</w:t>
            </w:r>
          </w:p>
        </w:tc>
        <w:tc>
          <w:tcPr>
            <w:tcW w:w="214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124</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126</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w:t>
            </w:r>
          </w:p>
        </w:tc>
      </w:tr>
      <w:tr>
        <w:trPr>
          <w:trHeight w:val="207"/>
        </w:trPr>
        <w:tc>
          <w:tcPr>
            <w:tcW w:w="29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Fair value</w:t>
            </w:r>
          </w:p>
        </w:tc>
        <w:tc>
          <w:tcPr>
            <w:tcW w:w="21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138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145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w:t>
            </w:r>
          </w:p>
        </w:tc>
      </w:tr>
    </w:tbl>
    <w:p>
      <w:pPr>
        <w:spacing w:after="0" w:line="165"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The fair value of long-term debt is determined by using model-derived valuations in which all significant inputs or significant value drivers are observable in active markets and therefore are classified as Level 2. The carrying values of cash and cash equivalents, and other current receivables and payables approximate their fair value.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Earnings Per Share</w:t>
      </w:r>
    </w:p>
    <w:p>
      <w:pPr>
        <w:spacing w:after="0" w:line="223" w:lineRule="exact"/>
        <w:rPr>
          <w:sz w:val="20"/>
          <w:szCs w:val="20"/>
          <w:color w:val="auto"/>
        </w:rPr>
      </w:pPr>
    </w:p>
    <w:p>
      <w:pPr>
        <w:jc w:val="both"/>
        <w:ind w:right="20"/>
        <w:spacing w:after="0" w:line="241" w:lineRule="auto"/>
        <w:rPr>
          <w:sz w:val="20"/>
          <w:szCs w:val="20"/>
          <w:color w:val="auto"/>
        </w:rPr>
      </w:pPr>
      <w:r>
        <w:rPr>
          <w:rFonts w:ascii="Arial" w:cs="Arial" w:eastAsia="Arial" w:hAnsi="Arial"/>
          <w:sz w:val="15"/>
          <w:szCs w:val="15"/>
          <w:color w:val="auto"/>
        </w:rPr>
        <w:t>The Company accounts for and discloses earnings per share using the treasury stock method. Basic earnings per share is computed by dividing net income for the period by the weighted-average number of common shares outstanding at the end of the period. Restricted stock awards, which contain non-forfeitable rights to dividends, are considered participating securities and are included in the calculation of basic earnings per share. Diluted earnings per share reflects the weighted-average number of common shares outstanding during the period used in the basic earnings per share computation plus dilutive common stock equivalents.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The computation of basic and diluted earnings per share is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right"/>
              <w:ind w:right="543"/>
              <w:spacing w:after="0"/>
              <w:rPr>
                <w:sz w:val="20"/>
                <w:szCs w:val="20"/>
                <w:color w:val="auto"/>
              </w:rPr>
            </w:pPr>
            <w:r>
              <w:rPr>
                <w:rFonts w:ascii="Arial" w:cs="Arial" w:eastAsia="Arial" w:hAnsi="Arial"/>
                <w:sz w:val="15"/>
                <w:szCs w:val="15"/>
                <w:b w:val="1"/>
                <w:bCs w:val="1"/>
                <w:color w:val="auto"/>
              </w:rPr>
              <w:t>Thirteen weeks ended</w:t>
            </w:r>
          </w:p>
        </w:tc>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ind w:right="343"/>
              <w:spacing w:after="0"/>
              <w:rPr>
                <w:sz w:val="20"/>
                <w:szCs w:val="20"/>
                <w:color w:val="auto"/>
              </w:rPr>
            </w:pPr>
            <w:r>
              <w:rPr>
                <w:rFonts w:ascii="Arial" w:cs="Arial" w:eastAsia="Arial" w:hAnsi="Arial"/>
                <w:sz w:val="15"/>
                <w:szCs w:val="15"/>
                <w:b w:val="1"/>
                <w:bCs w:val="1"/>
                <w:color w:val="auto"/>
              </w:rPr>
              <w:t>Thirty-nine weeks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3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183"/>
              <w:spacing w:after="0" w:line="146" w:lineRule="exact"/>
              <w:rPr>
                <w:sz w:val="20"/>
                <w:szCs w:val="20"/>
                <w:color w:val="auto"/>
              </w:rPr>
            </w:pPr>
            <w:r>
              <w:rPr>
                <w:rFonts w:ascii="Arial" w:cs="Arial" w:eastAsia="Arial" w:hAnsi="Arial"/>
                <w:sz w:val="15"/>
                <w:szCs w:val="15"/>
                <w:b w:val="1"/>
                <w:bCs w:val="1"/>
                <w:color w:val="auto"/>
              </w:rPr>
              <w:t>November 3,</w:t>
            </w:r>
          </w:p>
        </w:tc>
        <w:tc>
          <w:tcPr>
            <w:tcW w:w="240" w:type="dxa"/>
            <w:vAlign w:val="bottom"/>
          </w:tcPr>
          <w:p>
            <w:pPr>
              <w:spacing w:after="0"/>
              <w:rPr>
                <w:sz w:val="12"/>
                <w:szCs w:val="12"/>
                <w:color w:val="auto"/>
              </w:rPr>
            </w:pPr>
          </w:p>
        </w:tc>
        <w:tc>
          <w:tcPr>
            <w:tcW w:w="1200" w:type="dxa"/>
            <w:vAlign w:val="bottom"/>
          </w:tcPr>
          <w:p>
            <w:pPr>
              <w:jc w:val="right"/>
              <w:ind w:right="203"/>
              <w:spacing w:after="0" w:line="146" w:lineRule="exact"/>
              <w:rPr>
                <w:sz w:val="20"/>
                <w:szCs w:val="20"/>
                <w:color w:val="auto"/>
              </w:rPr>
            </w:pPr>
            <w:r>
              <w:rPr>
                <w:rFonts w:ascii="Arial" w:cs="Arial" w:eastAsia="Arial" w:hAnsi="Arial"/>
                <w:sz w:val="15"/>
                <w:szCs w:val="15"/>
                <w:b w:val="1"/>
                <w:bCs w:val="1"/>
                <w:color w:val="auto"/>
              </w:rPr>
              <w:t>October 28,</w:t>
            </w:r>
          </w:p>
        </w:tc>
        <w:tc>
          <w:tcPr>
            <w:tcW w:w="240" w:type="dxa"/>
            <w:vAlign w:val="bottom"/>
          </w:tcPr>
          <w:p>
            <w:pPr>
              <w:spacing w:after="0"/>
              <w:rPr>
                <w:sz w:val="12"/>
                <w:szCs w:val="12"/>
                <w:color w:val="auto"/>
              </w:rPr>
            </w:pPr>
          </w:p>
        </w:tc>
        <w:tc>
          <w:tcPr>
            <w:tcW w:w="1160" w:type="dxa"/>
            <w:vAlign w:val="bottom"/>
          </w:tcPr>
          <w:p>
            <w:pPr>
              <w:jc w:val="right"/>
              <w:ind w:right="143"/>
              <w:spacing w:after="0" w:line="146" w:lineRule="exact"/>
              <w:rPr>
                <w:sz w:val="20"/>
                <w:szCs w:val="20"/>
                <w:color w:val="auto"/>
              </w:rPr>
            </w:pPr>
            <w:r>
              <w:rPr>
                <w:rFonts w:ascii="Arial" w:cs="Arial" w:eastAsia="Arial" w:hAnsi="Arial"/>
                <w:sz w:val="15"/>
                <w:szCs w:val="15"/>
                <w:b w:val="1"/>
                <w:bCs w:val="1"/>
                <w:color w:val="auto"/>
              </w:rPr>
              <w:t>November 3,</w:t>
            </w:r>
          </w:p>
        </w:tc>
        <w:tc>
          <w:tcPr>
            <w:tcW w:w="260" w:type="dxa"/>
            <w:vAlign w:val="bottom"/>
          </w:tcPr>
          <w:p>
            <w:pPr>
              <w:spacing w:after="0"/>
              <w:rPr>
                <w:sz w:val="12"/>
                <w:szCs w:val="12"/>
                <w:color w:val="auto"/>
              </w:rPr>
            </w:pPr>
          </w:p>
        </w:tc>
        <w:tc>
          <w:tcPr>
            <w:tcW w:w="1080" w:type="dxa"/>
            <w:vAlign w:val="bottom"/>
          </w:tcPr>
          <w:p>
            <w:pPr>
              <w:jc w:val="right"/>
              <w:ind w:right="123"/>
              <w:spacing w:after="0" w:line="146" w:lineRule="exact"/>
              <w:rPr>
                <w:sz w:val="20"/>
                <w:szCs w:val="20"/>
                <w:color w:val="auto"/>
              </w:rPr>
            </w:pPr>
            <w:r>
              <w:rPr>
                <w:rFonts w:ascii="Arial" w:cs="Arial" w:eastAsia="Arial" w:hAnsi="Arial"/>
                <w:sz w:val="15"/>
                <w:szCs w:val="15"/>
                <w:b w:val="1"/>
                <w:bCs w:val="1"/>
                <w:color w:val="auto"/>
              </w:rPr>
              <w:t>October 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4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2018</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2017</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2018</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3"/>
          </w:tcPr>
          <w:p>
            <w:pPr>
              <w:jc w:val="right"/>
              <w:ind w:right="163"/>
              <w:spacing w:after="0"/>
              <w:rPr>
                <w:sz w:val="20"/>
                <w:szCs w:val="20"/>
                <w:color w:val="auto"/>
              </w:rPr>
            </w:pPr>
            <w:r>
              <w:rPr>
                <w:rFonts w:ascii="Arial" w:cs="Arial" w:eastAsia="Arial" w:hAnsi="Arial"/>
                <w:sz w:val="15"/>
                <w:szCs w:val="15"/>
                <w:color w:val="auto"/>
              </w:rPr>
              <w:t>(in millions, except per share data)</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130</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102</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383</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3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common shares outstanding</w:t>
            </w:r>
          </w:p>
        </w:tc>
        <w:tc>
          <w:tcPr>
            <w:tcW w:w="26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114.5</w:t>
            </w:r>
          </w:p>
        </w:tc>
        <w:tc>
          <w:tcPr>
            <w:tcW w:w="24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rPr>
              <w:t>126.0</w:t>
            </w:r>
          </w:p>
        </w:tc>
        <w:tc>
          <w:tcPr>
            <w:tcW w:w="240" w:type="dxa"/>
            <w:vAlign w:val="bottom"/>
            <w:shd w:val="clear" w:color="auto" w:fill="CCEEFF"/>
          </w:tcPr>
          <w:p>
            <w:pPr>
              <w:spacing w:after="0"/>
              <w:rPr>
                <w:sz w:val="24"/>
                <w:szCs w:val="24"/>
                <w:color w:val="auto"/>
              </w:rPr>
            </w:pPr>
          </w:p>
        </w:tc>
        <w:tc>
          <w:tcPr>
            <w:tcW w:w="116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116.6</w:t>
            </w:r>
          </w:p>
        </w:tc>
        <w:tc>
          <w:tcPr>
            <w:tcW w:w="260" w:type="dxa"/>
            <w:vAlign w:val="bottom"/>
            <w:shd w:val="clear" w:color="auto" w:fill="CCEEFF"/>
          </w:tcPr>
          <w:p>
            <w:pPr>
              <w:spacing w:after="0"/>
              <w:rPr>
                <w:sz w:val="24"/>
                <w:szCs w:val="2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4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60" w:type="dxa"/>
            <w:vAlign w:val="bottom"/>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34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Dilutive effect of potential common shares</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0.5</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0.4</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0.5</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common shares outstanding</w:t>
            </w:r>
          </w:p>
        </w:tc>
        <w:tc>
          <w:tcPr>
            <w:tcW w:w="2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115.0</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117.1</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rPr>
              <w:t>assuming dilution</w:t>
            </w:r>
          </w:p>
        </w:tc>
        <w:tc>
          <w:tcPr>
            <w:tcW w:w="2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126.4</w:t>
            </w:r>
          </w:p>
        </w:tc>
        <w:tc>
          <w:tcPr>
            <w:tcW w:w="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Earnings per share - basic</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1.14</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0.81</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3.29</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60" w:type="dxa"/>
            <w:vAlign w:val="bottom"/>
          </w:tcPr>
          <w:p>
            <w:pPr>
              <w:spacing w:after="0"/>
              <w:rPr>
                <w:sz w:val="20"/>
                <w:szCs w:val="20"/>
                <w:color w:val="auto"/>
              </w:rPr>
            </w:pPr>
            <w:r>
              <w:rPr>
                <w:rFonts w:ascii="Arial" w:cs="Arial" w:eastAsia="Arial" w:hAnsi="Arial"/>
                <w:sz w:val="15"/>
                <w:szCs w:val="15"/>
                <w:color w:val="auto"/>
              </w:rPr>
              <w:t>Earnings per share - diluted</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tcPr>
          <w:p>
            <w:pPr>
              <w:jc w:val="right"/>
              <w:ind w:right="83"/>
              <w:spacing w:after="0"/>
              <w:rPr>
                <w:sz w:val="20"/>
                <w:szCs w:val="20"/>
                <w:color w:val="auto"/>
              </w:rPr>
            </w:pPr>
            <w:r>
              <w:rPr>
                <w:rFonts w:ascii="Arial" w:cs="Arial" w:eastAsia="Arial" w:hAnsi="Arial"/>
                <w:sz w:val="15"/>
                <w:szCs w:val="15"/>
                <w:b w:val="1"/>
                <w:bCs w:val="1"/>
                <w:color w:val="auto"/>
              </w:rPr>
              <w:t>1.14</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63"/>
              <w:spacing w:after="0"/>
              <w:rPr>
                <w:sz w:val="20"/>
                <w:szCs w:val="20"/>
                <w:color w:val="auto"/>
              </w:rPr>
            </w:pPr>
            <w:r>
              <w:rPr>
                <w:rFonts w:ascii="Arial" w:cs="Arial" w:eastAsia="Arial" w:hAnsi="Arial"/>
                <w:sz w:val="15"/>
                <w:szCs w:val="15"/>
                <w:color w:val="auto"/>
              </w:rPr>
              <w:t>0.81</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Pr>
          <w:p>
            <w:pPr>
              <w:jc w:val="right"/>
              <w:ind w:right="43"/>
              <w:spacing w:after="0"/>
              <w:rPr>
                <w:sz w:val="20"/>
                <w:szCs w:val="20"/>
                <w:color w:val="auto"/>
              </w:rPr>
            </w:pPr>
            <w:r>
              <w:rPr>
                <w:rFonts w:ascii="Arial" w:cs="Arial" w:eastAsia="Arial" w:hAnsi="Arial"/>
                <w:sz w:val="15"/>
                <w:szCs w:val="15"/>
                <w:b w:val="1"/>
                <w:bCs w:val="1"/>
                <w:color w:val="auto"/>
              </w:rPr>
              <w:t>3.28</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460" w:type="dxa"/>
            <w:vAlign w:val="bottom"/>
          </w:tcPr>
          <w:p>
            <w:pPr>
              <w:spacing w:after="0"/>
              <w:rPr>
                <w:sz w:val="20"/>
                <w:szCs w:val="20"/>
                <w:color w:val="auto"/>
              </w:rPr>
            </w:pPr>
            <w:r>
              <w:rPr>
                <w:rFonts w:ascii="Arial" w:cs="Arial" w:eastAsia="Arial" w:hAnsi="Arial"/>
                <w:sz w:val="15"/>
                <w:szCs w:val="15"/>
                <w:color w:val="auto"/>
              </w:rPr>
              <w:t>Anti-dilutive option awards excluded from diluted</w:t>
            </w:r>
          </w:p>
        </w:tc>
        <w:tc>
          <w:tcPr>
            <w:tcW w:w="260" w:type="dxa"/>
            <w:vAlign w:val="bottom"/>
          </w:tcPr>
          <w:p>
            <w:pPr>
              <w:spacing w:after="0"/>
              <w:rPr>
                <w:sz w:val="17"/>
                <w:szCs w:val="17"/>
                <w:color w:val="auto"/>
              </w:rPr>
            </w:pPr>
          </w:p>
        </w:tc>
        <w:tc>
          <w:tcPr>
            <w:tcW w:w="120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rPr>
              <w:t>2.0</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1.9</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calculation</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2.0</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9"/>
        </w:trPr>
        <w:tc>
          <w:tcPr>
            <w:tcW w:w="3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203"/>
              <w:spacing w:after="0"/>
              <w:rPr>
                <w:sz w:val="20"/>
                <w:szCs w:val="20"/>
                <w:color w:val="auto"/>
              </w:rPr>
            </w:pPr>
            <w:r>
              <w:rPr>
                <w:rFonts w:ascii="Arial" w:cs="Arial" w:eastAsia="Arial" w:hAnsi="Arial"/>
                <w:sz w:val="15"/>
                <w:szCs w:val="15"/>
                <w:color w:val="auto"/>
              </w:rPr>
              <w:t>12</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4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4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116" w:right="1379" w:bottom="1440" w:gutter="0" w:footer="0" w:header="0"/>
        </w:sectPr>
      </w:pPr>
    </w:p>
    <w:bookmarkStart w:id="14" w:name="page15"/>
    <w:bookmarkEnd w:id="14"/>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Additionally, shares of 1.1 million and 0.4 million as of November 3, 2018 and October 28, 2017, respectively, have been excluded from diluted weighted-average shares as the number of shares that will be issued is contingent on the Company’s performance metrics as compared to the pre-established performance goals which have not been achieved as of November 3, 2018 and October 28, 2017. These shares relate to restricted stock units issued in connection with the Company’s long-term incentive program.</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Pension and Postretirement Plans</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 Company has defined benefit pension plans covering certain of its North American employees, which are funded in accordance with the provisions of the laws where the plans are in effect. The Company also has a defined benefit pension plan covering certain employees of the Runners Point Group. In addition to providing pension benefits, the Company sponsors postretirement medical and life insurance plans, which are available to most of its retired U.S. employees. These medical and life insurance plans are contributory and are not funded.</w:t>
      </w:r>
    </w:p>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 xml:space="preserve">The following are the components of net periodic pension benefit cost and net periodic postretirement benefit income. In conjunction with the adoption of ASU 2017-07, </w:t>
      </w:r>
      <w:r>
        <w:rPr>
          <w:rFonts w:ascii="Arial" w:cs="Arial" w:eastAsia="Arial" w:hAnsi="Arial"/>
          <w:sz w:val="15"/>
          <w:szCs w:val="15"/>
          <w:i w:val="1"/>
          <w:iCs w:val="1"/>
          <w:color w:val="auto"/>
        </w:rPr>
        <w:t>Compensation - Retirement Benefits (Topic 715) Improving the Presentation of Net Periodic</w:t>
      </w:r>
      <w:r>
        <w:rPr>
          <w:rFonts w:ascii="Arial" w:cs="Arial" w:eastAsia="Arial" w:hAnsi="Arial"/>
          <w:sz w:val="15"/>
          <w:szCs w:val="15"/>
          <w:color w:val="auto"/>
        </w:rPr>
        <w:t xml:space="preserve"> </w:t>
      </w:r>
      <w:r>
        <w:rPr>
          <w:rFonts w:ascii="Arial" w:cs="Arial" w:eastAsia="Arial" w:hAnsi="Arial"/>
          <w:sz w:val="15"/>
          <w:szCs w:val="15"/>
          <w:i w:val="1"/>
          <w:iCs w:val="1"/>
          <w:color w:val="auto"/>
        </w:rPr>
        <w:t>Pension Cost and Net Periodic Postretirement Benefit Cost</w:t>
      </w:r>
      <w:r>
        <w:rPr>
          <w:rFonts w:ascii="Arial" w:cs="Arial" w:eastAsia="Arial" w:hAnsi="Arial"/>
          <w:sz w:val="15"/>
          <w:szCs w:val="15"/>
          <w:color w:val="auto"/>
        </w:rPr>
        <w:t>, service cost continues to be recognized as part of SG&amp;A expense, while</w:t>
      </w:r>
      <w:r>
        <w:rPr>
          <w:rFonts w:ascii="Arial" w:cs="Arial" w:eastAsia="Arial" w:hAnsi="Arial"/>
          <w:sz w:val="15"/>
          <w:szCs w:val="15"/>
          <w:i w:val="1"/>
          <w:iCs w:val="1"/>
          <w:color w:val="auto"/>
        </w:rPr>
        <w:t xml:space="preserve"> </w:t>
      </w:r>
      <w:r>
        <w:rPr>
          <w:rFonts w:ascii="Arial" w:cs="Arial" w:eastAsia="Arial" w:hAnsi="Arial"/>
          <w:sz w:val="15"/>
          <w:szCs w:val="15"/>
          <w:color w:val="auto"/>
        </w:rPr>
        <w:t>the remaining pension and postretirement expense components are now recognized as part of other income. Prior periods were not reclassified as required by this ASU as the amounts were not considered significant.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03"/>
              <w:spacing w:after="0"/>
              <w:rPr>
                <w:sz w:val="20"/>
                <w:szCs w:val="20"/>
                <w:color w:val="auto"/>
              </w:rPr>
            </w:pPr>
            <w:r>
              <w:rPr>
                <w:rFonts w:ascii="Arial" w:cs="Arial" w:eastAsia="Arial" w:hAnsi="Arial"/>
                <w:sz w:val="15"/>
                <w:szCs w:val="15"/>
                <w:b w:val="1"/>
                <w:bCs w:val="1"/>
                <w:color w:val="auto"/>
              </w:rPr>
              <w:t>Pension Benefits</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ind w:left="640"/>
              <w:spacing w:after="0"/>
              <w:rPr>
                <w:sz w:val="20"/>
                <w:szCs w:val="20"/>
                <w:color w:val="auto"/>
              </w:rPr>
            </w:pPr>
            <w:r>
              <w:rPr>
                <w:rFonts w:ascii="Arial" w:cs="Arial" w:eastAsia="Arial" w:hAnsi="Arial"/>
                <w:sz w:val="15"/>
                <w:szCs w:val="15"/>
                <w:b w:val="1"/>
                <w:bCs w:val="1"/>
                <w:color w:val="auto"/>
              </w:rPr>
              <w:t>Postretirement Benefits</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3"/>
          </w:tcPr>
          <w:p>
            <w:pPr>
              <w:jc w:val="center"/>
              <w:ind w:right="183"/>
              <w:spacing w:after="0" w:line="139" w:lineRule="exact"/>
              <w:rPr>
                <w:sz w:val="20"/>
                <w:szCs w:val="20"/>
                <w:color w:val="auto"/>
              </w:rPr>
            </w:pPr>
            <w:r>
              <w:rPr>
                <w:rFonts w:ascii="Arial" w:cs="Arial" w:eastAsia="Arial" w:hAnsi="Arial"/>
                <w:sz w:val="15"/>
                <w:szCs w:val="15"/>
                <w:b w:val="1"/>
                <w:bCs w:val="1"/>
                <w:color w:val="auto"/>
              </w:rPr>
              <w:t>Thirty-nine weeks</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3"/>
          </w:tcPr>
          <w:p>
            <w:pPr>
              <w:jc w:val="right"/>
              <w:ind w:right="103"/>
              <w:spacing w:after="0" w:line="139" w:lineRule="exact"/>
              <w:rPr>
                <w:sz w:val="20"/>
                <w:szCs w:val="20"/>
                <w:color w:val="auto"/>
              </w:rPr>
            </w:pPr>
            <w:r>
              <w:rPr>
                <w:rFonts w:ascii="Arial" w:cs="Arial" w:eastAsia="Arial" w:hAnsi="Arial"/>
                <w:sz w:val="15"/>
                <w:szCs w:val="15"/>
                <w:b w:val="1"/>
                <w:bCs w:val="1"/>
                <w:color w:val="auto"/>
              </w:rPr>
              <w:t>Thirty-nine weeks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8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240"/>
              <w:spacing w:after="0"/>
              <w:rPr>
                <w:sz w:val="20"/>
                <w:szCs w:val="20"/>
                <w:color w:val="auto"/>
              </w:rPr>
            </w:pPr>
            <w:r>
              <w:rPr>
                <w:rFonts w:ascii="Arial" w:cs="Arial" w:eastAsia="Arial" w:hAnsi="Arial"/>
                <w:sz w:val="15"/>
                <w:szCs w:val="15"/>
                <w:b w:val="1"/>
                <w:bCs w:val="1"/>
                <w:color w:val="auto"/>
              </w:rPr>
              <w:t>Thirteen weeks ended</w:t>
            </w: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183"/>
              <w:spacing w:after="0"/>
              <w:rPr>
                <w:sz w:val="20"/>
                <w:szCs w:val="20"/>
                <w:color w:val="auto"/>
              </w:rPr>
            </w:pPr>
            <w:r>
              <w:rPr>
                <w:rFonts w:ascii="Arial" w:cs="Arial" w:eastAsia="Arial" w:hAnsi="Arial"/>
                <w:sz w:val="15"/>
                <w:szCs w:val="15"/>
                <w:b w:val="1"/>
                <w:bCs w:val="1"/>
                <w:color w:val="auto"/>
              </w:rPr>
              <w:t>ended</w:t>
            </w:r>
          </w:p>
        </w:tc>
        <w:tc>
          <w:tcPr>
            <w:tcW w:w="1780" w:type="dxa"/>
            <w:vAlign w:val="bottom"/>
            <w:tcBorders>
              <w:bottom w:val="single" w:sz="8" w:color="auto"/>
            </w:tcBorders>
            <w:gridSpan w:val="3"/>
          </w:tcPr>
          <w:p>
            <w:pPr>
              <w:ind w:left="60"/>
              <w:spacing w:after="0"/>
              <w:rPr>
                <w:sz w:val="20"/>
                <w:szCs w:val="20"/>
                <w:color w:val="auto"/>
              </w:rPr>
            </w:pPr>
            <w:r>
              <w:rPr>
                <w:rFonts w:ascii="Arial" w:cs="Arial" w:eastAsia="Arial" w:hAnsi="Arial"/>
                <w:sz w:val="15"/>
                <w:szCs w:val="15"/>
                <w:b w:val="1"/>
                <w:bCs w:val="1"/>
                <w:color w:val="auto"/>
              </w:rPr>
              <w:t>Thirteen weeks ended</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23"/>
              <w:spacing w:after="0"/>
              <w:rPr>
                <w:sz w:val="20"/>
                <w:szCs w:val="20"/>
                <w:color w:val="auto"/>
              </w:rPr>
            </w:pPr>
            <w:r>
              <w:rPr>
                <w:rFonts w:ascii="Arial" w:cs="Arial" w:eastAsia="Arial" w:hAnsi="Arial"/>
                <w:sz w:val="15"/>
                <w:szCs w:val="15"/>
                <w:b w:val="1"/>
                <w:bCs w:val="1"/>
                <w:color w:val="auto"/>
              </w:rPr>
              <w:t>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60" w:type="dxa"/>
            <w:vAlign w:val="bottom"/>
          </w:tcPr>
          <w:p>
            <w:pPr>
              <w:spacing w:after="0"/>
              <w:rPr>
                <w:sz w:val="15"/>
                <w:szCs w:val="15"/>
                <w:color w:val="auto"/>
              </w:rPr>
            </w:pPr>
          </w:p>
        </w:tc>
        <w:tc>
          <w:tcPr>
            <w:tcW w:w="1040" w:type="dxa"/>
            <w:vAlign w:val="bottom"/>
            <w:gridSpan w:val="2"/>
          </w:tcPr>
          <w:p>
            <w:pPr>
              <w:jc w:val="right"/>
              <w:ind w:right="123"/>
              <w:spacing w:after="0"/>
              <w:rPr>
                <w:sz w:val="20"/>
                <w:szCs w:val="20"/>
                <w:color w:val="auto"/>
              </w:rPr>
            </w:pPr>
            <w:r>
              <w:rPr>
                <w:rFonts w:ascii="Arial" w:cs="Arial" w:eastAsia="Arial" w:hAnsi="Arial"/>
                <w:sz w:val="15"/>
                <w:szCs w:val="15"/>
                <w:b w:val="1"/>
                <w:bCs w:val="1"/>
                <w:color w:val="auto"/>
              </w:rPr>
              <w:t>Nov. 3,</w:t>
            </w:r>
          </w:p>
        </w:tc>
        <w:tc>
          <w:tcPr>
            <w:tcW w:w="160" w:type="dxa"/>
            <w:vAlign w:val="bottom"/>
          </w:tcPr>
          <w:p>
            <w:pPr>
              <w:spacing w:after="0"/>
              <w:rPr>
                <w:sz w:val="15"/>
                <w:szCs w:val="15"/>
                <w:color w:val="auto"/>
              </w:rPr>
            </w:pPr>
          </w:p>
        </w:tc>
        <w:tc>
          <w:tcPr>
            <w:tcW w:w="800" w:type="dxa"/>
            <w:vAlign w:val="bottom"/>
          </w:tcPr>
          <w:p>
            <w:pPr>
              <w:jc w:val="center"/>
              <w:ind w:right="123"/>
              <w:spacing w:after="0"/>
              <w:rPr>
                <w:sz w:val="20"/>
                <w:szCs w:val="20"/>
                <w:color w:val="auto"/>
              </w:rPr>
            </w:pPr>
            <w:r>
              <w:rPr>
                <w:rFonts w:ascii="Arial" w:cs="Arial" w:eastAsia="Arial" w:hAnsi="Arial"/>
                <w:sz w:val="15"/>
                <w:szCs w:val="15"/>
                <w:b w:val="1"/>
                <w:bCs w:val="1"/>
                <w:color w:val="auto"/>
              </w:rPr>
              <w:t>Oct. 28,</w:t>
            </w:r>
          </w:p>
        </w:tc>
        <w:tc>
          <w:tcPr>
            <w:tcW w:w="860" w:type="dxa"/>
            <w:vAlign w:val="bottom"/>
            <w:gridSpan w:val="2"/>
          </w:tcPr>
          <w:p>
            <w:pPr>
              <w:jc w:val="right"/>
              <w:ind w:right="123"/>
              <w:spacing w:after="0"/>
              <w:rPr>
                <w:sz w:val="20"/>
                <w:szCs w:val="20"/>
                <w:color w:val="auto"/>
              </w:rPr>
            </w:pPr>
            <w:r>
              <w:rPr>
                <w:rFonts w:ascii="Arial" w:cs="Arial" w:eastAsia="Arial" w:hAnsi="Arial"/>
                <w:sz w:val="15"/>
                <w:szCs w:val="15"/>
                <w:b w:val="1"/>
                <w:bCs w:val="1"/>
                <w:color w:val="auto"/>
              </w:rPr>
              <w:t>Nov. 3,</w:t>
            </w:r>
          </w:p>
        </w:tc>
        <w:tc>
          <w:tcPr>
            <w:tcW w:w="160" w:type="dxa"/>
            <w:vAlign w:val="bottom"/>
          </w:tcPr>
          <w:p>
            <w:pPr>
              <w:spacing w:after="0"/>
              <w:rPr>
                <w:sz w:val="15"/>
                <w:szCs w:val="15"/>
                <w:color w:val="auto"/>
              </w:rPr>
            </w:pPr>
          </w:p>
        </w:tc>
        <w:tc>
          <w:tcPr>
            <w:tcW w:w="780" w:type="dxa"/>
            <w:vAlign w:val="bottom"/>
          </w:tcPr>
          <w:p>
            <w:pPr>
              <w:jc w:val="center"/>
              <w:ind w:right="103"/>
              <w:spacing w:after="0"/>
              <w:rPr>
                <w:sz w:val="20"/>
                <w:szCs w:val="20"/>
                <w:color w:val="auto"/>
              </w:rPr>
            </w:pPr>
            <w:r>
              <w:rPr>
                <w:rFonts w:ascii="Arial" w:cs="Arial" w:eastAsia="Arial" w:hAnsi="Arial"/>
                <w:sz w:val="15"/>
                <w:szCs w:val="15"/>
                <w:b w:val="1"/>
                <w:bCs w:val="1"/>
                <w:color w:val="auto"/>
              </w:rPr>
              <w:t>Oct. 28,</w:t>
            </w:r>
          </w:p>
        </w:tc>
        <w:tc>
          <w:tcPr>
            <w:tcW w:w="1000" w:type="dxa"/>
            <w:vAlign w:val="bottom"/>
            <w:gridSpan w:val="2"/>
          </w:tcPr>
          <w:p>
            <w:pPr>
              <w:ind w:left="180"/>
              <w:spacing w:after="0"/>
              <w:rPr>
                <w:sz w:val="20"/>
                <w:szCs w:val="20"/>
                <w:color w:val="auto"/>
              </w:rPr>
            </w:pPr>
            <w:r>
              <w:rPr>
                <w:rFonts w:ascii="Arial" w:cs="Arial" w:eastAsia="Arial" w:hAnsi="Arial"/>
                <w:sz w:val="15"/>
                <w:szCs w:val="15"/>
                <w:b w:val="1"/>
                <w:bCs w:val="1"/>
                <w:color w:val="auto"/>
              </w:rPr>
              <w:t>Nov. 3,</w:t>
            </w:r>
          </w:p>
        </w:tc>
        <w:tc>
          <w:tcPr>
            <w:tcW w:w="780" w:type="dxa"/>
            <w:vAlign w:val="bottom"/>
          </w:tcPr>
          <w:p>
            <w:pPr>
              <w:ind w:left="20"/>
              <w:spacing w:after="0"/>
              <w:rPr>
                <w:sz w:val="20"/>
                <w:szCs w:val="20"/>
                <w:color w:val="auto"/>
              </w:rPr>
            </w:pPr>
            <w:r>
              <w:rPr>
                <w:rFonts w:ascii="Arial" w:cs="Arial" w:eastAsia="Arial" w:hAnsi="Arial"/>
                <w:sz w:val="15"/>
                <w:szCs w:val="15"/>
                <w:b w:val="1"/>
                <w:bCs w:val="1"/>
                <w:color w:val="auto"/>
              </w:rPr>
              <w:t>Oct. 28,</w:t>
            </w:r>
          </w:p>
        </w:tc>
        <w:tc>
          <w:tcPr>
            <w:tcW w:w="840" w:type="dxa"/>
            <w:vAlign w:val="bottom"/>
            <w:gridSpan w:val="2"/>
          </w:tcPr>
          <w:p>
            <w:pPr>
              <w:jc w:val="right"/>
              <w:ind w:right="123"/>
              <w:spacing w:after="0"/>
              <w:rPr>
                <w:sz w:val="20"/>
                <w:szCs w:val="20"/>
                <w:color w:val="auto"/>
              </w:rPr>
            </w:pPr>
            <w:r>
              <w:rPr>
                <w:rFonts w:ascii="Arial" w:cs="Arial" w:eastAsia="Arial" w:hAnsi="Arial"/>
                <w:sz w:val="15"/>
                <w:szCs w:val="15"/>
                <w:b w:val="1"/>
                <w:bCs w:val="1"/>
                <w:color w:val="auto"/>
              </w:rPr>
              <w:t>Nov. 3,</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w w:val="99"/>
              </w:rPr>
              <w:t>Oct. 28,</w:t>
            </w:r>
          </w:p>
        </w:tc>
        <w:tc>
          <w:tcPr>
            <w:tcW w:w="0" w:type="dxa"/>
            <w:vAlign w:val="bottom"/>
          </w:tcPr>
          <w:p>
            <w:pPr>
              <w:spacing w:after="0"/>
              <w:rPr>
                <w:sz w:val="1"/>
                <w:szCs w:val="1"/>
                <w:color w:val="auto"/>
              </w:rPr>
            </w:pPr>
          </w:p>
        </w:tc>
      </w:tr>
      <w:tr>
        <w:trPr>
          <w:trHeight w:val="194"/>
        </w:trPr>
        <w:tc>
          <w:tcPr>
            <w:tcW w:w="18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in millions)</w:t>
            </w: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2018</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2017</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2018</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2017</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2018</w:t>
            </w: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2017</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2018</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60" w:type="dxa"/>
            <w:vAlign w:val="bottom"/>
            <w:shd w:val="clear" w:color="auto" w:fill="CCEEFF"/>
          </w:tcPr>
          <w:p>
            <w:pPr>
              <w:spacing w:after="0"/>
              <w:rPr>
                <w:sz w:val="20"/>
                <w:szCs w:val="20"/>
                <w:color w:val="auto"/>
              </w:rPr>
            </w:pPr>
            <w:r>
              <w:rPr>
                <w:rFonts w:ascii="Arial" w:cs="Arial" w:eastAsia="Arial" w:hAnsi="Arial"/>
                <w:sz w:val="15"/>
                <w:szCs w:val="15"/>
                <w:color w:val="auto"/>
              </w:rPr>
              <w:t>Service cost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5</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center"/>
              <w:ind w:left="363"/>
              <w:spacing w:after="0"/>
              <w:rPr>
                <w:sz w:val="20"/>
                <w:szCs w:val="20"/>
                <w:color w:val="auto"/>
              </w:rPr>
            </w:pPr>
            <w:r>
              <w:rPr>
                <w:rFonts w:ascii="Arial" w:cs="Arial" w:eastAsia="Arial" w:hAnsi="Arial"/>
                <w:sz w:val="15"/>
                <w:szCs w:val="15"/>
                <w:color w:val="auto"/>
                <w:w w:val="95"/>
              </w:rPr>
              <w:t>4</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14</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center"/>
              <w:ind w:left="303"/>
              <w:spacing w:after="0"/>
              <w:rPr>
                <w:sz w:val="20"/>
                <w:szCs w:val="20"/>
                <w:color w:val="auto"/>
              </w:rPr>
            </w:pPr>
            <w:r>
              <w:rPr>
                <w:rFonts w:ascii="Arial" w:cs="Arial" w:eastAsia="Arial" w:hAnsi="Arial"/>
                <w:sz w:val="15"/>
                <w:szCs w:val="15"/>
                <w:color w:val="auto"/>
                <w:w w:val="95"/>
              </w:rPr>
              <w:t>12</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ind w:left="440"/>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860" w:type="dxa"/>
            <w:vAlign w:val="bottom"/>
          </w:tcPr>
          <w:p>
            <w:pPr>
              <w:spacing w:after="0"/>
              <w:rPr>
                <w:sz w:val="20"/>
                <w:szCs w:val="20"/>
                <w:color w:val="auto"/>
              </w:rPr>
            </w:pPr>
            <w:r>
              <w:rPr>
                <w:rFonts w:ascii="Arial" w:cs="Arial" w:eastAsia="Arial" w:hAnsi="Arial"/>
                <w:sz w:val="15"/>
                <w:szCs w:val="15"/>
                <w:color w:val="auto"/>
              </w:rPr>
              <w:t>Interest cost</w:t>
            </w:r>
          </w:p>
        </w:tc>
        <w:tc>
          <w:tcPr>
            <w:tcW w:w="380" w:type="dxa"/>
            <w:vAlign w:val="bottom"/>
          </w:tcPr>
          <w:p>
            <w:pPr>
              <w:spacing w:after="0"/>
              <w:rPr>
                <w:sz w:val="17"/>
                <w:szCs w:val="17"/>
                <w:color w:val="auto"/>
              </w:rPr>
            </w:pPr>
          </w:p>
        </w:tc>
        <w:tc>
          <w:tcPr>
            <w:tcW w:w="660" w:type="dxa"/>
            <w:vAlign w:val="bottom"/>
          </w:tcPr>
          <w:p>
            <w:pPr>
              <w:jc w:val="right"/>
              <w:ind w:right="23"/>
              <w:spacing w:after="0"/>
              <w:rPr>
                <w:sz w:val="20"/>
                <w:szCs w:val="20"/>
                <w:color w:val="auto"/>
              </w:rPr>
            </w:pPr>
            <w:r>
              <w:rPr>
                <w:rFonts w:ascii="Arial" w:cs="Arial" w:eastAsia="Arial" w:hAnsi="Arial"/>
                <w:sz w:val="15"/>
                <w:szCs w:val="15"/>
                <w:b w:val="1"/>
                <w:bCs w:val="1"/>
                <w:color w:val="auto"/>
              </w:rPr>
              <w:t>8</w:t>
            </w:r>
          </w:p>
        </w:tc>
        <w:tc>
          <w:tcPr>
            <w:tcW w:w="160" w:type="dxa"/>
            <w:vAlign w:val="bottom"/>
          </w:tcPr>
          <w:p>
            <w:pPr>
              <w:spacing w:after="0"/>
              <w:rPr>
                <w:sz w:val="17"/>
                <w:szCs w:val="17"/>
                <w:color w:val="auto"/>
              </w:rPr>
            </w:pPr>
          </w:p>
        </w:tc>
        <w:tc>
          <w:tcPr>
            <w:tcW w:w="800" w:type="dxa"/>
            <w:vAlign w:val="bottom"/>
          </w:tcPr>
          <w:p>
            <w:pPr>
              <w:jc w:val="center"/>
              <w:ind w:left="363"/>
              <w:spacing w:after="0"/>
              <w:rPr>
                <w:sz w:val="20"/>
                <w:szCs w:val="20"/>
                <w:color w:val="auto"/>
              </w:rPr>
            </w:pPr>
            <w:r>
              <w:rPr>
                <w:rFonts w:ascii="Arial" w:cs="Arial" w:eastAsia="Arial" w:hAnsi="Arial"/>
                <w:sz w:val="15"/>
                <w:szCs w:val="15"/>
                <w:color w:val="auto"/>
                <w:w w:val="95"/>
              </w:rPr>
              <w:t>6</w:t>
            </w:r>
          </w:p>
        </w:tc>
        <w:tc>
          <w:tcPr>
            <w:tcW w:w="200" w:type="dxa"/>
            <w:vAlign w:val="bottom"/>
          </w:tcPr>
          <w:p>
            <w:pPr>
              <w:spacing w:after="0"/>
              <w:rPr>
                <w:sz w:val="17"/>
                <w:szCs w:val="17"/>
                <w:color w:val="auto"/>
              </w:rPr>
            </w:pPr>
          </w:p>
        </w:tc>
        <w:tc>
          <w:tcPr>
            <w:tcW w:w="660" w:type="dxa"/>
            <w:vAlign w:val="bottom"/>
          </w:tcPr>
          <w:p>
            <w:pPr>
              <w:jc w:val="right"/>
              <w:ind w:right="3"/>
              <w:spacing w:after="0"/>
              <w:rPr>
                <w:sz w:val="20"/>
                <w:szCs w:val="20"/>
                <w:color w:val="auto"/>
              </w:rPr>
            </w:pPr>
            <w:r>
              <w:rPr>
                <w:rFonts w:ascii="Arial" w:cs="Arial" w:eastAsia="Arial" w:hAnsi="Arial"/>
                <w:sz w:val="15"/>
                <w:szCs w:val="15"/>
                <w:b w:val="1"/>
                <w:bCs w:val="1"/>
                <w:color w:val="auto"/>
              </w:rPr>
              <w:t>21</w:t>
            </w:r>
          </w:p>
        </w:tc>
        <w:tc>
          <w:tcPr>
            <w:tcW w:w="160" w:type="dxa"/>
            <w:vAlign w:val="bottom"/>
          </w:tcPr>
          <w:p>
            <w:pPr>
              <w:spacing w:after="0"/>
              <w:rPr>
                <w:sz w:val="17"/>
                <w:szCs w:val="17"/>
                <w:color w:val="auto"/>
              </w:rPr>
            </w:pPr>
          </w:p>
        </w:tc>
        <w:tc>
          <w:tcPr>
            <w:tcW w:w="780" w:type="dxa"/>
            <w:vAlign w:val="bottom"/>
          </w:tcPr>
          <w:p>
            <w:pPr>
              <w:jc w:val="center"/>
              <w:ind w:left="303"/>
              <w:spacing w:after="0"/>
              <w:rPr>
                <w:sz w:val="20"/>
                <w:szCs w:val="20"/>
                <w:color w:val="auto"/>
              </w:rPr>
            </w:pPr>
            <w:r>
              <w:rPr>
                <w:rFonts w:ascii="Arial" w:cs="Arial" w:eastAsia="Arial" w:hAnsi="Arial"/>
                <w:sz w:val="15"/>
                <w:szCs w:val="15"/>
                <w:color w:val="auto"/>
                <w:w w:val="95"/>
              </w:rPr>
              <w:t>19</w:t>
            </w:r>
          </w:p>
        </w:tc>
        <w:tc>
          <w:tcPr>
            <w:tcW w:w="220" w:type="dxa"/>
            <w:vAlign w:val="bottom"/>
          </w:tcPr>
          <w:p>
            <w:pPr>
              <w:spacing w:after="0"/>
              <w:rPr>
                <w:sz w:val="17"/>
                <w:szCs w:val="17"/>
                <w:color w:val="auto"/>
              </w:rPr>
            </w:pPr>
          </w:p>
        </w:tc>
        <w:tc>
          <w:tcPr>
            <w:tcW w:w="780" w:type="dxa"/>
            <w:vAlign w:val="bottom"/>
          </w:tcPr>
          <w:p>
            <w:pPr>
              <w:ind w:left="440"/>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ind w:left="5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1860" w:type="dxa"/>
            <w:vAlign w:val="bottom"/>
            <w:shd w:val="clear" w:color="auto" w:fill="CCEEFF"/>
          </w:tcPr>
          <w:p>
            <w:pPr>
              <w:spacing w:after="0"/>
              <w:rPr>
                <w:sz w:val="20"/>
                <w:szCs w:val="20"/>
                <w:color w:val="auto"/>
              </w:rPr>
            </w:pPr>
            <w:r>
              <w:rPr>
                <w:rFonts w:ascii="Arial" w:cs="Arial" w:eastAsia="Arial" w:hAnsi="Arial"/>
                <w:sz w:val="15"/>
                <w:szCs w:val="15"/>
                <w:color w:val="auto"/>
              </w:rPr>
              <w:t>Expected return on plan</w:t>
            </w:r>
          </w:p>
        </w:tc>
        <w:tc>
          <w:tcPr>
            <w:tcW w:w="38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(10)</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(29)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ind w:left="440"/>
              <w:spacing w:after="0"/>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60" w:type="dxa"/>
            <w:vAlign w:val="bottom"/>
            <w:shd w:val="clear" w:color="auto" w:fill="CCEEFF"/>
          </w:tcPr>
          <w:p>
            <w:pPr>
              <w:ind w:left="80"/>
              <w:spacing w:after="0"/>
              <w:rPr>
                <w:sz w:val="20"/>
                <w:szCs w:val="20"/>
                <w:color w:val="auto"/>
              </w:rPr>
            </w:pPr>
            <w:r>
              <w:rPr>
                <w:rFonts w:ascii="Arial" w:cs="Arial" w:eastAsia="Arial" w:hAnsi="Arial"/>
                <w:sz w:val="15"/>
                <w:szCs w:val="15"/>
                <w:color w:val="auto"/>
              </w:rPr>
              <w:t>assets</w:t>
            </w:r>
          </w:p>
        </w:tc>
        <w:tc>
          <w:tcPr>
            <w:tcW w:w="3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343"/>
              <w:spacing w:after="0"/>
              <w:rPr>
                <w:sz w:val="20"/>
                <w:szCs w:val="20"/>
                <w:color w:val="auto"/>
              </w:rPr>
            </w:pPr>
            <w:r>
              <w:rPr>
                <w:rFonts w:ascii="Arial" w:cs="Arial" w:eastAsia="Arial" w:hAnsi="Arial"/>
                <w:sz w:val="15"/>
                <w:szCs w:val="15"/>
                <w:color w:val="auto"/>
                <w:w w:val="97"/>
              </w:rPr>
              <w:t>(9)</w:t>
            </w:r>
          </w:p>
        </w:tc>
        <w:tc>
          <w:tcPr>
            <w:tcW w:w="2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center"/>
              <w:ind w:left="283"/>
              <w:spacing w:after="0"/>
              <w:rPr>
                <w:sz w:val="20"/>
                <w:szCs w:val="20"/>
                <w:color w:val="auto"/>
              </w:rPr>
            </w:pPr>
            <w:r>
              <w:rPr>
                <w:rFonts w:ascii="Arial" w:cs="Arial" w:eastAsia="Arial" w:hAnsi="Arial"/>
                <w:sz w:val="15"/>
                <w:szCs w:val="15"/>
                <w:color w:val="auto"/>
                <w:w w:val="97"/>
              </w:rPr>
              <w:t>(28)</w:t>
            </w:r>
          </w:p>
        </w:tc>
        <w:tc>
          <w:tcPr>
            <w:tcW w:w="2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780" w:type="dxa"/>
            <w:vAlign w:val="bottom"/>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20"/>
                <w:szCs w:val="20"/>
                <w:color w:val="auto"/>
              </w:rPr>
            </w:pPr>
            <w:r>
              <w:rPr>
                <w:rFonts w:ascii="Arial" w:cs="Arial" w:eastAsia="Arial" w:hAnsi="Arial"/>
                <w:sz w:val="15"/>
                <w:szCs w:val="15"/>
                <w:color w:val="auto"/>
              </w:rPr>
              <w:t>Amortization of net loss</w:t>
            </w:r>
          </w:p>
        </w:tc>
        <w:tc>
          <w:tcPr>
            <w:tcW w:w="380" w:type="dxa"/>
            <w:vAlign w:val="bottom"/>
          </w:tcPr>
          <w:p>
            <w:pPr>
              <w:spacing w:after="0"/>
              <w:rPr>
                <w:sz w:val="16"/>
                <w:szCs w:val="16"/>
                <w:color w:val="auto"/>
              </w:rPr>
            </w:pPr>
          </w:p>
        </w:tc>
        <w:tc>
          <w:tcPr>
            <w:tcW w:w="66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3</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rPr>
              <w:t>9</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restart"/>
          </w:tcPr>
          <w:p>
            <w:pPr>
              <w:ind w:left="440"/>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60" w:type="dxa"/>
            <w:vAlign w:val="bottom"/>
          </w:tcPr>
          <w:p>
            <w:pPr>
              <w:ind w:left="80"/>
              <w:spacing w:after="0"/>
              <w:rPr>
                <w:sz w:val="20"/>
                <w:szCs w:val="20"/>
                <w:color w:val="auto"/>
              </w:rPr>
            </w:pPr>
            <w:r>
              <w:rPr>
                <w:rFonts w:ascii="Arial" w:cs="Arial" w:eastAsia="Arial" w:hAnsi="Arial"/>
                <w:sz w:val="15"/>
                <w:szCs w:val="15"/>
                <w:color w:val="auto"/>
              </w:rPr>
              <w:t>(gain)</w:t>
            </w:r>
          </w:p>
        </w:tc>
        <w:tc>
          <w:tcPr>
            <w:tcW w:w="3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center"/>
              <w:ind w:left="363"/>
              <w:spacing w:after="0"/>
              <w:rPr>
                <w:sz w:val="20"/>
                <w:szCs w:val="20"/>
                <w:color w:val="auto"/>
              </w:rPr>
            </w:pPr>
            <w:r>
              <w:rPr>
                <w:rFonts w:ascii="Arial" w:cs="Arial" w:eastAsia="Arial" w:hAnsi="Arial"/>
                <w:sz w:val="15"/>
                <w:szCs w:val="15"/>
                <w:color w:val="auto"/>
                <w:w w:val="95"/>
              </w:rPr>
              <w:t>3</w:t>
            </w: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center"/>
              <w:ind w:left="303"/>
              <w:spacing w:after="0"/>
              <w:rPr>
                <w:sz w:val="20"/>
                <w:szCs w:val="20"/>
                <w:color w:val="auto"/>
              </w:rPr>
            </w:pPr>
            <w:r>
              <w:rPr>
                <w:rFonts w:ascii="Arial" w:cs="Arial" w:eastAsia="Arial" w:hAnsi="Arial"/>
                <w:sz w:val="15"/>
                <w:szCs w:val="15"/>
                <w:color w:val="auto"/>
                <w:w w:val="95"/>
              </w:rPr>
              <w:t>10</w:t>
            </w: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tcPr>
          <w:p>
            <w:pPr>
              <w:ind w:left="5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6"/>
        </w:trPr>
        <w:tc>
          <w:tcPr>
            <w:tcW w:w="1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Net benefit expense</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6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6</w:t>
            </w: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6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15</w:t>
            </w: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80" w:type="dxa"/>
            <w:vAlign w:val="bottom"/>
            <w:tcBorders>
              <w:top w:val="single" w:sz="8" w:color="auto"/>
            </w:tcBorders>
            <w:vMerge w:val="restart"/>
            <w:shd w:val="clear" w:color="auto" w:fill="CCEEFF"/>
          </w:tcPr>
          <w:p>
            <w:pPr>
              <w:ind w:left="440"/>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w:t>
            </w: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w:t>
            </w: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8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rPr>
              <w:t>(income)</w:t>
            </w:r>
          </w:p>
        </w:tc>
        <w:tc>
          <w:tcPr>
            <w:tcW w:w="38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center"/>
              <w:ind w:left="363"/>
              <w:spacing w:after="0"/>
              <w:rPr>
                <w:sz w:val="20"/>
                <w:szCs w:val="20"/>
                <w:color w:val="auto"/>
              </w:rPr>
            </w:pPr>
            <w:r>
              <w:rPr>
                <w:rFonts w:ascii="Arial" w:cs="Arial" w:eastAsia="Arial" w:hAnsi="Arial"/>
                <w:sz w:val="15"/>
                <w:szCs w:val="15"/>
                <w:color w:val="auto"/>
                <w:w w:val="95"/>
              </w:rPr>
              <w:t>4</w:t>
            </w: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center"/>
              <w:ind w:left="303"/>
              <w:spacing w:after="0"/>
              <w:rPr>
                <w:sz w:val="20"/>
                <w:szCs w:val="20"/>
                <w:color w:val="auto"/>
              </w:rPr>
            </w:pPr>
            <w:r>
              <w:rPr>
                <w:rFonts w:ascii="Arial" w:cs="Arial" w:eastAsia="Arial" w:hAnsi="Arial"/>
                <w:sz w:val="15"/>
                <w:szCs w:val="15"/>
                <w:color w:val="auto"/>
                <w:w w:val="95"/>
              </w:rPr>
              <w:t>13</w:t>
            </w: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Company contributed $30 million in May 2018 and $98 million in September 2018 to the U.S. qualified pension plan. The Company continually evaluates the amount and timing of any future contributions.</w:t>
      </w:r>
    </w:p>
    <w:p>
      <w:pPr>
        <w:spacing w:after="0" w:line="130"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 xml:space="preserve">In connection with the pension litigation more fully disclosed in Note 14, </w:t>
      </w:r>
      <w:r>
        <w:rPr>
          <w:rFonts w:ascii="Arial" w:cs="Arial" w:eastAsia="Arial" w:hAnsi="Arial"/>
          <w:sz w:val="15"/>
          <w:szCs w:val="15"/>
          <w:i w:val="1"/>
          <w:iCs w:val="1"/>
          <w:color w:val="auto"/>
        </w:rPr>
        <w:t>Legal Proceedings</w:t>
      </w:r>
      <w:r>
        <w:rPr>
          <w:rFonts w:ascii="Arial" w:cs="Arial" w:eastAsia="Arial" w:hAnsi="Arial"/>
          <w:sz w:val="15"/>
          <w:szCs w:val="15"/>
          <w:color w:val="auto"/>
        </w:rPr>
        <w:t>, the Company reformed its U.S. qualified pension plan during the second quarter of 2018, which resulted in the reclassification of the accrued liability previously recorded and the remeasurement of the liability. The Company reclassified $194 million, after the payment of class counsel fees, to the U.S. qualified pension plan liability. After this reclassification, the remeasurement resulted in an increase to the benefit obligation of $12 million, with a corresponding charge to accumulated other comprehensive loss of $9 million, net of tax. The assumptions used to determine the remeasured benefit obligation did not change from the beginning of the year with the exception of the discount rate which increased from 3.7 percent to 4.0 percent.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5" w:name="page16"/>
    <w:bookmarkEnd w:id="15"/>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Share-Based Compensation</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Total compensation expense included in SG&amp;A, and the associated tax benefits recognized related to the Company’s share-based compensation plans,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right"/>
              <w:ind w:right="203"/>
              <w:spacing w:after="0"/>
              <w:rPr>
                <w:sz w:val="20"/>
                <w:szCs w:val="20"/>
                <w:color w:val="auto"/>
              </w:rPr>
            </w:pPr>
            <w:r>
              <w:rPr>
                <w:rFonts w:ascii="Arial" w:cs="Arial" w:eastAsia="Arial" w:hAnsi="Arial"/>
                <w:sz w:val="15"/>
                <w:szCs w:val="15"/>
                <w:b w:val="1"/>
                <w:bCs w:val="1"/>
                <w:color w:val="auto"/>
              </w:rPr>
              <w:t>Thirteen weeks ended</w:t>
            </w: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b w:val="1"/>
                <w:bCs w:val="1"/>
                <w:color w:val="auto"/>
              </w:rPr>
              <w:t>Thirty-nine weeks ended</w:t>
            </w: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960" w:type="dxa"/>
            <w:vAlign w:val="bottom"/>
          </w:tcPr>
          <w:p>
            <w:pPr>
              <w:spacing w:after="0"/>
              <w:rPr>
                <w:sz w:val="13"/>
                <w:szCs w:val="13"/>
                <w:color w:val="auto"/>
              </w:rPr>
            </w:pPr>
          </w:p>
        </w:tc>
        <w:tc>
          <w:tcPr>
            <w:tcW w:w="1240" w:type="dxa"/>
            <w:vAlign w:val="bottom"/>
            <w:gridSpan w:val="2"/>
          </w:tcPr>
          <w:p>
            <w:pPr>
              <w:jc w:val="right"/>
              <w:ind w:right="143"/>
              <w:spacing w:after="0" w:line="151" w:lineRule="exact"/>
              <w:rPr>
                <w:sz w:val="20"/>
                <w:szCs w:val="20"/>
                <w:color w:val="auto"/>
              </w:rPr>
            </w:pPr>
            <w:r>
              <w:rPr>
                <w:rFonts w:ascii="Arial" w:cs="Arial" w:eastAsia="Arial" w:hAnsi="Arial"/>
                <w:sz w:val="15"/>
                <w:szCs w:val="15"/>
                <w:b w:val="1"/>
                <w:bCs w:val="1"/>
                <w:color w:val="auto"/>
              </w:rPr>
              <w:t>November 3,</w:t>
            </w:r>
          </w:p>
        </w:tc>
        <w:tc>
          <w:tcPr>
            <w:tcW w:w="1080" w:type="dxa"/>
            <w:vAlign w:val="bottom"/>
          </w:tcPr>
          <w:p>
            <w:pPr>
              <w:jc w:val="right"/>
              <w:spacing w:after="0" w:line="151" w:lineRule="exact"/>
              <w:rPr>
                <w:sz w:val="20"/>
                <w:szCs w:val="20"/>
                <w:color w:val="auto"/>
              </w:rPr>
            </w:pPr>
            <w:r>
              <w:rPr>
                <w:rFonts w:ascii="Arial" w:cs="Arial" w:eastAsia="Arial" w:hAnsi="Arial"/>
                <w:sz w:val="15"/>
                <w:szCs w:val="15"/>
                <w:b w:val="1"/>
                <w:bCs w:val="1"/>
                <w:color w:val="auto"/>
              </w:rPr>
              <w:t>October 28,</w:t>
            </w:r>
          </w:p>
        </w:tc>
        <w:tc>
          <w:tcPr>
            <w:tcW w:w="260" w:type="dxa"/>
            <w:vAlign w:val="bottom"/>
          </w:tcPr>
          <w:p>
            <w:pPr>
              <w:spacing w:after="0"/>
              <w:rPr>
                <w:sz w:val="13"/>
                <w:szCs w:val="13"/>
                <w:color w:val="auto"/>
              </w:rPr>
            </w:pPr>
          </w:p>
        </w:tc>
        <w:tc>
          <w:tcPr>
            <w:tcW w:w="1340" w:type="dxa"/>
            <w:vAlign w:val="bottom"/>
            <w:gridSpan w:val="2"/>
          </w:tcPr>
          <w:p>
            <w:pPr>
              <w:jc w:val="right"/>
              <w:ind w:right="163"/>
              <w:spacing w:after="0" w:line="151" w:lineRule="exact"/>
              <w:rPr>
                <w:sz w:val="20"/>
                <w:szCs w:val="20"/>
                <w:color w:val="auto"/>
              </w:rPr>
            </w:pPr>
            <w:r>
              <w:rPr>
                <w:rFonts w:ascii="Arial" w:cs="Arial" w:eastAsia="Arial" w:hAnsi="Arial"/>
                <w:sz w:val="15"/>
                <w:szCs w:val="15"/>
                <w:b w:val="1"/>
                <w:bCs w:val="1"/>
                <w:color w:val="auto"/>
              </w:rPr>
              <w:t>November 3,</w:t>
            </w:r>
          </w:p>
        </w:tc>
        <w:tc>
          <w:tcPr>
            <w:tcW w:w="1220" w:type="dxa"/>
            <w:vAlign w:val="bottom"/>
            <w:gridSpan w:val="2"/>
          </w:tcPr>
          <w:p>
            <w:pPr>
              <w:jc w:val="right"/>
              <w:ind w:right="83"/>
              <w:spacing w:after="0" w:line="151" w:lineRule="exact"/>
              <w:rPr>
                <w:sz w:val="20"/>
                <w:szCs w:val="20"/>
                <w:color w:val="auto"/>
              </w:rPr>
            </w:pPr>
            <w:r>
              <w:rPr>
                <w:rFonts w:ascii="Arial" w:cs="Arial" w:eastAsia="Arial" w:hAnsi="Arial"/>
                <w:sz w:val="15"/>
                <w:szCs w:val="15"/>
                <w:b w:val="1"/>
                <w:bCs w:val="1"/>
                <w:color w:val="auto"/>
              </w:rPr>
              <w:t>October 28,</w:t>
            </w:r>
          </w:p>
        </w:tc>
        <w:tc>
          <w:tcPr>
            <w:tcW w:w="0" w:type="dxa"/>
            <w:vAlign w:val="bottom"/>
          </w:tcPr>
          <w:p>
            <w:pPr>
              <w:spacing w:after="0"/>
              <w:rPr>
                <w:sz w:val="1"/>
                <w:szCs w:val="1"/>
                <w:color w:val="auto"/>
              </w:rPr>
            </w:pPr>
          </w:p>
        </w:tc>
      </w:tr>
      <w:tr>
        <w:trPr>
          <w:trHeight w:val="194"/>
        </w:trPr>
        <w:tc>
          <w:tcPr>
            <w:tcW w:w="3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2018</w:t>
            </w:r>
          </w:p>
        </w:tc>
        <w:tc>
          <w:tcPr>
            <w:tcW w:w="10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2017</w:t>
            </w: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2018</w:t>
            </w: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2017</w:t>
            </w: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80" w:type="dxa"/>
            <w:vAlign w:val="bottom"/>
            <w:gridSpan w:val="4"/>
          </w:tcPr>
          <w:p>
            <w:pPr>
              <w:jc w:val="right"/>
              <w:ind w:right="823"/>
              <w:spacing w:after="0"/>
              <w:rPr>
                <w:sz w:val="20"/>
                <w:szCs w:val="20"/>
                <w:color w:val="auto"/>
              </w:rPr>
            </w:pPr>
            <w:r>
              <w:rPr>
                <w:rFonts w:ascii="Arial" w:cs="Arial" w:eastAsia="Arial" w:hAnsi="Arial"/>
                <w:sz w:val="15"/>
                <w:szCs w:val="15"/>
                <w:color w:val="auto"/>
              </w:rPr>
              <w:t>($ in millions)</w:t>
            </w: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960" w:type="dxa"/>
            <w:vAlign w:val="bottom"/>
            <w:shd w:val="clear" w:color="auto" w:fill="CCEEFF"/>
          </w:tcPr>
          <w:p>
            <w:pPr>
              <w:spacing w:after="0"/>
              <w:rPr>
                <w:sz w:val="20"/>
                <w:szCs w:val="20"/>
                <w:color w:val="auto"/>
              </w:rPr>
            </w:pPr>
            <w:r>
              <w:rPr>
                <w:rFonts w:ascii="Arial" w:cs="Arial" w:eastAsia="Arial" w:hAnsi="Arial"/>
                <w:sz w:val="15"/>
                <w:szCs w:val="15"/>
                <w:color w:val="auto"/>
              </w:rPr>
              <w:t>Options and shares purchased under the employee stock</w:t>
            </w:r>
          </w:p>
        </w:tc>
        <w:tc>
          <w:tcPr>
            <w:tcW w:w="2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w:t>
            </w:r>
          </w:p>
        </w:tc>
        <w:tc>
          <w:tcPr>
            <w:tcW w:w="96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2</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102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5</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80"/>
              <w:spacing w:after="0"/>
              <w:rPr>
                <w:sz w:val="20"/>
                <w:szCs w:val="20"/>
                <w:color w:val="auto"/>
              </w:rPr>
            </w:pPr>
            <w:r>
              <w:rPr>
                <w:rFonts w:ascii="Arial" w:cs="Arial" w:eastAsia="Arial" w:hAnsi="Arial"/>
                <w:sz w:val="15"/>
                <w:szCs w:val="15"/>
                <w:color w:val="auto"/>
              </w:rPr>
              <w:t>purchase plan</w:t>
            </w:r>
          </w:p>
        </w:tc>
        <w:tc>
          <w:tcPr>
            <w:tcW w:w="280" w:type="dxa"/>
            <w:vAlign w:val="bottom"/>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80" w:type="dxa"/>
            <w:vAlign w:val="bottom"/>
            <w:shd w:val="clear" w:color="auto" w:fill="CCEEFF"/>
          </w:tcPr>
          <w:p>
            <w:pPr>
              <w:jc w:val="right"/>
              <w:ind w:right="7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2</w:t>
            </w:r>
          </w:p>
        </w:tc>
        <w:tc>
          <w:tcPr>
            <w:tcW w:w="320" w:type="dxa"/>
            <w:vAlign w:val="bottom"/>
            <w:vMerge w:val="continue"/>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940" w:type="dxa"/>
            <w:vAlign w:val="bottom"/>
            <w:shd w:val="clear" w:color="auto" w:fill="CCEEFF"/>
          </w:tcPr>
          <w:p>
            <w:pPr>
              <w:jc w:val="right"/>
              <w:ind w:right="643"/>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7"/>
        </w:trPr>
        <w:tc>
          <w:tcPr>
            <w:tcW w:w="3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Restricted stock and restricted stock units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5</w:t>
            </w:r>
          </w:p>
        </w:tc>
        <w:tc>
          <w:tcPr>
            <w:tcW w:w="10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1</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11</w:t>
            </w:r>
          </w:p>
        </w:tc>
        <w:tc>
          <w:tcPr>
            <w:tcW w:w="9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79"/>
        </w:trPr>
        <w:tc>
          <w:tcPr>
            <w:tcW w:w="3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Total share-based compensation expense</w:t>
            </w:r>
          </w:p>
        </w:tc>
        <w:tc>
          <w:tcPr>
            <w:tcW w:w="2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7</w:t>
            </w:r>
          </w:p>
        </w:tc>
        <w:tc>
          <w:tcPr>
            <w:tcW w:w="108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3</w:t>
            </w:r>
          </w:p>
        </w:tc>
        <w:tc>
          <w:tcPr>
            <w:tcW w:w="3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16</w:t>
            </w:r>
          </w:p>
        </w:tc>
        <w:tc>
          <w:tcPr>
            <w:tcW w:w="94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95"/>
        </w:trPr>
        <w:tc>
          <w:tcPr>
            <w:tcW w:w="3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Tax benefit recognized</w:t>
            </w:r>
          </w:p>
        </w:tc>
        <w:tc>
          <w:tcPr>
            <w:tcW w:w="2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1</w:t>
            </w:r>
          </w:p>
        </w:tc>
        <w:tc>
          <w:tcPr>
            <w:tcW w:w="108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1</w:t>
            </w:r>
          </w:p>
        </w:tc>
        <w:tc>
          <w:tcPr>
            <w:tcW w:w="3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2</w:t>
            </w:r>
          </w:p>
        </w:tc>
        <w:tc>
          <w:tcPr>
            <w:tcW w:w="94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Valuation Model and Assumptions</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Company uses the Black-Scholes option-pricing model to estimate the fair value of share-based awards. The Black-Scholes option-pricing model incorporates various and subjective assumptions, including expected term and expected volatility.</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following table shows the Company’s assumptions used to compute share-based compensation expense for awards granted during the thirty-nine weeks ended November 3, 2018 and October 28, 2017:</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663"/>
              <w:spacing w:after="0"/>
              <w:rPr>
                <w:sz w:val="20"/>
                <w:szCs w:val="20"/>
                <w:color w:val="auto"/>
              </w:rPr>
            </w:pPr>
            <w:r>
              <w:rPr>
                <w:rFonts w:ascii="Arial" w:cs="Arial" w:eastAsia="Arial" w:hAnsi="Arial"/>
                <w:sz w:val="15"/>
                <w:szCs w:val="15"/>
                <w:b w:val="1"/>
                <w:bCs w:val="1"/>
                <w:color w:val="auto"/>
              </w:rPr>
              <w:t>Stock Option Plans</w:t>
            </w:r>
          </w:p>
        </w:tc>
        <w:tc>
          <w:tcPr>
            <w:tcW w:w="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right"/>
              <w:ind w:right="603"/>
              <w:spacing w:after="0"/>
              <w:rPr>
                <w:sz w:val="20"/>
                <w:szCs w:val="20"/>
                <w:color w:val="auto"/>
              </w:rPr>
            </w:pPr>
            <w:r>
              <w:rPr>
                <w:rFonts w:ascii="Arial" w:cs="Arial" w:eastAsia="Arial" w:hAnsi="Arial"/>
                <w:sz w:val="15"/>
                <w:szCs w:val="15"/>
                <w:b w:val="1"/>
                <w:bCs w:val="1"/>
                <w:color w:val="auto"/>
              </w:rPr>
              <w:t>Stock Purchase Plan</w:t>
            </w:r>
          </w:p>
        </w:tc>
      </w:tr>
      <w:tr>
        <w:trPr>
          <w:trHeight w:val="151"/>
        </w:trPr>
        <w:tc>
          <w:tcPr>
            <w:tcW w:w="3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ind w:right="203"/>
              <w:spacing w:after="0" w:line="151" w:lineRule="exact"/>
              <w:rPr>
                <w:sz w:val="20"/>
                <w:szCs w:val="20"/>
                <w:color w:val="auto"/>
              </w:rPr>
            </w:pPr>
            <w:r>
              <w:rPr>
                <w:rFonts w:ascii="Arial" w:cs="Arial" w:eastAsia="Arial" w:hAnsi="Arial"/>
                <w:sz w:val="15"/>
                <w:szCs w:val="15"/>
                <w:b w:val="1"/>
                <w:bCs w:val="1"/>
                <w:color w:val="auto"/>
              </w:rPr>
              <w:t>November 3,</w:t>
            </w:r>
          </w:p>
        </w:tc>
        <w:tc>
          <w:tcPr>
            <w:tcW w:w="200" w:type="dxa"/>
            <w:vAlign w:val="bottom"/>
          </w:tcPr>
          <w:p>
            <w:pPr>
              <w:spacing w:after="0"/>
              <w:rPr>
                <w:sz w:val="13"/>
                <w:szCs w:val="13"/>
                <w:color w:val="auto"/>
              </w:rPr>
            </w:pPr>
          </w:p>
        </w:tc>
        <w:tc>
          <w:tcPr>
            <w:tcW w:w="1220" w:type="dxa"/>
            <w:vAlign w:val="bottom"/>
          </w:tcPr>
          <w:p>
            <w:pPr>
              <w:jc w:val="right"/>
              <w:ind w:right="243"/>
              <w:spacing w:after="0" w:line="151" w:lineRule="exact"/>
              <w:rPr>
                <w:sz w:val="20"/>
                <w:szCs w:val="20"/>
                <w:color w:val="auto"/>
              </w:rPr>
            </w:pPr>
            <w:r>
              <w:rPr>
                <w:rFonts w:ascii="Arial" w:cs="Arial" w:eastAsia="Arial" w:hAnsi="Arial"/>
                <w:sz w:val="15"/>
                <w:szCs w:val="15"/>
                <w:b w:val="1"/>
                <w:bCs w:val="1"/>
                <w:color w:val="auto"/>
              </w:rPr>
              <w:t>October 28,</w:t>
            </w:r>
          </w:p>
        </w:tc>
        <w:tc>
          <w:tcPr>
            <w:tcW w:w="180" w:type="dxa"/>
            <w:vAlign w:val="bottom"/>
          </w:tcPr>
          <w:p>
            <w:pPr>
              <w:spacing w:after="0"/>
              <w:rPr>
                <w:sz w:val="13"/>
                <w:szCs w:val="13"/>
                <w:color w:val="auto"/>
              </w:rPr>
            </w:pPr>
          </w:p>
        </w:tc>
        <w:tc>
          <w:tcPr>
            <w:tcW w:w="1280" w:type="dxa"/>
            <w:vAlign w:val="bottom"/>
          </w:tcPr>
          <w:p>
            <w:pPr>
              <w:jc w:val="right"/>
              <w:ind w:right="223"/>
              <w:spacing w:after="0" w:line="151" w:lineRule="exact"/>
              <w:rPr>
                <w:sz w:val="20"/>
                <w:szCs w:val="20"/>
                <w:color w:val="auto"/>
              </w:rPr>
            </w:pPr>
            <w:r>
              <w:rPr>
                <w:rFonts w:ascii="Arial" w:cs="Arial" w:eastAsia="Arial" w:hAnsi="Arial"/>
                <w:sz w:val="15"/>
                <w:szCs w:val="15"/>
                <w:b w:val="1"/>
                <w:bCs w:val="1"/>
                <w:color w:val="auto"/>
              </w:rPr>
              <w:t>November 3,</w:t>
            </w:r>
          </w:p>
        </w:tc>
        <w:tc>
          <w:tcPr>
            <w:tcW w:w="200" w:type="dxa"/>
            <w:vAlign w:val="bottom"/>
          </w:tcPr>
          <w:p>
            <w:pPr>
              <w:spacing w:after="0"/>
              <w:rPr>
                <w:sz w:val="13"/>
                <w:szCs w:val="13"/>
                <w:color w:val="auto"/>
              </w:rPr>
            </w:pPr>
          </w:p>
        </w:tc>
        <w:tc>
          <w:tcPr>
            <w:tcW w:w="1220" w:type="dxa"/>
            <w:vAlign w:val="bottom"/>
          </w:tcPr>
          <w:p>
            <w:pPr>
              <w:jc w:val="right"/>
              <w:ind w:right="223"/>
              <w:spacing w:after="0" w:line="151" w:lineRule="exact"/>
              <w:rPr>
                <w:sz w:val="20"/>
                <w:szCs w:val="20"/>
                <w:color w:val="auto"/>
              </w:rPr>
            </w:pPr>
            <w:r>
              <w:rPr>
                <w:rFonts w:ascii="Arial" w:cs="Arial" w:eastAsia="Arial" w:hAnsi="Arial"/>
                <w:sz w:val="15"/>
                <w:szCs w:val="15"/>
                <w:b w:val="1"/>
                <w:bCs w:val="1"/>
                <w:color w:val="auto"/>
              </w:rPr>
              <w:t>October 28,</w:t>
            </w:r>
          </w:p>
        </w:tc>
      </w:tr>
      <w:tr>
        <w:trPr>
          <w:trHeight w:val="194"/>
        </w:trPr>
        <w:tc>
          <w:tcPr>
            <w:tcW w:w="3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2018</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2017</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2018</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2017</w:t>
            </w:r>
          </w:p>
        </w:tc>
      </w:tr>
      <w:tr>
        <w:trPr>
          <w:trHeight w:val="345"/>
        </w:trPr>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risk free rate of interest</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2.7 %</w:t>
            </w: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2.1 %</w:t>
            </w: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1.8 %</w:t>
            </w: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0.9 %</w:t>
            </w:r>
          </w:p>
        </w:tc>
      </w:tr>
      <w:tr>
        <w:trPr>
          <w:trHeight w:val="207"/>
        </w:trPr>
        <w:tc>
          <w:tcPr>
            <w:tcW w:w="3360" w:type="dxa"/>
            <w:vAlign w:val="bottom"/>
          </w:tcPr>
          <w:p>
            <w:pPr>
              <w:spacing w:after="0"/>
              <w:rPr>
                <w:sz w:val="20"/>
                <w:szCs w:val="20"/>
                <w:color w:val="auto"/>
              </w:rPr>
            </w:pPr>
            <w:r>
              <w:rPr>
                <w:rFonts w:ascii="Arial" w:cs="Arial" w:eastAsia="Arial" w:hAnsi="Arial"/>
                <w:sz w:val="15"/>
                <w:szCs w:val="15"/>
                <w:color w:val="auto"/>
              </w:rPr>
              <w:t>Expected volatility</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37 %</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25 %</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47 %</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29 %</w:t>
            </w:r>
          </w:p>
        </w:tc>
      </w:tr>
      <w:tr>
        <w:trPr>
          <w:trHeight w:val="365"/>
        </w:trPr>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expected award life (in years)</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5.5</w:t>
            </w: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5.4</w:t>
            </w: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1.0</w:t>
            </w: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1.0</w:t>
            </w:r>
          </w:p>
        </w:tc>
      </w:tr>
      <w:tr>
        <w:trPr>
          <w:trHeight w:val="207"/>
        </w:trPr>
        <w:tc>
          <w:tcPr>
            <w:tcW w:w="3360" w:type="dxa"/>
            <w:vAlign w:val="bottom"/>
          </w:tcPr>
          <w:p>
            <w:pPr>
              <w:spacing w:after="0"/>
              <w:rPr>
                <w:sz w:val="20"/>
                <w:szCs w:val="20"/>
                <w:color w:val="auto"/>
              </w:rPr>
            </w:pPr>
            <w:r>
              <w:rPr>
                <w:rFonts w:ascii="Arial" w:cs="Arial" w:eastAsia="Arial" w:hAnsi="Arial"/>
                <w:sz w:val="15"/>
                <w:szCs w:val="15"/>
                <w:color w:val="auto"/>
              </w:rPr>
              <w:t>Dividend yield</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3.1 %</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1.9 %</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2.4 %</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2.0 %</w:t>
            </w:r>
          </w:p>
        </w:tc>
      </w:tr>
      <w:tr>
        <w:trPr>
          <w:trHeight w:val="207"/>
        </w:trPr>
        <w:tc>
          <w:tcPr>
            <w:tcW w:w="3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Weighted-average fair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6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12.42</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14.74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15.16</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10.84</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The information in the following table covers option activity under the Company’s stock option plans for the thirty-nine weeks ended</w:t>
      </w:r>
    </w:p>
    <w:p>
      <w:pPr>
        <w:spacing w:after="0"/>
        <w:rPr>
          <w:sz w:val="20"/>
          <w:szCs w:val="20"/>
          <w:color w:val="auto"/>
        </w:rPr>
      </w:pPr>
      <w:r>
        <w:rPr>
          <w:rFonts w:ascii="Arial" w:cs="Arial" w:eastAsia="Arial" w:hAnsi="Arial"/>
          <w:sz w:val="15"/>
          <w:szCs w:val="15"/>
          <w:color w:val="auto"/>
        </w:rPr>
        <w:t>November 3, 2018:</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80" w:type="dxa"/>
            <w:vAlign w:val="bottom"/>
          </w:tcPr>
          <w:p>
            <w:pPr>
              <w:jc w:val="center"/>
              <w:ind w:right="83"/>
              <w:spacing w:after="0"/>
              <w:rPr>
                <w:sz w:val="20"/>
                <w:szCs w:val="20"/>
                <w:color w:val="auto"/>
              </w:rPr>
            </w:pPr>
            <w:r>
              <w:rPr>
                <w:rFonts w:ascii="Arial" w:cs="Arial" w:eastAsia="Arial" w:hAnsi="Arial"/>
                <w:sz w:val="15"/>
                <w:szCs w:val="15"/>
                <w:b w:val="1"/>
                <w:bCs w:val="1"/>
                <w:color w:val="auto"/>
              </w:rPr>
              <w:t>Weighted-</w:t>
            </w:r>
          </w:p>
        </w:tc>
        <w:tc>
          <w:tcPr>
            <w:tcW w:w="320" w:type="dxa"/>
            <w:vAlign w:val="bottom"/>
          </w:tcPr>
          <w:p>
            <w:pPr>
              <w:spacing w:after="0"/>
              <w:rPr>
                <w:sz w:val="15"/>
                <w:szCs w:val="15"/>
                <w:color w:val="auto"/>
              </w:rPr>
            </w:pPr>
          </w:p>
        </w:tc>
        <w:tc>
          <w:tcPr>
            <w:tcW w:w="1100" w:type="dxa"/>
            <w:vAlign w:val="bottom"/>
          </w:tcPr>
          <w:p>
            <w:pPr>
              <w:jc w:val="center"/>
              <w:ind w:right="203"/>
              <w:spacing w:after="0"/>
              <w:rPr>
                <w:sz w:val="20"/>
                <w:szCs w:val="20"/>
                <w:color w:val="auto"/>
              </w:rPr>
            </w:pPr>
            <w:r>
              <w:rPr>
                <w:rFonts w:ascii="Arial" w:cs="Arial" w:eastAsia="Arial" w:hAnsi="Arial"/>
                <w:sz w:val="15"/>
                <w:szCs w:val="15"/>
                <w:b w:val="1"/>
                <w:bCs w:val="1"/>
                <w:color w:val="auto"/>
              </w:rPr>
              <w:t>Weighted-</w:t>
            </w:r>
          </w:p>
        </w:tc>
      </w:tr>
      <w:tr>
        <w:trPr>
          <w:trHeight w:val="170"/>
        </w:trPr>
        <w:tc>
          <w:tcPr>
            <w:tcW w:w="6100" w:type="dxa"/>
            <w:vAlign w:val="bottom"/>
            <w:gridSpan w:val="2"/>
          </w:tcPr>
          <w:p>
            <w:pPr>
              <w:jc w:val="center"/>
              <w:ind w:left="4563"/>
              <w:spacing w:after="0" w:line="170" w:lineRule="exact"/>
              <w:rPr>
                <w:sz w:val="20"/>
                <w:szCs w:val="20"/>
                <w:color w:val="auto"/>
              </w:rPr>
            </w:pPr>
            <w:r>
              <w:rPr>
                <w:rFonts w:ascii="Arial" w:cs="Arial" w:eastAsia="Arial" w:hAnsi="Arial"/>
                <w:sz w:val="15"/>
                <w:szCs w:val="15"/>
                <w:b w:val="1"/>
                <w:bCs w:val="1"/>
                <w:color w:val="auto"/>
              </w:rPr>
              <w:t>Number</w:t>
            </w:r>
          </w:p>
        </w:tc>
        <w:tc>
          <w:tcPr>
            <w:tcW w:w="1580" w:type="dxa"/>
            <w:vAlign w:val="bottom"/>
          </w:tcPr>
          <w:p>
            <w:pPr>
              <w:jc w:val="center"/>
              <w:ind w:right="63"/>
              <w:spacing w:after="0" w:line="170" w:lineRule="exact"/>
              <w:rPr>
                <w:sz w:val="20"/>
                <w:szCs w:val="20"/>
                <w:color w:val="auto"/>
              </w:rPr>
            </w:pPr>
            <w:r>
              <w:rPr>
                <w:rFonts w:ascii="Arial" w:cs="Arial" w:eastAsia="Arial" w:hAnsi="Arial"/>
                <w:sz w:val="15"/>
                <w:szCs w:val="15"/>
                <w:b w:val="1"/>
                <w:bCs w:val="1"/>
                <w:color w:val="auto"/>
              </w:rPr>
              <w:t>Average</w:t>
            </w:r>
          </w:p>
        </w:tc>
        <w:tc>
          <w:tcPr>
            <w:tcW w:w="320" w:type="dxa"/>
            <w:vAlign w:val="bottom"/>
          </w:tcPr>
          <w:p>
            <w:pPr>
              <w:spacing w:after="0"/>
              <w:rPr>
                <w:sz w:val="14"/>
                <w:szCs w:val="14"/>
                <w:color w:val="auto"/>
              </w:rPr>
            </w:pPr>
          </w:p>
        </w:tc>
        <w:tc>
          <w:tcPr>
            <w:tcW w:w="1100" w:type="dxa"/>
            <w:vAlign w:val="bottom"/>
          </w:tcPr>
          <w:p>
            <w:pPr>
              <w:jc w:val="center"/>
              <w:ind w:right="183"/>
              <w:spacing w:after="0" w:line="170" w:lineRule="exact"/>
              <w:rPr>
                <w:sz w:val="20"/>
                <w:szCs w:val="20"/>
                <w:color w:val="auto"/>
              </w:rPr>
            </w:pPr>
            <w:r>
              <w:rPr>
                <w:rFonts w:ascii="Arial" w:cs="Arial" w:eastAsia="Arial" w:hAnsi="Arial"/>
                <w:sz w:val="15"/>
                <w:szCs w:val="15"/>
                <w:b w:val="1"/>
                <w:bCs w:val="1"/>
                <w:color w:val="auto"/>
              </w:rPr>
              <w:t>Average</w:t>
            </w:r>
          </w:p>
        </w:tc>
      </w:tr>
      <w:tr>
        <w:trPr>
          <w:trHeight w:val="170"/>
        </w:trPr>
        <w:tc>
          <w:tcPr>
            <w:tcW w:w="5480" w:type="dxa"/>
            <w:vAlign w:val="bottom"/>
          </w:tcPr>
          <w:p>
            <w:pPr>
              <w:jc w:val="center"/>
              <w:ind w:left="5183"/>
              <w:spacing w:after="0" w:line="170" w:lineRule="exact"/>
              <w:rPr>
                <w:sz w:val="20"/>
                <w:szCs w:val="20"/>
                <w:color w:val="auto"/>
              </w:rPr>
            </w:pPr>
            <w:r>
              <w:rPr>
                <w:rFonts w:ascii="Arial" w:cs="Arial" w:eastAsia="Arial" w:hAnsi="Arial"/>
                <w:sz w:val="15"/>
                <w:szCs w:val="15"/>
                <w:b w:val="1"/>
                <w:bCs w:val="1"/>
                <w:color w:val="auto"/>
                <w:w w:val="98"/>
              </w:rPr>
              <w:t>of</w:t>
            </w:r>
          </w:p>
        </w:tc>
        <w:tc>
          <w:tcPr>
            <w:tcW w:w="620" w:type="dxa"/>
            <w:vAlign w:val="bottom"/>
          </w:tcPr>
          <w:p>
            <w:pPr>
              <w:spacing w:after="0"/>
              <w:rPr>
                <w:sz w:val="14"/>
                <w:szCs w:val="14"/>
                <w:color w:val="auto"/>
              </w:rPr>
            </w:pPr>
          </w:p>
        </w:tc>
        <w:tc>
          <w:tcPr>
            <w:tcW w:w="1580" w:type="dxa"/>
            <w:vAlign w:val="bottom"/>
          </w:tcPr>
          <w:p>
            <w:pPr>
              <w:jc w:val="center"/>
              <w:ind w:right="63"/>
              <w:spacing w:after="0" w:line="170" w:lineRule="exact"/>
              <w:rPr>
                <w:sz w:val="20"/>
                <w:szCs w:val="20"/>
                <w:color w:val="auto"/>
              </w:rPr>
            </w:pPr>
            <w:r>
              <w:rPr>
                <w:rFonts w:ascii="Arial" w:cs="Arial" w:eastAsia="Arial" w:hAnsi="Arial"/>
                <w:sz w:val="15"/>
                <w:szCs w:val="15"/>
                <w:b w:val="1"/>
                <w:bCs w:val="1"/>
                <w:color w:val="auto"/>
              </w:rPr>
              <w:t>Remaining</w:t>
            </w:r>
          </w:p>
        </w:tc>
        <w:tc>
          <w:tcPr>
            <w:tcW w:w="320" w:type="dxa"/>
            <w:vAlign w:val="bottom"/>
          </w:tcPr>
          <w:p>
            <w:pPr>
              <w:spacing w:after="0"/>
              <w:rPr>
                <w:sz w:val="14"/>
                <w:szCs w:val="14"/>
                <w:color w:val="auto"/>
              </w:rPr>
            </w:pPr>
          </w:p>
        </w:tc>
        <w:tc>
          <w:tcPr>
            <w:tcW w:w="1100" w:type="dxa"/>
            <w:vAlign w:val="bottom"/>
          </w:tcPr>
          <w:p>
            <w:pPr>
              <w:jc w:val="center"/>
              <w:ind w:right="183"/>
              <w:spacing w:after="0" w:line="170" w:lineRule="exact"/>
              <w:rPr>
                <w:sz w:val="20"/>
                <w:szCs w:val="20"/>
                <w:color w:val="auto"/>
              </w:rPr>
            </w:pPr>
            <w:r>
              <w:rPr>
                <w:rFonts w:ascii="Arial" w:cs="Arial" w:eastAsia="Arial" w:hAnsi="Arial"/>
                <w:sz w:val="15"/>
                <w:szCs w:val="15"/>
                <w:b w:val="1"/>
                <w:bCs w:val="1"/>
                <w:color w:val="auto"/>
              </w:rPr>
              <w:t>Exercise</w:t>
            </w:r>
          </w:p>
        </w:tc>
      </w:tr>
      <w:tr>
        <w:trPr>
          <w:trHeight w:val="194"/>
        </w:trPr>
        <w:tc>
          <w:tcPr>
            <w:tcW w:w="6100" w:type="dxa"/>
            <w:vAlign w:val="bottom"/>
            <w:tcBorders>
              <w:bottom w:val="single" w:sz="8" w:color="auto"/>
            </w:tcBorders>
            <w:gridSpan w:val="2"/>
          </w:tcPr>
          <w:p>
            <w:pPr>
              <w:jc w:val="center"/>
              <w:ind w:left="4543"/>
              <w:spacing w:after="0"/>
              <w:rPr>
                <w:sz w:val="20"/>
                <w:szCs w:val="20"/>
                <w:color w:val="auto"/>
              </w:rPr>
            </w:pPr>
            <w:r>
              <w:rPr>
                <w:rFonts w:ascii="Arial" w:cs="Arial" w:eastAsia="Arial" w:hAnsi="Arial"/>
                <w:sz w:val="15"/>
                <w:szCs w:val="15"/>
                <w:b w:val="1"/>
                <w:bCs w:val="1"/>
                <w:color w:val="auto"/>
              </w:rPr>
              <w:t>Shares</w:t>
            </w:r>
          </w:p>
        </w:tc>
        <w:tc>
          <w:tcPr>
            <w:tcW w:w="1580" w:type="dxa"/>
            <w:vAlign w:val="bottom"/>
            <w:tcBorders>
              <w:bottom w:val="single" w:sz="8" w:color="auto"/>
            </w:tcBorders>
          </w:tcPr>
          <w:p>
            <w:pPr>
              <w:jc w:val="center"/>
              <w:ind w:right="63"/>
              <w:spacing w:after="0"/>
              <w:rPr>
                <w:sz w:val="20"/>
                <w:szCs w:val="20"/>
                <w:color w:val="auto"/>
              </w:rPr>
            </w:pPr>
            <w:r>
              <w:rPr>
                <w:rFonts w:ascii="Arial" w:cs="Arial" w:eastAsia="Arial" w:hAnsi="Arial"/>
                <w:sz w:val="15"/>
                <w:szCs w:val="15"/>
                <w:b w:val="1"/>
                <w:bCs w:val="1"/>
                <w:color w:val="auto"/>
              </w:rPr>
              <w:t>Contractual Life</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03"/>
              <w:spacing w:after="0"/>
              <w:rPr>
                <w:sz w:val="20"/>
                <w:szCs w:val="20"/>
                <w:color w:val="auto"/>
              </w:rPr>
            </w:pPr>
            <w:r>
              <w:rPr>
                <w:rFonts w:ascii="Arial" w:cs="Arial" w:eastAsia="Arial" w:hAnsi="Arial"/>
                <w:sz w:val="15"/>
                <w:szCs w:val="15"/>
                <w:b w:val="1"/>
                <w:bCs w:val="1"/>
                <w:color w:val="auto"/>
              </w:rPr>
              <w:t>Price</w:t>
            </w:r>
          </w:p>
        </w:tc>
      </w:tr>
      <w:tr>
        <w:trPr>
          <w:trHeight w:val="187"/>
        </w:trPr>
        <w:tc>
          <w:tcPr>
            <w:tcW w:w="6100" w:type="dxa"/>
            <w:vAlign w:val="bottom"/>
            <w:gridSpan w:val="2"/>
          </w:tcPr>
          <w:p>
            <w:pPr>
              <w:jc w:val="center"/>
              <w:ind w:left="4563"/>
              <w:spacing w:after="0"/>
              <w:rPr>
                <w:sz w:val="20"/>
                <w:szCs w:val="20"/>
                <w:color w:val="auto"/>
              </w:rPr>
            </w:pPr>
            <w:r>
              <w:rPr>
                <w:rFonts w:ascii="Arial" w:cs="Arial" w:eastAsia="Arial" w:hAnsi="Arial"/>
                <w:sz w:val="15"/>
                <w:szCs w:val="15"/>
                <w:color w:val="auto"/>
              </w:rPr>
              <w:t>(in thousands)</w:t>
            </w:r>
          </w:p>
        </w:tc>
        <w:tc>
          <w:tcPr>
            <w:tcW w:w="1580" w:type="dxa"/>
            <w:vAlign w:val="bottom"/>
          </w:tcPr>
          <w:p>
            <w:pPr>
              <w:jc w:val="center"/>
              <w:ind w:right="63"/>
              <w:spacing w:after="0"/>
              <w:rPr>
                <w:sz w:val="20"/>
                <w:szCs w:val="20"/>
                <w:color w:val="auto"/>
              </w:rPr>
            </w:pPr>
            <w:r>
              <w:rPr>
                <w:rFonts w:ascii="Arial" w:cs="Arial" w:eastAsia="Arial" w:hAnsi="Arial"/>
                <w:sz w:val="15"/>
                <w:szCs w:val="15"/>
                <w:color w:val="auto"/>
              </w:rPr>
              <w:t>(in years)</w:t>
            </w:r>
          </w:p>
        </w:tc>
        <w:tc>
          <w:tcPr>
            <w:tcW w:w="320" w:type="dxa"/>
            <w:vAlign w:val="bottom"/>
          </w:tcPr>
          <w:p>
            <w:pPr>
              <w:spacing w:after="0"/>
              <w:rPr>
                <w:sz w:val="16"/>
                <w:szCs w:val="16"/>
                <w:color w:val="auto"/>
              </w:rPr>
            </w:pPr>
          </w:p>
        </w:tc>
        <w:tc>
          <w:tcPr>
            <w:tcW w:w="1100" w:type="dxa"/>
            <w:vAlign w:val="bottom"/>
          </w:tcPr>
          <w:p>
            <w:pPr>
              <w:jc w:val="center"/>
              <w:ind w:right="183"/>
              <w:spacing w:after="0"/>
              <w:rPr>
                <w:sz w:val="20"/>
                <w:szCs w:val="20"/>
                <w:color w:val="auto"/>
              </w:rPr>
            </w:pPr>
            <w:r>
              <w:rPr>
                <w:rFonts w:ascii="Arial" w:cs="Arial" w:eastAsia="Arial" w:hAnsi="Arial"/>
                <w:sz w:val="15"/>
                <w:szCs w:val="15"/>
                <w:color w:val="auto"/>
              </w:rPr>
              <w:t>(per share)</w:t>
            </w:r>
          </w:p>
        </w:tc>
      </w:tr>
      <w:tr>
        <w:trPr>
          <w:trHeight w:val="207"/>
        </w:trPr>
        <w:tc>
          <w:tcPr>
            <w:tcW w:w="5480" w:type="dxa"/>
            <w:vAlign w:val="bottom"/>
            <w:shd w:val="clear" w:color="auto" w:fill="CCEEFF"/>
          </w:tcPr>
          <w:p>
            <w:pPr>
              <w:spacing w:after="0"/>
              <w:rPr>
                <w:sz w:val="20"/>
                <w:szCs w:val="20"/>
                <w:color w:val="auto"/>
              </w:rPr>
            </w:pPr>
            <w:r>
              <w:rPr>
                <w:rFonts w:ascii="Arial" w:cs="Arial" w:eastAsia="Arial" w:hAnsi="Arial"/>
                <w:sz w:val="15"/>
                <w:szCs w:val="15"/>
                <w:color w:val="auto"/>
              </w:rPr>
              <w:t>Options outstanding at the beginning of the year</w:t>
            </w:r>
          </w:p>
        </w:tc>
        <w:tc>
          <w:tcPr>
            <w:tcW w:w="6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2,739</w:t>
            </w:r>
          </w:p>
        </w:tc>
        <w:tc>
          <w:tcPr>
            <w:tcW w:w="15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52.45</w:t>
            </w:r>
          </w:p>
        </w:tc>
      </w:tr>
      <w:tr>
        <w:trPr>
          <w:trHeight w:val="207"/>
        </w:trPr>
        <w:tc>
          <w:tcPr>
            <w:tcW w:w="5480" w:type="dxa"/>
            <w:vAlign w:val="bottom"/>
          </w:tcPr>
          <w:p>
            <w:pPr>
              <w:spacing w:after="0"/>
              <w:rPr>
                <w:sz w:val="20"/>
                <w:szCs w:val="20"/>
                <w:color w:val="auto"/>
              </w:rPr>
            </w:pPr>
            <w:r>
              <w:rPr>
                <w:rFonts w:ascii="Arial" w:cs="Arial" w:eastAsia="Arial" w:hAnsi="Arial"/>
                <w:sz w:val="15"/>
                <w:szCs w:val="15"/>
                <w:color w:val="auto"/>
              </w:rPr>
              <w:t>Granted</w:t>
            </w:r>
          </w:p>
        </w:tc>
        <w:tc>
          <w:tcPr>
            <w:tcW w:w="620" w:type="dxa"/>
            <w:vAlign w:val="bottom"/>
          </w:tcPr>
          <w:p>
            <w:pPr>
              <w:jc w:val="right"/>
              <w:ind w:right="103"/>
              <w:spacing w:after="0"/>
              <w:rPr>
                <w:sz w:val="20"/>
                <w:szCs w:val="20"/>
                <w:color w:val="auto"/>
              </w:rPr>
            </w:pPr>
            <w:r>
              <w:rPr>
                <w:rFonts w:ascii="Arial" w:cs="Arial" w:eastAsia="Arial" w:hAnsi="Arial"/>
                <w:sz w:val="15"/>
                <w:szCs w:val="15"/>
                <w:color w:val="auto"/>
              </w:rPr>
              <w:t>397</w:t>
            </w: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44.95</w:t>
            </w:r>
          </w:p>
        </w:tc>
      </w:tr>
      <w:tr>
        <w:trPr>
          <w:trHeight w:val="207"/>
        </w:trPr>
        <w:tc>
          <w:tcPr>
            <w:tcW w:w="5480" w:type="dxa"/>
            <w:vAlign w:val="bottom"/>
            <w:shd w:val="clear" w:color="auto" w:fill="CCEEFF"/>
          </w:tcPr>
          <w:p>
            <w:pPr>
              <w:spacing w:after="0"/>
              <w:rPr>
                <w:sz w:val="20"/>
                <w:szCs w:val="20"/>
                <w:color w:val="auto"/>
              </w:rPr>
            </w:pPr>
            <w:r>
              <w:rPr>
                <w:rFonts w:ascii="Arial" w:cs="Arial" w:eastAsia="Arial" w:hAnsi="Arial"/>
                <w:sz w:val="15"/>
                <w:szCs w:val="15"/>
                <w:color w:val="auto"/>
              </w:rPr>
              <w:t>Exercised</w:t>
            </w:r>
          </w:p>
        </w:tc>
        <w:tc>
          <w:tcPr>
            <w:tcW w:w="6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(134)</w:t>
            </w:r>
          </w:p>
        </w:tc>
        <w:tc>
          <w:tcPr>
            <w:tcW w:w="1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31.47</w:t>
            </w:r>
          </w:p>
        </w:tc>
      </w:tr>
      <w:tr>
        <w:trPr>
          <w:trHeight w:val="207"/>
        </w:trPr>
        <w:tc>
          <w:tcPr>
            <w:tcW w:w="54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Expired or cancelled</w:t>
            </w:r>
          </w:p>
        </w:tc>
        <w:tc>
          <w:tcPr>
            <w:tcW w:w="6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(96)</w:t>
            </w:r>
          </w:p>
        </w:tc>
        <w:tc>
          <w:tcPr>
            <w:tcW w:w="15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60.68</w:t>
            </w:r>
          </w:p>
        </w:tc>
      </w:tr>
      <w:tr>
        <w:trPr>
          <w:trHeight w:val="179"/>
        </w:trPr>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Options outstanding at November 3, 2018</w:t>
            </w:r>
          </w:p>
        </w:tc>
        <w:tc>
          <w:tcPr>
            <w:tcW w:w="6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2,906</w:t>
            </w:r>
          </w:p>
        </w:tc>
        <w:tc>
          <w:tcPr>
            <w:tcW w:w="15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6.3</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52.12</w:t>
            </w:r>
          </w:p>
        </w:tc>
      </w:tr>
      <w:tr>
        <w:trPr>
          <w:trHeight w:val="195"/>
        </w:trPr>
        <w:tc>
          <w:tcPr>
            <w:tcW w:w="5480" w:type="dxa"/>
            <w:vAlign w:val="bottom"/>
          </w:tcPr>
          <w:p>
            <w:pPr>
              <w:spacing w:after="0"/>
              <w:rPr>
                <w:sz w:val="20"/>
                <w:szCs w:val="20"/>
                <w:color w:val="auto"/>
              </w:rPr>
            </w:pPr>
            <w:r>
              <w:rPr>
                <w:rFonts w:ascii="Arial" w:cs="Arial" w:eastAsia="Arial" w:hAnsi="Arial"/>
                <w:sz w:val="15"/>
                <w:szCs w:val="15"/>
                <w:color w:val="auto"/>
              </w:rPr>
              <w:t>Options exercisable at November 3, 2018</w:t>
            </w:r>
          </w:p>
        </w:tc>
        <w:tc>
          <w:tcPr>
            <w:tcW w:w="620" w:type="dxa"/>
            <w:vAlign w:val="bottom"/>
          </w:tcPr>
          <w:p>
            <w:pPr>
              <w:jc w:val="right"/>
              <w:ind w:right="103"/>
              <w:spacing w:after="0"/>
              <w:rPr>
                <w:sz w:val="20"/>
                <w:szCs w:val="20"/>
                <w:color w:val="auto"/>
              </w:rPr>
            </w:pPr>
            <w:r>
              <w:rPr>
                <w:rFonts w:ascii="Arial" w:cs="Arial" w:eastAsia="Arial" w:hAnsi="Arial"/>
                <w:sz w:val="15"/>
                <w:szCs w:val="15"/>
                <w:color w:val="auto"/>
              </w:rPr>
              <w:t>2,025</w:t>
            </w:r>
          </w:p>
        </w:tc>
        <w:tc>
          <w:tcPr>
            <w:tcW w:w="1580" w:type="dxa"/>
            <w:vAlign w:val="bottom"/>
          </w:tcPr>
          <w:p>
            <w:pPr>
              <w:jc w:val="right"/>
              <w:ind w:right="103"/>
              <w:spacing w:after="0"/>
              <w:rPr>
                <w:sz w:val="20"/>
                <w:szCs w:val="20"/>
                <w:color w:val="auto"/>
              </w:rPr>
            </w:pPr>
            <w:r>
              <w:rPr>
                <w:rFonts w:ascii="Arial" w:cs="Arial" w:eastAsia="Arial" w:hAnsi="Arial"/>
                <w:sz w:val="15"/>
                <w:szCs w:val="15"/>
                <w:color w:val="auto"/>
              </w:rPr>
              <w:t>5.2</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49.83</w:t>
            </w:r>
          </w:p>
        </w:tc>
      </w:tr>
      <w:tr>
        <w:trPr>
          <w:trHeight w:val="207"/>
        </w:trPr>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Options available for future grant at November 3, 2018</w:t>
            </w:r>
          </w:p>
        </w:tc>
        <w:tc>
          <w:tcPr>
            <w:tcW w:w="6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8,245</w:t>
            </w:r>
          </w:p>
        </w:tc>
        <w:tc>
          <w:tcPr>
            <w:tcW w:w="15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r>
    </w:tbl>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total fair value of options vested as of November 3, 2018 and October 28, 2017 was $8 million for both periods. The cash received from option exercises was $4 million for the thirty-nine weeks ended November 3, 2018. The total tax benefit realized from option exercises was $1 million for the thirty-nine weeks ended November 3, 2018. There were no option exercises during the thirteen weeks ended November 3, 2018.</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6" w:name="page17"/>
    <w:bookmarkEnd w:id="16"/>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total intrinsic value of options exercised (the difference between the market price of the Company’s common stock on the exercise date and the price paid by the optionee to exercise the option) is presented below:</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2"/>
          </w:tcPr>
          <w:p>
            <w:pPr>
              <w:jc w:val="right"/>
              <w:ind w:right="423"/>
              <w:spacing w:after="0"/>
              <w:rPr>
                <w:sz w:val="20"/>
                <w:szCs w:val="20"/>
                <w:color w:val="auto"/>
              </w:rPr>
            </w:pPr>
            <w:r>
              <w:rPr>
                <w:rFonts w:ascii="Arial" w:cs="Arial" w:eastAsia="Arial" w:hAnsi="Arial"/>
                <w:sz w:val="15"/>
                <w:szCs w:val="15"/>
                <w:b w:val="1"/>
                <w:bCs w:val="1"/>
                <w:color w:val="auto"/>
              </w:rPr>
              <w:t>Thirteen weeks ended</w:t>
            </w: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283"/>
              <w:spacing w:after="0"/>
              <w:rPr>
                <w:sz w:val="20"/>
                <w:szCs w:val="20"/>
                <w:color w:val="auto"/>
              </w:rPr>
            </w:pPr>
            <w:r>
              <w:rPr>
                <w:rFonts w:ascii="Arial" w:cs="Arial" w:eastAsia="Arial" w:hAnsi="Arial"/>
                <w:sz w:val="15"/>
                <w:szCs w:val="15"/>
                <w:b w:val="1"/>
                <w:bCs w:val="1"/>
                <w:color w:val="auto"/>
              </w:rPr>
              <w:t>Thirty-nine weeks ended</w:t>
            </w:r>
          </w:p>
        </w:tc>
      </w:tr>
      <w:tr>
        <w:trPr>
          <w:trHeight w:val="151"/>
        </w:trPr>
        <w:tc>
          <w:tcPr>
            <w:tcW w:w="23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40" w:type="dxa"/>
            <w:vAlign w:val="bottom"/>
          </w:tcPr>
          <w:p>
            <w:pPr>
              <w:jc w:val="center"/>
              <w:ind w:right="323"/>
              <w:spacing w:after="0" w:line="151" w:lineRule="exact"/>
              <w:rPr>
                <w:sz w:val="20"/>
                <w:szCs w:val="20"/>
                <w:color w:val="auto"/>
              </w:rPr>
            </w:pPr>
            <w:r>
              <w:rPr>
                <w:rFonts w:ascii="Arial" w:cs="Arial" w:eastAsia="Arial" w:hAnsi="Arial"/>
                <w:sz w:val="15"/>
                <w:szCs w:val="15"/>
                <w:b w:val="1"/>
                <w:bCs w:val="1"/>
                <w:color w:val="auto"/>
              </w:rPr>
              <w:t>November 3,</w:t>
            </w:r>
          </w:p>
        </w:tc>
        <w:tc>
          <w:tcPr>
            <w:tcW w:w="1100" w:type="dxa"/>
            <w:vAlign w:val="bottom"/>
          </w:tcPr>
          <w:p>
            <w:pPr>
              <w:jc w:val="center"/>
              <w:ind w:right="103"/>
              <w:spacing w:after="0" w:line="151" w:lineRule="exact"/>
              <w:rPr>
                <w:sz w:val="20"/>
                <w:szCs w:val="20"/>
                <w:color w:val="auto"/>
              </w:rPr>
            </w:pPr>
            <w:r>
              <w:rPr>
                <w:rFonts w:ascii="Arial" w:cs="Arial" w:eastAsia="Arial" w:hAnsi="Arial"/>
                <w:sz w:val="15"/>
                <w:szCs w:val="15"/>
                <w:b w:val="1"/>
                <w:bCs w:val="1"/>
                <w:color w:val="auto"/>
              </w:rPr>
              <w:t>October 28,</w:t>
            </w:r>
          </w:p>
        </w:tc>
        <w:tc>
          <w:tcPr>
            <w:tcW w:w="200" w:type="dxa"/>
            <w:vAlign w:val="bottom"/>
          </w:tcPr>
          <w:p>
            <w:pPr>
              <w:spacing w:after="0"/>
              <w:rPr>
                <w:sz w:val="13"/>
                <w:szCs w:val="13"/>
                <w:color w:val="auto"/>
              </w:rPr>
            </w:pPr>
          </w:p>
        </w:tc>
        <w:tc>
          <w:tcPr>
            <w:tcW w:w="1140" w:type="dxa"/>
            <w:vAlign w:val="bottom"/>
          </w:tcPr>
          <w:p>
            <w:pPr>
              <w:jc w:val="center"/>
              <w:ind w:right="83"/>
              <w:spacing w:after="0" w:line="151" w:lineRule="exact"/>
              <w:rPr>
                <w:sz w:val="20"/>
                <w:szCs w:val="20"/>
                <w:color w:val="auto"/>
              </w:rPr>
            </w:pPr>
            <w:r>
              <w:rPr>
                <w:rFonts w:ascii="Arial" w:cs="Arial" w:eastAsia="Arial" w:hAnsi="Arial"/>
                <w:sz w:val="15"/>
                <w:szCs w:val="15"/>
                <w:b w:val="1"/>
                <w:bCs w:val="1"/>
                <w:color w:val="auto"/>
              </w:rPr>
              <w:t>November 3,</w:t>
            </w:r>
          </w:p>
        </w:tc>
        <w:tc>
          <w:tcPr>
            <w:tcW w:w="220" w:type="dxa"/>
            <w:vAlign w:val="bottom"/>
          </w:tcPr>
          <w:p>
            <w:pPr>
              <w:spacing w:after="0"/>
              <w:rPr>
                <w:sz w:val="13"/>
                <w:szCs w:val="13"/>
                <w:color w:val="auto"/>
              </w:rPr>
            </w:pPr>
          </w:p>
        </w:tc>
        <w:tc>
          <w:tcPr>
            <w:tcW w:w="1060" w:type="dxa"/>
            <w:vAlign w:val="bottom"/>
          </w:tcPr>
          <w:p>
            <w:pPr>
              <w:jc w:val="center"/>
              <w:ind w:right="43"/>
              <w:spacing w:after="0" w:line="151" w:lineRule="exact"/>
              <w:rPr>
                <w:sz w:val="20"/>
                <w:szCs w:val="20"/>
                <w:color w:val="auto"/>
              </w:rPr>
            </w:pPr>
            <w:r>
              <w:rPr>
                <w:rFonts w:ascii="Arial" w:cs="Arial" w:eastAsia="Arial" w:hAnsi="Arial"/>
                <w:sz w:val="15"/>
                <w:szCs w:val="15"/>
                <w:b w:val="1"/>
                <w:bCs w:val="1"/>
                <w:color w:val="auto"/>
              </w:rPr>
              <w:t>October 28,</w:t>
            </w:r>
          </w:p>
        </w:tc>
      </w:tr>
      <w:tr>
        <w:trPr>
          <w:trHeight w:val="194"/>
        </w:trPr>
        <w:tc>
          <w:tcPr>
            <w:tcW w:w="2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23"/>
              <w:spacing w:after="0"/>
              <w:rPr>
                <w:sz w:val="20"/>
                <w:szCs w:val="20"/>
                <w:color w:val="auto"/>
              </w:rPr>
            </w:pPr>
            <w:r>
              <w:rPr>
                <w:rFonts w:ascii="Arial" w:cs="Arial" w:eastAsia="Arial" w:hAnsi="Arial"/>
                <w:sz w:val="15"/>
                <w:szCs w:val="15"/>
                <w:b w:val="1"/>
                <w:bCs w:val="1"/>
                <w:color w:val="auto"/>
              </w:rPr>
              <w:t>2018</w:t>
            </w:r>
          </w:p>
        </w:tc>
        <w:tc>
          <w:tcPr>
            <w:tcW w:w="110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2017</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2018</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2017</w:t>
            </w:r>
          </w:p>
        </w:tc>
      </w:tr>
      <w:tr>
        <w:trPr>
          <w:trHeight w:val="199"/>
        </w:trPr>
        <w:tc>
          <w:tcPr>
            <w:tcW w:w="2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40" w:type="dxa"/>
            <w:vAlign w:val="bottom"/>
            <w:gridSpan w:val="3"/>
          </w:tcPr>
          <w:p>
            <w:pPr>
              <w:jc w:val="right"/>
              <w:ind w:right="763"/>
              <w:spacing w:after="0"/>
              <w:rPr>
                <w:sz w:val="20"/>
                <w:szCs w:val="20"/>
                <w:color w:val="auto"/>
              </w:rPr>
            </w:pPr>
            <w:r>
              <w:rPr>
                <w:rFonts w:ascii="Arial" w:cs="Arial" w:eastAsia="Arial" w:hAnsi="Arial"/>
                <w:sz w:val="15"/>
                <w:szCs w:val="15"/>
                <w:color w:val="auto"/>
              </w:rPr>
              <w:t>($ in millions)</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7"/>
        </w:trPr>
        <w:tc>
          <w:tcPr>
            <w:tcW w:w="2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Exercised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3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w:t>
            </w:r>
          </w:p>
        </w:tc>
      </w:tr>
    </w:tbl>
    <w:p>
      <w:pPr>
        <w:spacing w:after="0" w:line="165"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aggregate intrinsic value for stock options outstanding, and outstanding and exercisable (the difference between the Company’s closing stock price on the last trading day of the period and the exercise price of the options, multiplied by the number of in-the-money stock options) is presented below:</w:t>
      </w:r>
    </w:p>
    <w:p>
      <w:pPr>
        <w:spacing w:after="0" w:line="74" w:lineRule="exact"/>
        <w:rPr>
          <w:sz w:val="20"/>
          <w:szCs w:val="20"/>
          <w:color w:val="auto"/>
        </w:rPr>
      </w:pPr>
    </w:p>
    <w:p>
      <w:pPr>
        <w:ind w:left="6420"/>
        <w:spacing w:after="0"/>
        <w:rPr>
          <w:sz w:val="20"/>
          <w:szCs w:val="20"/>
          <w:color w:val="auto"/>
        </w:rPr>
      </w:pPr>
      <w:r>
        <w:rPr>
          <w:rFonts w:ascii="Arial" w:cs="Arial" w:eastAsia="Arial" w:hAnsi="Arial"/>
          <w:sz w:val="15"/>
          <w:szCs w:val="15"/>
          <w:b w:val="1"/>
          <w:bCs w:val="1"/>
          <w:color w:val="auto"/>
        </w:rPr>
        <w:t>Thirty-nine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40" w:type="dxa"/>
            <w:vAlign w:val="bottom"/>
            <w:tcBorders>
              <w:top w:val="single" w:sz="8" w:color="auto"/>
            </w:tcBorders>
          </w:tcPr>
          <w:p>
            <w:pPr>
              <w:spacing w:after="0"/>
              <w:rPr>
                <w:sz w:val="15"/>
                <w:szCs w:val="15"/>
                <w:color w:val="auto"/>
              </w:rPr>
            </w:pPr>
          </w:p>
        </w:tc>
        <w:tc>
          <w:tcPr>
            <w:tcW w:w="21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November 3,</w:t>
            </w:r>
          </w:p>
        </w:tc>
        <w:tc>
          <w:tcPr>
            <w:tcW w:w="4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October 28,</w:t>
            </w:r>
          </w:p>
        </w:tc>
      </w:tr>
      <w:tr>
        <w:trPr>
          <w:trHeight w:val="194"/>
        </w:trPr>
        <w:tc>
          <w:tcPr>
            <w:tcW w:w="38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2018</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63"/>
              <w:spacing w:after="0"/>
              <w:rPr>
                <w:sz w:val="20"/>
                <w:szCs w:val="20"/>
                <w:color w:val="auto"/>
              </w:rPr>
            </w:pPr>
            <w:r>
              <w:rPr>
                <w:rFonts w:ascii="Arial" w:cs="Arial" w:eastAsia="Arial" w:hAnsi="Arial"/>
                <w:sz w:val="15"/>
                <w:szCs w:val="15"/>
                <w:b w:val="1"/>
                <w:bCs w:val="1"/>
                <w:color w:val="auto"/>
              </w:rPr>
              <w:t>2017</w:t>
            </w:r>
          </w:p>
        </w:tc>
      </w:tr>
      <w:tr>
        <w:trPr>
          <w:trHeight w:val="162"/>
        </w:trPr>
        <w:tc>
          <w:tcPr>
            <w:tcW w:w="38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40" w:type="dxa"/>
            <w:vAlign w:val="bottom"/>
            <w:gridSpan w:val="2"/>
          </w:tcPr>
          <w:p>
            <w:pPr>
              <w:jc w:val="right"/>
              <w:spacing w:after="0" w:line="163" w:lineRule="exact"/>
              <w:rPr>
                <w:sz w:val="20"/>
                <w:szCs w:val="20"/>
                <w:color w:val="auto"/>
              </w:rPr>
            </w:pPr>
            <w:r>
              <w:rPr>
                <w:rFonts w:ascii="Arial" w:cs="Arial" w:eastAsia="Arial" w:hAnsi="Arial"/>
                <w:sz w:val="15"/>
                <w:szCs w:val="15"/>
                <w:color w:val="auto"/>
              </w:rPr>
              <w:t>($ in millions)</w:t>
            </w:r>
          </w:p>
        </w:tc>
        <w:tc>
          <w:tcPr>
            <w:tcW w:w="1280" w:type="dxa"/>
            <w:vAlign w:val="bottom"/>
          </w:tcPr>
          <w:p>
            <w:pPr>
              <w:spacing w:after="0"/>
              <w:rPr>
                <w:sz w:val="14"/>
                <w:szCs w:val="14"/>
                <w:color w:val="auto"/>
              </w:rPr>
            </w:pPr>
          </w:p>
        </w:tc>
      </w:tr>
      <w:tr>
        <w:trPr>
          <w:trHeight w:val="207"/>
        </w:trPr>
        <w:tc>
          <w:tcPr>
            <w:tcW w:w="3840" w:type="dxa"/>
            <w:vAlign w:val="bottom"/>
            <w:shd w:val="clear" w:color="auto" w:fill="CCEEFF"/>
          </w:tcPr>
          <w:p>
            <w:pPr>
              <w:spacing w:after="0"/>
              <w:rPr>
                <w:sz w:val="20"/>
                <w:szCs w:val="20"/>
                <w:color w:val="auto"/>
              </w:rPr>
            </w:pPr>
            <w:r>
              <w:rPr>
                <w:rFonts w:ascii="Arial" w:cs="Arial" w:eastAsia="Arial" w:hAnsi="Arial"/>
                <w:sz w:val="15"/>
                <w:szCs w:val="15"/>
                <w:color w:val="auto"/>
              </w:rPr>
              <w:t>Outstanding</w:t>
            </w:r>
          </w:p>
        </w:tc>
        <w:tc>
          <w:tcPr>
            <w:tcW w:w="214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w:t>
            </w:r>
          </w:p>
        </w:tc>
        <w:tc>
          <w:tcPr>
            <w:tcW w:w="14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17</w:t>
            </w:r>
          </w:p>
        </w:tc>
        <w:tc>
          <w:tcPr>
            <w:tcW w:w="4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r>
      <w:tr>
        <w:trPr>
          <w:trHeight w:val="207"/>
        </w:trPr>
        <w:tc>
          <w:tcPr>
            <w:tcW w:w="38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Outstanding and exercisable</w:t>
            </w:r>
          </w:p>
        </w:tc>
        <w:tc>
          <w:tcPr>
            <w:tcW w:w="21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w:t>
            </w:r>
          </w:p>
        </w:tc>
        <w:tc>
          <w:tcPr>
            <w:tcW w:w="14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15</w:t>
            </w:r>
          </w:p>
        </w:tc>
        <w:tc>
          <w:tcPr>
            <w:tcW w:w="4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r>
    </w:tbl>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As of November 3, 2018 there was $5 million of total unrecognized compensation cost related to nonvested stock options, which is expected to be recognized over a remaining weighted-average period of 1.4 years.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information about stock options outstanding and exercisable at November 3, 2018:</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9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Options Outstanding</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403"/>
              <w:spacing w:after="0"/>
              <w:rPr>
                <w:sz w:val="20"/>
                <w:szCs w:val="20"/>
                <w:color w:val="auto"/>
              </w:rPr>
            </w:pPr>
            <w:r>
              <w:rPr>
                <w:rFonts w:ascii="Arial" w:cs="Arial" w:eastAsia="Arial" w:hAnsi="Arial"/>
                <w:sz w:val="15"/>
                <w:szCs w:val="15"/>
                <w:b w:val="1"/>
                <w:bCs w:val="1"/>
                <w:color w:val="auto"/>
              </w:rPr>
              <w:t>Options Exercisable</w:t>
            </w:r>
          </w:p>
        </w:tc>
      </w:tr>
      <w:tr>
        <w:trPr>
          <w:trHeight w:val="151"/>
        </w:trPr>
        <w:tc>
          <w:tcPr>
            <w:tcW w:w="19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60" w:type="dxa"/>
            <w:vAlign w:val="bottom"/>
          </w:tcPr>
          <w:p>
            <w:pPr>
              <w:jc w:val="center"/>
              <w:spacing w:after="0" w:line="151" w:lineRule="exact"/>
              <w:rPr>
                <w:sz w:val="20"/>
                <w:szCs w:val="20"/>
                <w:color w:val="auto"/>
              </w:rPr>
            </w:pPr>
            <w:r>
              <w:rPr>
                <w:rFonts w:ascii="Arial" w:cs="Arial" w:eastAsia="Arial" w:hAnsi="Arial"/>
                <w:sz w:val="15"/>
                <w:szCs w:val="15"/>
                <w:b w:val="1"/>
                <w:bCs w:val="1"/>
                <w:color w:val="auto"/>
              </w:rPr>
              <w:t>Weighted-</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2"/>
        </w:trPr>
        <w:tc>
          <w:tcPr>
            <w:tcW w:w="1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5"/>
                <w:szCs w:val="15"/>
                <w:b w:val="1"/>
                <w:bCs w:val="1"/>
                <w:color w:val="auto"/>
              </w:rPr>
              <w:t>Average</w:t>
            </w:r>
          </w:p>
        </w:tc>
        <w:tc>
          <w:tcPr>
            <w:tcW w:w="240" w:type="dxa"/>
            <w:vAlign w:val="bottom"/>
          </w:tcPr>
          <w:p>
            <w:pPr>
              <w:spacing w:after="0"/>
              <w:rPr>
                <w:sz w:val="15"/>
                <w:szCs w:val="15"/>
                <w:color w:val="auto"/>
              </w:rPr>
            </w:pPr>
          </w:p>
        </w:tc>
        <w:tc>
          <w:tcPr>
            <w:tcW w:w="1060" w:type="dxa"/>
            <w:vAlign w:val="bottom"/>
          </w:tcPr>
          <w:p>
            <w:pPr>
              <w:jc w:val="center"/>
              <w:ind w:right="123"/>
              <w:spacing w:after="0"/>
              <w:rPr>
                <w:sz w:val="20"/>
                <w:szCs w:val="20"/>
                <w:color w:val="auto"/>
              </w:rPr>
            </w:pPr>
            <w:r>
              <w:rPr>
                <w:rFonts w:ascii="Arial" w:cs="Arial" w:eastAsia="Arial" w:hAnsi="Arial"/>
                <w:sz w:val="15"/>
                <w:szCs w:val="15"/>
                <w:b w:val="1"/>
                <w:bCs w:val="1"/>
                <w:color w:val="auto"/>
              </w:rPr>
              <w:t>Weighted-</w:t>
            </w: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rPr>
              <w:t>Weighted-</w:t>
            </w:r>
          </w:p>
        </w:tc>
      </w:tr>
      <w:tr>
        <w:trPr>
          <w:trHeight w:val="182"/>
        </w:trPr>
        <w:tc>
          <w:tcPr>
            <w:tcW w:w="1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5"/>
                <w:szCs w:val="15"/>
                <w:b w:val="1"/>
                <w:bCs w:val="1"/>
                <w:color w:val="auto"/>
              </w:rPr>
              <w:t>Remaining</w:t>
            </w:r>
          </w:p>
        </w:tc>
        <w:tc>
          <w:tcPr>
            <w:tcW w:w="240" w:type="dxa"/>
            <w:vAlign w:val="bottom"/>
          </w:tcPr>
          <w:p>
            <w:pPr>
              <w:spacing w:after="0"/>
              <w:rPr>
                <w:sz w:val="15"/>
                <w:szCs w:val="15"/>
                <w:color w:val="auto"/>
              </w:rPr>
            </w:pPr>
          </w:p>
        </w:tc>
        <w:tc>
          <w:tcPr>
            <w:tcW w:w="1060" w:type="dxa"/>
            <w:vAlign w:val="bottom"/>
          </w:tcPr>
          <w:p>
            <w:pPr>
              <w:jc w:val="center"/>
              <w:ind w:right="123"/>
              <w:spacing w:after="0"/>
              <w:rPr>
                <w:sz w:val="20"/>
                <w:szCs w:val="20"/>
                <w:color w:val="auto"/>
              </w:rPr>
            </w:pPr>
            <w:r>
              <w:rPr>
                <w:rFonts w:ascii="Arial" w:cs="Arial" w:eastAsia="Arial" w:hAnsi="Arial"/>
                <w:sz w:val="15"/>
                <w:szCs w:val="15"/>
                <w:b w:val="1"/>
                <w:bCs w:val="1"/>
                <w:color w:val="auto"/>
              </w:rPr>
              <w:t>Average</w:t>
            </w: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rPr>
              <w:t>Average</w:t>
            </w:r>
          </w:p>
        </w:tc>
      </w:tr>
      <w:tr>
        <w:trPr>
          <w:trHeight w:val="203"/>
        </w:trPr>
        <w:tc>
          <w:tcPr>
            <w:tcW w:w="1940" w:type="dxa"/>
            <w:vAlign w:val="bottom"/>
          </w:tcPr>
          <w:p>
            <w:pPr>
              <w:spacing w:after="0"/>
              <w:rPr>
                <w:sz w:val="20"/>
                <w:szCs w:val="20"/>
                <w:color w:val="auto"/>
              </w:rPr>
            </w:pPr>
            <w:r>
              <w:rPr>
                <w:rFonts w:ascii="Arial" w:cs="Arial" w:eastAsia="Arial" w:hAnsi="Arial"/>
                <w:sz w:val="15"/>
                <w:szCs w:val="15"/>
                <w:b w:val="1"/>
                <w:bCs w:val="1"/>
                <w:color w:val="auto"/>
              </w:rPr>
              <w:t>Range of Exercise</w:t>
            </w:r>
          </w:p>
        </w:tc>
        <w:tc>
          <w:tcPr>
            <w:tcW w:w="1640" w:type="dxa"/>
            <w:vAlign w:val="bottom"/>
          </w:tcPr>
          <w:p>
            <w:pPr>
              <w:jc w:val="right"/>
              <w:ind w:right="223"/>
              <w:spacing w:after="0"/>
              <w:rPr>
                <w:sz w:val="20"/>
                <w:szCs w:val="20"/>
                <w:color w:val="auto"/>
              </w:rPr>
            </w:pPr>
            <w:r>
              <w:rPr>
                <w:rFonts w:ascii="Arial" w:cs="Arial" w:eastAsia="Arial" w:hAnsi="Arial"/>
                <w:sz w:val="15"/>
                <w:szCs w:val="15"/>
                <w:b w:val="1"/>
                <w:bCs w:val="1"/>
                <w:color w:val="auto"/>
              </w:rPr>
              <w:t>Number</w:t>
            </w:r>
          </w:p>
        </w:tc>
        <w:tc>
          <w:tcPr>
            <w:tcW w:w="1660" w:type="dxa"/>
            <w:vAlign w:val="bottom"/>
          </w:tcPr>
          <w:p>
            <w:pPr>
              <w:jc w:val="center"/>
              <w:spacing w:after="0"/>
              <w:rPr>
                <w:sz w:val="20"/>
                <w:szCs w:val="20"/>
                <w:color w:val="auto"/>
              </w:rPr>
            </w:pPr>
            <w:r>
              <w:rPr>
                <w:rFonts w:ascii="Arial" w:cs="Arial" w:eastAsia="Arial" w:hAnsi="Arial"/>
                <w:sz w:val="15"/>
                <w:szCs w:val="15"/>
                <w:b w:val="1"/>
                <w:bCs w:val="1"/>
                <w:color w:val="auto"/>
              </w:rPr>
              <w:t>Contractual</w:t>
            </w:r>
          </w:p>
        </w:tc>
        <w:tc>
          <w:tcPr>
            <w:tcW w:w="240" w:type="dxa"/>
            <w:vAlign w:val="bottom"/>
          </w:tcPr>
          <w:p>
            <w:pPr>
              <w:spacing w:after="0"/>
              <w:rPr>
                <w:sz w:val="17"/>
                <w:szCs w:val="17"/>
                <w:color w:val="auto"/>
              </w:rPr>
            </w:pPr>
          </w:p>
        </w:tc>
        <w:tc>
          <w:tcPr>
            <w:tcW w:w="1060" w:type="dxa"/>
            <w:vAlign w:val="bottom"/>
          </w:tcPr>
          <w:p>
            <w:pPr>
              <w:jc w:val="center"/>
              <w:ind w:right="123"/>
              <w:spacing w:after="0"/>
              <w:rPr>
                <w:sz w:val="20"/>
                <w:szCs w:val="20"/>
                <w:color w:val="auto"/>
              </w:rPr>
            </w:pPr>
            <w:r>
              <w:rPr>
                <w:rFonts w:ascii="Arial" w:cs="Arial" w:eastAsia="Arial" w:hAnsi="Arial"/>
                <w:sz w:val="15"/>
                <w:szCs w:val="15"/>
                <w:b w:val="1"/>
                <w:bCs w:val="1"/>
                <w:color w:val="auto"/>
              </w:rPr>
              <w:t>Exercise</w:t>
            </w:r>
          </w:p>
        </w:tc>
        <w:tc>
          <w:tcPr>
            <w:tcW w:w="1360" w:type="dxa"/>
            <w:vAlign w:val="bottom"/>
          </w:tcPr>
          <w:p>
            <w:pPr>
              <w:jc w:val="right"/>
              <w:ind w:right="383"/>
              <w:spacing w:after="0"/>
              <w:rPr>
                <w:sz w:val="20"/>
                <w:szCs w:val="20"/>
                <w:color w:val="auto"/>
              </w:rPr>
            </w:pPr>
            <w:r>
              <w:rPr>
                <w:rFonts w:ascii="Arial" w:cs="Arial" w:eastAsia="Arial" w:hAnsi="Arial"/>
                <w:sz w:val="15"/>
                <w:szCs w:val="15"/>
                <w:b w:val="1"/>
                <w:bCs w:val="1"/>
                <w:color w:val="auto"/>
              </w:rPr>
              <w:t>Number</w:t>
            </w:r>
          </w:p>
        </w:tc>
        <w:tc>
          <w:tcPr>
            <w:tcW w:w="2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rPr>
              <w:t>Exercise</w:t>
            </w:r>
          </w:p>
        </w:tc>
      </w:tr>
      <w:tr>
        <w:trPr>
          <w:trHeight w:val="197"/>
        </w:trPr>
        <w:tc>
          <w:tcPr>
            <w:tcW w:w="19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Prices</w:t>
            </w:r>
          </w:p>
        </w:tc>
        <w:tc>
          <w:tcPr>
            <w:tcW w:w="16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Outstanding</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Life</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23"/>
              <w:spacing w:after="0"/>
              <w:rPr>
                <w:sz w:val="20"/>
                <w:szCs w:val="20"/>
                <w:color w:val="auto"/>
              </w:rPr>
            </w:pPr>
            <w:r>
              <w:rPr>
                <w:rFonts w:ascii="Arial" w:cs="Arial" w:eastAsia="Arial" w:hAnsi="Arial"/>
                <w:sz w:val="15"/>
                <w:szCs w:val="15"/>
                <w:b w:val="1"/>
                <w:bCs w:val="1"/>
                <w:color w:val="auto"/>
              </w:rPr>
              <w:t>Price</w:t>
            </w:r>
          </w:p>
        </w:tc>
        <w:tc>
          <w:tcPr>
            <w:tcW w:w="136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Exercisable</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Price</w:t>
            </w:r>
          </w:p>
        </w:tc>
      </w:tr>
      <w:tr>
        <w:trPr>
          <w:trHeight w:val="187"/>
        </w:trPr>
        <w:tc>
          <w:tcPr>
            <w:tcW w:w="19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320" w:type="dxa"/>
            <w:vAlign w:val="bottom"/>
            <w:gridSpan w:val="4"/>
          </w:tcPr>
          <w:p>
            <w:pPr>
              <w:jc w:val="right"/>
              <w:ind w:right="83"/>
              <w:spacing w:after="0"/>
              <w:rPr>
                <w:sz w:val="20"/>
                <w:szCs w:val="20"/>
                <w:color w:val="auto"/>
              </w:rPr>
            </w:pPr>
            <w:r>
              <w:rPr>
                <w:rFonts w:ascii="Arial" w:cs="Arial" w:eastAsia="Arial" w:hAnsi="Arial"/>
                <w:sz w:val="15"/>
                <w:szCs w:val="15"/>
                <w:color w:val="auto"/>
              </w:rPr>
              <w:t>(in thousands, except prices per share and contractual life)</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7"/>
        </w:trPr>
        <w:tc>
          <w:tcPr>
            <w:tcW w:w="1940" w:type="dxa"/>
            <w:vAlign w:val="bottom"/>
            <w:shd w:val="clear" w:color="auto" w:fill="CCEEFF"/>
          </w:tcPr>
          <w:p>
            <w:pPr>
              <w:spacing w:after="0"/>
              <w:rPr>
                <w:sz w:val="20"/>
                <w:szCs w:val="20"/>
                <w:color w:val="auto"/>
              </w:rPr>
            </w:pPr>
            <w:r>
              <w:rPr>
                <w:rFonts w:ascii="Arial" w:cs="Arial" w:eastAsia="Arial" w:hAnsi="Arial"/>
                <w:sz w:val="15"/>
                <w:szCs w:val="15"/>
                <w:color w:val="auto"/>
              </w:rPr>
              <w:t>$9.85 to $18.84</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w:t>
            </w:r>
          </w:p>
        </w:tc>
        <w:tc>
          <w:tcPr>
            <w:tcW w:w="16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1.9</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17.10</w:t>
            </w:r>
          </w:p>
        </w:tc>
        <w:tc>
          <w:tcPr>
            <w:tcW w:w="1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240</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17.10</w:t>
            </w:r>
          </w:p>
        </w:tc>
      </w:tr>
      <w:tr>
        <w:trPr>
          <w:trHeight w:val="207"/>
        </w:trPr>
        <w:tc>
          <w:tcPr>
            <w:tcW w:w="1940" w:type="dxa"/>
            <w:vAlign w:val="bottom"/>
          </w:tcPr>
          <w:p>
            <w:pPr>
              <w:spacing w:after="0"/>
              <w:rPr>
                <w:sz w:val="20"/>
                <w:szCs w:val="20"/>
                <w:color w:val="auto"/>
              </w:rPr>
            </w:pPr>
            <w:r>
              <w:rPr>
                <w:rFonts w:ascii="Arial" w:cs="Arial" w:eastAsia="Arial" w:hAnsi="Arial"/>
                <w:sz w:val="15"/>
                <w:szCs w:val="15"/>
                <w:color w:val="auto"/>
              </w:rPr>
              <w:t>$24.75 to $34.75</w:t>
            </w:r>
          </w:p>
        </w:tc>
        <w:tc>
          <w:tcPr>
            <w:tcW w:w="1640" w:type="dxa"/>
            <w:vAlign w:val="bottom"/>
          </w:tcPr>
          <w:p>
            <w:pPr>
              <w:jc w:val="right"/>
              <w:spacing w:after="0"/>
              <w:rPr>
                <w:sz w:val="20"/>
                <w:szCs w:val="20"/>
                <w:color w:val="auto"/>
              </w:rPr>
            </w:pPr>
            <w:r>
              <w:rPr>
                <w:rFonts w:ascii="Arial" w:cs="Arial" w:eastAsia="Arial" w:hAnsi="Arial"/>
                <w:sz w:val="15"/>
                <w:szCs w:val="15"/>
                <w:color w:val="auto"/>
              </w:rPr>
              <w:t>395</w:t>
            </w:r>
          </w:p>
        </w:tc>
        <w:tc>
          <w:tcPr>
            <w:tcW w:w="1660" w:type="dxa"/>
            <w:vAlign w:val="bottom"/>
          </w:tcPr>
          <w:p>
            <w:pPr>
              <w:jc w:val="right"/>
              <w:ind w:right="283"/>
              <w:spacing w:after="0"/>
              <w:rPr>
                <w:sz w:val="20"/>
                <w:szCs w:val="20"/>
                <w:color w:val="auto"/>
              </w:rPr>
            </w:pPr>
            <w:r>
              <w:rPr>
                <w:rFonts w:ascii="Arial" w:cs="Arial" w:eastAsia="Arial" w:hAnsi="Arial"/>
                <w:sz w:val="15"/>
                <w:szCs w:val="15"/>
                <w:color w:val="auto"/>
              </w:rPr>
              <w:t>4.2</w:t>
            </w:r>
          </w:p>
        </w:tc>
        <w:tc>
          <w:tcPr>
            <w:tcW w:w="240" w:type="dxa"/>
            <w:vAlign w:val="bottom"/>
          </w:tcPr>
          <w:p>
            <w:pPr>
              <w:spacing w:after="0"/>
              <w:rPr>
                <w:sz w:val="17"/>
                <w:szCs w:val="17"/>
                <w:color w:val="auto"/>
              </w:rPr>
            </w:pPr>
          </w:p>
        </w:tc>
        <w:tc>
          <w:tcPr>
            <w:tcW w:w="1060" w:type="dxa"/>
            <w:vAlign w:val="bottom"/>
          </w:tcPr>
          <w:p>
            <w:pPr>
              <w:jc w:val="right"/>
              <w:ind w:right="103"/>
              <w:spacing w:after="0"/>
              <w:rPr>
                <w:sz w:val="20"/>
                <w:szCs w:val="20"/>
                <w:color w:val="auto"/>
              </w:rPr>
            </w:pPr>
            <w:r>
              <w:rPr>
                <w:rFonts w:ascii="Arial" w:cs="Arial" w:eastAsia="Arial" w:hAnsi="Arial"/>
                <w:sz w:val="15"/>
                <w:szCs w:val="15"/>
                <w:color w:val="auto"/>
              </w:rPr>
              <w:t>32.16</w:t>
            </w:r>
          </w:p>
        </w:tc>
        <w:tc>
          <w:tcPr>
            <w:tcW w:w="1360" w:type="dxa"/>
            <w:vAlign w:val="bottom"/>
          </w:tcPr>
          <w:p>
            <w:pPr>
              <w:jc w:val="right"/>
              <w:ind w:right="203"/>
              <w:spacing w:after="0"/>
              <w:rPr>
                <w:sz w:val="20"/>
                <w:szCs w:val="20"/>
                <w:color w:val="auto"/>
              </w:rPr>
            </w:pPr>
            <w:r>
              <w:rPr>
                <w:rFonts w:ascii="Arial" w:cs="Arial" w:eastAsia="Arial" w:hAnsi="Arial"/>
                <w:sz w:val="15"/>
                <w:szCs w:val="15"/>
                <w:color w:val="auto"/>
              </w:rPr>
              <w:t>356</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31.88</w:t>
            </w:r>
          </w:p>
        </w:tc>
      </w:tr>
      <w:tr>
        <w:trPr>
          <w:trHeight w:val="207"/>
        </w:trPr>
        <w:tc>
          <w:tcPr>
            <w:tcW w:w="1940" w:type="dxa"/>
            <w:vAlign w:val="bottom"/>
            <w:shd w:val="clear" w:color="auto" w:fill="CCEEFF"/>
          </w:tcPr>
          <w:p>
            <w:pPr>
              <w:spacing w:after="0"/>
              <w:rPr>
                <w:sz w:val="20"/>
                <w:szCs w:val="20"/>
                <w:color w:val="auto"/>
              </w:rPr>
            </w:pPr>
            <w:r>
              <w:rPr>
                <w:rFonts w:ascii="Arial" w:cs="Arial" w:eastAsia="Arial" w:hAnsi="Arial"/>
                <w:sz w:val="15"/>
                <w:szCs w:val="15"/>
                <w:color w:val="auto"/>
              </w:rPr>
              <w:t>$44.78 to $45.75</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660</w:t>
            </w:r>
          </w:p>
        </w:tc>
        <w:tc>
          <w:tcPr>
            <w:tcW w:w="16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7.4</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44.92</w:t>
            </w:r>
          </w:p>
        </w:tc>
        <w:tc>
          <w:tcPr>
            <w:tcW w:w="1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299</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45.08</w:t>
            </w:r>
          </w:p>
        </w:tc>
      </w:tr>
      <w:tr>
        <w:trPr>
          <w:trHeight w:val="207"/>
        </w:trPr>
        <w:tc>
          <w:tcPr>
            <w:tcW w:w="1940" w:type="dxa"/>
            <w:vAlign w:val="bottom"/>
          </w:tcPr>
          <w:p>
            <w:pPr>
              <w:spacing w:after="0"/>
              <w:rPr>
                <w:sz w:val="20"/>
                <w:szCs w:val="20"/>
                <w:color w:val="auto"/>
              </w:rPr>
            </w:pPr>
            <w:r>
              <w:rPr>
                <w:rFonts w:ascii="Arial" w:cs="Arial" w:eastAsia="Arial" w:hAnsi="Arial"/>
                <w:sz w:val="15"/>
                <w:szCs w:val="15"/>
                <w:color w:val="auto"/>
              </w:rPr>
              <w:t>$46.64 to $62.11</w:t>
            </w:r>
          </w:p>
        </w:tc>
        <w:tc>
          <w:tcPr>
            <w:tcW w:w="1640" w:type="dxa"/>
            <w:vAlign w:val="bottom"/>
          </w:tcPr>
          <w:p>
            <w:pPr>
              <w:jc w:val="right"/>
              <w:spacing w:after="0"/>
              <w:rPr>
                <w:sz w:val="20"/>
                <w:szCs w:val="20"/>
                <w:color w:val="auto"/>
              </w:rPr>
            </w:pPr>
            <w:r>
              <w:rPr>
                <w:rFonts w:ascii="Arial" w:cs="Arial" w:eastAsia="Arial" w:hAnsi="Arial"/>
                <w:sz w:val="15"/>
                <w:szCs w:val="15"/>
                <w:color w:val="auto"/>
              </w:rPr>
              <w:t>694</w:t>
            </w:r>
          </w:p>
        </w:tc>
        <w:tc>
          <w:tcPr>
            <w:tcW w:w="1660" w:type="dxa"/>
            <w:vAlign w:val="bottom"/>
          </w:tcPr>
          <w:p>
            <w:pPr>
              <w:jc w:val="right"/>
              <w:ind w:right="283"/>
              <w:spacing w:after="0"/>
              <w:rPr>
                <w:sz w:val="20"/>
                <w:szCs w:val="20"/>
                <w:color w:val="auto"/>
              </w:rPr>
            </w:pPr>
            <w:r>
              <w:rPr>
                <w:rFonts w:ascii="Arial" w:cs="Arial" w:eastAsia="Arial" w:hAnsi="Arial"/>
                <w:sz w:val="15"/>
                <w:szCs w:val="15"/>
                <w:color w:val="auto"/>
              </w:rPr>
              <w:t>5.9</w:t>
            </w:r>
          </w:p>
        </w:tc>
        <w:tc>
          <w:tcPr>
            <w:tcW w:w="240" w:type="dxa"/>
            <w:vAlign w:val="bottom"/>
          </w:tcPr>
          <w:p>
            <w:pPr>
              <w:spacing w:after="0"/>
              <w:rPr>
                <w:sz w:val="17"/>
                <w:szCs w:val="17"/>
                <w:color w:val="auto"/>
              </w:rPr>
            </w:pPr>
          </w:p>
        </w:tc>
        <w:tc>
          <w:tcPr>
            <w:tcW w:w="1060" w:type="dxa"/>
            <w:vAlign w:val="bottom"/>
          </w:tcPr>
          <w:p>
            <w:pPr>
              <w:jc w:val="right"/>
              <w:ind w:right="103"/>
              <w:spacing w:after="0"/>
              <w:rPr>
                <w:sz w:val="20"/>
                <w:szCs w:val="20"/>
                <w:color w:val="auto"/>
              </w:rPr>
            </w:pPr>
            <w:r>
              <w:rPr>
                <w:rFonts w:ascii="Arial" w:cs="Arial" w:eastAsia="Arial" w:hAnsi="Arial"/>
                <w:sz w:val="15"/>
                <w:szCs w:val="15"/>
                <w:color w:val="auto"/>
              </w:rPr>
              <w:t>60.63</w:t>
            </w:r>
          </w:p>
        </w:tc>
        <w:tc>
          <w:tcPr>
            <w:tcW w:w="1360" w:type="dxa"/>
            <w:vAlign w:val="bottom"/>
          </w:tcPr>
          <w:p>
            <w:pPr>
              <w:jc w:val="right"/>
              <w:ind w:right="203"/>
              <w:spacing w:after="0"/>
              <w:rPr>
                <w:sz w:val="20"/>
                <w:szCs w:val="20"/>
                <w:color w:val="auto"/>
              </w:rPr>
            </w:pPr>
            <w:r>
              <w:rPr>
                <w:rFonts w:ascii="Arial" w:cs="Arial" w:eastAsia="Arial" w:hAnsi="Arial"/>
                <w:sz w:val="15"/>
                <w:szCs w:val="15"/>
                <w:color w:val="auto"/>
              </w:rPr>
              <w:t>661</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61.19</w:t>
            </w:r>
          </w:p>
        </w:tc>
      </w:tr>
      <w:tr>
        <w:trPr>
          <w:trHeight w:val="207"/>
        </w:trPr>
        <w:tc>
          <w:tcPr>
            <w:tcW w:w="1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$63.79 to $73.21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917</w:t>
            </w:r>
          </w:p>
        </w:tc>
        <w:tc>
          <w:tcPr>
            <w:tcW w:w="166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rPr>
              <w:t>7.7</w:t>
            </w: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68.60</w:t>
            </w:r>
          </w:p>
        </w:tc>
        <w:tc>
          <w:tcPr>
            <w:tcW w:w="13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469</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67.19</w:t>
            </w:r>
          </w:p>
        </w:tc>
      </w:tr>
      <w:tr>
        <w:trPr>
          <w:trHeight w:val="179"/>
        </w:trPr>
        <w:tc>
          <w:tcPr>
            <w:tcW w:w="19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2,906</w:t>
            </w:r>
          </w:p>
        </w:tc>
        <w:tc>
          <w:tcPr>
            <w:tcW w:w="16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6.3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52.12</w:t>
            </w:r>
          </w:p>
        </w:tc>
        <w:tc>
          <w:tcPr>
            <w:tcW w:w="1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2,025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49.83</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Restricted Stock and Restricted Stock Units</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Restricted shares of the Company’s common stock and restricted stock units (“RSU”) may be awarded to certain officers and key employees of the Company. Additionally, RSU awards are made to employees in connection with the Company’s long-term incentive program and to nonemployee directors. Each RSU represents the right to receive one share of the Company’s common stock provided that the vesting conditions are satisfied. There were 878,319 and 361,137 RSU awards outstanding as of November 3, 2018 and October 28, 2017, respectively.</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Generally, awards fully vest after the passage of time, typically three years. However, RSU awards made in connection with the Company’s performance-based long-term incentive program are earned after the attainment of certain performance metrics and vest after the passage of time. Restricted stock is considered outstanding at the time of grant and the holders have voting rights. Dividends are paid to holders of restricted stock that vest with the passage of time. With regard to performance-based restricted stock, dividends will be accumulated and paid after the performance criteria are met. No dividends are paid or accumulated on RSU awards. Compensation expense is recognized using the market value at the date of grant and is amortized over the vesting period, provided the recipient continues to be employed by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7" w:name="page18"/>
    <w:bookmarkEnd w:id="17"/>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40" w:type="dxa"/>
            <w:vAlign w:val="bottom"/>
            <w:gridSpan w:val="4"/>
          </w:tcPr>
          <w:p>
            <w:pPr>
              <w:spacing w:after="0"/>
              <w:rPr>
                <w:sz w:val="20"/>
                <w:szCs w:val="20"/>
                <w:color w:val="auto"/>
              </w:rPr>
            </w:pPr>
            <w:r>
              <w:rPr>
                <w:rFonts w:ascii="Arial" w:cs="Arial" w:eastAsia="Arial" w:hAnsi="Arial"/>
                <w:sz w:val="15"/>
                <w:szCs w:val="15"/>
                <w:color w:val="auto"/>
              </w:rPr>
              <w:t>Restricted stock and RSU activity for the thirty-nine weeks ended November 3, 2018 is summarized as follows:</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68"/>
        </w:trPr>
        <w:tc>
          <w:tcPr>
            <w:tcW w:w="300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0" w:type="dxa"/>
            <w:vAlign w:val="bottom"/>
          </w:tcPr>
          <w:p>
            <w:pPr>
              <w:jc w:val="center"/>
              <w:ind w:right="303"/>
              <w:spacing w:after="0"/>
              <w:rPr>
                <w:sz w:val="20"/>
                <w:szCs w:val="20"/>
                <w:color w:val="auto"/>
              </w:rPr>
            </w:pPr>
            <w:r>
              <w:rPr>
                <w:rFonts w:ascii="Arial" w:cs="Arial" w:eastAsia="Arial" w:hAnsi="Arial"/>
                <w:sz w:val="15"/>
                <w:szCs w:val="15"/>
                <w:b w:val="1"/>
                <w:bCs w:val="1"/>
                <w:color w:val="auto"/>
              </w:rPr>
              <w:t>Weighted-</w:t>
            </w: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07"/>
        </w:trPr>
        <w:tc>
          <w:tcPr>
            <w:tcW w:w="30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0" w:type="dxa"/>
            <w:vAlign w:val="bottom"/>
          </w:tcPr>
          <w:p>
            <w:pPr>
              <w:jc w:val="center"/>
              <w:ind w:right="323"/>
              <w:spacing w:after="0"/>
              <w:rPr>
                <w:sz w:val="20"/>
                <w:szCs w:val="20"/>
                <w:color w:val="auto"/>
              </w:rPr>
            </w:pPr>
            <w:r>
              <w:rPr>
                <w:rFonts w:ascii="Arial" w:cs="Arial" w:eastAsia="Arial" w:hAnsi="Arial"/>
                <w:sz w:val="15"/>
                <w:szCs w:val="15"/>
                <w:b w:val="1"/>
                <w:bCs w:val="1"/>
                <w:color w:val="auto"/>
              </w:rPr>
              <w:t>Average</w:t>
            </w:r>
          </w:p>
        </w:tc>
        <w:tc>
          <w:tcPr>
            <w:tcW w:w="180" w:type="dxa"/>
            <w:vAlign w:val="bottom"/>
          </w:tcPr>
          <w:p>
            <w:pPr>
              <w:spacing w:after="0"/>
              <w:rPr>
                <w:sz w:val="17"/>
                <w:szCs w:val="17"/>
                <w:color w:val="auto"/>
              </w:rPr>
            </w:pPr>
          </w:p>
        </w:tc>
        <w:tc>
          <w:tcPr>
            <w:tcW w:w="1380" w:type="dxa"/>
            <w:vAlign w:val="bottom"/>
          </w:tcPr>
          <w:p>
            <w:pPr>
              <w:jc w:val="center"/>
              <w:ind w:right="283"/>
              <w:spacing w:after="0"/>
              <w:rPr>
                <w:sz w:val="20"/>
                <w:szCs w:val="20"/>
                <w:color w:val="auto"/>
              </w:rPr>
            </w:pPr>
            <w:r>
              <w:rPr>
                <w:rFonts w:ascii="Arial" w:cs="Arial" w:eastAsia="Arial" w:hAnsi="Arial"/>
                <w:sz w:val="15"/>
                <w:szCs w:val="15"/>
                <w:b w:val="1"/>
                <w:bCs w:val="1"/>
                <w:color w:val="auto"/>
              </w:rPr>
              <w:t>Weighted-</w:t>
            </w:r>
          </w:p>
        </w:tc>
      </w:tr>
      <w:tr>
        <w:trPr>
          <w:trHeight w:val="207"/>
        </w:trPr>
        <w:tc>
          <w:tcPr>
            <w:tcW w:w="3000" w:type="dxa"/>
            <w:vAlign w:val="bottom"/>
          </w:tcPr>
          <w:p>
            <w:pPr>
              <w:spacing w:after="0"/>
              <w:rPr>
                <w:sz w:val="17"/>
                <w:szCs w:val="17"/>
                <w:color w:val="auto"/>
              </w:rPr>
            </w:pPr>
          </w:p>
        </w:tc>
        <w:tc>
          <w:tcPr>
            <w:tcW w:w="2020" w:type="dxa"/>
            <w:vAlign w:val="bottom"/>
          </w:tcPr>
          <w:p>
            <w:pPr>
              <w:jc w:val="center"/>
              <w:ind w:left="1243"/>
              <w:spacing w:after="0"/>
              <w:rPr>
                <w:sz w:val="20"/>
                <w:szCs w:val="20"/>
                <w:color w:val="auto"/>
              </w:rPr>
            </w:pPr>
            <w:r>
              <w:rPr>
                <w:rFonts w:ascii="Arial" w:cs="Arial" w:eastAsia="Arial" w:hAnsi="Arial"/>
                <w:sz w:val="15"/>
                <w:szCs w:val="15"/>
                <w:b w:val="1"/>
                <w:bCs w:val="1"/>
                <w:color w:val="auto"/>
              </w:rPr>
              <w:t>Number</w:t>
            </w:r>
          </w:p>
        </w:tc>
        <w:tc>
          <w:tcPr>
            <w:tcW w:w="720" w:type="dxa"/>
            <w:vAlign w:val="bottom"/>
          </w:tcPr>
          <w:p>
            <w:pPr>
              <w:spacing w:after="0"/>
              <w:rPr>
                <w:sz w:val="17"/>
                <w:szCs w:val="17"/>
                <w:color w:val="auto"/>
              </w:rPr>
            </w:pPr>
          </w:p>
        </w:tc>
        <w:tc>
          <w:tcPr>
            <w:tcW w:w="1800" w:type="dxa"/>
            <w:vAlign w:val="bottom"/>
          </w:tcPr>
          <w:p>
            <w:pPr>
              <w:jc w:val="center"/>
              <w:ind w:right="303"/>
              <w:spacing w:after="0"/>
              <w:rPr>
                <w:sz w:val="20"/>
                <w:szCs w:val="20"/>
                <w:color w:val="auto"/>
              </w:rPr>
            </w:pPr>
            <w:r>
              <w:rPr>
                <w:rFonts w:ascii="Arial" w:cs="Arial" w:eastAsia="Arial" w:hAnsi="Arial"/>
                <w:sz w:val="15"/>
                <w:szCs w:val="15"/>
                <w:b w:val="1"/>
                <w:bCs w:val="1"/>
                <w:color w:val="auto"/>
              </w:rPr>
              <w:t>Remaining</w:t>
            </w:r>
          </w:p>
        </w:tc>
        <w:tc>
          <w:tcPr>
            <w:tcW w:w="180" w:type="dxa"/>
            <w:vAlign w:val="bottom"/>
          </w:tcPr>
          <w:p>
            <w:pPr>
              <w:spacing w:after="0"/>
              <w:rPr>
                <w:sz w:val="17"/>
                <w:szCs w:val="17"/>
                <w:color w:val="auto"/>
              </w:rPr>
            </w:pPr>
          </w:p>
        </w:tc>
        <w:tc>
          <w:tcPr>
            <w:tcW w:w="1380" w:type="dxa"/>
            <w:vAlign w:val="bottom"/>
          </w:tcPr>
          <w:p>
            <w:pPr>
              <w:jc w:val="center"/>
              <w:ind w:right="263"/>
              <w:spacing w:after="0"/>
              <w:rPr>
                <w:sz w:val="20"/>
                <w:szCs w:val="20"/>
                <w:color w:val="auto"/>
              </w:rPr>
            </w:pPr>
            <w:r>
              <w:rPr>
                <w:rFonts w:ascii="Arial" w:cs="Arial" w:eastAsia="Arial" w:hAnsi="Arial"/>
                <w:sz w:val="15"/>
                <w:szCs w:val="15"/>
                <w:b w:val="1"/>
                <w:bCs w:val="1"/>
                <w:color w:val="auto"/>
              </w:rPr>
              <w:t>Average</w:t>
            </w:r>
          </w:p>
        </w:tc>
      </w:tr>
      <w:tr>
        <w:trPr>
          <w:trHeight w:val="207"/>
        </w:trPr>
        <w:tc>
          <w:tcPr>
            <w:tcW w:w="3000" w:type="dxa"/>
            <w:vAlign w:val="bottom"/>
          </w:tcPr>
          <w:p>
            <w:pPr>
              <w:spacing w:after="0"/>
              <w:rPr>
                <w:sz w:val="17"/>
                <w:szCs w:val="17"/>
                <w:color w:val="auto"/>
              </w:rPr>
            </w:pPr>
          </w:p>
        </w:tc>
        <w:tc>
          <w:tcPr>
            <w:tcW w:w="2020" w:type="dxa"/>
            <w:vAlign w:val="bottom"/>
          </w:tcPr>
          <w:p>
            <w:pPr>
              <w:jc w:val="center"/>
              <w:ind w:left="1243"/>
              <w:spacing w:after="0"/>
              <w:rPr>
                <w:sz w:val="20"/>
                <w:szCs w:val="20"/>
                <w:color w:val="auto"/>
              </w:rPr>
            </w:pPr>
            <w:r>
              <w:rPr>
                <w:rFonts w:ascii="Arial" w:cs="Arial" w:eastAsia="Arial" w:hAnsi="Arial"/>
                <w:sz w:val="15"/>
                <w:szCs w:val="15"/>
                <w:b w:val="1"/>
                <w:bCs w:val="1"/>
                <w:color w:val="auto"/>
                <w:w w:val="98"/>
              </w:rPr>
              <w:t>of</w:t>
            </w:r>
          </w:p>
        </w:tc>
        <w:tc>
          <w:tcPr>
            <w:tcW w:w="720" w:type="dxa"/>
            <w:vAlign w:val="bottom"/>
          </w:tcPr>
          <w:p>
            <w:pPr>
              <w:spacing w:after="0"/>
              <w:rPr>
                <w:sz w:val="17"/>
                <w:szCs w:val="17"/>
                <w:color w:val="auto"/>
              </w:rPr>
            </w:pPr>
          </w:p>
        </w:tc>
        <w:tc>
          <w:tcPr>
            <w:tcW w:w="1800" w:type="dxa"/>
            <w:vAlign w:val="bottom"/>
          </w:tcPr>
          <w:p>
            <w:pPr>
              <w:jc w:val="center"/>
              <w:ind w:right="303"/>
              <w:spacing w:after="0"/>
              <w:rPr>
                <w:sz w:val="20"/>
                <w:szCs w:val="20"/>
                <w:color w:val="auto"/>
              </w:rPr>
            </w:pPr>
            <w:r>
              <w:rPr>
                <w:rFonts w:ascii="Arial" w:cs="Arial" w:eastAsia="Arial" w:hAnsi="Arial"/>
                <w:sz w:val="15"/>
                <w:szCs w:val="15"/>
                <w:b w:val="1"/>
                <w:bCs w:val="1"/>
                <w:color w:val="auto"/>
              </w:rPr>
              <w:t>Contractual</w:t>
            </w:r>
          </w:p>
        </w:tc>
        <w:tc>
          <w:tcPr>
            <w:tcW w:w="180" w:type="dxa"/>
            <w:vAlign w:val="bottom"/>
          </w:tcPr>
          <w:p>
            <w:pPr>
              <w:spacing w:after="0"/>
              <w:rPr>
                <w:sz w:val="17"/>
                <w:szCs w:val="17"/>
                <w:color w:val="auto"/>
              </w:rPr>
            </w:pPr>
          </w:p>
        </w:tc>
        <w:tc>
          <w:tcPr>
            <w:tcW w:w="1380" w:type="dxa"/>
            <w:vAlign w:val="bottom"/>
          </w:tcPr>
          <w:p>
            <w:pPr>
              <w:jc w:val="center"/>
              <w:ind w:right="283"/>
              <w:spacing w:after="0"/>
              <w:rPr>
                <w:sz w:val="20"/>
                <w:szCs w:val="20"/>
                <w:color w:val="auto"/>
              </w:rPr>
            </w:pPr>
            <w:r>
              <w:rPr>
                <w:rFonts w:ascii="Arial" w:cs="Arial" w:eastAsia="Arial" w:hAnsi="Arial"/>
                <w:sz w:val="15"/>
                <w:szCs w:val="15"/>
                <w:b w:val="1"/>
                <w:bCs w:val="1"/>
                <w:color w:val="auto"/>
              </w:rPr>
              <w:t>Grant Date</w:t>
            </w:r>
          </w:p>
        </w:tc>
      </w:tr>
      <w:tr>
        <w:trPr>
          <w:trHeight w:val="197"/>
        </w:trPr>
        <w:tc>
          <w:tcPr>
            <w:tcW w:w="30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center"/>
              <w:ind w:left="1223"/>
              <w:spacing w:after="0"/>
              <w:rPr>
                <w:sz w:val="20"/>
                <w:szCs w:val="20"/>
                <w:color w:val="auto"/>
              </w:rPr>
            </w:pPr>
            <w:r>
              <w:rPr>
                <w:rFonts w:ascii="Arial" w:cs="Arial" w:eastAsia="Arial" w:hAnsi="Arial"/>
                <w:sz w:val="15"/>
                <w:szCs w:val="15"/>
                <w:b w:val="1"/>
                <w:bCs w:val="1"/>
                <w:color w:val="auto"/>
              </w:rPr>
              <w:t>Shares</w:t>
            </w:r>
          </w:p>
        </w:tc>
        <w:tc>
          <w:tcPr>
            <w:tcW w:w="7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center"/>
              <w:ind w:right="323"/>
              <w:spacing w:after="0"/>
              <w:rPr>
                <w:sz w:val="20"/>
                <w:szCs w:val="20"/>
                <w:color w:val="auto"/>
              </w:rPr>
            </w:pPr>
            <w:r>
              <w:rPr>
                <w:rFonts w:ascii="Arial" w:cs="Arial" w:eastAsia="Arial" w:hAnsi="Arial"/>
                <w:sz w:val="15"/>
                <w:szCs w:val="15"/>
                <w:b w:val="1"/>
                <w:bCs w:val="1"/>
                <w:color w:val="auto"/>
              </w:rPr>
              <w:t>Life</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283"/>
              <w:spacing w:after="0"/>
              <w:rPr>
                <w:sz w:val="20"/>
                <w:szCs w:val="20"/>
                <w:color w:val="auto"/>
              </w:rPr>
            </w:pPr>
            <w:r>
              <w:rPr>
                <w:rFonts w:ascii="Arial" w:cs="Arial" w:eastAsia="Arial" w:hAnsi="Arial"/>
                <w:sz w:val="15"/>
                <w:szCs w:val="15"/>
                <w:b w:val="1"/>
                <w:bCs w:val="1"/>
                <w:color w:val="auto"/>
              </w:rPr>
              <w:t>Fair Value</w:t>
            </w:r>
          </w:p>
        </w:tc>
      </w:tr>
      <w:tr>
        <w:trPr>
          <w:trHeight w:val="187"/>
        </w:trPr>
        <w:tc>
          <w:tcPr>
            <w:tcW w:w="3000" w:type="dxa"/>
            <w:vAlign w:val="bottom"/>
          </w:tcPr>
          <w:p>
            <w:pPr>
              <w:spacing w:after="0"/>
              <w:rPr>
                <w:sz w:val="16"/>
                <w:szCs w:val="16"/>
                <w:color w:val="auto"/>
              </w:rPr>
            </w:pPr>
          </w:p>
        </w:tc>
        <w:tc>
          <w:tcPr>
            <w:tcW w:w="2740" w:type="dxa"/>
            <w:vAlign w:val="bottom"/>
            <w:gridSpan w:val="2"/>
          </w:tcPr>
          <w:p>
            <w:pPr>
              <w:jc w:val="center"/>
              <w:ind w:left="523"/>
              <w:spacing w:after="0"/>
              <w:rPr>
                <w:sz w:val="20"/>
                <w:szCs w:val="20"/>
                <w:color w:val="auto"/>
              </w:rPr>
            </w:pPr>
            <w:r>
              <w:rPr>
                <w:rFonts w:ascii="Arial" w:cs="Arial" w:eastAsia="Arial" w:hAnsi="Arial"/>
                <w:sz w:val="15"/>
                <w:szCs w:val="15"/>
                <w:color w:val="auto"/>
              </w:rPr>
              <w:t>(in thousands)</w:t>
            </w:r>
          </w:p>
        </w:tc>
        <w:tc>
          <w:tcPr>
            <w:tcW w:w="1800" w:type="dxa"/>
            <w:vAlign w:val="bottom"/>
          </w:tcPr>
          <w:p>
            <w:pPr>
              <w:jc w:val="center"/>
              <w:ind w:right="323"/>
              <w:spacing w:after="0"/>
              <w:rPr>
                <w:sz w:val="20"/>
                <w:szCs w:val="20"/>
                <w:color w:val="auto"/>
              </w:rPr>
            </w:pPr>
            <w:r>
              <w:rPr>
                <w:rFonts w:ascii="Arial" w:cs="Arial" w:eastAsia="Arial" w:hAnsi="Arial"/>
                <w:sz w:val="15"/>
                <w:szCs w:val="15"/>
                <w:color w:val="auto"/>
              </w:rPr>
              <w:t>(in years)</w:t>
            </w:r>
          </w:p>
        </w:tc>
        <w:tc>
          <w:tcPr>
            <w:tcW w:w="180" w:type="dxa"/>
            <w:vAlign w:val="bottom"/>
          </w:tcPr>
          <w:p>
            <w:pPr>
              <w:spacing w:after="0"/>
              <w:rPr>
                <w:sz w:val="16"/>
                <w:szCs w:val="16"/>
                <w:color w:val="auto"/>
              </w:rPr>
            </w:pPr>
          </w:p>
        </w:tc>
        <w:tc>
          <w:tcPr>
            <w:tcW w:w="1380" w:type="dxa"/>
            <w:vAlign w:val="bottom"/>
          </w:tcPr>
          <w:p>
            <w:pPr>
              <w:jc w:val="right"/>
              <w:ind w:right="283"/>
              <w:spacing w:after="0"/>
              <w:rPr>
                <w:sz w:val="20"/>
                <w:szCs w:val="20"/>
                <w:color w:val="auto"/>
              </w:rPr>
            </w:pPr>
            <w:r>
              <w:rPr>
                <w:rFonts w:ascii="Arial" w:cs="Arial" w:eastAsia="Arial" w:hAnsi="Arial"/>
                <w:sz w:val="15"/>
                <w:szCs w:val="15"/>
                <w:color w:val="auto"/>
              </w:rPr>
              <w:t>(per share)</w:t>
            </w:r>
          </w:p>
        </w:tc>
      </w:tr>
      <w:tr>
        <w:trPr>
          <w:trHeight w:val="207"/>
        </w:trPr>
        <w:tc>
          <w:tcPr>
            <w:tcW w:w="3000" w:type="dxa"/>
            <w:vAlign w:val="bottom"/>
            <w:shd w:val="clear" w:color="auto" w:fill="CCEEFF"/>
          </w:tcPr>
          <w:p>
            <w:pPr>
              <w:spacing w:after="0"/>
              <w:rPr>
                <w:sz w:val="20"/>
                <w:szCs w:val="20"/>
                <w:color w:val="auto"/>
              </w:rPr>
            </w:pPr>
            <w:r>
              <w:rPr>
                <w:rFonts w:ascii="Arial" w:cs="Arial" w:eastAsia="Arial" w:hAnsi="Arial"/>
                <w:sz w:val="15"/>
                <w:szCs w:val="15"/>
                <w:color w:val="auto"/>
              </w:rPr>
              <w:t>Nonvested at beginning of year</w:t>
            </w:r>
          </w:p>
        </w:tc>
        <w:tc>
          <w:tcPr>
            <w:tcW w:w="20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rPr>
              <w:t>374</w:t>
            </w:r>
          </w:p>
        </w:tc>
        <w:tc>
          <w:tcPr>
            <w:tcW w:w="18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59.15</w:t>
            </w:r>
          </w:p>
        </w:tc>
      </w:tr>
      <w:tr>
        <w:trPr>
          <w:trHeight w:val="195"/>
        </w:trPr>
        <w:tc>
          <w:tcPr>
            <w:tcW w:w="3000" w:type="dxa"/>
            <w:vAlign w:val="bottom"/>
          </w:tcPr>
          <w:p>
            <w:pPr>
              <w:spacing w:after="0"/>
              <w:rPr>
                <w:sz w:val="20"/>
                <w:szCs w:val="20"/>
                <w:color w:val="auto"/>
              </w:rPr>
            </w:pPr>
            <w:r>
              <w:rPr>
                <w:rFonts w:ascii="Arial" w:cs="Arial" w:eastAsia="Arial" w:hAnsi="Arial"/>
                <w:sz w:val="15"/>
                <w:szCs w:val="15"/>
                <w:color w:val="auto"/>
              </w:rPr>
              <w:t xml:space="preserve">Granted </w:t>
            </w:r>
            <w:r>
              <w:rPr>
                <w:rFonts w:ascii="Arial" w:cs="Arial" w:eastAsia="Arial" w:hAnsi="Arial"/>
                <w:sz w:val="8"/>
                <w:szCs w:val="8"/>
                <w:color w:val="auto"/>
              </w:rPr>
              <w:t>(1)</w:t>
            </w:r>
          </w:p>
        </w:tc>
        <w:tc>
          <w:tcPr>
            <w:tcW w:w="2020" w:type="dxa"/>
            <w:vAlign w:val="bottom"/>
          </w:tcPr>
          <w:p>
            <w:pPr>
              <w:spacing w:after="0"/>
              <w:rPr>
                <w:sz w:val="16"/>
                <w:szCs w:val="16"/>
                <w:color w:val="auto"/>
              </w:rPr>
            </w:pPr>
          </w:p>
        </w:tc>
        <w:tc>
          <w:tcPr>
            <w:tcW w:w="720" w:type="dxa"/>
            <w:vAlign w:val="bottom"/>
          </w:tcPr>
          <w:p>
            <w:pPr>
              <w:jc w:val="right"/>
              <w:ind w:right="243"/>
              <w:spacing w:after="0"/>
              <w:rPr>
                <w:sz w:val="20"/>
                <w:szCs w:val="20"/>
                <w:color w:val="auto"/>
              </w:rPr>
            </w:pPr>
            <w:r>
              <w:rPr>
                <w:rFonts w:ascii="Arial" w:cs="Arial" w:eastAsia="Arial" w:hAnsi="Arial"/>
                <w:sz w:val="15"/>
                <w:szCs w:val="15"/>
                <w:color w:val="auto"/>
              </w:rPr>
              <w:t>683</w:t>
            </w:r>
          </w:p>
        </w:tc>
        <w:tc>
          <w:tcPr>
            <w:tcW w:w="1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47.31</w:t>
            </w:r>
          </w:p>
        </w:tc>
      </w:tr>
      <w:tr>
        <w:trPr>
          <w:trHeight w:val="207"/>
        </w:trPr>
        <w:tc>
          <w:tcPr>
            <w:tcW w:w="3000" w:type="dxa"/>
            <w:vAlign w:val="bottom"/>
            <w:shd w:val="clear" w:color="auto" w:fill="CCEEFF"/>
          </w:tcPr>
          <w:p>
            <w:pPr>
              <w:spacing w:after="0"/>
              <w:rPr>
                <w:sz w:val="20"/>
                <w:szCs w:val="20"/>
                <w:color w:val="auto"/>
              </w:rPr>
            </w:pPr>
            <w:r>
              <w:rPr>
                <w:rFonts w:ascii="Arial" w:cs="Arial" w:eastAsia="Arial" w:hAnsi="Arial"/>
                <w:sz w:val="15"/>
                <w:szCs w:val="15"/>
                <w:color w:val="auto"/>
              </w:rPr>
              <w:t>Vested</w:t>
            </w:r>
          </w:p>
        </w:tc>
        <w:tc>
          <w:tcPr>
            <w:tcW w:w="20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(105)</w:t>
            </w:r>
          </w:p>
        </w:tc>
        <w:tc>
          <w:tcPr>
            <w:tcW w:w="1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64.31</w:t>
            </w:r>
          </w:p>
        </w:tc>
      </w:tr>
      <w:tr>
        <w:trPr>
          <w:trHeight w:val="219"/>
        </w:trPr>
        <w:tc>
          <w:tcPr>
            <w:tcW w:w="30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xml:space="preserve">Cancelled </w:t>
            </w:r>
            <w:r>
              <w:rPr>
                <w:rFonts w:ascii="Arial" w:cs="Arial" w:eastAsia="Arial" w:hAnsi="Arial"/>
                <w:sz w:val="8"/>
                <w:szCs w:val="8"/>
                <w:color w:val="auto"/>
              </w:rPr>
              <w:t>(2)</w:t>
            </w:r>
          </w:p>
        </w:tc>
        <w:tc>
          <w:tcPr>
            <w:tcW w:w="20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(73)</w:t>
            </w:r>
          </w:p>
        </w:tc>
        <w:tc>
          <w:tcPr>
            <w:tcW w:w="1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60.34</w:t>
            </w:r>
          </w:p>
        </w:tc>
      </w:tr>
      <w:tr>
        <w:trPr>
          <w:trHeight w:val="191"/>
        </w:trPr>
        <w:tc>
          <w:tcPr>
            <w:tcW w:w="3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Nonvested at November 3, 2018</w:t>
            </w:r>
          </w:p>
        </w:tc>
        <w:tc>
          <w:tcPr>
            <w:tcW w:w="20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rPr>
              <w:t>879</w:t>
            </w:r>
          </w:p>
        </w:tc>
        <w:tc>
          <w:tcPr>
            <w:tcW w:w="1800" w:type="dxa"/>
            <w:vAlign w:val="bottom"/>
            <w:tcBorders>
              <w:bottom w:val="single" w:sz="8" w:color="auto"/>
            </w:tcBorders>
            <w:shd w:val="clear" w:color="auto" w:fill="CCEEFF"/>
          </w:tcPr>
          <w:p>
            <w:pPr>
              <w:jc w:val="right"/>
              <w:ind w:right="383"/>
              <w:spacing w:after="0"/>
              <w:rPr>
                <w:sz w:val="20"/>
                <w:szCs w:val="20"/>
                <w:color w:val="auto"/>
              </w:rPr>
            </w:pPr>
            <w:r>
              <w:rPr>
                <w:rFonts w:ascii="Arial" w:cs="Arial" w:eastAsia="Arial" w:hAnsi="Arial"/>
                <w:sz w:val="15"/>
                <w:szCs w:val="15"/>
                <w:color w:val="auto"/>
              </w:rPr>
              <w:t>2.1</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49.23</w:t>
            </w:r>
          </w:p>
        </w:tc>
      </w:tr>
      <w:tr>
        <w:trPr>
          <w:trHeight w:val="195"/>
        </w:trPr>
        <w:tc>
          <w:tcPr>
            <w:tcW w:w="30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Aggregate value ($ in millions)</w:t>
            </w:r>
          </w:p>
        </w:tc>
        <w:tc>
          <w:tcPr>
            <w:tcW w:w="2020" w:type="dxa"/>
            <w:vAlign w:val="bottom"/>
            <w:tcBorders>
              <w:bottom w:val="single" w:sz="8" w:color="auto"/>
            </w:tcBorders>
          </w:tcPr>
          <w:p>
            <w:pPr>
              <w:jc w:val="right"/>
              <w:ind w:right="1063"/>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rPr>
              <w:t>43</w:t>
            </w:r>
          </w:p>
        </w:tc>
        <w:tc>
          <w:tcPr>
            <w:tcW w:w="1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bl>
    <w:p>
      <w:pPr>
        <w:spacing w:after="0" w:line="158" w:lineRule="exact"/>
        <w:rPr>
          <w:sz w:val="20"/>
          <w:szCs w:val="20"/>
          <w:color w:val="auto"/>
        </w:rPr>
      </w:pPr>
    </w:p>
    <w:p>
      <w:pPr>
        <w:jc w:val="both"/>
        <w:ind w:left="660" w:right="120" w:hanging="375"/>
        <w:spacing w:after="0" w:line="239" w:lineRule="auto"/>
        <w:tabs>
          <w:tab w:leader="none" w:pos="660" w:val="left"/>
        </w:tabs>
        <w:numPr>
          <w:ilvl w:val="0"/>
          <w:numId w:val="8"/>
        </w:numPr>
        <w:rPr>
          <w:rFonts w:ascii="Arial" w:cs="Arial" w:eastAsia="Arial" w:hAnsi="Arial"/>
          <w:sz w:val="11"/>
          <w:szCs w:val="11"/>
          <w:color w:val="auto"/>
        </w:rPr>
      </w:pPr>
      <w:r>
        <w:rPr>
          <w:rFonts w:ascii="Arial" w:cs="Arial" w:eastAsia="Arial" w:hAnsi="Arial"/>
          <w:sz w:val="12"/>
          <w:szCs w:val="12"/>
          <w:color w:val="auto"/>
        </w:rPr>
        <w:t>Approximately 0.4 million performance-based RSUs were granted during the first quarter of 2018 and are included as granted in the table above. The number of performance-based RSUs that are ultimately earned may vary from 0% to 200% of target depending on the achievement relative to the Company’s predefined financial performance targets.</w:t>
      </w:r>
    </w:p>
    <w:p>
      <w:pPr>
        <w:spacing w:after="0" w:line="98" w:lineRule="exact"/>
        <w:rPr>
          <w:rFonts w:ascii="Arial" w:cs="Arial" w:eastAsia="Arial" w:hAnsi="Arial"/>
          <w:sz w:val="11"/>
          <w:szCs w:val="11"/>
          <w:color w:val="auto"/>
        </w:rPr>
      </w:pPr>
    </w:p>
    <w:p>
      <w:pPr>
        <w:ind w:left="660" w:right="120" w:hanging="375"/>
        <w:spacing w:after="0" w:line="246" w:lineRule="auto"/>
        <w:tabs>
          <w:tab w:leader="none" w:pos="660" w:val="left"/>
        </w:tabs>
        <w:numPr>
          <w:ilvl w:val="0"/>
          <w:numId w:val="8"/>
        </w:numPr>
        <w:rPr>
          <w:rFonts w:ascii="Arial" w:cs="Arial" w:eastAsia="Arial" w:hAnsi="Arial"/>
          <w:sz w:val="11"/>
          <w:szCs w:val="11"/>
          <w:color w:val="auto"/>
        </w:rPr>
      </w:pPr>
      <w:r>
        <w:rPr>
          <w:rFonts w:ascii="Arial" w:cs="Arial" w:eastAsia="Arial" w:hAnsi="Arial"/>
          <w:sz w:val="12"/>
          <w:szCs w:val="12"/>
          <w:color w:val="auto"/>
        </w:rPr>
        <w:t>In addition to forfeitures of restricted stock and RSUs, cancellations include adjustments that were made to performance-based RSUs previously granted. These adjustments reflect changes in estimates based upon the Company’s current performance against predefined financial targets.</w:t>
      </w:r>
    </w:p>
    <w:p>
      <w:pPr>
        <w:spacing w:after="0" w:line="24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total value of awards for which restrictions lapsed during the thirty-nine weeks ended November 3, 2018 and October 28, 2017 was $7 million and $14 million, respectively. As of November 3, 2018, there was $33 million of total unrecognized compensation cost related to nonvested restricted awards.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14. Legal Proceedings</w:t>
      </w:r>
    </w:p>
    <w:p>
      <w:pPr>
        <w:spacing w:after="0" w:line="101"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Legal proceedings pending against the Company or its consolidated subsidiaries consist of ordinary, routine litigation, including administrative proceedings, incidental to the business of the Company or businesses that have been sold or discontinued by the Company in past years. These legal proceedings include commercial, intellectual property, customer, environmental, and employment-related claims. Additionally, the Company is a defendant in a purported meal break class action in California and a purported class action in New York alleging failure to pay for all hours worked by employees. The Company and certain officers of the Company are defendants in a purported securities law class action in New York. Additionally, the directors and certain officers of the Company are defendants in related derivative actions.</w:t>
      </w:r>
    </w:p>
    <w:p>
      <w:pPr>
        <w:spacing w:after="0" w:line="120" w:lineRule="exact"/>
        <w:rPr>
          <w:sz w:val="20"/>
          <w:szCs w:val="20"/>
          <w:color w:val="auto"/>
        </w:rPr>
      </w:pPr>
    </w:p>
    <w:p>
      <w:pPr>
        <w:jc w:val="both"/>
        <w:spacing w:after="0"/>
        <w:rPr>
          <w:sz w:val="20"/>
          <w:szCs w:val="20"/>
          <w:color w:val="auto"/>
        </w:rPr>
      </w:pPr>
      <w:r>
        <w:rPr>
          <w:rFonts w:ascii="Arial" w:cs="Arial" w:eastAsia="Arial" w:hAnsi="Arial"/>
          <w:sz w:val="15"/>
          <w:szCs w:val="15"/>
          <w:color w:val="auto"/>
        </w:rPr>
        <w:t>For the last several years, the Company and the Company’s U.S. retirement plan have been defendants in a class action (</w:t>
      </w:r>
      <w:r>
        <w:rPr>
          <w:rFonts w:ascii="Arial" w:cs="Arial" w:eastAsia="Arial" w:hAnsi="Arial"/>
          <w:sz w:val="15"/>
          <w:szCs w:val="15"/>
          <w:i w:val="1"/>
          <w:iCs w:val="1"/>
          <w:color w:val="auto"/>
        </w:rPr>
        <w:t>Osberg v.</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Foot Locker Inc. </w:t>
      </w:r>
      <w:r>
        <w:rPr>
          <w:rFonts w:ascii="Arial" w:cs="Arial" w:eastAsia="Arial" w:hAnsi="Arial"/>
          <w:sz w:val="15"/>
          <w:szCs w:val="15"/>
          <w:color w:val="auto"/>
        </w:rPr>
        <w:t>et ano., filed in the U.S. District Court for the Southern District of New York) in which the plaintiff alleged that, in</w:t>
      </w:r>
      <w:r>
        <w:rPr>
          <w:rFonts w:ascii="Arial" w:cs="Arial" w:eastAsia="Arial" w:hAnsi="Arial"/>
          <w:sz w:val="15"/>
          <w:szCs w:val="15"/>
          <w:i w:val="1"/>
          <w:iCs w:val="1"/>
          <w:color w:val="auto"/>
        </w:rPr>
        <w:t xml:space="preserve"> </w:t>
      </w:r>
      <w:r>
        <w:rPr>
          <w:rFonts w:ascii="Arial" w:cs="Arial" w:eastAsia="Arial" w:hAnsi="Arial"/>
          <w:sz w:val="15"/>
          <w:szCs w:val="15"/>
          <w:color w:val="auto"/>
        </w:rPr>
        <w:t>connection with the 1996 conversion of the retirement plan to a defined benefit plan with a cash balance formula, the Company and the retirement plan failed to properly advise plan participants of the “wear-away” effect of the conversion. In early 2018, the Company exhausted all of its legal remedies and is required to reform the pension plan consistent with the trial court’s decision and judgment. During the second quarter of 2018, the court entered its final judgment, including the ruling on the fairness of the class counsel fees. The amount accrued as of February 3, 2018 was $278 million. During the first quarter of 2018 the amount of the accrual was increased by $7 million related to a change in the estimated value of the judgment, based on additional facts as to how the reformation should be calculated. Additionally, interest of $6 million was accrued during the first and second quarters of 2018 as mandated by the provisions of the required plan reformation, bringing the total amount accrued to $291 million. In June 2018, the Company paid $97 million to class counsel representing the court-approved fees. The remaining balance of $194 million was reclassified to the pension plan obligation in connection with the reformation during the second quarter of 2018.</w:t>
      </w:r>
    </w:p>
    <w:p>
      <w:pPr>
        <w:spacing w:after="0" w:line="136"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Management does not believe that the outcome of any such legal proceedings pending against the Company or its consolidated subsidiaries, as described above, would have a material adverse effect on the Company’s consolidated financial position, liquidity, or results of operations, taken as a whole, based upon current knowledge and taking into consideration current accruals. Litigation is inherently unpredictable. Judgments could be rendered or settlements made that could adversely affect the Company’s operating results or cash flows in a particular period.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8" w:name="page19"/>
    <w:bookmarkEnd w:id="18"/>
    <w:p>
      <w:pPr>
        <w:ind w:right="2020"/>
        <w:spacing w:after="0" w:line="486" w:lineRule="auto"/>
        <w:rPr>
          <w:sz w:val="20"/>
          <w:szCs w:val="20"/>
          <w:color w:val="auto"/>
        </w:rPr>
      </w:pPr>
      <w:r>
        <w:rPr>
          <w:rFonts w:ascii="Arial" w:cs="Arial" w:eastAsia="Arial" w:hAnsi="Arial"/>
          <w:sz w:val="15"/>
          <w:szCs w:val="15"/>
          <w:b w:val="1"/>
          <w:bCs w:val="1"/>
          <w:i w:val="1"/>
          <w:iCs w:val="1"/>
          <w:color w:val="auto"/>
        </w:rPr>
        <w:t xml:space="preserve">Item 2. Management’s Discussion and Analysis of Financial Condition and Results of Operations </w:t>
      </w:r>
      <w:r>
        <w:rPr>
          <w:rFonts w:ascii="Arial" w:cs="Arial" w:eastAsia="Arial" w:hAnsi="Arial"/>
          <w:sz w:val="15"/>
          <w:szCs w:val="15"/>
          <w:b w:val="1"/>
          <w:bCs w:val="1"/>
          <w:color w:val="auto"/>
        </w:rPr>
        <w:t>Disclosure Regarding Forward-Looking Statements</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5"/>
          <w:szCs w:val="15"/>
          <w:color w:val="auto"/>
        </w:rPr>
        <w:t>This report contains forward-looking statements within the meaning of the federal securities laws. Other than statements of historical facts, all statements which address activities, events, or developments that the Company anticipates will or may occur in the future, including, but not limited to, such things as future capital expenditures, expansion, strategic plans, financial objectives, dividend payments, stock repurchases, growth of the Company’s business and operations, including future cash flows, revenues, and earnings, and other such matters, are forward-looking statements. These forward-looking statements are based on many assumptions and factors which are detailed in the Company’s filings with the U.S. Securities and Exchange Commission.</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These forward-looking statements are based largely on our expectations and judgments and are subject to a number of risks and uncertainties, many of which are unforeseeable and beyond our control. For additional discussion on risks and uncertainties that may affect forward-looking statements, see “Risk Factors” disclosed in the 2017 Annual Report on Form 10-K. Any changes in such assumptions or factors could produce significantly different results. The Company undertakes no obligation to update forward-looking statements, whether as a result of new information, future events, or otherwise.</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 Overview</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 xml:space="preserve">Foot Locker, Inc., through its subsidiaries, is one of the largest athletic footwear and apparel retailers in the world. The Foot Locker brand is one of the most widely recognized names in the markets in which we operate, epitomizing premium quality for the active lifestyle customer. Through various marketing channels and experiences, including social, digital, broadcast, and print media, as well as various sports sponsorships and events, we reinforce our image with a consistent message </w:t>
      </w:r>
      <w:r>
        <w:rPr>
          <w:rFonts w:ascii="Arial" w:cs="Arial" w:eastAsia="Arial" w:hAnsi="Arial"/>
          <w:sz w:val="15"/>
          <w:szCs w:val="15"/>
          <w:i w:val="1"/>
          <w:iCs w:val="1"/>
          <w:color w:val="auto"/>
        </w:rPr>
        <w:t>—</w:t>
      </w:r>
      <w:r>
        <w:rPr>
          <w:rFonts w:ascii="Arial" w:cs="Arial" w:eastAsia="Arial" w:hAnsi="Arial"/>
          <w:sz w:val="15"/>
          <w:szCs w:val="15"/>
          <w:color w:val="auto"/>
        </w:rPr>
        <w:t xml:space="preserve"> namely, that we are a destination for premium athletically-inspired shoes and apparel with a wide selection of merchandise in a full-service environment.</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We identify our operating segments according to how our business activities are managed and evaluated by our chief operating decision maker, our CEO. Prior to fiscal 2018, we had two reportable segments, Athletic Stores and Direct-to-Customers. Beginning in fiscal 2018, the Company has changed its organizational and internal reporting structure in order to execute our omni-channel strategy. This change resulted in the combination of our stores and direct-to-customer financial results.</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 xml:space="preserve">The Company has determined that it has two operating segments, North America and International. Our North America operating segment includes the results of the following banners operating in the U.S. and Canada: Foot Locker, Kids Foot Locker, Lady Foot Locker, Champs Sports, Footaction, and SIX:02, including each of their related e-commerce businesses, as well as our Eastbay business that includes internet, catalog, and team sales. Our International operating segment includes the results of the following banners operating in Europe, Asia, Australia, and New Zealand: Foot Locker, Runners Point, Sidestep, and Kids Foot Locker, including each of their related e-commerce businesses. We have further aggregated these operating segments into one reportable segment based upon their shared customer base and similar economic characteristics. Please see Item 1. “Financial Statements,” Note 3, </w:t>
      </w:r>
      <w:r>
        <w:rPr>
          <w:rFonts w:ascii="Arial" w:cs="Arial" w:eastAsia="Arial" w:hAnsi="Arial"/>
          <w:sz w:val="15"/>
          <w:szCs w:val="15"/>
          <w:i w:val="1"/>
          <w:iCs w:val="1"/>
          <w:color w:val="auto"/>
        </w:rPr>
        <w:t>Segment Information</w:t>
      </w:r>
      <w:r>
        <w:rPr>
          <w:rFonts w:ascii="Arial" w:cs="Arial" w:eastAsia="Arial" w:hAnsi="Arial"/>
          <w:sz w:val="15"/>
          <w:szCs w:val="15"/>
          <w:color w:val="auto"/>
        </w:rPr>
        <w:t xml:space="preserve"> for further information on this change.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Store Count</w:t>
      </w:r>
    </w:p>
    <w:p>
      <w:pPr>
        <w:spacing w:after="0" w:line="184"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At November 3, 2018, we operated 3,266 stores as compared with 3,310 and 3,349 stores at February 3, 2018 and October 28, 2017, respectively. A total of 118 franchised stores were operating at November 3, 2018, as compared with 112 and 97 stores at February 3, 2018 and October 28, 2017, respectively. Revenue from the franchised stores was not significant for any of the periods presented. These stores are not included in the operating store count above.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190500</wp:posOffset>
            </wp:positionV>
            <wp:extent cx="5817870" cy="48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505" w:right="1399" w:bottom="1440" w:gutter="0" w:footer="0" w:header="0"/>
        </w:sectPr>
      </w:pPr>
    </w:p>
    <w:bookmarkStart w:id="19" w:name="page20"/>
    <w:bookmarkEnd w:id="19"/>
    <w:p>
      <w:pPr>
        <w:spacing w:after="0"/>
        <w:rPr>
          <w:sz w:val="20"/>
          <w:szCs w:val="20"/>
          <w:color w:val="auto"/>
        </w:rPr>
      </w:pPr>
      <w:r>
        <w:rPr>
          <w:rFonts w:ascii="Arial" w:cs="Arial" w:eastAsia="Arial" w:hAnsi="Arial"/>
          <w:sz w:val="15"/>
          <w:szCs w:val="15"/>
          <w:b w:val="1"/>
          <w:bCs w:val="1"/>
          <w:color w:val="auto"/>
        </w:rPr>
        <w:t>Reconciliation of Non-GAAP Measures</w:t>
      </w:r>
    </w:p>
    <w:p>
      <w:pPr>
        <w:spacing w:after="0" w:line="186"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The Company presents certain non-GAAP measures, such as sales changes excluding foreign currency fluctuations, adjusted net income before income taxes, adjusted net income, and adjusted diluted earnings per share. Throughout the following discussions, where amounts are expressed as excluding the effects of foreign currency fluctuations, such changes are determined by translating all amounts in both years using the prior-year average foreign exchange rates.</w:t>
      </w:r>
    </w:p>
    <w:p>
      <w:pPr>
        <w:spacing w:after="0" w:line="156" w:lineRule="exact"/>
        <w:rPr>
          <w:sz w:val="20"/>
          <w:szCs w:val="20"/>
          <w:color w:val="auto"/>
        </w:rPr>
      </w:pPr>
    </w:p>
    <w:p>
      <w:pPr>
        <w:jc w:val="both"/>
        <w:ind w:right="20"/>
        <w:spacing w:after="0" w:line="241" w:lineRule="auto"/>
        <w:rPr>
          <w:sz w:val="20"/>
          <w:szCs w:val="20"/>
          <w:color w:val="auto"/>
        </w:rPr>
      </w:pPr>
      <w:r>
        <w:rPr>
          <w:rFonts w:ascii="Arial" w:cs="Arial" w:eastAsia="Arial" w:hAnsi="Arial"/>
          <w:sz w:val="15"/>
          <w:szCs w:val="15"/>
          <w:color w:val="auto"/>
        </w:rPr>
        <w:t>We present these non-GAAP measures because we believe they assist investors in comparing our performance across reporting periods on a consistent basis by excluding items that are not indicative of our core business. Presenting amounts on a constant currency basis is useful to investors because it enables them to better understand the changes in our businesses that are not related to currency movements. In addition, these non-GAAP measures are useful in assessing the Company’s progress in achieving its long-term financial objectives.</w:t>
      </w:r>
    </w:p>
    <w:p>
      <w:pPr>
        <w:spacing w:after="0" w:line="156"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The non-GAAP financial information is provided in addition to, and not as an alternative to, the Company’s reported results prepared in accordance with GAAP. The Company estimates the tax effect of the non-GAAP adjustments by applying its marginal rate to each of the respective items.</w:t>
      </w:r>
    </w:p>
    <w:p>
      <w:pPr>
        <w:spacing w:after="0" w:line="153" w:lineRule="exact"/>
        <w:rPr>
          <w:sz w:val="20"/>
          <w:szCs w:val="20"/>
          <w:color w:val="auto"/>
        </w:rPr>
      </w:pPr>
    </w:p>
    <w:p>
      <w:pPr>
        <w:jc w:val="both"/>
        <w:ind w:right="20"/>
        <w:spacing w:after="0" w:line="254" w:lineRule="auto"/>
        <w:rPr>
          <w:sz w:val="20"/>
          <w:szCs w:val="20"/>
          <w:color w:val="auto"/>
        </w:rPr>
      </w:pPr>
      <w:r>
        <w:rPr>
          <w:rFonts w:ascii="Arial" w:cs="Arial" w:eastAsia="Arial" w:hAnsi="Arial"/>
          <w:sz w:val="15"/>
          <w:szCs w:val="15"/>
          <w:color w:val="auto"/>
        </w:rPr>
        <w:t>Presented below is a reconciliation of GAAP and non-GAAP results for the thirteen and thirty-nine weeks ended November 3, 2018 and October 28, 2017, respectively.</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343"/>
              <w:spacing w:after="0"/>
              <w:rPr>
                <w:sz w:val="20"/>
                <w:szCs w:val="20"/>
                <w:color w:val="auto"/>
              </w:rPr>
            </w:pPr>
            <w:r>
              <w:rPr>
                <w:rFonts w:ascii="Arial" w:cs="Arial" w:eastAsia="Arial" w:hAnsi="Arial"/>
                <w:sz w:val="15"/>
                <w:szCs w:val="15"/>
                <w:b w:val="1"/>
                <w:bCs w:val="1"/>
                <w:color w:val="auto"/>
              </w:rPr>
              <w:t>Thirteen weeks ended</w:t>
            </w:r>
          </w:p>
        </w:tc>
        <w:tc>
          <w:tcPr>
            <w:tcW w:w="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163"/>
              <w:spacing w:after="0"/>
              <w:rPr>
                <w:sz w:val="20"/>
                <w:szCs w:val="20"/>
                <w:color w:val="auto"/>
              </w:rPr>
            </w:pPr>
            <w:r>
              <w:rPr>
                <w:rFonts w:ascii="Arial" w:cs="Arial" w:eastAsia="Arial" w:hAnsi="Arial"/>
                <w:sz w:val="15"/>
                <w:szCs w:val="15"/>
                <w:b w:val="1"/>
                <w:bCs w:val="1"/>
                <w:color w:val="auto"/>
              </w:rPr>
              <w:t>Thirty-nine weeks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103"/>
              <w:spacing w:after="0" w:line="164" w:lineRule="exact"/>
              <w:rPr>
                <w:sz w:val="20"/>
                <w:szCs w:val="20"/>
                <w:color w:val="auto"/>
              </w:rPr>
            </w:pPr>
            <w:r>
              <w:rPr>
                <w:rFonts w:ascii="Arial" w:cs="Arial" w:eastAsia="Arial" w:hAnsi="Arial"/>
                <w:sz w:val="15"/>
                <w:szCs w:val="15"/>
                <w:b w:val="1"/>
                <w:bCs w:val="1"/>
                <w:color w:val="auto"/>
                <w:w w:val="99"/>
              </w:rPr>
              <w:t>November 3,</w:t>
            </w:r>
          </w:p>
        </w:tc>
        <w:tc>
          <w:tcPr>
            <w:tcW w:w="180" w:type="dxa"/>
            <w:vAlign w:val="bottom"/>
          </w:tcPr>
          <w:p>
            <w:pPr>
              <w:spacing w:after="0"/>
              <w:rPr>
                <w:sz w:val="14"/>
                <w:szCs w:val="14"/>
                <w:color w:val="auto"/>
              </w:rPr>
            </w:pPr>
          </w:p>
        </w:tc>
        <w:tc>
          <w:tcPr>
            <w:tcW w:w="1020" w:type="dxa"/>
            <w:vAlign w:val="bottom"/>
          </w:tcPr>
          <w:p>
            <w:pPr>
              <w:jc w:val="right"/>
              <w:ind w:right="83"/>
              <w:spacing w:after="0" w:line="164" w:lineRule="exact"/>
              <w:rPr>
                <w:sz w:val="20"/>
                <w:szCs w:val="20"/>
                <w:color w:val="auto"/>
              </w:rPr>
            </w:pPr>
            <w:r>
              <w:rPr>
                <w:rFonts w:ascii="Arial" w:cs="Arial" w:eastAsia="Arial" w:hAnsi="Arial"/>
                <w:sz w:val="15"/>
                <w:szCs w:val="15"/>
                <w:b w:val="1"/>
                <w:bCs w:val="1"/>
                <w:color w:val="auto"/>
              </w:rPr>
              <w:t>October 28,</w:t>
            </w:r>
          </w:p>
        </w:tc>
        <w:tc>
          <w:tcPr>
            <w:tcW w:w="160" w:type="dxa"/>
            <w:vAlign w:val="bottom"/>
          </w:tcPr>
          <w:p>
            <w:pPr>
              <w:spacing w:after="0"/>
              <w:rPr>
                <w:sz w:val="14"/>
                <w:szCs w:val="14"/>
                <w:color w:val="auto"/>
              </w:rPr>
            </w:pPr>
          </w:p>
        </w:tc>
        <w:tc>
          <w:tcPr>
            <w:tcW w:w="1100" w:type="dxa"/>
            <w:vAlign w:val="bottom"/>
          </w:tcPr>
          <w:p>
            <w:pPr>
              <w:jc w:val="right"/>
              <w:ind w:right="83"/>
              <w:spacing w:after="0" w:line="164" w:lineRule="exact"/>
              <w:rPr>
                <w:sz w:val="20"/>
                <w:szCs w:val="20"/>
                <w:color w:val="auto"/>
              </w:rPr>
            </w:pPr>
            <w:r>
              <w:rPr>
                <w:rFonts w:ascii="Arial" w:cs="Arial" w:eastAsia="Arial" w:hAnsi="Arial"/>
                <w:sz w:val="15"/>
                <w:szCs w:val="15"/>
                <w:b w:val="1"/>
                <w:bCs w:val="1"/>
                <w:color w:val="auto"/>
              </w:rPr>
              <w:t>November 3,</w:t>
            </w:r>
          </w:p>
        </w:tc>
        <w:tc>
          <w:tcPr>
            <w:tcW w:w="140" w:type="dxa"/>
            <w:vAlign w:val="bottom"/>
          </w:tcPr>
          <w:p>
            <w:pPr>
              <w:spacing w:after="0"/>
              <w:rPr>
                <w:sz w:val="14"/>
                <w:szCs w:val="14"/>
                <w:color w:val="auto"/>
              </w:rPr>
            </w:pPr>
          </w:p>
        </w:tc>
        <w:tc>
          <w:tcPr>
            <w:tcW w:w="960" w:type="dxa"/>
            <w:vAlign w:val="bottom"/>
          </w:tcPr>
          <w:p>
            <w:pPr>
              <w:jc w:val="right"/>
              <w:ind w:right="23"/>
              <w:spacing w:after="0" w:line="164" w:lineRule="exact"/>
              <w:rPr>
                <w:sz w:val="20"/>
                <w:szCs w:val="20"/>
                <w:color w:val="auto"/>
              </w:rPr>
            </w:pPr>
            <w:r>
              <w:rPr>
                <w:rFonts w:ascii="Arial" w:cs="Arial" w:eastAsia="Arial" w:hAnsi="Arial"/>
                <w:sz w:val="15"/>
                <w:szCs w:val="15"/>
                <w:b w:val="1"/>
                <w:bCs w:val="1"/>
                <w:color w:val="auto"/>
              </w:rPr>
              <w:t>October 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2018</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2017</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2018</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3"/>
          </w:tcPr>
          <w:p>
            <w:pPr>
              <w:jc w:val="right"/>
              <w:ind w:right="743"/>
              <w:spacing w:after="0"/>
              <w:rPr>
                <w:sz w:val="20"/>
                <w:szCs w:val="20"/>
                <w:color w:val="auto"/>
              </w:rPr>
            </w:pPr>
            <w:r>
              <w:rPr>
                <w:rFonts w:ascii="Arial" w:cs="Arial" w:eastAsia="Arial" w:hAnsi="Arial"/>
                <w:sz w:val="15"/>
                <w:szCs w:val="15"/>
                <w:color w:val="auto"/>
              </w:rPr>
              <w:t>($ in millions)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2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Pre-tax income:</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00" w:type="dxa"/>
            <w:vAlign w:val="bottom"/>
          </w:tcPr>
          <w:p>
            <w:pPr>
              <w:spacing w:after="0"/>
              <w:rPr>
                <w:sz w:val="20"/>
                <w:szCs w:val="20"/>
                <w:color w:val="auto"/>
              </w:rPr>
            </w:pPr>
            <w:r>
              <w:rPr>
                <w:rFonts w:ascii="Arial" w:cs="Arial" w:eastAsia="Arial" w:hAnsi="Arial"/>
                <w:sz w:val="15"/>
                <w:szCs w:val="15"/>
                <w:color w:val="auto"/>
              </w:rPr>
              <w:t>Income before income taxes</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tcPr>
          <w:p>
            <w:pPr>
              <w:jc w:val="right"/>
              <w:ind w:right="23"/>
              <w:spacing w:after="0"/>
              <w:rPr>
                <w:sz w:val="20"/>
                <w:szCs w:val="20"/>
                <w:color w:val="auto"/>
              </w:rPr>
            </w:pPr>
            <w:r>
              <w:rPr>
                <w:rFonts w:ascii="Arial" w:cs="Arial" w:eastAsia="Arial" w:hAnsi="Arial"/>
                <w:sz w:val="15"/>
                <w:szCs w:val="15"/>
                <w:b w:val="1"/>
                <w:bCs w:val="1"/>
                <w:color w:val="auto"/>
              </w:rPr>
              <w:t>146</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156</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tcPr>
          <w:p>
            <w:pPr>
              <w:jc w:val="right"/>
              <w:ind w:right="23"/>
              <w:spacing w:after="0"/>
              <w:rPr>
                <w:sz w:val="20"/>
                <w:szCs w:val="20"/>
                <w:color w:val="auto"/>
              </w:rPr>
            </w:pPr>
            <w:r>
              <w:rPr>
                <w:rFonts w:ascii="Arial" w:cs="Arial" w:eastAsia="Arial" w:hAnsi="Arial"/>
                <w:sz w:val="15"/>
                <w:szCs w:val="15"/>
                <w:b w:val="1"/>
                <w:bCs w:val="1"/>
                <w:color w:val="auto"/>
              </w:rPr>
              <w:t>490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498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00" w:type="dxa"/>
            <w:vAlign w:val="bottom"/>
            <w:shd w:val="clear" w:color="auto" w:fill="CCEEFF"/>
          </w:tcPr>
          <w:p>
            <w:pPr>
              <w:spacing w:after="0"/>
              <w:rPr>
                <w:sz w:val="20"/>
                <w:szCs w:val="20"/>
                <w:color w:val="auto"/>
              </w:rPr>
            </w:pPr>
            <w:r>
              <w:rPr>
                <w:rFonts w:ascii="Arial" w:cs="Arial" w:eastAsia="Arial" w:hAnsi="Arial"/>
                <w:sz w:val="15"/>
                <w:szCs w:val="15"/>
                <w:color w:val="auto"/>
              </w:rPr>
              <w:t>Pre-tax amounts excluded from GAAP:</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00" w:type="dxa"/>
            <w:vAlign w:val="bottom"/>
          </w:tcPr>
          <w:p>
            <w:pPr>
              <w:ind w:left="200"/>
              <w:spacing w:after="0"/>
              <w:rPr>
                <w:sz w:val="20"/>
                <w:szCs w:val="20"/>
                <w:color w:val="auto"/>
              </w:rPr>
            </w:pPr>
            <w:r>
              <w:rPr>
                <w:rFonts w:ascii="Arial" w:cs="Arial" w:eastAsia="Arial" w:hAnsi="Arial"/>
                <w:sz w:val="15"/>
                <w:szCs w:val="15"/>
                <w:color w:val="auto"/>
              </w:rPr>
              <w:t>Pension litigation charge</w:t>
            </w:r>
          </w:p>
        </w:tc>
        <w:tc>
          <w:tcPr>
            <w:tcW w:w="24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b w:val="1"/>
                <w:bCs w:val="1"/>
                <w:color w:val="auto"/>
              </w:rPr>
              <w:t>2</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b w:val="1"/>
                <w:bCs w:val="1"/>
                <w:color w:val="auto"/>
              </w:rPr>
              <w:t>17</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5"/>
                <w:szCs w:val="15"/>
                <w:color w:val="auto"/>
              </w:rPr>
              <w:t>Reorganization costs</w:t>
            </w: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2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Adjusted income before income taxes (non-GAAP)</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148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169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507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00" w:type="dxa"/>
            <w:vAlign w:val="bottom"/>
          </w:tcPr>
          <w:p>
            <w:pPr>
              <w:spacing w:after="0"/>
              <w:rPr>
                <w:sz w:val="20"/>
                <w:szCs w:val="20"/>
                <w:color w:val="auto"/>
              </w:rPr>
            </w:pPr>
            <w:r>
              <w:rPr>
                <w:rFonts w:ascii="Arial" w:cs="Arial" w:eastAsia="Arial" w:hAnsi="Arial"/>
                <w:sz w:val="15"/>
                <w:szCs w:val="15"/>
                <w:b w:val="1"/>
                <w:bCs w:val="1"/>
                <w:color w:val="auto"/>
              </w:rPr>
              <w:t>After-tax income:</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0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130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102</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383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200" w:type="dxa"/>
            <w:vAlign w:val="bottom"/>
          </w:tcPr>
          <w:p>
            <w:pPr>
              <w:spacing w:after="0"/>
              <w:rPr>
                <w:sz w:val="20"/>
                <w:szCs w:val="20"/>
                <w:color w:val="auto"/>
              </w:rPr>
            </w:pPr>
            <w:r>
              <w:rPr>
                <w:rFonts w:ascii="Arial" w:cs="Arial" w:eastAsia="Arial" w:hAnsi="Arial"/>
                <w:sz w:val="15"/>
                <w:szCs w:val="15"/>
                <w:color w:val="auto"/>
              </w:rPr>
              <w:t>After-tax adjustments excluded from GAAP:</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Pension litigation charge, net of income tax benefit of $1,</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 $5, and $20 million</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12</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200" w:type="dxa"/>
            <w:vAlign w:val="bottom"/>
          </w:tcPr>
          <w:p>
            <w:pPr>
              <w:ind w:left="200"/>
              <w:spacing w:after="0"/>
              <w:rPr>
                <w:sz w:val="20"/>
                <w:szCs w:val="20"/>
                <w:color w:val="auto"/>
              </w:rPr>
            </w:pPr>
            <w:r>
              <w:rPr>
                <w:rFonts w:ascii="Arial" w:cs="Arial" w:eastAsia="Arial" w:hAnsi="Arial"/>
                <w:sz w:val="15"/>
                <w:szCs w:val="15"/>
                <w:color w:val="auto"/>
              </w:rPr>
              <w:t>Reorganization costs, net of income tax benefit of $5</w:t>
            </w:r>
          </w:p>
        </w:tc>
        <w:tc>
          <w:tcPr>
            <w:tcW w:w="2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200" w:type="dxa"/>
            <w:vAlign w:val="bottom"/>
          </w:tcPr>
          <w:p>
            <w:pPr>
              <w:ind w:left="300"/>
              <w:spacing w:after="0"/>
              <w:rPr>
                <w:sz w:val="20"/>
                <w:szCs w:val="20"/>
                <w:color w:val="auto"/>
              </w:rPr>
            </w:pPr>
            <w:r>
              <w:rPr>
                <w:rFonts w:ascii="Arial" w:cs="Arial" w:eastAsia="Arial" w:hAnsi="Arial"/>
                <w:sz w:val="15"/>
                <w:szCs w:val="15"/>
                <w:color w:val="auto"/>
              </w:rPr>
              <w:t>million</w:t>
            </w: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8</w:t>
            </w: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 tax reform</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(23)</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(24)</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200" w:type="dxa"/>
            <w:vAlign w:val="bottom"/>
          </w:tcPr>
          <w:p>
            <w:pPr>
              <w:ind w:left="220"/>
              <w:spacing w:after="0"/>
              <w:rPr>
                <w:sz w:val="20"/>
                <w:szCs w:val="20"/>
                <w:color w:val="auto"/>
              </w:rPr>
            </w:pPr>
            <w:r>
              <w:rPr>
                <w:rFonts w:ascii="Arial" w:cs="Arial" w:eastAsia="Arial" w:hAnsi="Arial"/>
                <w:sz w:val="15"/>
                <w:szCs w:val="15"/>
                <w:color w:val="auto"/>
              </w:rPr>
              <w:t>Tax benefit related to enacted change in foreign branch</w:t>
            </w:r>
          </w:p>
        </w:tc>
        <w:tc>
          <w:tcPr>
            <w:tcW w:w="2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200" w:type="dxa"/>
            <w:vAlign w:val="bottom"/>
            <w:tcBorders>
              <w:bottom w:val="single" w:sz="8" w:color="auto"/>
            </w:tcBorders>
          </w:tcPr>
          <w:p>
            <w:pPr>
              <w:ind w:left="300"/>
              <w:spacing w:after="0"/>
              <w:rPr>
                <w:sz w:val="20"/>
                <w:szCs w:val="20"/>
                <w:color w:val="auto"/>
              </w:rPr>
            </w:pPr>
            <w:r>
              <w:rPr>
                <w:rFonts w:ascii="Arial" w:cs="Arial" w:eastAsia="Arial" w:hAnsi="Arial"/>
                <w:sz w:val="15"/>
                <w:szCs w:val="15"/>
                <w:color w:val="auto"/>
              </w:rPr>
              <w:t>currency regulations</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Adjusted net income (non-GAAP)</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370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2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Earnings per share:</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00" w:type="dxa"/>
            <w:vAlign w:val="bottom"/>
          </w:tcPr>
          <w:p>
            <w:pPr>
              <w:spacing w:after="0"/>
              <w:rPr>
                <w:sz w:val="20"/>
                <w:szCs w:val="20"/>
                <w:color w:val="auto"/>
              </w:rPr>
            </w:pPr>
            <w:r>
              <w:rPr>
                <w:rFonts w:ascii="Arial" w:cs="Arial" w:eastAsia="Arial" w:hAnsi="Arial"/>
                <w:sz w:val="15"/>
                <w:szCs w:val="15"/>
                <w:color w:val="auto"/>
              </w:rPr>
              <w:t>Diluted EPS</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tcPr>
          <w:p>
            <w:pPr>
              <w:jc w:val="right"/>
              <w:ind w:right="23"/>
              <w:spacing w:after="0"/>
              <w:rPr>
                <w:sz w:val="20"/>
                <w:szCs w:val="20"/>
                <w:color w:val="auto"/>
              </w:rPr>
            </w:pPr>
            <w:r>
              <w:rPr>
                <w:rFonts w:ascii="Arial" w:cs="Arial" w:eastAsia="Arial" w:hAnsi="Arial"/>
                <w:sz w:val="15"/>
                <w:szCs w:val="15"/>
                <w:b w:val="1"/>
                <w:bCs w:val="1"/>
                <w:color w:val="auto"/>
              </w:rPr>
              <w:t>1.14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0.81</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tcPr>
          <w:p>
            <w:pPr>
              <w:jc w:val="right"/>
              <w:ind w:right="23"/>
              <w:spacing w:after="0"/>
              <w:rPr>
                <w:sz w:val="20"/>
                <w:szCs w:val="20"/>
                <w:color w:val="auto"/>
              </w:rPr>
            </w:pPr>
            <w:r>
              <w:rPr>
                <w:rFonts w:ascii="Arial" w:cs="Arial" w:eastAsia="Arial" w:hAnsi="Arial"/>
                <w:sz w:val="15"/>
                <w:szCs w:val="15"/>
                <w:b w:val="1"/>
                <w:bCs w:val="1"/>
                <w:color w:val="auto"/>
              </w:rPr>
              <w:t>3.28</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00" w:type="dxa"/>
            <w:vAlign w:val="bottom"/>
            <w:shd w:val="clear" w:color="auto" w:fill="CCEEFF"/>
          </w:tcPr>
          <w:p>
            <w:pPr>
              <w:spacing w:after="0"/>
              <w:rPr>
                <w:sz w:val="20"/>
                <w:szCs w:val="20"/>
                <w:color w:val="auto"/>
              </w:rPr>
            </w:pPr>
            <w:r>
              <w:rPr>
                <w:rFonts w:ascii="Arial" w:cs="Arial" w:eastAsia="Arial" w:hAnsi="Arial"/>
                <w:sz w:val="15"/>
                <w:szCs w:val="15"/>
                <w:color w:val="auto"/>
              </w:rPr>
              <w:t>Diluted EPS amounts excluded from GAAP:</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00" w:type="dxa"/>
            <w:vAlign w:val="bottom"/>
          </w:tcPr>
          <w:p>
            <w:pPr>
              <w:ind w:left="200"/>
              <w:spacing w:after="0"/>
              <w:rPr>
                <w:sz w:val="20"/>
                <w:szCs w:val="20"/>
                <w:color w:val="auto"/>
              </w:rPr>
            </w:pPr>
            <w:r>
              <w:rPr>
                <w:rFonts w:ascii="Arial" w:cs="Arial" w:eastAsia="Arial" w:hAnsi="Arial"/>
                <w:sz w:val="15"/>
                <w:szCs w:val="15"/>
                <w:color w:val="auto"/>
              </w:rPr>
              <w:t>Pension litigation charge</w:t>
            </w:r>
          </w:p>
        </w:tc>
        <w:tc>
          <w:tcPr>
            <w:tcW w:w="24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b w:val="1"/>
                <w:bCs w:val="1"/>
                <w:color w:val="auto"/>
              </w:rPr>
              <w:t>0.01</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b w:val="1"/>
                <w:bCs w:val="1"/>
                <w:color w:val="auto"/>
              </w:rPr>
              <w:t>0.10</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Reorganization costs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0.06</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200" w:type="dxa"/>
            <w:vAlign w:val="bottom"/>
          </w:tcPr>
          <w:p>
            <w:pPr>
              <w:ind w:left="200"/>
              <w:spacing w:after="0"/>
              <w:rPr>
                <w:sz w:val="20"/>
                <w:szCs w:val="20"/>
                <w:color w:val="auto"/>
              </w:rPr>
            </w:pPr>
            <w:r>
              <w:rPr>
                <w:rFonts w:ascii="Arial" w:cs="Arial" w:eastAsia="Arial" w:hAnsi="Arial"/>
                <w:sz w:val="15"/>
                <w:szCs w:val="15"/>
                <w:color w:val="auto"/>
              </w:rPr>
              <w:t>U.S. tax reform</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(0.20)</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(0.21)</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Tax benefit related to enacted change in foreign branch</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5"/>
                <w:szCs w:val="15"/>
                <w:color w:val="auto"/>
              </w:rPr>
              <w:t>currency regulations</w:t>
            </w: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(0.01)</w:t>
            </w: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2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Adjusted diluted EPS (non-GAAP)</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0.95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0.87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3.16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5"/>
        </w:trPr>
        <w:tc>
          <w:tcPr>
            <w:tcW w:w="4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823"/>
              <w:spacing w:after="0"/>
              <w:rPr>
                <w:sz w:val="20"/>
                <w:szCs w:val="20"/>
                <w:color w:val="auto"/>
              </w:rPr>
            </w:pPr>
            <w:r>
              <w:rPr>
                <w:rFonts w:ascii="Arial" w:cs="Arial" w:eastAsia="Arial" w:hAnsi="Arial"/>
                <w:sz w:val="15"/>
                <w:szCs w:val="15"/>
                <w:color w:val="auto"/>
              </w:rPr>
              <w:t>18</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2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311" w:right="1379" w:bottom="1440" w:gutter="0" w:footer="0" w:header="0"/>
        </w:sectPr>
      </w:pPr>
    </w:p>
    <w:bookmarkStart w:id="20" w:name="page21"/>
    <w:bookmarkEnd w:id="20"/>
    <w:p>
      <w:pPr>
        <w:jc w:val="both"/>
        <w:spacing w:after="0" w:line="241" w:lineRule="auto"/>
        <w:rPr>
          <w:sz w:val="20"/>
          <w:szCs w:val="20"/>
          <w:color w:val="auto"/>
        </w:rPr>
      </w:pPr>
      <w:r>
        <w:rPr>
          <w:rFonts w:ascii="Arial" w:cs="Arial" w:eastAsia="Arial" w:hAnsi="Arial"/>
          <w:sz w:val="15"/>
          <w:szCs w:val="15"/>
          <w:color w:val="auto"/>
        </w:rPr>
        <w:t xml:space="preserve">During the thirteen and thirty-nine weeks ended November 3, 2018, the Company recorded pre-tax charges of $2 million and $17 million, respectively, in connection with its U.S. retirement plan litigation and required plan reformation. These charges represented $1 million after-tax or $0.01 per share and $12 million after-tax or $0.10 per share, respectively. During the thirteen and thirty-nine weeks ended October 28, 2017, the Company recorded a charge related to the same litigation of $50 million, $30 million after-tax or $0.23 per share. Please see Item 1. “Financial Statements,” Note 14, </w:t>
      </w:r>
      <w:r>
        <w:rPr>
          <w:rFonts w:ascii="Arial" w:cs="Arial" w:eastAsia="Arial" w:hAnsi="Arial"/>
          <w:sz w:val="15"/>
          <w:szCs w:val="15"/>
          <w:i w:val="1"/>
          <w:iCs w:val="1"/>
          <w:color w:val="auto"/>
        </w:rPr>
        <w:t>Legal Proceedings</w:t>
      </w:r>
      <w:r>
        <w:rPr>
          <w:rFonts w:ascii="Arial" w:cs="Arial" w:eastAsia="Arial" w:hAnsi="Arial"/>
          <w:sz w:val="15"/>
          <w:szCs w:val="15"/>
          <w:color w:val="auto"/>
        </w:rPr>
        <w:t xml:space="preserve"> for further information on these charges.</w:t>
      </w:r>
    </w:p>
    <w:p>
      <w:pPr>
        <w:spacing w:after="0" w:line="156"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During the third quarter of 2017, the Company recorded a charge of $13 million, $8 million after tax or $0.06 per share, comprised primarily of severance and benefit continuation costs in connection with organizational changes. Please see Item 1. “Financial Statements,” Note 4, </w:t>
      </w:r>
      <w:r>
        <w:rPr>
          <w:rFonts w:ascii="Arial" w:cs="Arial" w:eastAsia="Arial" w:hAnsi="Arial"/>
          <w:sz w:val="15"/>
          <w:szCs w:val="15"/>
          <w:i w:val="1"/>
          <w:iCs w:val="1"/>
          <w:color w:val="auto"/>
        </w:rPr>
        <w:t>Litigation and Other Charges</w:t>
      </w:r>
      <w:r>
        <w:rPr>
          <w:rFonts w:ascii="Arial" w:cs="Arial" w:eastAsia="Arial" w:hAnsi="Arial"/>
          <w:sz w:val="15"/>
          <w:szCs w:val="15"/>
          <w:color w:val="auto"/>
        </w:rPr>
        <w:t xml:space="preserve"> for further information on this charge.</w:t>
      </w:r>
    </w:p>
    <w:p>
      <w:pPr>
        <w:spacing w:after="0" w:line="153"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During the fourth quarter of 2017, the United States enacted tax reform legislation that included a broad range of business tax provisions. For the thirteen and thirty-nine weeks ended November 3, 2018, the Company reduced its provisional amount by $23 million and $24 million, respectively. For the thirty-nine weeks ended November 3, 2018, these adjustments reflect a $17 million reduction in the deemed repatriation tax and a $7 million benefit related to IRS accounting method changes and timing difference adjustments. Our accounting for the Tax Act is still incomplete as we have not finalized the taxation of deemed repatriation of foreign income previously deferred from U.S. income taxes and adjustments to our deferred taxes. We are continuing to analyze additional information, regulatory guidance, and developing technical interpretations to complete our accounting for these items. Our accounting will be completed during the fourth quarter as provided by SAB 118.</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5"/>
          <w:szCs w:val="15"/>
          <w:color w:val="auto"/>
        </w:rPr>
        <w:t>During the second quarter of 2018, the U.S. Treasury issued a notice that delayed the effective date of regulations under Internal Revenue Code Section 987. These regulations, which were promulgated in December 2016, changed our method for determining the tax effects of foreign currency translation gains and losses for our foreign businesses that are operated as branches and are reported in a currency other than the currency of their parent. As a result of the delay in the effective date, the Company updated its calculations for the effect of these regulations, which resulted in an increase to deferred tax assets and a corresponding reduction in our income tax provision in the amount of $1 million for the thirty-nine weeks ended November 3, 2018.</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86"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We evaluate performance based on several factors, of which the primary financial measure is the banner’s financial results referred to as division profit. Division profit reflects income before income taxes, pension litigation charge, corporate expense, non-operating income, and net interest income. The following table summarizes our results: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80" w:type="dxa"/>
            <w:vAlign w:val="bottom"/>
            <w:gridSpan w:val="3"/>
          </w:tcPr>
          <w:p>
            <w:pPr>
              <w:jc w:val="right"/>
              <w:ind w:right="523"/>
              <w:spacing w:after="0"/>
              <w:rPr>
                <w:sz w:val="20"/>
                <w:szCs w:val="20"/>
                <w:color w:val="auto"/>
              </w:rPr>
            </w:pPr>
            <w:r>
              <w:rPr>
                <w:rFonts w:ascii="Arial" w:cs="Arial" w:eastAsia="Arial" w:hAnsi="Arial"/>
                <w:sz w:val="15"/>
                <w:szCs w:val="15"/>
                <w:b w:val="1"/>
                <w:bCs w:val="1"/>
                <w:color w:val="auto"/>
              </w:rPr>
              <w:t>Thirteen weeks ended</w:t>
            </w:r>
          </w:p>
        </w:tc>
        <w:tc>
          <w:tcPr>
            <w:tcW w:w="420" w:type="dxa"/>
            <w:vAlign w:val="bottom"/>
          </w:tcPr>
          <w:p>
            <w:pPr>
              <w:spacing w:after="0"/>
              <w:rPr>
                <w:sz w:val="16"/>
                <w:szCs w:val="16"/>
                <w:color w:val="auto"/>
              </w:rPr>
            </w:pPr>
          </w:p>
        </w:tc>
        <w:tc>
          <w:tcPr>
            <w:tcW w:w="2200" w:type="dxa"/>
            <w:vAlign w:val="bottom"/>
            <w:gridSpan w:val="4"/>
          </w:tcPr>
          <w:p>
            <w:pPr>
              <w:jc w:val="right"/>
              <w:ind w:right="400"/>
              <w:spacing w:after="0"/>
              <w:rPr>
                <w:sz w:val="20"/>
                <w:szCs w:val="20"/>
                <w:color w:val="auto"/>
              </w:rPr>
            </w:pPr>
            <w:r>
              <w:rPr>
                <w:rFonts w:ascii="Arial" w:cs="Arial" w:eastAsia="Arial" w:hAnsi="Arial"/>
                <w:sz w:val="15"/>
                <w:szCs w:val="15"/>
                <w:b w:val="1"/>
                <w:bCs w:val="1"/>
                <w:color w:val="auto"/>
              </w:rPr>
              <w:t>Thirty-nine weeks ended</w:t>
            </w:r>
          </w:p>
        </w:tc>
        <w:tc>
          <w:tcPr>
            <w:tcW w:w="0" w:type="dxa"/>
            <w:vAlign w:val="bottom"/>
          </w:tcPr>
          <w:p>
            <w:pPr>
              <w:spacing w:after="0"/>
              <w:rPr>
                <w:sz w:val="1"/>
                <w:szCs w:val="1"/>
                <w:color w:val="auto"/>
              </w:rPr>
            </w:pPr>
          </w:p>
        </w:tc>
      </w:tr>
      <w:tr>
        <w:trPr>
          <w:trHeight w:val="175"/>
        </w:trPr>
        <w:tc>
          <w:tcPr>
            <w:tcW w:w="37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jc w:val="right"/>
              <w:ind w:right="183"/>
              <w:spacing w:after="0"/>
              <w:rPr>
                <w:sz w:val="20"/>
                <w:szCs w:val="20"/>
                <w:color w:val="auto"/>
              </w:rPr>
            </w:pPr>
            <w:r>
              <w:rPr>
                <w:rFonts w:ascii="Arial" w:cs="Arial" w:eastAsia="Arial" w:hAnsi="Arial"/>
                <w:sz w:val="15"/>
                <w:szCs w:val="15"/>
                <w:b w:val="1"/>
                <w:bCs w:val="1"/>
                <w:color w:val="auto"/>
              </w:rPr>
              <w:t>November 3,</w:t>
            </w:r>
          </w:p>
        </w:tc>
        <w:tc>
          <w:tcPr>
            <w:tcW w:w="1360" w:type="dxa"/>
            <w:vAlign w:val="bottom"/>
            <w:tcBorders>
              <w:top w:val="single" w:sz="8" w:color="auto"/>
            </w:tcBorders>
            <w:gridSpan w:val="2"/>
          </w:tcPr>
          <w:p>
            <w:pPr>
              <w:jc w:val="right"/>
              <w:ind w:right="243"/>
              <w:spacing w:after="0"/>
              <w:rPr>
                <w:sz w:val="20"/>
                <w:szCs w:val="20"/>
                <w:color w:val="auto"/>
              </w:rPr>
            </w:pPr>
            <w:r>
              <w:rPr>
                <w:rFonts w:ascii="Arial" w:cs="Arial" w:eastAsia="Arial" w:hAnsi="Arial"/>
                <w:sz w:val="15"/>
                <w:szCs w:val="15"/>
                <w:b w:val="1"/>
                <w:bCs w:val="1"/>
                <w:color w:val="auto"/>
              </w:rPr>
              <w:t>October 28,</w:t>
            </w:r>
          </w:p>
        </w:tc>
        <w:tc>
          <w:tcPr>
            <w:tcW w:w="1360" w:type="dxa"/>
            <w:vAlign w:val="bottom"/>
            <w:tcBorders>
              <w:top w:val="single" w:sz="8" w:color="auto"/>
            </w:tcBorders>
            <w:gridSpan w:val="2"/>
          </w:tcPr>
          <w:p>
            <w:pPr>
              <w:jc w:val="right"/>
              <w:ind w:right="203"/>
              <w:spacing w:after="0"/>
              <w:rPr>
                <w:sz w:val="20"/>
                <w:szCs w:val="20"/>
                <w:color w:val="auto"/>
              </w:rPr>
            </w:pPr>
            <w:r>
              <w:rPr>
                <w:rFonts w:ascii="Arial" w:cs="Arial" w:eastAsia="Arial" w:hAnsi="Arial"/>
                <w:sz w:val="15"/>
                <w:szCs w:val="15"/>
                <w:b w:val="1"/>
                <w:bCs w:val="1"/>
                <w:color w:val="auto"/>
              </w:rPr>
              <w:t>November 3,</w:t>
            </w:r>
          </w:p>
        </w:tc>
        <w:tc>
          <w:tcPr>
            <w:tcW w:w="1240" w:type="dxa"/>
            <w:vAlign w:val="bottom"/>
            <w:tcBorders>
              <w:top w:val="single" w:sz="8" w:color="auto"/>
            </w:tcBorders>
            <w:gridSpan w:val="2"/>
          </w:tcPr>
          <w:p>
            <w:pPr>
              <w:jc w:val="right"/>
              <w:ind w:right="103"/>
              <w:spacing w:after="0"/>
              <w:rPr>
                <w:sz w:val="20"/>
                <w:szCs w:val="20"/>
                <w:color w:val="auto"/>
              </w:rPr>
            </w:pPr>
            <w:r>
              <w:rPr>
                <w:rFonts w:ascii="Arial" w:cs="Arial" w:eastAsia="Arial" w:hAnsi="Arial"/>
                <w:sz w:val="15"/>
                <w:szCs w:val="15"/>
                <w:b w:val="1"/>
                <w:bCs w:val="1"/>
                <w:color w:val="auto"/>
              </w:rPr>
              <w:t>October 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2018</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2017</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2018</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 in millions)</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Sales</w:t>
            </w:r>
          </w:p>
        </w:tc>
        <w:tc>
          <w:tcPr>
            <w:tcW w:w="34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w:t>
            </w: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1,860</w:t>
            </w:r>
          </w:p>
        </w:tc>
        <w:tc>
          <w:tcPr>
            <w:tcW w:w="3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1,870</w:t>
            </w:r>
          </w:p>
        </w:tc>
        <w:tc>
          <w:tcPr>
            <w:tcW w:w="42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5,667</w:t>
            </w:r>
          </w:p>
        </w:tc>
        <w:tc>
          <w:tcPr>
            <w:tcW w:w="3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Results</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80" w:type="dxa"/>
            <w:vAlign w:val="bottom"/>
          </w:tcPr>
          <w:p>
            <w:pPr>
              <w:spacing w:after="0"/>
              <w:rPr>
                <w:sz w:val="20"/>
                <w:szCs w:val="20"/>
                <w:color w:val="auto"/>
              </w:rPr>
            </w:pPr>
            <w:r>
              <w:rPr>
                <w:rFonts w:ascii="Arial" w:cs="Arial" w:eastAsia="Arial" w:hAnsi="Arial"/>
                <w:sz w:val="15"/>
                <w:szCs w:val="15"/>
                <w:color w:val="auto"/>
              </w:rPr>
              <w:t>Division profit</w:t>
            </w:r>
          </w:p>
        </w:tc>
        <w:tc>
          <w:tcPr>
            <w:tcW w:w="340" w:type="dxa"/>
            <w:vAlign w:val="bottom"/>
          </w:tcPr>
          <w:p>
            <w:pPr>
              <w:spacing w:after="0"/>
              <w:rPr>
                <w:sz w:val="16"/>
                <w:szCs w:val="16"/>
                <w:color w:val="auto"/>
              </w:rPr>
            </w:pPr>
          </w:p>
        </w:tc>
        <w:tc>
          <w:tcPr>
            <w:tcW w:w="1020" w:type="dxa"/>
            <w:vAlign w:val="bottom"/>
          </w:tcPr>
          <w:p>
            <w:pPr>
              <w:jc w:val="right"/>
              <w:ind w:right="123"/>
              <w:spacing w:after="0"/>
              <w:rPr>
                <w:sz w:val="20"/>
                <w:szCs w:val="20"/>
                <w:color w:val="auto"/>
              </w:rPr>
            </w:pPr>
            <w:r>
              <w:rPr>
                <w:rFonts w:ascii="Arial" w:cs="Arial" w:eastAsia="Arial" w:hAnsi="Arial"/>
                <w:sz w:val="15"/>
                <w:szCs w:val="15"/>
                <w:b w:val="1"/>
                <w:bCs w:val="1"/>
                <w:color w:val="auto"/>
              </w:rPr>
              <w:t>165</w:t>
            </w:r>
          </w:p>
        </w:tc>
        <w:tc>
          <w:tcPr>
            <w:tcW w:w="340" w:type="dxa"/>
            <w:vAlign w:val="bottom"/>
          </w:tcPr>
          <w:p>
            <w:pPr>
              <w:spacing w:after="0"/>
              <w:rPr>
                <w:sz w:val="16"/>
                <w:szCs w:val="16"/>
                <w:color w:val="auto"/>
              </w:rPr>
            </w:pPr>
          </w:p>
        </w:tc>
        <w:tc>
          <w:tcPr>
            <w:tcW w:w="1020" w:type="dxa"/>
            <w:vAlign w:val="bottom"/>
          </w:tcPr>
          <w:p>
            <w:pPr>
              <w:jc w:val="right"/>
              <w:ind w:right="103"/>
              <w:spacing w:after="0"/>
              <w:rPr>
                <w:sz w:val="20"/>
                <w:szCs w:val="20"/>
                <w:color w:val="auto"/>
              </w:rPr>
            </w:pPr>
            <w:r>
              <w:rPr>
                <w:rFonts w:ascii="Arial" w:cs="Arial" w:eastAsia="Arial" w:hAnsi="Arial"/>
                <w:sz w:val="15"/>
                <w:szCs w:val="15"/>
                <w:color w:val="auto"/>
              </w:rPr>
              <w:t>180</w:t>
            </w:r>
          </w:p>
        </w:tc>
        <w:tc>
          <w:tcPr>
            <w:tcW w:w="420" w:type="dxa"/>
            <w:vAlign w:val="bottom"/>
          </w:tcPr>
          <w:p>
            <w:pPr>
              <w:spacing w:after="0"/>
              <w:rPr>
                <w:sz w:val="16"/>
                <w:szCs w:val="16"/>
                <w:color w:val="auto"/>
              </w:rPr>
            </w:pPr>
          </w:p>
        </w:tc>
        <w:tc>
          <w:tcPr>
            <w:tcW w:w="940" w:type="dxa"/>
            <w:vAlign w:val="bottom"/>
          </w:tcPr>
          <w:p>
            <w:pPr>
              <w:jc w:val="right"/>
              <w:ind w:right="103"/>
              <w:spacing w:after="0"/>
              <w:rPr>
                <w:sz w:val="20"/>
                <w:szCs w:val="20"/>
                <w:color w:val="auto"/>
              </w:rPr>
            </w:pPr>
            <w:r>
              <w:rPr>
                <w:rFonts w:ascii="Arial" w:cs="Arial" w:eastAsia="Arial" w:hAnsi="Arial"/>
                <w:sz w:val="15"/>
                <w:szCs w:val="15"/>
                <w:b w:val="1"/>
                <w:bCs w:val="1"/>
                <w:color w:val="auto"/>
              </w:rPr>
              <w:t>543</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spacing w:after="0"/>
              <w:rPr>
                <w:sz w:val="20"/>
                <w:szCs w:val="20"/>
                <w:color w:val="auto"/>
              </w:rPr>
            </w:pPr>
            <w:r>
              <w:rPr>
                <w:rFonts w:ascii="Arial" w:cs="Arial" w:eastAsia="Arial" w:hAnsi="Arial"/>
                <w:sz w:val="15"/>
                <w:szCs w:val="15"/>
                <w:color w:val="auto"/>
              </w:rPr>
              <w:t xml:space="preserve">Less: Pension litigation and reorganization charges </w:t>
            </w:r>
            <w:r>
              <w:rPr>
                <w:rFonts w:ascii="Arial" w:cs="Arial" w:eastAsia="Arial" w:hAnsi="Arial"/>
                <w:sz w:val="8"/>
                <w:szCs w:val="8"/>
                <w:color w:val="auto"/>
              </w:rPr>
              <w:t>(1)</w:t>
            </w:r>
          </w:p>
        </w:tc>
        <w:tc>
          <w:tcPr>
            <w:tcW w:w="34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2</w:t>
            </w:r>
          </w:p>
        </w:tc>
        <w:tc>
          <w:tcPr>
            <w:tcW w:w="34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rPr>
              <w:t>13</w:t>
            </w:r>
          </w:p>
        </w:tc>
        <w:tc>
          <w:tcPr>
            <w:tcW w:w="42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17</w:t>
            </w:r>
          </w:p>
        </w:tc>
        <w:tc>
          <w:tcPr>
            <w:tcW w:w="34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3780" w:type="dxa"/>
            <w:vAlign w:val="bottom"/>
            <w:shd w:val="clear" w:color="auto" w:fill="CCEEFF"/>
          </w:tcPr>
          <w:p>
            <w:pPr>
              <w:ind w:left="80"/>
              <w:spacing w:after="0"/>
              <w:rPr>
                <w:sz w:val="20"/>
                <w:szCs w:val="20"/>
                <w:color w:val="auto"/>
              </w:rPr>
            </w:pPr>
            <w:r>
              <w:rPr>
                <w:rFonts w:ascii="Arial" w:cs="Arial" w:eastAsia="Arial" w:hAnsi="Arial"/>
                <w:sz w:val="8"/>
                <w:szCs w:val="8"/>
                <w:color w:val="auto"/>
              </w:rPr>
              <w:t>(2)</w:t>
            </w:r>
          </w:p>
        </w:tc>
        <w:tc>
          <w:tcPr>
            <w:tcW w:w="340" w:type="dxa"/>
            <w:vAlign w:val="bottom"/>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37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xml:space="preserve">Less: Corporate expense </w:t>
            </w:r>
            <w:r>
              <w:rPr>
                <w:rFonts w:ascii="Arial" w:cs="Arial" w:eastAsia="Arial" w:hAnsi="Arial"/>
                <w:sz w:val="8"/>
                <w:szCs w:val="8"/>
                <w:color w:val="auto"/>
              </w:rPr>
              <w:t>(3)</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19</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12</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46</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spacing w:after="0"/>
              <w:rPr>
                <w:sz w:val="20"/>
                <w:szCs w:val="20"/>
                <w:color w:val="auto"/>
              </w:rPr>
            </w:pPr>
            <w:r>
              <w:rPr>
                <w:rFonts w:ascii="Arial" w:cs="Arial" w:eastAsia="Arial" w:hAnsi="Arial"/>
                <w:sz w:val="15"/>
                <w:szCs w:val="15"/>
                <w:color w:val="auto"/>
              </w:rPr>
              <w:t>Income from operations</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144</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155</w:t>
            </w: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480</w:t>
            </w: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780" w:type="dxa"/>
            <w:vAlign w:val="bottom"/>
          </w:tcPr>
          <w:p>
            <w:pPr>
              <w:spacing w:after="0"/>
              <w:rPr>
                <w:sz w:val="20"/>
                <w:szCs w:val="20"/>
                <w:color w:val="auto"/>
              </w:rPr>
            </w:pPr>
            <w:r>
              <w:rPr>
                <w:rFonts w:ascii="Arial" w:cs="Arial" w:eastAsia="Arial" w:hAnsi="Arial"/>
                <w:sz w:val="15"/>
                <w:szCs w:val="15"/>
                <w:color w:val="auto"/>
              </w:rPr>
              <w:t>Interest income, net</w:t>
            </w:r>
          </w:p>
        </w:tc>
        <w:tc>
          <w:tcPr>
            <w:tcW w:w="340" w:type="dxa"/>
            <w:vAlign w:val="bottom"/>
          </w:tcPr>
          <w:p>
            <w:pPr>
              <w:spacing w:after="0"/>
              <w:rPr>
                <w:sz w:val="16"/>
                <w:szCs w:val="16"/>
                <w:color w:val="auto"/>
              </w:rPr>
            </w:pPr>
          </w:p>
        </w:tc>
        <w:tc>
          <w:tcPr>
            <w:tcW w:w="1020" w:type="dxa"/>
            <w:vAlign w:val="bottom"/>
          </w:tcPr>
          <w:p>
            <w:pPr>
              <w:jc w:val="right"/>
              <w:ind w:right="63"/>
              <w:spacing w:after="0"/>
              <w:rPr>
                <w:sz w:val="20"/>
                <w:szCs w:val="20"/>
                <w:color w:val="auto"/>
              </w:rPr>
            </w:pPr>
            <w:r>
              <w:rPr>
                <w:rFonts w:ascii="Arial" w:cs="Arial" w:eastAsia="Arial" w:hAnsi="Arial"/>
                <w:sz w:val="15"/>
                <w:szCs w:val="15"/>
                <w:b w:val="1"/>
                <w:bCs w:val="1"/>
                <w:color w:val="auto"/>
              </w:rPr>
              <w:t>(2)</w:t>
            </w:r>
          </w:p>
        </w:tc>
        <w:tc>
          <w:tcPr>
            <w:tcW w:w="340" w:type="dxa"/>
            <w:vAlign w:val="bottom"/>
          </w:tcPr>
          <w:p>
            <w:pPr>
              <w:spacing w:after="0"/>
              <w:rPr>
                <w:sz w:val="16"/>
                <w:szCs w:val="16"/>
                <w:color w:val="auto"/>
              </w:rPr>
            </w:pPr>
          </w:p>
        </w:tc>
        <w:tc>
          <w:tcPr>
            <w:tcW w:w="102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6"/>
                <w:szCs w:val="16"/>
                <w:color w:val="auto"/>
              </w:rPr>
            </w:pPr>
          </w:p>
        </w:tc>
        <w:tc>
          <w:tcPr>
            <w:tcW w:w="940" w:type="dxa"/>
            <w:vAlign w:val="bottom"/>
          </w:tcPr>
          <w:p>
            <w:pPr>
              <w:jc w:val="right"/>
              <w:ind w:right="63"/>
              <w:spacing w:after="0"/>
              <w:rPr>
                <w:sz w:val="20"/>
                <w:szCs w:val="20"/>
                <w:color w:val="auto"/>
              </w:rPr>
            </w:pPr>
            <w:r>
              <w:rPr>
                <w:rFonts w:ascii="Arial" w:cs="Arial" w:eastAsia="Arial" w:hAnsi="Arial"/>
                <w:sz w:val="15"/>
                <w:szCs w:val="15"/>
                <w:b w:val="1"/>
                <w:bCs w:val="1"/>
                <w:color w:val="auto"/>
              </w:rPr>
              <w:t>(5)</w:t>
            </w:r>
          </w:p>
        </w:tc>
        <w:tc>
          <w:tcPr>
            <w:tcW w:w="34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 xml:space="preserve">Other income </w:t>
            </w:r>
            <w:r>
              <w:rPr>
                <w:rFonts w:ascii="Arial" w:cs="Arial" w:eastAsia="Arial" w:hAnsi="Arial"/>
                <w:sz w:val="8"/>
                <w:szCs w:val="8"/>
                <w:color w:val="auto"/>
              </w:rPr>
              <w:t>(4)</w:t>
            </w:r>
          </w:p>
        </w:tc>
        <w:tc>
          <w:tcPr>
            <w:tcW w:w="3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w:t>
            </w:r>
          </w:p>
        </w:tc>
        <w:tc>
          <w:tcPr>
            <w:tcW w:w="3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w:t>
            </w:r>
          </w:p>
        </w:tc>
        <w:tc>
          <w:tcPr>
            <w:tcW w:w="4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5</w:t>
            </w:r>
          </w:p>
        </w:tc>
        <w:tc>
          <w:tcPr>
            <w:tcW w:w="3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780" w:type="dxa"/>
            <w:vAlign w:val="bottom"/>
            <w:tcBorders>
              <w:bottom w:val="single" w:sz="8" w:color="auto"/>
            </w:tcBorders>
          </w:tcPr>
          <w:p>
            <w:pPr>
              <w:spacing w:after="0" w:line="163" w:lineRule="exact"/>
              <w:rPr>
                <w:sz w:val="20"/>
                <w:szCs w:val="20"/>
                <w:color w:val="auto"/>
              </w:rPr>
            </w:pPr>
            <w:r>
              <w:rPr>
                <w:rFonts w:ascii="Arial" w:cs="Arial" w:eastAsia="Arial" w:hAnsi="Arial"/>
                <w:sz w:val="15"/>
                <w:szCs w:val="15"/>
                <w:color w:val="auto"/>
              </w:rPr>
              <w:t>Income before income taxes</w:t>
            </w:r>
          </w:p>
        </w:tc>
        <w:tc>
          <w:tcPr>
            <w:tcW w:w="340" w:type="dxa"/>
            <w:vAlign w:val="bottom"/>
            <w:tcBorders>
              <w:bottom w:val="single" w:sz="8" w:color="auto"/>
            </w:tcBorders>
          </w:tcPr>
          <w:p>
            <w:pPr>
              <w:jc w:val="right"/>
              <w:ind w:right="43"/>
              <w:spacing w:after="0" w:line="163" w:lineRule="exact"/>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123"/>
              <w:spacing w:after="0" w:line="163" w:lineRule="exact"/>
              <w:rPr>
                <w:sz w:val="20"/>
                <w:szCs w:val="20"/>
                <w:color w:val="auto"/>
              </w:rPr>
            </w:pPr>
            <w:r>
              <w:rPr>
                <w:rFonts w:ascii="Arial" w:cs="Arial" w:eastAsia="Arial" w:hAnsi="Arial"/>
                <w:sz w:val="15"/>
                <w:szCs w:val="15"/>
                <w:b w:val="1"/>
                <w:bCs w:val="1"/>
                <w:color w:val="auto"/>
              </w:rPr>
              <w:t>146</w:t>
            </w:r>
          </w:p>
        </w:tc>
        <w:tc>
          <w:tcPr>
            <w:tcW w:w="340" w:type="dxa"/>
            <w:vAlign w:val="bottom"/>
            <w:tcBorders>
              <w:bottom w:val="single" w:sz="8" w:color="auto"/>
            </w:tcBorders>
          </w:tcPr>
          <w:p>
            <w:pPr>
              <w:jc w:val="right"/>
              <w:ind w:right="43"/>
              <w:spacing w:after="0" w:line="163"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103"/>
              <w:spacing w:after="0" w:line="163" w:lineRule="exact"/>
              <w:rPr>
                <w:sz w:val="20"/>
                <w:szCs w:val="20"/>
                <w:color w:val="auto"/>
              </w:rPr>
            </w:pPr>
            <w:r>
              <w:rPr>
                <w:rFonts w:ascii="Arial" w:cs="Arial" w:eastAsia="Arial" w:hAnsi="Arial"/>
                <w:sz w:val="15"/>
                <w:szCs w:val="15"/>
                <w:color w:val="auto"/>
              </w:rPr>
              <w:t>156</w:t>
            </w:r>
          </w:p>
        </w:tc>
        <w:tc>
          <w:tcPr>
            <w:tcW w:w="420" w:type="dxa"/>
            <w:vAlign w:val="bottom"/>
            <w:tcBorders>
              <w:bottom w:val="single" w:sz="8" w:color="auto"/>
            </w:tcBorders>
          </w:tcPr>
          <w:p>
            <w:pPr>
              <w:jc w:val="right"/>
              <w:ind w:right="123"/>
              <w:spacing w:after="0" w:line="163" w:lineRule="exact"/>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103"/>
              <w:spacing w:after="0" w:line="163" w:lineRule="exact"/>
              <w:rPr>
                <w:sz w:val="20"/>
                <w:szCs w:val="20"/>
                <w:color w:val="auto"/>
              </w:rPr>
            </w:pPr>
            <w:r>
              <w:rPr>
                <w:rFonts w:ascii="Arial" w:cs="Arial" w:eastAsia="Arial" w:hAnsi="Arial"/>
                <w:sz w:val="15"/>
                <w:szCs w:val="15"/>
                <w:b w:val="1"/>
                <w:bCs w:val="1"/>
                <w:color w:val="auto"/>
              </w:rPr>
              <w:t>490</w:t>
            </w:r>
          </w:p>
        </w:tc>
        <w:tc>
          <w:tcPr>
            <w:tcW w:w="340" w:type="dxa"/>
            <w:vAlign w:val="bottom"/>
            <w:tcBorders>
              <w:bottom w:val="single" w:sz="8" w:color="auto"/>
            </w:tcBorders>
          </w:tcPr>
          <w:p>
            <w:pPr>
              <w:jc w:val="right"/>
              <w:ind w:right="43"/>
              <w:spacing w:after="0" w:line="163"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498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660" w:right="120" w:hanging="375"/>
        <w:spacing w:after="0" w:line="239" w:lineRule="auto"/>
        <w:tabs>
          <w:tab w:leader="none" w:pos="660" w:val="left"/>
        </w:tabs>
        <w:numPr>
          <w:ilvl w:val="0"/>
          <w:numId w:val="9"/>
        </w:numPr>
        <w:rPr>
          <w:rFonts w:ascii="Arial" w:cs="Arial" w:eastAsia="Arial" w:hAnsi="Arial"/>
          <w:sz w:val="11"/>
          <w:szCs w:val="11"/>
          <w:color w:val="auto"/>
        </w:rPr>
      </w:pPr>
      <w:r>
        <w:rPr>
          <w:rFonts w:ascii="Arial" w:cs="Arial" w:eastAsia="Arial" w:hAnsi="Arial"/>
          <w:sz w:val="12"/>
          <w:szCs w:val="12"/>
          <w:color w:val="auto"/>
        </w:rPr>
        <w:t xml:space="preserve">Included in the thirteen and thirty-nine weeks ended November 3, 2018 are pre-tax charges of $2 million and $17 million, respectively, relating to a pension litigation matter described further in Note 14, </w:t>
      </w:r>
      <w:r>
        <w:rPr>
          <w:rFonts w:ascii="Arial" w:cs="Arial" w:eastAsia="Arial" w:hAnsi="Arial"/>
          <w:sz w:val="12"/>
          <w:szCs w:val="12"/>
          <w:i w:val="1"/>
          <w:iCs w:val="1"/>
          <w:color w:val="auto"/>
        </w:rPr>
        <w:t>Legal Proceedings</w:t>
      </w:r>
      <w:r>
        <w:rPr>
          <w:rFonts w:ascii="Arial" w:cs="Arial" w:eastAsia="Arial" w:hAnsi="Arial"/>
          <w:sz w:val="12"/>
          <w:szCs w:val="12"/>
          <w:color w:val="auto"/>
        </w:rPr>
        <w:t>. Included in the thirty-nine weeks ended October 28, 2017 is a pre-tax charge of $50 million relating to the same matter.</w:t>
      </w:r>
    </w:p>
    <w:p>
      <w:pPr>
        <w:spacing w:after="0" w:line="74" w:lineRule="exact"/>
        <w:rPr>
          <w:rFonts w:ascii="Arial" w:cs="Arial" w:eastAsia="Arial" w:hAnsi="Arial"/>
          <w:sz w:val="11"/>
          <w:szCs w:val="11"/>
          <w:color w:val="auto"/>
        </w:rPr>
      </w:pPr>
    </w:p>
    <w:p>
      <w:pPr>
        <w:ind w:left="660" w:hanging="375"/>
        <w:spacing w:after="0"/>
        <w:tabs>
          <w:tab w:leader="none" w:pos="660" w:val="left"/>
        </w:tabs>
        <w:numPr>
          <w:ilvl w:val="0"/>
          <w:numId w:val="9"/>
        </w:numPr>
        <w:rPr>
          <w:rFonts w:ascii="Arial" w:cs="Arial" w:eastAsia="Arial" w:hAnsi="Arial"/>
          <w:sz w:val="11"/>
          <w:szCs w:val="11"/>
          <w:color w:val="auto"/>
        </w:rPr>
      </w:pPr>
      <w:r>
        <w:rPr>
          <w:rFonts w:ascii="Arial" w:cs="Arial" w:eastAsia="Arial" w:hAnsi="Arial"/>
          <w:sz w:val="12"/>
          <w:szCs w:val="12"/>
          <w:color w:val="auto"/>
        </w:rPr>
        <w:t>During the third quarter of 2017, the Company recorded a $13 million pre-tax charge as a result of the Company reorganizing its organizational structure.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29" w:right="1399" w:bottom="1440" w:gutter="0" w:footer="0" w:header="0"/>
        </w:sectPr>
      </w:pPr>
    </w:p>
    <w:bookmarkStart w:id="21" w:name="page22"/>
    <w:bookmarkEnd w:id="21"/>
    <w:p>
      <w:pPr>
        <w:jc w:val="both"/>
        <w:ind w:left="640" w:right="140" w:hanging="355"/>
        <w:spacing w:after="0" w:line="204" w:lineRule="auto"/>
        <w:tabs>
          <w:tab w:leader="none" w:pos="640" w:val="left"/>
        </w:tabs>
        <w:numPr>
          <w:ilvl w:val="0"/>
          <w:numId w:val="10"/>
        </w:numPr>
        <w:rPr>
          <w:rFonts w:ascii="Arial" w:cs="Arial" w:eastAsia="Arial" w:hAnsi="Arial"/>
          <w:sz w:val="21"/>
          <w:szCs w:val="21"/>
          <w:color w:val="auto"/>
          <w:vertAlign w:val="superscript"/>
        </w:rPr>
      </w:pPr>
      <w:r>
        <w:rPr>
          <w:rFonts w:ascii="Arial" w:cs="Arial" w:eastAsia="Arial" w:hAnsi="Arial"/>
          <w:sz w:val="12"/>
          <w:szCs w:val="12"/>
          <w:color w:val="auto"/>
        </w:rPr>
        <w:t>Corporate expense consists of unallocated selling, general and administrative expenses as well as depreciation and amortization related to the Company’s corporate headquarters, centrally managed departments, unallocated insurance and benefit programs, certain foreign exchange transaction gains and losses, and other items. Depreciation and amortization included in corporate expense was $4 million and $13 million for the thirteen and thirty-nine weeks ended November 3, 2018, respectively, as compared with $4 million and $11 million for the corresponding prior-year periods.</w:t>
      </w:r>
    </w:p>
    <w:p>
      <w:pPr>
        <w:spacing w:after="0" w:line="209" w:lineRule="exact"/>
        <w:rPr>
          <w:rFonts w:ascii="Arial" w:cs="Arial" w:eastAsia="Arial" w:hAnsi="Arial"/>
          <w:sz w:val="21"/>
          <w:szCs w:val="21"/>
          <w:color w:val="auto"/>
          <w:vertAlign w:val="superscript"/>
        </w:rPr>
      </w:pPr>
    </w:p>
    <w:p>
      <w:pPr>
        <w:jc w:val="both"/>
        <w:ind w:left="640" w:right="140"/>
        <w:spacing w:after="0" w:line="236" w:lineRule="auto"/>
        <w:rPr>
          <w:rFonts w:ascii="Arial" w:cs="Arial" w:eastAsia="Arial" w:hAnsi="Arial"/>
          <w:sz w:val="21"/>
          <w:szCs w:val="21"/>
          <w:color w:val="auto"/>
          <w:vertAlign w:val="superscript"/>
        </w:rPr>
      </w:pPr>
      <w:r>
        <w:rPr>
          <w:rFonts w:ascii="Arial" w:cs="Arial" w:eastAsia="Arial" w:hAnsi="Arial"/>
          <w:sz w:val="12"/>
          <w:szCs w:val="12"/>
          <w:color w:val="auto"/>
        </w:rPr>
        <w:t>The allocation of corporate expense to the operating divisions is adjusted annually based upon an internal study; accordingly, the allocation increased by $10 million and $30 million for the thirteen and thirty-nine weeks ended November 3, 2018 thus reducing corporate expense. Excluding the corporate allocation change as well as depreciation and amortization, corporate expense increased by $17 million and $40 million for the thirteen and thirty-nine weeks ended November 3, 2018, respectively. The increase for the thirteen and thirty-nine weeks ended November 3, 2018 was primarily due to higher corporate support costs primarily related to information technology initiatives and increased incentive compensation expense.</w:t>
      </w:r>
    </w:p>
    <w:p>
      <w:pPr>
        <w:spacing w:after="0" w:line="136" w:lineRule="exact"/>
        <w:rPr>
          <w:rFonts w:ascii="Arial" w:cs="Arial" w:eastAsia="Arial" w:hAnsi="Arial"/>
          <w:sz w:val="21"/>
          <w:szCs w:val="21"/>
          <w:color w:val="auto"/>
          <w:vertAlign w:val="superscript"/>
        </w:rPr>
      </w:pPr>
    </w:p>
    <w:p>
      <w:pPr>
        <w:jc w:val="both"/>
        <w:ind w:left="660" w:right="140" w:hanging="375"/>
        <w:spacing w:after="0" w:line="238" w:lineRule="auto"/>
        <w:tabs>
          <w:tab w:leader="none" w:pos="660" w:val="left"/>
        </w:tabs>
        <w:numPr>
          <w:ilvl w:val="0"/>
          <w:numId w:val="10"/>
        </w:numPr>
        <w:rPr>
          <w:rFonts w:ascii="Arial" w:cs="Arial" w:eastAsia="Arial" w:hAnsi="Arial"/>
          <w:sz w:val="11"/>
          <w:szCs w:val="11"/>
          <w:color w:val="auto"/>
        </w:rPr>
      </w:pPr>
      <w:r>
        <w:rPr>
          <w:rFonts w:ascii="Arial" w:cs="Arial" w:eastAsia="Arial" w:hAnsi="Arial"/>
          <w:sz w:val="12"/>
          <w:szCs w:val="12"/>
          <w:color w:val="auto"/>
        </w:rPr>
        <w:t>Other income includes non-operating items, such as lease termination gains, franchise royalty income, changes in fair value, premiums paid, realized gains and losses associated with foreign currency option contracts, changes in the market value of our available-for-sale security in conjunction with the adoption of ASU 2016-01 as of the beginning of 2018, and net benefit expense related to our pension and postretirement programs excluding the service cost component in conjunction with the adoption of ASU 2017-07 as of the beginning of 2018.</w:t>
      </w:r>
    </w:p>
    <w:p>
      <w:pPr>
        <w:spacing w:after="0" w:line="206" w:lineRule="exact"/>
        <w:rPr>
          <w:rFonts w:ascii="Arial" w:cs="Arial" w:eastAsia="Arial" w:hAnsi="Arial"/>
          <w:sz w:val="11"/>
          <w:szCs w:val="11"/>
          <w:color w:val="auto"/>
        </w:rPr>
      </w:pPr>
    </w:p>
    <w:p>
      <w:pPr>
        <w:jc w:val="both"/>
        <w:ind w:left="660" w:right="140"/>
        <w:spacing w:after="0" w:line="238" w:lineRule="auto"/>
        <w:rPr>
          <w:rFonts w:ascii="Arial" w:cs="Arial" w:eastAsia="Arial" w:hAnsi="Arial"/>
          <w:sz w:val="11"/>
          <w:szCs w:val="11"/>
          <w:color w:val="auto"/>
        </w:rPr>
      </w:pPr>
      <w:r>
        <w:rPr>
          <w:rFonts w:ascii="Arial" w:cs="Arial" w:eastAsia="Arial" w:hAnsi="Arial"/>
          <w:sz w:val="12"/>
          <w:szCs w:val="12"/>
          <w:color w:val="auto"/>
        </w:rPr>
        <w:t>The decrease in other income for the thirteen weeks ended November 3, 2018 reflects the inclusion of net benefit expense related to our pension and postretirement programs excluding the service cost component, which was classified in SG&amp;A expense in the prior year. The increase in other income for the thirty-nine weeks ended November 3, 2018 as compared with the corresponding prior-year period primarily reflects increased royalty income and lease termination gains.</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Sales</w:t>
      </w:r>
    </w:p>
    <w:p>
      <w:pPr>
        <w:spacing w:after="0" w:line="184"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All references to comparable-store sales for a given period relate to sales of stores that were open at the period-end and had been open for more than one year. The computation of consolidated comparable sales also includes our direct-to-customer channel. Stores opened or closed during the period are not included in the comparable-store base; however, stores closed temporarily for relocation or remodeling are included. Computations exclude the effect of foreign currency fluctuations.</w:t>
      </w:r>
    </w:p>
    <w:p>
      <w:pPr>
        <w:spacing w:after="0" w:line="107" w:lineRule="exact"/>
        <w:rPr>
          <w:sz w:val="20"/>
          <w:szCs w:val="20"/>
          <w:color w:val="auto"/>
        </w:rPr>
      </w:pPr>
    </w:p>
    <w:p>
      <w:pPr>
        <w:jc w:val="both"/>
        <w:ind w:right="20"/>
        <w:spacing w:after="0" w:line="247" w:lineRule="auto"/>
        <w:rPr>
          <w:sz w:val="20"/>
          <w:szCs w:val="20"/>
          <w:color w:val="auto"/>
        </w:rPr>
      </w:pPr>
      <w:r>
        <w:rPr>
          <w:rFonts w:ascii="Arial" w:cs="Arial" w:eastAsia="Arial" w:hAnsi="Arial"/>
          <w:sz w:val="15"/>
          <w:szCs w:val="15"/>
          <w:color w:val="auto"/>
        </w:rPr>
        <w:t>Sales decreased by $10 million, or 0.5 percent, to $1,860 million for the thirteen weeks ended November 3, 2018, from $1,870 million for the thirteen weeks ended October 28, 2017. For the thirty-nine weeks ended November 3, 2018, sales were $5,667 million and increased by 1.7 percent from sales of $5,572 million in the corresponding prior-year period. Excluding the effect of foreign currency fluctuations, total sales increased by 0.4 percent and 0.7 percent for the thirteen and thirty-nine weeks ended November 3, 2018, respectively. Total comparable sales increased by 2.9 percent and 0.1 percent for the thirteen and thirty-nine weeks ended November 3, 2018, respectively, as compared with the corresponding prior-year periods. The main difference between the change in comparable sales and the total change in sales for the thirteen weeks ended November 3, 2018 was the sales shift caused by the 53</w:t>
      </w:r>
      <w:r>
        <w:rPr>
          <w:rFonts w:ascii="Arial" w:cs="Arial" w:eastAsia="Arial" w:hAnsi="Arial"/>
          <w:sz w:val="8"/>
          <w:szCs w:val="8"/>
          <w:color w:val="auto"/>
        </w:rPr>
        <w:t>rd</w:t>
      </w:r>
      <w:r>
        <w:rPr>
          <w:rFonts w:ascii="Arial" w:cs="Arial" w:eastAsia="Arial" w:hAnsi="Arial"/>
          <w:sz w:val="15"/>
          <w:szCs w:val="15"/>
          <w:color w:val="auto"/>
        </w:rPr>
        <w:t xml:space="preserve"> week of 2017. This shift resulted in less of the higher-volume back-to-school selling period being included in this quarter’s results as compared with the prior year period</w:t>
      </w:r>
      <w:r>
        <w:rPr>
          <w:rFonts w:ascii="Arial" w:cs="Arial" w:eastAsia="Arial" w:hAnsi="Arial"/>
          <w:sz w:val="16"/>
          <w:szCs w:val="16"/>
          <w:color w:val="auto"/>
        </w:rPr>
        <w:t>.</w:t>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color w:val="auto"/>
        </w:rPr>
        <w:t>The information shown below represents certain sales metrics by sales channel:</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603"/>
              <w:spacing w:after="0"/>
              <w:rPr>
                <w:sz w:val="20"/>
                <w:szCs w:val="20"/>
                <w:color w:val="auto"/>
              </w:rPr>
            </w:pPr>
            <w:r>
              <w:rPr>
                <w:rFonts w:ascii="Arial" w:cs="Arial" w:eastAsia="Arial" w:hAnsi="Arial"/>
                <w:sz w:val="15"/>
                <w:szCs w:val="15"/>
                <w:b w:val="1"/>
                <w:bCs w:val="1"/>
                <w:color w:val="auto"/>
              </w:rPr>
              <w:t>Thirteen weeks ended</w:t>
            </w: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423"/>
              <w:spacing w:after="0"/>
              <w:rPr>
                <w:sz w:val="20"/>
                <w:szCs w:val="20"/>
                <w:color w:val="auto"/>
              </w:rPr>
            </w:pPr>
            <w:r>
              <w:rPr>
                <w:rFonts w:ascii="Arial" w:cs="Arial" w:eastAsia="Arial" w:hAnsi="Arial"/>
                <w:sz w:val="15"/>
                <w:szCs w:val="15"/>
                <w:b w:val="1"/>
                <w:bCs w:val="1"/>
                <w:color w:val="auto"/>
              </w:rPr>
              <w:t>Thirty-nine weeks ended</w:t>
            </w:r>
          </w:p>
        </w:tc>
        <w:tc>
          <w:tcPr>
            <w:tcW w:w="20" w:type="dxa"/>
            <w:vAlign w:val="bottom"/>
          </w:tcPr>
          <w:p>
            <w:pPr>
              <w:spacing w:after="0"/>
              <w:rPr>
                <w:sz w:val="16"/>
                <w:szCs w:val="16"/>
                <w:color w:val="auto"/>
              </w:rPr>
            </w:pPr>
          </w:p>
        </w:tc>
      </w:tr>
      <w:tr>
        <w:trPr>
          <w:trHeight w:val="175"/>
        </w:trPr>
        <w:tc>
          <w:tcPr>
            <w:tcW w:w="2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jc w:val="right"/>
              <w:ind w:right="183"/>
              <w:spacing w:after="0"/>
              <w:rPr>
                <w:sz w:val="20"/>
                <w:szCs w:val="20"/>
                <w:color w:val="auto"/>
              </w:rPr>
            </w:pPr>
            <w:r>
              <w:rPr>
                <w:rFonts w:ascii="Arial" w:cs="Arial" w:eastAsia="Arial" w:hAnsi="Arial"/>
                <w:sz w:val="15"/>
                <w:szCs w:val="15"/>
                <w:b w:val="1"/>
                <w:bCs w:val="1"/>
                <w:color w:val="auto"/>
              </w:rPr>
              <w:t>November 3,</w:t>
            </w:r>
          </w:p>
        </w:tc>
        <w:tc>
          <w:tcPr>
            <w:tcW w:w="200" w:type="dxa"/>
            <w:vAlign w:val="bottom"/>
          </w:tcPr>
          <w:p>
            <w:pPr>
              <w:spacing w:after="0"/>
              <w:rPr>
                <w:sz w:val="15"/>
                <w:szCs w:val="15"/>
                <w:color w:val="auto"/>
              </w:rPr>
            </w:pPr>
          </w:p>
        </w:tc>
        <w:tc>
          <w:tcPr>
            <w:tcW w:w="1180" w:type="dxa"/>
            <w:vAlign w:val="bottom"/>
          </w:tcPr>
          <w:p>
            <w:pPr>
              <w:jc w:val="right"/>
              <w:ind w:right="223"/>
              <w:spacing w:after="0"/>
              <w:rPr>
                <w:sz w:val="20"/>
                <w:szCs w:val="20"/>
                <w:color w:val="auto"/>
              </w:rPr>
            </w:pPr>
            <w:r>
              <w:rPr>
                <w:rFonts w:ascii="Arial" w:cs="Arial" w:eastAsia="Arial" w:hAnsi="Arial"/>
                <w:sz w:val="15"/>
                <w:szCs w:val="15"/>
                <w:b w:val="1"/>
                <w:bCs w:val="1"/>
                <w:color w:val="auto"/>
              </w:rPr>
              <w:t>October 28,</w:t>
            </w:r>
          </w:p>
        </w:tc>
        <w:tc>
          <w:tcPr>
            <w:tcW w:w="180" w:type="dxa"/>
            <w:vAlign w:val="bottom"/>
          </w:tcPr>
          <w:p>
            <w:pPr>
              <w:spacing w:after="0"/>
              <w:rPr>
                <w:sz w:val="15"/>
                <w:szCs w:val="15"/>
                <w:color w:val="auto"/>
              </w:rPr>
            </w:pPr>
          </w:p>
        </w:tc>
        <w:tc>
          <w:tcPr>
            <w:tcW w:w="1200" w:type="dxa"/>
            <w:vAlign w:val="bottom"/>
          </w:tcPr>
          <w:p>
            <w:pPr>
              <w:jc w:val="right"/>
              <w:ind w:right="163"/>
              <w:spacing w:after="0"/>
              <w:rPr>
                <w:sz w:val="20"/>
                <w:szCs w:val="20"/>
                <w:color w:val="auto"/>
              </w:rPr>
            </w:pPr>
            <w:r>
              <w:rPr>
                <w:rFonts w:ascii="Arial" w:cs="Arial" w:eastAsia="Arial" w:hAnsi="Arial"/>
                <w:sz w:val="15"/>
                <w:szCs w:val="15"/>
                <w:b w:val="1"/>
                <w:bCs w:val="1"/>
                <w:color w:val="auto"/>
              </w:rPr>
              <w:t>November 3,</w:t>
            </w:r>
          </w:p>
        </w:tc>
        <w:tc>
          <w:tcPr>
            <w:tcW w:w="200" w:type="dxa"/>
            <w:vAlign w:val="bottom"/>
          </w:tcPr>
          <w:p>
            <w:pPr>
              <w:spacing w:after="0"/>
              <w:rPr>
                <w:sz w:val="15"/>
                <w:szCs w:val="15"/>
                <w:color w:val="auto"/>
              </w:rPr>
            </w:pPr>
          </w:p>
        </w:tc>
        <w:tc>
          <w:tcPr>
            <w:tcW w:w="1180" w:type="dxa"/>
            <w:vAlign w:val="bottom"/>
          </w:tcPr>
          <w:p>
            <w:pPr>
              <w:jc w:val="right"/>
              <w:ind w:right="203"/>
              <w:spacing w:after="0"/>
              <w:rPr>
                <w:sz w:val="20"/>
                <w:szCs w:val="20"/>
                <w:color w:val="auto"/>
              </w:rPr>
            </w:pPr>
            <w:r>
              <w:rPr>
                <w:rFonts w:ascii="Arial" w:cs="Arial" w:eastAsia="Arial" w:hAnsi="Arial"/>
                <w:sz w:val="15"/>
                <w:szCs w:val="15"/>
                <w:b w:val="1"/>
                <w:bCs w:val="1"/>
                <w:color w:val="auto"/>
              </w:rPr>
              <w:t>October 28,</w:t>
            </w:r>
          </w:p>
        </w:tc>
        <w:tc>
          <w:tcPr>
            <w:tcW w:w="20" w:type="dxa"/>
            <w:vAlign w:val="bottom"/>
          </w:tcPr>
          <w:p>
            <w:pPr>
              <w:spacing w:after="0"/>
              <w:rPr>
                <w:sz w:val="15"/>
                <w:szCs w:val="15"/>
                <w:color w:val="auto"/>
              </w:rPr>
            </w:pPr>
          </w:p>
        </w:tc>
      </w:tr>
      <w:tr>
        <w:trPr>
          <w:trHeight w:val="194"/>
        </w:trPr>
        <w:tc>
          <w:tcPr>
            <w:tcW w:w="28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2018</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2017</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2018</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2017</w:t>
            </w:r>
          </w:p>
        </w:tc>
        <w:tc>
          <w:tcPr>
            <w:tcW w:w="20" w:type="dxa"/>
            <w:vAlign w:val="bottom"/>
          </w:tcPr>
          <w:p>
            <w:pPr>
              <w:spacing w:after="0"/>
              <w:rPr>
                <w:sz w:val="16"/>
                <w:szCs w:val="16"/>
                <w:color w:val="auto"/>
              </w:rPr>
            </w:pPr>
          </w:p>
        </w:tc>
      </w:tr>
      <w:tr>
        <w:trPr>
          <w:trHeight w:val="175"/>
        </w:trPr>
        <w:tc>
          <w:tcPr>
            <w:tcW w:w="2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gridSpan w:val="3"/>
          </w:tcPr>
          <w:p>
            <w:pPr>
              <w:jc w:val="right"/>
              <w:ind w:right="863"/>
              <w:spacing w:after="0"/>
              <w:rPr>
                <w:sz w:val="20"/>
                <w:szCs w:val="20"/>
                <w:color w:val="auto"/>
              </w:rPr>
            </w:pPr>
            <w:r>
              <w:rPr>
                <w:rFonts w:ascii="Arial" w:cs="Arial" w:eastAsia="Arial" w:hAnsi="Arial"/>
                <w:sz w:val="15"/>
                <w:szCs w:val="15"/>
                <w:color w:val="auto"/>
              </w:rPr>
              <w:t>($ in millions)</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7"/>
        </w:trPr>
        <w:tc>
          <w:tcPr>
            <w:tcW w:w="28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Stores</w:t>
            </w:r>
          </w:p>
        </w:tc>
        <w:tc>
          <w:tcPr>
            <w:tcW w:w="9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2840" w:type="dxa"/>
            <w:vAlign w:val="bottom"/>
          </w:tcPr>
          <w:p>
            <w:pPr>
              <w:spacing w:after="0"/>
              <w:rPr>
                <w:sz w:val="20"/>
                <w:szCs w:val="20"/>
                <w:color w:val="auto"/>
              </w:rPr>
            </w:pPr>
            <w:r>
              <w:rPr>
                <w:rFonts w:ascii="Arial" w:cs="Arial" w:eastAsia="Arial" w:hAnsi="Arial"/>
                <w:sz w:val="15"/>
                <w:szCs w:val="15"/>
                <w:color w:val="auto"/>
              </w:rPr>
              <w:t>Sales</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tcPr>
          <w:p>
            <w:pPr>
              <w:jc w:val="right"/>
              <w:ind w:right="163"/>
              <w:spacing w:after="0"/>
              <w:rPr>
                <w:sz w:val="20"/>
                <w:szCs w:val="20"/>
                <w:color w:val="auto"/>
              </w:rPr>
            </w:pPr>
            <w:r>
              <w:rPr>
                <w:rFonts w:ascii="Arial" w:cs="Arial" w:eastAsia="Arial" w:hAnsi="Arial"/>
                <w:sz w:val="15"/>
                <w:szCs w:val="15"/>
                <w:b w:val="1"/>
                <w:bCs w:val="1"/>
                <w:color w:val="auto"/>
              </w:rPr>
              <w:t>1,591</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163"/>
              <w:spacing w:after="0"/>
              <w:rPr>
                <w:sz w:val="20"/>
                <w:szCs w:val="20"/>
                <w:color w:val="auto"/>
              </w:rPr>
            </w:pPr>
            <w:r>
              <w:rPr>
                <w:rFonts w:ascii="Arial" w:cs="Arial" w:eastAsia="Arial" w:hAnsi="Arial"/>
                <w:sz w:val="15"/>
                <w:szCs w:val="15"/>
                <w:color w:val="auto"/>
              </w:rPr>
              <w:t>1,612</w:t>
            </w:r>
          </w:p>
        </w:tc>
        <w:tc>
          <w:tcPr>
            <w:tcW w:w="1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tcPr>
          <w:p>
            <w:pPr>
              <w:jc w:val="right"/>
              <w:ind w:right="143"/>
              <w:spacing w:after="0"/>
              <w:rPr>
                <w:sz w:val="20"/>
                <w:szCs w:val="20"/>
                <w:color w:val="auto"/>
              </w:rPr>
            </w:pPr>
            <w:r>
              <w:rPr>
                <w:rFonts w:ascii="Arial" w:cs="Arial" w:eastAsia="Arial" w:hAnsi="Arial"/>
                <w:sz w:val="15"/>
                <w:szCs w:val="15"/>
                <w:b w:val="1"/>
                <w:bCs w:val="1"/>
                <w:color w:val="auto"/>
              </w:rPr>
              <w:t>4,876</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143"/>
              <w:spacing w:after="0"/>
              <w:rPr>
                <w:sz w:val="20"/>
                <w:szCs w:val="20"/>
                <w:color w:val="auto"/>
              </w:rPr>
            </w:pPr>
            <w:r>
              <w:rPr>
                <w:rFonts w:ascii="Arial" w:cs="Arial" w:eastAsia="Arial" w:hAnsi="Arial"/>
                <w:sz w:val="15"/>
                <w:szCs w:val="15"/>
                <w:color w:val="auto"/>
              </w:rPr>
              <w:t>4,819</w:t>
            </w:r>
          </w:p>
        </w:tc>
        <w:tc>
          <w:tcPr>
            <w:tcW w:w="20" w:type="dxa"/>
            <w:vAlign w:val="bottom"/>
          </w:tcPr>
          <w:p>
            <w:pPr>
              <w:spacing w:after="0"/>
              <w:rPr>
                <w:sz w:val="17"/>
                <w:szCs w:val="17"/>
                <w:color w:val="auto"/>
              </w:rPr>
            </w:pPr>
          </w:p>
        </w:tc>
      </w:tr>
      <w:tr>
        <w:trPr>
          <w:trHeight w:val="207"/>
        </w:trPr>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 Change</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(21)</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57</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2840" w:type="dxa"/>
            <w:vAlign w:val="bottom"/>
          </w:tcPr>
          <w:p>
            <w:pPr>
              <w:spacing w:after="0"/>
              <w:rPr>
                <w:sz w:val="20"/>
                <w:szCs w:val="20"/>
                <w:color w:val="auto"/>
              </w:rPr>
            </w:pPr>
            <w:r>
              <w:rPr>
                <w:rFonts w:ascii="Arial" w:cs="Arial" w:eastAsia="Arial" w:hAnsi="Arial"/>
                <w:sz w:val="15"/>
                <w:szCs w:val="15"/>
                <w:color w:val="auto"/>
              </w:rPr>
              <w:t>% Change</w:t>
            </w:r>
          </w:p>
        </w:tc>
        <w:tc>
          <w:tcPr>
            <w:tcW w:w="9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(1.3)%</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1.2 %</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 of total sales</w:t>
            </w:r>
          </w:p>
        </w:tc>
        <w:tc>
          <w:tcPr>
            <w:tcW w:w="9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85.5 %</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86.2 %</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86.0 %</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86.5 %</w:t>
            </w:r>
          </w:p>
        </w:tc>
        <w:tc>
          <w:tcPr>
            <w:tcW w:w="20" w:type="dxa"/>
            <w:vAlign w:val="bottom"/>
          </w:tcPr>
          <w:p>
            <w:pPr>
              <w:spacing w:after="0"/>
              <w:rPr>
                <w:sz w:val="17"/>
                <w:szCs w:val="17"/>
                <w:color w:val="auto"/>
              </w:rPr>
            </w:pPr>
          </w:p>
        </w:tc>
      </w:tr>
      <w:tr>
        <w:trPr>
          <w:trHeight w:val="207"/>
        </w:trPr>
        <w:tc>
          <w:tcPr>
            <w:tcW w:w="2840" w:type="dxa"/>
            <w:vAlign w:val="bottom"/>
          </w:tcPr>
          <w:p>
            <w:pPr>
              <w:spacing w:after="0"/>
              <w:rPr>
                <w:sz w:val="20"/>
                <w:szCs w:val="20"/>
                <w:color w:val="auto"/>
              </w:rPr>
            </w:pPr>
            <w:r>
              <w:rPr>
                <w:rFonts w:ascii="Arial" w:cs="Arial" w:eastAsia="Arial" w:hAnsi="Arial"/>
                <w:sz w:val="15"/>
                <w:szCs w:val="15"/>
                <w:color w:val="auto"/>
              </w:rPr>
              <w:t>Comparable sales (decrease)</w:t>
            </w:r>
          </w:p>
        </w:tc>
        <w:tc>
          <w:tcPr>
            <w:tcW w:w="9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2.4 %</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(5.1)%</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(0.6)%</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(4.5)%</w:t>
            </w:r>
          </w:p>
        </w:tc>
        <w:tc>
          <w:tcPr>
            <w:tcW w:w="20" w:type="dxa"/>
            <w:vAlign w:val="bottom"/>
          </w:tcPr>
          <w:p>
            <w:pPr>
              <w:spacing w:after="0"/>
              <w:rPr>
                <w:sz w:val="17"/>
                <w:szCs w:val="17"/>
                <w:color w:val="auto"/>
              </w:rPr>
            </w:pPr>
          </w:p>
        </w:tc>
      </w:tr>
      <w:tr>
        <w:trPr>
          <w:trHeight w:val="207"/>
        </w:trPr>
        <w:tc>
          <w:tcPr>
            <w:tcW w:w="28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2840" w:type="dxa"/>
            <w:vAlign w:val="bottom"/>
          </w:tcPr>
          <w:p>
            <w:pPr>
              <w:spacing w:after="0"/>
              <w:rPr>
                <w:sz w:val="20"/>
                <w:szCs w:val="20"/>
                <w:color w:val="auto"/>
              </w:rPr>
            </w:pPr>
            <w:r>
              <w:rPr>
                <w:rFonts w:ascii="Arial" w:cs="Arial" w:eastAsia="Arial" w:hAnsi="Arial"/>
                <w:sz w:val="15"/>
                <w:szCs w:val="15"/>
                <w:b w:val="1"/>
                <w:bCs w:val="1"/>
                <w:color w:val="auto"/>
              </w:rPr>
              <w:t>Direct-to-customers</w:t>
            </w: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Sales</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269</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258</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791</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753</w:t>
            </w:r>
          </w:p>
        </w:tc>
        <w:tc>
          <w:tcPr>
            <w:tcW w:w="20" w:type="dxa"/>
            <w:vAlign w:val="bottom"/>
          </w:tcPr>
          <w:p>
            <w:pPr>
              <w:spacing w:after="0"/>
              <w:rPr>
                <w:sz w:val="17"/>
                <w:szCs w:val="17"/>
                <w:color w:val="auto"/>
              </w:rPr>
            </w:pPr>
          </w:p>
        </w:tc>
      </w:tr>
      <w:tr>
        <w:trPr>
          <w:trHeight w:val="207"/>
        </w:trPr>
        <w:tc>
          <w:tcPr>
            <w:tcW w:w="2840" w:type="dxa"/>
            <w:vAlign w:val="bottom"/>
          </w:tcPr>
          <w:p>
            <w:pPr>
              <w:spacing w:after="0"/>
              <w:rPr>
                <w:sz w:val="20"/>
                <w:szCs w:val="20"/>
                <w:color w:val="auto"/>
              </w:rPr>
            </w:pPr>
            <w:r>
              <w:rPr>
                <w:rFonts w:ascii="Arial" w:cs="Arial" w:eastAsia="Arial" w:hAnsi="Arial"/>
                <w:sz w:val="15"/>
                <w:szCs w:val="15"/>
                <w:color w:val="auto"/>
              </w:rPr>
              <w:t>$ Change</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tcPr>
          <w:p>
            <w:pPr>
              <w:jc w:val="right"/>
              <w:ind w:right="163"/>
              <w:spacing w:after="0"/>
              <w:rPr>
                <w:sz w:val="20"/>
                <w:szCs w:val="20"/>
                <w:color w:val="auto"/>
              </w:rPr>
            </w:pPr>
            <w:r>
              <w:rPr>
                <w:rFonts w:ascii="Arial" w:cs="Arial" w:eastAsia="Arial" w:hAnsi="Arial"/>
                <w:sz w:val="15"/>
                <w:szCs w:val="15"/>
                <w:b w:val="1"/>
                <w:bCs w:val="1"/>
                <w:color w:val="auto"/>
              </w:rPr>
              <w:t>11</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tcPr>
          <w:p>
            <w:pPr>
              <w:jc w:val="right"/>
              <w:ind w:right="143"/>
              <w:spacing w:after="0"/>
              <w:rPr>
                <w:sz w:val="20"/>
                <w:szCs w:val="20"/>
                <w:color w:val="auto"/>
              </w:rPr>
            </w:pPr>
            <w:r>
              <w:rPr>
                <w:rFonts w:ascii="Arial" w:cs="Arial" w:eastAsia="Arial" w:hAnsi="Arial"/>
                <w:sz w:val="15"/>
                <w:szCs w:val="15"/>
                <w:b w:val="1"/>
                <w:bCs w:val="1"/>
                <w:color w:val="auto"/>
              </w:rPr>
              <w:t>38</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 Change</w:t>
            </w:r>
          </w:p>
        </w:tc>
        <w:tc>
          <w:tcPr>
            <w:tcW w:w="9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4.3 %</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5.0 %</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2840" w:type="dxa"/>
            <w:vAlign w:val="bottom"/>
          </w:tcPr>
          <w:p>
            <w:pPr>
              <w:spacing w:after="0"/>
              <w:rPr>
                <w:sz w:val="20"/>
                <w:szCs w:val="20"/>
                <w:color w:val="auto"/>
              </w:rPr>
            </w:pPr>
            <w:r>
              <w:rPr>
                <w:rFonts w:ascii="Arial" w:cs="Arial" w:eastAsia="Arial" w:hAnsi="Arial"/>
                <w:sz w:val="15"/>
                <w:szCs w:val="15"/>
                <w:color w:val="auto"/>
              </w:rPr>
              <w:t>% of total sales</w:t>
            </w:r>
          </w:p>
        </w:tc>
        <w:tc>
          <w:tcPr>
            <w:tcW w:w="9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14.5 %</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13.8 %</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14.0 %</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13.5 %</w:t>
            </w:r>
          </w:p>
        </w:tc>
        <w:tc>
          <w:tcPr>
            <w:tcW w:w="20" w:type="dxa"/>
            <w:vAlign w:val="bottom"/>
          </w:tcPr>
          <w:p>
            <w:pPr>
              <w:spacing w:after="0"/>
              <w:rPr>
                <w:sz w:val="17"/>
                <w:szCs w:val="17"/>
                <w:color w:val="auto"/>
              </w:rPr>
            </w:pPr>
          </w:p>
        </w:tc>
      </w:tr>
      <w:tr>
        <w:trPr>
          <w:trHeight w:val="207"/>
        </w:trPr>
        <w:tc>
          <w:tcPr>
            <w:tcW w:w="2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Comparable sales increase</w:t>
            </w:r>
          </w:p>
        </w:tc>
        <w:tc>
          <w:tcPr>
            <w:tcW w:w="9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5.9 %</w:t>
            </w: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6.1 %</w:t>
            </w: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4.5 %</w:t>
            </w: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8.1 %</w:t>
            </w:r>
          </w:p>
        </w:tc>
        <w:tc>
          <w:tcPr>
            <w:tcW w:w="20" w:type="dxa"/>
            <w:vAlign w:val="bottom"/>
          </w:tcPr>
          <w:p>
            <w:pPr>
              <w:spacing w:after="0"/>
              <w:rPr>
                <w:sz w:val="17"/>
                <w:szCs w:val="17"/>
                <w:color w:val="auto"/>
              </w:rPr>
            </w:pPr>
          </w:p>
        </w:tc>
      </w:tr>
      <w:tr>
        <w:trPr>
          <w:trHeight w:val="367"/>
        </w:trPr>
        <w:tc>
          <w:tcPr>
            <w:tcW w:w="2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jc w:val="right"/>
              <w:ind w:right="243"/>
              <w:spacing w:after="0"/>
              <w:rPr>
                <w:sz w:val="20"/>
                <w:szCs w:val="20"/>
                <w:color w:val="auto"/>
              </w:rPr>
            </w:pPr>
            <w:r>
              <w:rPr>
                <w:rFonts w:ascii="Arial" w:cs="Arial" w:eastAsia="Arial" w:hAnsi="Arial"/>
                <w:sz w:val="15"/>
                <w:szCs w:val="15"/>
                <w:color w:val="auto"/>
              </w:rPr>
              <w:t>20</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8"/>
        </w:trPr>
        <w:tc>
          <w:tcPr>
            <w:tcW w:w="28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284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358" w:right="1379" w:bottom="1440" w:gutter="0" w:footer="0" w:header="0"/>
        </w:sectPr>
      </w:pPr>
    </w:p>
    <w:bookmarkStart w:id="22" w:name="page23"/>
    <w:bookmarkEnd w:id="22"/>
    <w:p>
      <w:pPr>
        <w:jc w:val="both"/>
        <w:spacing w:after="0" w:line="245" w:lineRule="auto"/>
        <w:rPr>
          <w:sz w:val="20"/>
          <w:szCs w:val="20"/>
          <w:color w:val="auto"/>
        </w:rPr>
      </w:pPr>
      <w:r>
        <w:rPr>
          <w:rFonts w:ascii="Arial" w:cs="Arial" w:eastAsia="Arial" w:hAnsi="Arial"/>
          <w:sz w:val="15"/>
          <w:szCs w:val="15"/>
          <w:color w:val="auto"/>
        </w:rPr>
        <w:t>Effective with the first quarter of 2018, the Company discloses one reportable segment and, accordingly, the following discussion describes the changes in sales by banner on an omni-channel basis, meaning that each banner’s results are inclusive of its store and e-commerce activity, unless noted otherwise.</w:t>
      </w:r>
    </w:p>
    <w:p>
      <w:pPr>
        <w:spacing w:after="0" w:line="153"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Overall, both channels generated a comparable sales gain for the thirteen weeks ended November 3, 2018. This result was led by the growth in our direct-to-customers channel, which increased by 5.9 percent and 4.5 percent for the thirteen and thirty-nine weeks ended November 3, 2018, respectively. The improvement in our direct-to-customers channel reflected positive customer sentiment as a result of our various e-commerce enhancements. Our stores channel sales increased by 2.4 percent for the third quarter and declined by 0.6 percent for the year-to-date period.</w:t>
      </w:r>
    </w:p>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Excluding the effect of foreign currency, the increase in store sales for the thirteen weeks ended November 3, 2018 reflected primarily increased sales from our Foot Locker stores operating in Europe, partially offset by a decline in sales from our Footaction stores. Our U.S. banners were negatively affected by the shift in sales from the 53</w:t>
      </w:r>
      <w:r>
        <w:rPr>
          <w:rFonts w:ascii="Arial" w:cs="Arial" w:eastAsia="Arial" w:hAnsi="Arial"/>
          <w:sz w:val="8"/>
          <w:szCs w:val="8"/>
          <w:color w:val="auto"/>
        </w:rPr>
        <w:t>rd</w:t>
      </w:r>
      <w:r>
        <w:rPr>
          <w:rFonts w:ascii="Arial" w:cs="Arial" w:eastAsia="Arial" w:hAnsi="Arial"/>
          <w:sz w:val="15"/>
          <w:szCs w:val="15"/>
          <w:color w:val="auto"/>
        </w:rPr>
        <w:t xml:space="preserve"> week of 2017. For the thirty-nine weeks ended November 3, 2018, sales from our stores channel increased primarily from our Foot Locker stores operating in the U.S.; however, this was partially offset by declines in sales from our stores operating in Europe.</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From a product perspective for the combined channels, the increase in comparable sales was across both our apparel and footwear categories. The year-to-date increase was attributable to an increase in apparel sales, partially offset by a decline in footwear sales.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increase in the apparel category for both the quarter and year-to-date periods reflected the continued success in men’s and children’s branded apparel, which was offset, in part, by declines in sales of men’s private-label apparel.</w:t>
      </w:r>
    </w:p>
    <w:p>
      <w:pPr>
        <w:spacing w:after="0" w:line="146"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Sales of men’s and women’s footwear led the comparable sales increase for the thirteen weeks ended November 3, 2018. The increase in men’s footwear primarily represented gains in running styles, which was partially offset by the continuation of the decline in sales of basketball styles. The increase in women’s footwear primarily reflected gains in running and court styles.</w:t>
      </w:r>
    </w:p>
    <w:p>
      <w:pPr>
        <w:spacing w:after="0" w:line="153" w:lineRule="exact"/>
        <w:rPr>
          <w:sz w:val="20"/>
          <w:szCs w:val="20"/>
          <w:color w:val="auto"/>
        </w:rPr>
      </w:pPr>
    </w:p>
    <w:p>
      <w:pPr>
        <w:jc w:val="both"/>
        <w:spacing w:after="0"/>
        <w:rPr>
          <w:sz w:val="20"/>
          <w:szCs w:val="20"/>
          <w:color w:val="auto"/>
        </w:rPr>
      </w:pPr>
      <w:r>
        <w:rPr>
          <w:rFonts w:ascii="Arial" w:cs="Arial" w:eastAsia="Arial" w:hAnsi="Arial"/>
          <w:sz w:val="15"/>
          <w:szCs w:val="15"/>
          <w:color w:val="auto"/>
        </w:rPr>
        <w:t>The comparable sales decline in footwear for the thirty-nine weeks ended November 3, 2018 reflected decreases in women’s and children’s footwear sales, partially offset by gains in sales of men’s footwear. The comparable sales decline in women’s footwear for the year-to-date period primarily reflected declines in sales of women’s running and court styles as the result of our prior-year success of certain women’s offerings with no comparable offerings during the early part of 2018. The increase in men’s footwear sales for the thirty-nine weeks ended November 3, 2018 primarily represented gains in sales of running styles, which was partially offset by declines in sales of men’s basketball styles.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60" w:type="dxa"/>
            <w:vAlign w:val="bottom"/>
            <w:gridSpan w:val="2"/>
          </w:tcPr>
          <w:p>
            <w:pPr>
              <w:spacing w:after="0"/>
              <w:rPr>
                <w:sz w:val="20"/>
                <w:szCs w:val="20"/>
                <w:color w:val="auto"/>
              </w:rPr>
            </w:pPr>
            <w:r>
              <w:rPr>
                <w:rFonts w:ascii="Arial" w:cs="Arial" w:eastAsia="Arial" w:hAnsi="Arial"/>
                <w:sz w:val="15"/>
                <w:szCs w:val="15"/>
                <w:i w:val="1"/>
                <w:iCs w:val="1"/>
                <w:color w:val="auto"/>
              </w:rPr>
              <w:t>Gross Margin</w:t>
            </w:r>
          </w:p>
        </w:tc>
        <w:tc>
          <w:tcPr>
            <w:tcW w:w="2860" w:type="dxa"/>
            <w:vAlign w:val="bottom"/>
            <w:gridSpan w:val="2"/>
            <w:vMerge w:val="restart"/>
          </w:tcPr>
          <w:p>
            <w:pPr>
              <w:jc w:val="right"/>
              <w:ind w:right="483"/>
              <w:spacing w:after="0"/>
              <w:rPr>
                <w:sz w:val="20"/>
                <w:szCs w:val="20"/>
                <w:color w:val="auto"/>
              </w:rPr>
            </w:pPr>
            <w:r>
              <w:rPr>
                <w:rFonts w:ascii="Arial" w:cs="Arial" w:eastAsia="Arial" w:hAnsi="Arial"/>
                <w:sz w:val="15"/>
                <w:szCs w:val="15"/>
                <w:b w:val="1"/>
                <w:bCs w:val="1"/>
                <w:color w:val="auto"/>
              </w:rPr>
              <w:t>Thirteen weeks ended</w:t>
            </w:r>
          </w:p>
        </w:tc>
        <w:tc>
          <w:tcPr>
            <w:tcW w:w="2580" w:type="dxa"/>
            <w:vAlign w:val="bottom"/>
            <w:gridSpan w:val="2"/>
            <w:vMerge w:val="restart"/>
          </w:tcPr>
          <w:p>
            <w:pPr>
              <w:jc w:val="right"/>
              <w:ind w:right="263"/>
              <w:spacing w:after="0"/>
              <w:rPr>
                <w:sz w:val="20"/>
                <w:szCs w:val="20"/>
                <w:color w:val="auto"/>
              </w:rPr>
            </w:pPr>
            <w:r>
              <w:rPr>
                <w:rFonts w:ascii="Arial" w:cs="Arial" w:eastAsia="Arial" w:hAnsi="Arial"/>
                <w:sz w:val="15"/>
                <w:szCs w:val="15"/>
                <w:b w:val="1"/>
                <w:bCs w:val="1"/>
                <w:color w:val="auto"/>
              </w:rPr>
              <w:t>Thirty-nine weeks ended</w:t>
            </w:r>
          </w:p>
        </w:tc>
        <w:tc>
          <w:tcPr>
            <w:tcW w:w="0" w:type="dxa"/>
            <w:vAlign w:val="bottom"/>
          </w:tcPr>
          <w:p>
            <w:pPr>
              <w:spacing w:after="0"/>
              <w:rPr>
                <w:sz w:val="1"/>
                <w:szCs w:val="1"/>
                <w:color w:val="auto"/>
              </w:rPr>
            </w:pPr>
          </w:p>
        </w:tc>
      </w:tr>
      <w:tr>
        <w:trPr>
          <w:trHeight w:val="199"/>
        </w:trPr>
        <w:tc>
          <w:tcPr>
            <w:tcW w:w="920" w:type="dxa"/>
            <w:vAlign w:val="bottom"/>
            <w:tcBorders>
              <w:top w:val="single" w:sz="8" w:color="auto"/>
              <w:bottom w:val="single" w:sz="8" w:color="auto"/>
            </w:tcBorders>
          </w:tcPr>
          <w:p>
            <w:pPr>
              <w:spacing w:after="0"/>
              <w:rPr>
                <w:sz w:val="17"/>
                <w:szCs w:val="17"/>
                <w:color w:val="auto"/>
              </w:rPr>
            </w:pPr>
          </w:p>
        </w:tc>
        <w:tc>
          <w:tcPr>
            <w:tcW w:w="27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2"/>
            <w:vMerge w:val="continue"/>
          </w:tcPr>
          <w:p>
            <w:pPr>
              <w:spacing w:after="0"/>
              <w:rPr>
                <w:sz w:val="17"/>
                <w:szCs w:val="17"/>
                <w:color w:val="auto"/>
              </w:rPr>
            </w:pPr>
          </w:p>
        </w:tc>
        <w:tc>
          <w:tcPr>
            <w:tcW w:w="25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520" w:type="dxa"/>
            <w:vAlign w:val="bottom"/>
          </w:tcPr>
          <w:p>
            <w:pPr>
              <w:jc w:val="right"/>
              <w:ind w:right="143"/>
              <w:spacing w:after="0" w:line="139" w:lineRule="exact"/>
              <w:rPr>
                <w:sz w:val="20"/>
                <w:szCs w:val="20"/>
                <w:color w:val="auto"/>
              </w:rPr>
            </w:pPr>
            <w:r>
              <w:rPr>
                <w:rFonts w:ascii="Arial" w:cs="Arial" w:eastAsia="Arial" w:hAnsi="Arial"/>
                <w:sz w:val="15"/>
                <w:szCs w:val="15"/>
                <w:b w:val="1"/>
                <w:bCs w:val="1"/>
                <w:color w:val="auto"/>
              </w:rPr>
              <w:t>November 3,</w:t>
            </w:r>
          </w:p>
        </w:tc>
        <w:tc>
          <w:tcPr>
            <w:tcW w:w="1340" w:type="dxa"/>
            <w:vAlign w:val="bottom"/>
          </w:tcPr>
          <w:p>
            <w:pPr>
              <w:jc w:val="center"/>
              <w:spacing w:after="0" w:line="139" w:lineRule="exact"/>
              <w:rPr>
                <w:sz w:val="20"/>
                <w:szCs w:val="20"/>
                <w:color w:val="auto"/>
              </w:rPr>
            </w:pPr>
            <w:r>
              <w:rPr>
                <w:rFonts w:ascii="Arial" w:cs="Arial" w:eastAsia="Arial" w:hAnsi="Arial"/>
                <w:sz w:val="15"/>
                <w:szCs w:val="15"/>
                <w:b w:val="1"/>
                <w:bCs w:val="1"/>
                <w:color w:val="auto"/>
              </w:rPr>
              <w:t>October 28,</w:t>
            </w:r>
          </w:p>
        </w:tc>
        <w:tc>
          <w:tcPr>
            <w:tcW w:w="1360" w:type="dxa"/>
            <w:vAlign w:val="bottom"/>
          </w:tcPr>
          <w:p>
            <w:pPr>
              <w:jc w:val="right"/>
              <w:ind w:right="163"/>
              <w:spacing w:after="0" w:line="139" w:lineRule="exact"/>
              <w:rPr>
                <w:sz w:val="20"/>
                <w:szCs w:val="20"/>
                <w:color w:val="auto"/>
              </w:rPr>
            </w:pPr>
            <w:r>
              <w:rPr>
                <w:rFonts w:ascii="Arial" w:cs="Arial" w:eastAsia="Arial" w:hAnsi="Arial"/>
                <w:sz w:val="15"/>
                <w:szCs w:val="15"/>
                <w:b w:val="1"/>
                <w:bCs w:val="1"/>
                <w:color w:val="auto"/>
              </w:rPr>
              <w:t>November 3,</w:t>
            </w:r>
          </w:p>
        </w:tc>
        <w:tc>
          <w:tcPr>
            <w:tcW w:w="1220" w:type="dxa"/>
            <w:vAlign w:val="bottom"/>
          </w:tcPr>
          <w:p>
            <w:pPr>
              <w:jc w:val="center"/>
              <w:ind w:left="3"/>
              <w:spacing w:after="0" w:line="139" w:lineRule="exact"/>
              <w:rPr>
                <w:sz w:val="20"/>
                <w:szCs w:val="20"/>
                <w:color w:val="auto"/>
              </w:rPr>
            </w:pPr>
            <w:r>
              <w:rPr>
                <w:rFonts w:ascii="Arial" w:cs="Arial" w:eastAsia="Arial" w:hAnsi="Arial"/>
                <w:sz w:val="15"/>
                <w:szCs w:val="15"/>
                <w:b w:val="1"/>
                <w:bCs w:val="1"/>
                <w:color w:val="auto"/>
              </w:rPr>
              <w:t>October 28,</w:t>
            </w:r>
          </w:p>
        </w:tc>
        <w:tc>
          <w:tcPr>
            <w:tcW w:w="0" w:type="dxa"/>
            <w:vAlign w:val="bottom"/>
          </w:tcPr>
          <w:p>
            <w:pPr>
              <w:spacing w:after="0"/>
              <w:rPr>
                <w:sz w:val="1"/>
                <w:szCs w:val="1"/>
                <w:color w:val="auto"/>
              </w:rPr>
            </w:pPr>
          </w:p>
        </w:tc>
      </w:tr>
      <w:tr>
        <w:trPr>
          <w:trHeight w:val="194"/>
        </w:trPr>
        <w:tc>
          <w:tcPr>
            <w:tcW w:w="9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2018</w:t>
            </w:r>
          </w:p>
        </w:tc>
        <w:tc>
          <w:tcPr>
            <w:tcW w:w="134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2017</w:t>
            </w:r>
          </w:p>
        </w:tc>
        <w:tc>
          <w:tcPr>
            <w:tcW w:w="136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2018</w:t>
            </w:r>
          </w:p>
        </w:tc>
        <w:tc>
          <w:tcPr>
            <w:tcW w:w="122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2017</w:t>
            </w:r>
          </w:p>
        </w:tc>
        <w:tc>
          <w:tcPr>
            <w:tcW w:w="0" w:type="dxa"/>
            <w:vAlign w:val="bottom"/>
          </w:tcPr>
          <w:p>
            <w:pPr>
              <w:spacing w:after="0"/>
              <w:rPr>
                <w:sz w:val="1"/>
                <w:szCs w:val="1"/>
                <w:color w:val="auto"/>
              </w:rPr>
            </w:pPr>
          </w:p>
        </w:tc>
      </w:tr>
      <w:tr>
        <w:trPr>
          <w:trHeight w:val="187"/>
        </w:trPr>
        <w:tc>
          <w:tcPr>
            <w:tcW w:w="3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Gross margin rate</w:t>
            </w:r>
          </w:p>
        </w:tc>
        <w:tc>
          <w:tcPr>
            <w:tcW w:w="152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31.6 %</w:t>
            </w:r>
          </w:p>
        </w:tc>
        <w:tc>
          <w:tcPr>
            <w:tcW w:w="13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31.0 %</w:t>
            </w:r>
          </w:p>
        </w:tc>
        <w:tc>
          <w:tcPr>
            <w:tcW w:w="136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31.6 %</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31.6 %</w:t>
            </w:r>
          </w:p>
        </w:tc>
        <w:tc>
          <w:tcPr>
            <w:tcW w:w="0" w:type="dxa"/>
            <w:vAlign w:val="bottom"/>
          </w:tcPr>
          <w:p>
            <w:pPr>
              <w:spacing w:after="0"/>
              <w:rPr>
                <w:sz w:val="1"/>
                <w:szCs w:val="1"/>
                <w:color w:val="auto"/>
              </w:rPr>
            </w:pPr>
          </w:p>
        </w:tc>
      </w:tr>
      <w:tr>
        <w:trPr>
          <w:trHeight w:val="207"/>
        </w:trPr>
        <w:tc>
          <w:tcPr>
            <w:tcW w:w="3660" w:type="dxa"/>
            <w:vAlign w:val="bottom"/>
            <w:gridSpan w:val="2"/>
          </w:tcPr>
          <w:p>
            <w:pPr>
              <w:spacing w:after="0"/>
              <w:rPr>
                <w:sz w:val="20"/>
                <w:szCs w:val="20"/>
                <w:color w:val="auto"/>
              </w:rPr>
            </w:pPr>
            <w:r>
              <w:rPr>
                <w:rFonts w:ascii="Arial" w:cs="Arial" w:eastAsia="Arial" w:hAnsi="Arial"/>
                <w:sz w:val="15"/>
                <w:szCs w:val="15"/>
                <w:color w:val="auto"/>
              </w:rPr>
              <w:t>Basis point change in the gross margin rate</w:t>
            </w:r>
          </w:p>
        </w:tc>
        <w:tc>
          <w:tcPr>
            <w:tcW w:w="1520" w:type="dxa"/>
            <w:vAlign w:val="bottom"/>
          </w:tcPr>
          <w:p>
            <w:pPr>
              <w:jc w:val="right"/>
              <w:ind w:right="303"/>
              <w:spacing w:after="0"/>
              <w:rPr>
                <w:sz w:val="20"/>
                <w:szCs w:val="20"/>
                <w:color w:val="auto"/>
              </w:rPr>
            </w:pPr>
            <w:r>
              <w:rPr>
                <w:rFonts w:ascii="Arial" w:cs="Arial" w:eastAsia="Arial" w:hAnsi="Arial"/>
                <w:sz w:val="15"/>
                <w:szCs w:val="15"/>
                <w:b w:val="1"/>
                <w:bCs w:val="1"/>
                <w:color w:val="auto"/>
              </w:rPr>
              <w:t>60</w:t>
            </w:r>
          </w:p>
        </w:tc>
        <w:tc>
          <w:tcPr>
            <w:tcW w:w="1340" w:type="dxa"/>
            <w:vAlign w:val="bottom"/>
          </w:tcPr>
          <w:p>
            <w:pPr>
              <w:spacing w:after="0"/>
              <w:rPr>
                <w:sz w:val="17"/>
                <w:szCs w:val="17"/>
                <w:color w:val="auto"/>
              </w:rPr>
            </w:pPr>
          </w:p>
        </w:tc>
        <w:tc>
          <w:tcPr>
            <w:tcW w:w="1360" w:type="dxa"/>
            <w:vAlign w:val="bottom"/>
          </w:tcPr>
          <w:p>
            <w:pPr>
              <w:jc w:val="right"/>
              <w:ind w:right="283"/>
              <w:spacing w:after="0"/>
              <w:rPr>
                <w:sz w:val="20"/>
                <w:szCs w:val="20"/>
                <w:color w:val="auto"/>
              </w:rPr>
            </w:pPr>
            <w:r>
              <w:rPr>
                <w:rFonts w:ascii="Arial" w:cs="Arial" w:eastAsia="Arial" w:hAnsi="Arial"/>
                <w:sz w:val="15"/>
                <w:szCs w:val="15"/>
                <w:b w:val="1"/>
                <w:bCs w:val="1"/>
                <w:color w:val="auto"/>
              </w:rPr>
              <w:t>—</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66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Components of the change-</w:t>
            </w:r>
          </w:p>
        </w:tc>
        <w:tc>
          <w:tcPr>
            <w:tcW w:w="15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660" w:type="dxa"/>
            <w:vAlign w:val="bottom"/>
            <w:gridSpan w:val="2"/>
          </w:tcPr>
          <w:p>
            <w:pPr>
              <w:ind w:left="200"/>
              <w:spacing w:after="0"/>
              <w:rPr>
                <w:sz w:val="20"/>
                <w:szCs w:val="20"/>
                <w:color w:val="auto"/>
              </w:rPr>
            </w:pPr>
            <w:r>
              <w:rPr>
                <w:rFonts w:ascii="Arial" w:cs="Arial" w:eastAsia="Arial" w:hAnsi="Arial"/>
                <w:sz w:val="15"/>
                <w:szCs w:val="15"/>
                <w:color w:val="auto"/>
              </w:rPr>
              <w:t>Increase in the merchandise margin rate</w:t>
            </w:r>
          </w:p>
        </w:tc>
        <w:tc>
          <w:tcPr>
            <w:tcW w:w="1520" w:type="dxa"/>
            <w:vAlign w:val="bottom"/>
          </w:tcPr>
          <w:p>
            <w:pPr>
              <w:jc w:val="right"/>
              <w:ind w:right="303"/>
              <w:spacing w:after="0"/>
              <w:rPr>
                <w:sz w:val="20"/>
                <w:szCs w:val="20"/>
                <w:color w:val="auto"/>
              </w:rPr>
            </w:pPr>
            <w:r>
              <w:rPr>
                <w:rFonts w:ascii="Arial" w:cs="Arial" w:eastAsia="Arial" w:hAnsi="Arial"/>
                <w:sz w:val="15"/>
                <w:szCs w:val="15"/>
                <w:b w:val="1"/>
                <w:bCs w:val="1"/>
                <w:color w:val="auto"/>
              </w:rPr>
              <w:t>80</w:t>
            </w:r>
          </w:p>
        </w:tc>
        <w:tc>
          <w:tcPr>
            <w:tcW w:w="1340" w:type="dxa"/>
            <w:vAlign w:val="bottom"/>
          </w:tcPr>
          <w:p>
            <w:pPr>
              <w:spacing w:after="0"/>
              <w:rPr>
                <w:sz w:val="17"/>
                <w:szCs w:val="17"/>
                <w:color w:val="auto"/>
              </w:rPr>
            </w:pPr>
          </w:p>
        </w:tc>
        <w:tc>
          <w:tcPr>
            <w:tcW w:w="1360" w:type="dxa"/>
            <w:vAlign w:val="bottom"/>
          </w:tcPr>
          <w:p>
            <w:pPr>
              <w:jc w:val="right"/>
              <w:ind w:right="323"/>
              <w:spacing w:after="0"/>
              <w:rPr>
                <w:sz w:val="20"/>
                <w:szCs w:val="20"/>
                <w:color w:val="auto"/>
              </w:rPr>
            </w:pPr>
            <w:r>
              <w:rPr>
                <w:rFonts w:ascii="Arial" w:cs="Arial" w:eastAsia="Arial" w:hAnsi="Arial"/>
                <w:sz w:val="15"/>
                <w:szCs w:val="15"/>
                <w:b w:val="1"/>
                <w:bCs w:val="1"/>
                <w:color w:val="auto"/>
              </w:rPr>
              <w:t>10</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Higher occupancy and buyers' compensation</w:t>
            </w:r>
          </w:p>
        </w:tc>
        <w:tc>
          <w:tcPr>
            <w:tcW w:w="1520" w:type="dxa"/>
            <w:vAlign w:val="bottom"/>
            <w:vMerge w:val="restart"/>
            <w:shd w:val="clear" w:color="auto" w:fill="CCEEFF"/>
          </w:tcPr>
          <w:p>
            <w:pPr>
              <w:jc w:val="right"/>
              <w:ind w:right="263"/>
              <w:spacing w:after="0"/>
              <w:rPr>
                <w:sz w:val="20"/>
                <w:szCs w:val="20"/>
                <w:color w:val="auto"/>
              </w:rPr>
            </w:pPr>
            <w:r>
              <w:rPr>
                <w:rFonts w:ascii="Arial" w:cs="Arial" w:eastAsia="Arial" w:hAnsi="Arial"/>
                <w:sz w:val="15"/>
                <w:szCs w:val="15"/>
                <w:b w:val="1"/>
                <w:bCs w:val="1"/>
                <w:color w:val="auto"/>
              </w:rPr>
              <w:t>(20)</w:t>
            </w:r>
          </w:p>
        </w:tc>
        <w:tc>
          <w:tcPr>
            <w:tcW w:w="134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right"/>
              <w:ind w:right="283"/>
              <w:spacing w:after="0"/>
              <w:rPr>
                <w:sz w:val="20"/>
                <w:szCs w:val="20"/>
                <w:color w:val="auto"/>
              </w:rPr>
            </w:pPr>
            <w:r>
              <w:rPr>
                <w:rFonts w:ascii="Arial" w:cs="Arial" w:eastAsia="Arial" w:hAnsi="Arial"/>
                <w:sz w:val="15"/>
                <w:szCs w:val="15"/>
                <w:b w:val="1"/>
                <w:bCs w:val="1"/>
                <w:color w:val="auto"/>
              </w:rPr>
              <w:t>(10)</w:t>
            </w: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60" w:type="dxa"/>
            <w:vAlign w:val="bottom"/>
            <w:tcBorders>
              <w:bottom w:val="single" w:sz="8" w:color="auto"/>
            </w:tcBorders>
            <w:gridSpan w:val="2"/>
            <w:shd w:val="clear" w:color="auto" w:fill="CCEEFF"/>
          </w:tcPr>
          <w:p>
            <w:pPr>
              <w:ind w:left="300"/>
              <w:spacing w:after="0"/>
              <w:rPr>
                <w:sz w:val="20"/>
                <w:szCs w:val="20"/>
                <w:color w:val="auto"/>
              </w:rPr>
            </w:pPr>
            <w:r>
              <w:rPr>
                <w:rFonts w:ascii="Arial" w:cs="Arial" w:eastAsia="Arial" w:hAnsi="Arial"/>
                <w:sz w:val="15"/>
                <w:szCs w:val="15"/>
                <w:color w:val="auto"/>
              </w:rPr>
              <w:t>expense rate</w:t>
            </w:r>
          </w:p>
        </w:tc>
        <w:tc>
          <w:tcPr>
            <w:tcW w:w="1520" w:type="dxa"/>
            <w:vAlign w:val="bottom"/>
            <w:tcBorders>
              <w:bottom w:val="single" w:sz="8" w:color="auto"/>
            </w:tcBorders>
            <w:vMerge w:val="continue"/>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vMerge w:val="continue"/>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Gross margin is calculated as sales minus cost of sales. Cost of sales includes: the cost of merchandise, freight, distribution costs including related depreciation expense, shipping and handling, occupancy and buyers’ compensation. Occupancy costs include rent, common area maintenance charges, real estate taxes, general maintenance, and utilities.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29" w:right="1399" w:bottom="1440" w:gutter="0" w:footer="0" w:header="0"/>
        </w:sectPr>
      </w:pPr>
    </w:p>
    <w:bookmarkStart w:id="23" w:name="page24"/>
    <w:bookmarkEnd w:id="23"/>
    <w:p>
      <w:pPr>
        <w:jc w:val="both"/>
        <w:spacing w:after="0" w:line="239" w:lineRule="auto"/>
        <w:rPr>
          <w:sz w:val="20"/>
          <w:szCs w:val="20"/>
          <w:color w:val="auto"/>
        </w:rPr>
      </w:pPr>
      <w:r>
        <w:rPr>
          <w:rFonts w:ascii="Arial" w:cs="Arial" w:eastAsia="Arial" w:hAnsi="Arial"/>
          <w:sz w:val="15"/>
          <w:szCs w:val="15"/>
          <w:color w:val="auto"/>
        </w:rPr>
        <w:t>The gross margin rate increased by 60 basis points for the thirteen weeks ended November 3, 2018 and remained the same for the thirty-nine weeks ended November 3, 2018, as compared with the corresponding prior-year periods. The merchandise margin rate improvement primarily reflected lower markdown rates as we increased full-price selling especially as the year progressed. The improvement for both the quarter and year-to-date periods was partially offset by a continued decline in shipping and handling revenue as a result of a higher frequency of free shipping offers. The occupancy and buyer’s compensation expense rate increased for the thirteen weeks ended November 3, 2018, which was primarily the result of lower sales, in part due to the shift that resulted from the 53</w:t>
      </w:r>
      <w:r>
        <w:rPr>
          <w:rFonts w:ascii="Arial" w:cs="Arial" w:eastAsia="Arial" w:hAnsi="Arial"/>
          <w:sz w:val="8"/>
          <w:szCs w:val="8"/>
          <w:color w:val="auto"/>
        </w:rPr>
        <w:t>rd</w:t>
      </w:r>
      <w:r>
        <w:rPr>
          <w:rFonts w:ascii="Arial" w:cs="Arial" w:eastAsia="Arial" w:hAnsi="Arial"/>
          <w:sz w:val="15"/>
          <w:szCs w:val="15"/>
          <w:color w:val="auto"/>
        </w:rPr>
        <w:t xml:space="preserve"> week of 2017, during the quarter as compared with a relatively fixed rent cost.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60" w:type="dxa"/>
            <w:vAlign w:val="bottom"/>
            <w:gridSpan w:val="3"/>
          </w:tcPr>
          <w:p>
            <w:pPr>
              <w:spacing w:after="0"/>
              <w:rPr>
                <w:sz w:val="20"/>
                <w:szCs w:val="20"/>
                <w:color w:val="auto"/>
              </w:rPr>
            </w:pPr>
            <w:r>
              <w:rPr>
                <w:rFonts w:ascii="Arial" w:cs="Arial" w:eastAsia="Arial" w:hAnsi="Arial"/>
                <w:sz w:val="15"/>
                <w:szCs w:val="15"/>
                <w:i w:val="1"/>
                <w:iCs w:val="1"/>
                <w:color w:val="auto"/>
              </w:rPr>
              <w:t>Selling, General and Administrative Expenses (SG&amp;A)</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84"/>
        </w:trPr>
        <w:tc>
          <w:tcPr>
            <w:tcW w:w="27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623"/>
              <w:spacing w:after="0"/>
              <w:rPr>
                <w:sz w:val="20"/>
                <w:szCs w:val="20"/>
                <w:color w:val="auto"/>
              </w:rPr>
            </w:pPr>
            <w:r>
              <w:rPr>
                <w:rFonts w:ascii="Arial" w:cs="Arial" w:eastAsia="Arial" w:hAnsi="Arial"/>
                <w:sz w:val="15"/>
                <w:szCs w:val="15"/>
                <w:b w:val="1"/>
                <w:bCs w:val="1"/>
                <w:color w:val="auto"/>
              </w:rPr>
              <w:t>Thirteen weeks ended</w:t>
            </w: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523"/>
              <w:spacing w:after="0"/>
              <w:rPr>
                <w:sz w:val="20"/>
                <w:szCs w:val="20"/>
                <w:color w:val="auto"/>
              </w:rPr>
            </w:pPr>
            <w:r>
              <w:rPr>
                <w:rFonts w:ascii="Arial" w:cs="Arial" w:eastAsia="Arial" w:hAnsi="Arial"/>
                <w:sz w:val="15"/>
                <w:szCs w:val="15"/>
                <w:b w:val="1"/>
                <w:bCs w:val="1"/>
                <w:color w:val="auto"/>
              </w:rPr>
              <w:t>Thirty-nine weeks ended</w:t>
            </w:r>
          </w:p>
        </w:tc>
      </w:tr>
      <w:tr>
        <w:trPr>
          <w:trHeight w:val="151"/>
        </w:trPr>
        <w:tc>
          <w:tcPr>
            <w:tcW w:w="2780" w:type="dxa"/>
            <w:vAlign w:val="bottom"/>
          </w:tcPr>
          <w:p>
            <w:pPr>
              <w:spacing w:after="0"/>
              <w:rPr>
                <w:sz w:val="13"/>
                <w:szCs w:val="13"/>
                <w:color w:val="auto"/>
              </w:rPr>
            </w:pPr>
          </w:p>
        </w:tc>
        <w:tc>
          <w:tcPr>
            <w:tcW w:w="2040" w:type="dxa"/>
            <w:vAlign w:val="bottom"/>
            <w:gridSpan w:val="3"/>
          </w:tcPr>
          <w:p>
            <w:pPr>
              <w:jc w:val="center"/>
              <w:ind w:left="363"/>
              <w:spacing w:after="0" w:line="151" w:lineRule="exact"/>
              <w:rPr>
                <w:sz w:val="20"/>
                <w:szCs w:val="20"/>
                <w:color w:val="auto"/>
              </w:rPr>
            </w:pPr>
            <w:r>
              <w:rPr>
                <w:rFonts w:ascii="Arial" w:cs="Arial" w:eastAsia="Arial" w:hAnsi="Arial"/>
                <w:sz w:val="15"/>
                <w:szCs w:val="15"/>
                <w:b w:val="1"/>
                <w:bCs w:val="1"/>
                <w:color w:val="auto"/>
              </w:rPr>
              <w:t>November 3,</w:t>
            </w:r>
          </w:p>
        </w:tc>
        <w:tc>
          <w:tcPr>
            <w:tcW w:w="180" w:type="dxa"/>
            <w:vAlign w:val="bottom"/>
          </w:tcPr>
          <w:p>
            <w:pPr>
              <w:spacing w:after="0"/>
              <w:rPr>
                <w:sz w:val="13"/>
                <w:szCs w:val="13"/>
                <w:color w:val="auto"/>
              </w:rPr>
            </w:pPr>
          </w:p>
        </w:tc>
        <w:tc>
          <w:tcPr>
            <w:tcW w:w="1260" w:type="dxa"/>
            <w:vAlign w:val="bottom"/>
          </w:tcPr>
          <w:p>
            <w:pPr>
              <w:jc w:val="right"/>
              <w:ind w:right="283"/>
              <w:spacing w:after="0" w:line="151" w:lineRule="exact"/>
              <w:rPr>
                <w:sz w:val="20"/>
                <w:szCs w:val="20"/>
                <w:color w:val="auto"/>
              </w:rPr>
            </w:pPr>
            <w:r>
              <w:rPr>
                <w:rFonts w:ascii="Arial" w:cs="Arial" w:eastAsia="Arial" w:hAnsi="Arial"/>
                <w:sz w:val="15"/>
                <w:szCs w:val="15"/>
                <w:b w:val="1"/>
                <w:bCs w:val="1"/>
                <w:color w:val="auto"/>
              </w:rPr>
              <w:t>October 28,</w:t>
            </w:r>
          </w:p>
        </w:tc>
        <w:tc>
          <w:tcPr>
            <w:tcW w:w="140" w:type="dxa"/>
            <w:vAlign w:val="bottom"/>
          </w:tcPr>
          <w:p>
            <w:pPr>
              <w:spacing w:after="0"/>
              <w:rPr>
                <w:sz w:val="13"/>
                <w:szCs w:val="13"/>
                <w:color w:val="auto"/>
              </w:rPr>
            </w:pPr>
          </w:p>
        </w:tc>
        <w:tc>
          <w:tcPr>
            <w:tcW w:w="1260" w:type="dxa"/>
            <w:vAlign w:val="bottom"/>
          </w:tcPr>
          <w:p>
            <w:pPr>
              <w:jc w:val="right"/>
              <w:ind w:right="223"/>
              <w:spacing w:after="0" w:line="151" w:lineRule="exact"/>
              <w:rPr>
                <w:sz w:val="20"/>
                <w:szCs w:val="20"/>
                <w:color w:val="auto"/>
              </w:rPr>
            </w:pPr>
            <w:r>
              <w:rPr>
                <w:rFonts w:ascii="Arial" w:cs="Arial" w:eastAsia="Arial" w:hAnsi="Arial"/>
                <w:sz w:val="15"/>
                <w:szCs w:val="15"/>
                <w:b w:val="1"/>
                <w:bCs w:val="1"/>
                <w:color w:val="auto"/>
              </w:rPr>
              <w:t>November 3,</w:t>
            </w:r>
          </w:p>
        </w:tc>
        <w:tc>
          <w:tcPr>
            <w:tcW w:w="180" w:type="dxa"/>
            <w:vAlign w:val="bottom"/>
          </w:tcPr>
          <w:p>
            <w:pPr>
              <w:spacing w:after="0"/>
              <w:rPr>
                <w:sz w:val="13"/>
                <w:szCs w:val="13"/>
                <w:color w:val="auto"/>
              </w:rPr>
            </w:pPr>
          </w:p>
        </w:tc>
        <w:tc>
          <w:tcPr>
            <w:tcW w:w="1260" w:type="dxa"/>
            <w:vAlign w:val="bottom"/>
          </w:tcPr>
          <w:p>
            <w:pPr>
              <w:jc w:val="right"/>
              <w:ind w:right="283"/>
              <w:spacing w:after="0" w:line="151" w:lineRule="exact"/>
              <w:rPr>
                <w:sz w:val="20"/>
                <w:szCs w:val="20"/>
                <w:color w:val="auto"/>
              </w:rPr>
            </w:pPr>
            <w:r>
              <w:rPr>
                <w:rFonts w:ascii="Arial" w:cs="Arial" w:eastAsia="Arial" w:hAnsi="Arial"/>
                <w:sz w:val="15"/>
                <w:szCs w:val="15"/>
                <w:b w:val="1"/>
                <w:bCs w:val="1"/>
                <w:color w:val="auto"/>
              </w:rPr>
              <w:t>October 28,</w:t>
            </w:r>
          </w:p>
        </w:tc>
      </w:tr>
      <w:tr>
        <w:trPr>
          <w:trHeight w:val="194"/>
        </w:trPr>
        <w:tc>
          <w:tcPr>
            <w:tcW w:w="27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2018</w:t>
            </w:r>
          </w:p>
        </w:tc>
        <w:tc>
          <w:tcPr>
            <w:tcW w:w="5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2017</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2018</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2017</w:t>
            </w:r>
          </w:p>
        </w:tc>
      </w:tr>
      <w:tr>
        <w:trPr>
          <w:trHeight w:val="187"/>
        </w:trPr>
        <w:tc>
          <w:tcPr>
            <w:tcW w:w="2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3"/>
          </w:tcPr>
          <w:p>
            <w:pPr>
              <w:jc w:val="right"/>
              <w:ind w:right="963"/>
              <w:spacing w:after="0"/>
              <w:rPr>
                <w:sz w:val="20"/>
                <w:szCs w:val="20"/>
                <w:color w:val="auto"/>
              </w:rPr>
            </w:pPr>
            <w:r>
              <w:rPr>
                <w:rFonts w:ascii="Arial" w:cs="Arial" w:eastAsia="Arial" w:hAnsi="Arial"/>
                <w:sz w:val="15"/>
                <w:szCs w:val="15"/>
                <w:color w:val="auto"/>
              </w:rPr>
              <w:t>($ in millions)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7"/>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SG&amp;A</w:t>
            </w:r>
          </w:p>
        </w:tc>
        <w:tc>
          <w:tcPr>
            <w:tcW w:w="9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w:t>
            </w: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398</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368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26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1,163</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1,078</w:t>
            </w:r>
          </w:p>
        </w:tc>
      </w:tr>
      <w:tr>
        <w:trPr>
          <w:trHeight w:val="207"/>
        </w:trPr>
        <w:tc>
          <w:tcPr>
            <w:tcW w:w="2780" w:type="dxa"/>
            <w:vAlign w:val="bottom"/>
          </w:tcPr>
          <w:p>
            <w:pPr>
              <w:spacing w:after="0"/>
              <w:rPr>
                <w:sz w:val="20"/>
                <w:szCs w:val="20"/>
                <w:color w:val="auto"/>
              </w:rPr>
            </w:pPr>
            <w:r>
              <w:rPr>
                <w:rFonts w:ascii="Arial" w:cs="Arial" w:eastAsia="Arial" w:hAnsi="Arial"/>
                <w:sz w:val="15"/>
                <w:szCs w:val="15"/>
                <w:color w:val="auto"/>
              </w:rPr>
              <w:t>$ Change</w:t>
            </w:r>
          </w:p>
        </w:tc>
        <w:tc>
          <w:tcPr>
            <w:tcW w:w="920" w:type="dxa"/>
            <w:vAlign w:val="bottom"/>
          </w:tcPr>
          <w:p>
            <w:pPr>
              <w:jc w:val="right"/>
              <w:ind w:right="143"/>
              <w:spacing w:after="0"/>
              <w:rPr>
                <w:sz w:val="20"/>
                <w:szCs w:val="20"/>
                <w:color w:val="auto"/>
              </w:rPr>
            </w:pPr>
            <w:r>
              <w:rPr>
                <w:rFonts w:ascii="Arial" w:cs="Arial" w:eastAsia="Arial" w:hAnsi="Arial"/>
                <w:sz w:val="15"/>
                <w:szCs w:val="15"/>
                <w:b w:val="1"/>
                <w:bCs w:val="1"/>
                <w:color w:val="auto"/>
              </w:rPr>
              <w:t>$</w:t>
            </w:r>
          </w:p>
        </w:tc>
        <w:tc>
          <w:tcPr>
            <w:tcW w:w="560" w:type="dxa"/>
            <w:vAlign w:val="bottom"/>
          </w:tcPr>
          <w:p>
            <w:pPr>
              <w:spacing w:after="0"/>
              <w:rPr>
                <w:sz w:val="17"/>
                <w:szCs w:val="17"/>
                <w:color w:val="auto"/>
              </w:rPr>
            </w:pPr>
          </w:p>
        </w:tc>
        <w:tc>
          <w:tcPr>
            <w:tcW w:w="560" w:type="dxa"/>
            <w:vAlign w:val="bottom"/>
          </w:tcPr>
          <w:p>
            <w:pPr>
              <w:jc w:val="right"/>
              <w:ind w:right="143"/>
              <w:spacing w:after="0"/>
              <w:rPr>
                <w:sz w:val="20"/>
                <w:szCs w:val="20"/>
                <w:color w:val="auto"/>
              </w:rPr>
            </w:pPr>
            <w:r>
              <w:rPr>
                <w:rFonts w:ascii="Arial" w:cs="Arial" w:eastAsia="Arial" w:hAnsi="Arial"/>
                <w:sz w:val="15"/>
                <w:szCs w:val="15"/>
                <w:b w:val="1"/>
                <w:bCs w:val="1"/>
                <w:color w:val="auto"/>
              </w:rPr>
              <w:t>30</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Pr>
          <w:p>
            <w:pPr>
              <w:jc w:val="right"/>
              <w:ind w:right="123"/>
              <w:spacing w:after="0"/>
              <w:rPr>
                <w:sz w:val="20"/>
                <w:szCs w:val="20"/>
                <w:color w:val="auto"/>
              </w:rPr>
            </w:pPr>
            <w:r>
              <w:rPr>
                <w:rFonts w:ascii="Arial" w:cs="Arial" w:eastAsia="Arial" w:hAnsi="Arial"/>
                <w:sz w:val="15"/>
                <w:szCs w:val="15"/>
                <w:b w:val="1"/>
                <w:bCs w:val="1"/>
                <w:color w:val="auto"/>
              </w:rPr>
              <w:t>85</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7"/>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 Change</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8.2 %</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7.9 %</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7"/>
        </w:trPr>
        <w:tc>
          <w:tcPr>
            <w:tcW w:w="27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SG&amp;A as a percentage of sales</w:t>
            </w: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21.4 %</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19.7 %</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20.5 %</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19.3 %</w:t>
            </w:r>
          </w:p>
        </w:tc>
      </w:tr>
    </w:tbl>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SG&amp;A increased by $30 million, or by 170 basis points, to $398 million for the thirteen weeks ended November 3, 2018, as compared with the corresponding prior-year period. For the thirty-nine weeks ended November 3, 2018, SG&amp;A increased by $85 million, or by 120 basis points, to $1,163 million, as compared with the corresponding prior-year period. The effect of foreign currency fluctuations for the current quarter and year-to-date periods was not significant.</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15"/>
          <w:szCs w:val="15"/>
          <w:color w:val="auto"/>
        </w:rPr>
        <w:t>The higher SG&amp;A expense rate for both the quarter and year-to-date periods reflected higher wages, higher incentive compensation expense, and an increase in costs incurred in connection with our ongoing investment in various technology and infrastructure projects. Corporate expense (a component of SG&amp;A) increased during the quarter and year-to-date periods, also reflecting the same factors noted previously. Higher incentive compensation was recorded during the current quarter and year-to-date periods reflecting our strong performance relative to our financial targets, coupled with the fact that the prior year included an incentive compensation accrual reversal due to underperformance compared to the prior-year financial targets.</w:t>
      </w:r>
    </w:p>
    <w:p>
      <w:pPr>
        <w:spacing w:after="0" w:line="157"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During the thirteen weeks ended October 28, 2017 the Company recorded hurricane-related expenses of $7 million. A benefit of $5 million was recorded in the first quarter of 2018 relating to insurance recoveries for damaged inventory and fixed assets for losses incurred last year during Hurricane Maria. Together, these two factors affected SG&amp;A expense in the current year-to-date period by $12 million.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40" w:type="dxa"/>
            <w:vAlign w:val="bottom"/>
            <w:gridSpan w:val="2"/>
          </w:tcPr>
          <w:p>
            <w:pPr>
              <w:spacing w:after="0"/>
              <w:rPr>
                <w:sz w:val="20"/>
                <w:szCs w:val="20"/>
                <w:color w:val="auto"/>
              </w:rPr>
            </w:pPr>
            <w:r>
              <w:rPr>
                <w:rFonts w:ascii="Arial" w:cs="Arial" w:eastAsia="Arial" w:hAnsi="Arial"/>
                <w:sz w:val="15"/>
                <w:szCs w:val="15"/>
                <w:i w:val="1"/>
                <w:iCs w:val="1"/>
                <w:color w:val="auto"/>
              </w:rPr>
              <w:t>Depreciation and Amortization</w:t>
            </w:r>
          </w:p>
        </w:tc>
        <w:tc>
          <w:tcPr>
            <w:tcW w:w="1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84"/>
        </w:trPr>
        <w:tc>
          <w:tcPr>
            <w:tcW w:w="2060" w:type="dxa"/>
            <w:vAlign w:val="bottom"/>
            <w:tcBorders>
              <w:top w:val="single" w:sz="8" w:color="auto"/>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tcPr>
          <w:p>
            <w:pPr>
              <w:jc w:val="right"/>
              <w:ind w:right="523"/>
              <w:spacing w:after="0"/>
              <w:rPr>
                <w:sz w:val="20"/>
                <w:szCs w:val="20"/>
                <w:color w:val="auto"/>
              </w:rPr>
            </w:pPr>
            <w:r>
              <w:rPr>
                <w:rFonts w:ascii="Arial" w:cs="Arial" w:eastAsia="Arial" w:hAnsi="Arial"/>
                <w:sz w:val="15"/>
                <w:szCs w:val="15"/>
                <w:b w:val="1"/>
                <w:bCs w:val="1"/>
                <w:color w:val="auto"/>
              </w:rPr>
              <w:t>Thirteen weeks ended</w:t>
            </w: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523"/>
              <w:spacing w:after="0"/>
              <w:rPr>
                <w:sz w:val="20"/>
                <w:szCs w:val="20"/>
                <w:color w:val="auto"/>
              </w:rPr>
            </w:pPr>
            <w:r>
              <w:rPr>
                <w:rFonts w:ascii="Arial" w:cs="Arial" w:eastAsia="Arial" w:hAnsi="Arial"/>
                <w:sz w:val="15"/>
                <w:szCs w:val="15"/>
                <w:b w:val="1"/>
                <w:bCs w:val="1"/>
                <w:color w:val="auto"/>
              </w:rPr>
              <w:t>Thirty-nine weeks ended</w:t>
            </w:r>
          </w:p>
        </w:tc>
      </w:tr>
      <w:tr>
        <w:trPr>
          <w:trHeight w:val="151"/>
        </w:trPr>
        <w:tc>
          <w:tcPr>
            <w:tcW w:w="20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80" w:type="dxa"/>
            <w:vAlign w:val="bottom"/>
            <w:gridSpan w:val="2"/>
          </w:tcPr>
          <w:p>
            <w:pPr>
              <w:jc w:val="right"/>
              <w:ind w:right="263"/>
              <w:spacing w:after="0" w:line="151" w:lineRule="exact"/>
              <w:rPr>
                <w:sz w:val="20"/>
                <w:szCs w:val="20"/>
                <w:color w:val="auto"/>
              </w:rPr>
            </w:pPr>
            <w:r>
              <w:rPr>
                <w:rFonts w:ascii="Arial" w:cs="Arial" w:eastAsia="Arial" w:hAnsi="Arial"/>
                <w:sz w:val="15"/>
                <w:szCs w:val="15"/>
                <w:b w:val="1"/>
                <w:bCs w:val="1"/>
                <w:color w:val="auto"/>
              </w:rPr>
              <w:t>November 3,</w:t>
            </w:r>
          </w:p>
        </w:tc>
        <w:tc>
          <w:tcPr>
            <w:tcW w:w="180" w:type="dxa"/>
            <w:vAlign w:val="bottom"/>
          </w:tcPr>
          <w:p>
            <w:pPr>
              <w:spacing w:after="0"/>
              <w:rPr>
                <w:sz w:val="13"/>
                <w:szCs w:val="13"/>
                <w:color w:val="auto"/>
              </w:rPr>
            </w:pPr>
          </w:p>
        </w:tc>
        <w:tc>
          <w:tcPr>
            <w:tcW w:w="1160" w:type="dxa"/>
            <w:vAlign w:val="bottom"/>
          </w:tcPr>
          <w:p>
            <w:pPr>
              <w:jc w:val="center"/>
              <w:ind w:right="143"/>
              <w:spacing w:after="0" w:line="151" w:lineRule="exact"/>
              <w:rPr>
                <w:sz w:val="20"/>
                <w:szCs w:val="20"/>
                <w:color w:val="auto"/>
              </w:rPr>
            </w:pPr>
            <w:r>
              <w:rPr>
                <w:rFonts w:ascii="Arial" w:cs="Arial" w:eastAsia="Arial" w:hAnsi="Arial"/>
                <w:sz w:val="15"/>
                <w:szCs w:val="15"/>
                <w:b w:val="1"/>
                <w:bCs w:val="1"/>
                <w:color w:val="auto"/>
              </w:rPr>
              <w:t>October 28,</w:t>
            </w:r>
          </w:p>
        </w:tc>
        <w:tc>
          <w:tcPr>
            <w:tcW w:w="240" w:type="dxa"/>
            <w:vAlign w:val="bottom"/>
          </w:tcPr>
          <w:p>
            <w:pPr>
              <w:spacing w:after="0"/>
              <w:rPr>
                <w:sz w:val="13"/>
                <w:szCs w:val="13"/>
                <w:color w:val="auto"/>
              </w:rPr>
            </w:pPr>
          </w:p>
        </w:tc>
        <w:tc>
          <w:tcPr>
            <w:tcW w:w="1260" w:type="dxa"/>
            <w:vAlign w:val="bottom"/>
          </w:tcPr>
          <w:p>
            <w:pPr>
              <w:jc w:val="right"/>
              <w:ind w:right="223"/>
              <w:spacing w:after="0" w:line="151" w:lineRule="exact"/>
              <w:rPr>
                <w:sz w:val="20"/>
                <w:szCs w:val="20"/>
                <w:color w:val="auto"/>
              </w:rPr>
            </w:pPr>
            <w:r>
              <w:rPr>
                <w:rFonts w:ascii="Arial" w:cs="Arial" w:eastAsia="Arial" w:hAnsi="Arial"/>
                <w:sz w:val="15"/>
                <w:szCs w:val="15"/>
                <w:b w:val="1"/>
                <w:bCs w:val="1"/>
                <w:color w:val="auto"/>
              </w:rPr>
              <w:t>November 3,</w:t>
            </w:r>
          </w:p>
        </w:tc>
        <w:tc>
          <w:tcPr>
            <w:tcW w:w="180" w:type="dxa"/>
            <w:vAlign w:val="bottom"/>
          </w:tcPr>
          <w:p>
            <w:pPr>
              <w:spacing w:after="0"/>
              <w:rPr>
                <w:sz w:val="13"/>
                <w:szCs w:val="13"/>
                <w:color w:val="auto"/>
              </w:rPr>
            </w:pPr>
          </w:p>
        </w:tc>
        <w:tc>
          <w:tcPr>
            <w:tcW w:w="1260" w:type="dxa"/>
            <w:vAlign w:val="bottom"/>
          </w:tcPr>
          <w:p>
            <w:pPr>
              <w:jc w:val="center"/>
              <w:ind w:right="243"/>
              <w:spacing w:after="0" w:line="151" w:lineRule="exact"/>
              <w:rPr>
                <w:sz w:val="20"/>
                <w:szCs w:val="20"/>
                <w:color w:val="auto"/>
              </w:rPr>
            </w:pPr>
            <w:r>
              <w:rPr>
                <w:rFonts w:ascii="Arial" w:cs="Arial" w:eastAsia="Arial" w:hAnsi="Arial"/>
                <w:sz w:val="15"/>
                <w:szCs w:val="15"/>
                <w:b w:val="1"/>
                <w:bCs w:val="1"/>
                <w:color w:val="auto"/>
              </w:rPr>
              <w:t>October 28,</w:t>
            </w:r>
          </w:p>
        </w:tc>
      </w:tr>
      <w:tr>
        <w:trPr>
          <w:trHeight w:val="194"/>
        </w:trPr>
        <w:tc>
          <w:tcPr>
            <w:tcW w:w="20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2018</w:t>
            </w:r>
          </w:p>
        </w:tc>
        <w:tc>
          <w:tcPr>
            <w:tcW w:w="5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2017</w:t>
            </w: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2018</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2017</w:t>
            </w:r>
          </w:p>
        </w:tc>
      </w:tr>
      <w:tr>
        <w:trPr>
          <w:trHeight w:val="187"/>
        </w:trPr>
        <w:tc>
          <w:tcPr>
            <w:tcW w:w="2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3"/>
          </w:tcPr>
          <w:p>
            <w:pPr>
              <w:jc w:val="right"/>
              <w:ind w:right="963"/>
              <w:spacing w:after="0"/>
              <w:rPr>
                <w:sz w:val="20"/>
                <w:szCs w:val="20"/>
                <w:color w:val="auto"/>
              </w:rPr>
            </w:pPr>
            <w:r>
              <w:rPr>
                <w:rFonts w:ascii="Arial" w:cs="Arial" w:eastAsia="Arial" w:hAnsi="Arial"/>
                <w:sz w:val="15"/>
                <w:szCs w:val="15"/>
                <w:color w:val="auto"/>
              </w:rPr>
              <w:t>($ in millions)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7"/>
        </w:trPr>
        <w:tc>
          <w:tcPr>
            <w:tcW w:w="2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Depreciation and amortization</w:t>
            </w:r>
          </w:p>
        </w:tc>
        <w:tc>
          <w:tcPr>
            <w:tcW w:w="1580" w:type="dxa"/>
            <w:vAlign w:val="bottom"/>
            <w:shd w:val="clear" w:color="auto" w:fill="CCEEFF"/>
          </w:tcPr>
          <w:p>
            <w:pPr>
              <w:jc w:val="right"/>
              <w:ind w:right="763"/>
              <w:spacing w:after="0"/>
              <w:rPr>
                <w:sz w:val="20"/>
                <w:szCs w:val="20"/>
                <w:color w:val="auto"/>
              </w:rPr>
            </w:pPr>
            <w:r>
              <w:rPr>
                <w:rFonts w:ascii="Arial" w:cs="Arial" w:eastAsia="Arial" w:hAnsi="Arial"/>
                <w:sz w:val="15"/>
                <w:szCs w:val="15"/>
                <w:b w:val="1"/>
                <w:bCs w:val="1"/>
                <w:color w:val="auto"/>
              </w:rPr>
              <w:t>$</w:t>
            </w:r>
          </w:p>
        </w:tc>
        <w:tc>
          <w:tcPr>
            <w:tcW w:w="5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44</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44</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6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133</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127</w:t>
            </w:r>
          </w:p>
        </w:tc>
      </w:tr>
      <w:tr>
        <w:trPr>
          <w:trHeight w:val="207"/>
        </w:trPr>
        <w:tc>
          <w:tcPr>
            <w:tcW w:w="2740" w:type="dxa"/>
            <w:vAlign w:val="bottom"/>
            <w:gridSpan w:val="2"/>
          </w:tcPr>
          <w:p>
            <w:pPr>
              <w:spacing w:after="0"/>
              <w:rPr>
                <w:sz w:val="20"/>
                <w:szCs w:val="20"/>
                <w:color w:val="auto"/>
              </w:rPr>
            </w:pPr>
            <w:r>
              <w:rPr>
                <w:rFonts w:ascii="Arial" w:cs="Arial" w:eastAsia="Arial" w:hAnsi="Arial"/>
                <w:sz w:val="15"/>
                <w:szCs w:val="15"/>
                <w:color w:val="auto"/>
              </w:rPr>
              <w:t>$ Change</w:t>
            </w:r>
          </w:p>
        </w:tc>
        <w:tc>
          <w:tcPr>
            <w:tcW w:w="1580" w:type="dxa"/>
            <w:vAlign w:val="bottom"/>
          </w:tcPr>
          <w:p>
            <w:pPr>
              <w:jc w:val="right"/>
              <w:ind w:right="763"/>
              <w:spacing w:after="0"/>
              <w:rPr>
                <w:sz w:val="20"/>
                <w:szCs w:val="20"/>
                <w:color w:val="auto"/>
              </w:rPr>
            </w:pPr>
            <w:r>
              <w:rPr>
                <w:rFonts w:ascii="Arial" w:cs="Arial" w:eastAsia="Arial" w:hAnsi="Arial"/>
                <w:sz w:val="15"/>
                <w:szCs w:val="15"/>
                <w:b w:val="1"/>
                <w:bCs w:val="1"/>
                <w:color w:val="auto"/>
              </w:rPr>
              <w:t>$</w:t>
            </w:r>
          </w:p>
        </w:tc>
        <w:tc>
          <w:tcPr>
            <w:tcW w:w="500" w:type="dxa"/>
            <w:vAlign w:val="bottom"/>
          </w:tcPr>
          <w:p>
            <w:pPr>
              <w:ind w:left="180"/>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60" w:type="dxa"/>
            <w:vAlign w:val="bottom"/>
          </w:tcPr>
          <w:p>
            <w:pPr>
              <w:jc w:val="right"/>
              <w:ind w:right="123"/>
              <w:spacing w:after="0"/>
              <w:rPr>
                <w:sz w:val="20"/>
                <w:szCs w:val="20"/>
                <w:color w:val="auto"/>
              </w:rPr>
            </w:pPr>
            <w:r>
              <w:rPr>
                <w:rFonts w:ascii="Arial" w:cs="Arial" w:eastAsia="Arial" w:hAnsi="Arial"/>
                <w:sz w:val="15"/>
                <w:szCs w:val="15"/>
                <w:b w:val="1"/>
                <w:bCs w:val="1"/>
                <w:color w:val="auto"/>
              </w:rPr>
              <w:t>6</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7"/>
        </w:trPr>
        <w:tc>
          <w:tcPr>
            <w:tcW w:w="27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 Change</w:t>
            </w:r>
          </w:p>
        </w:tc>
        <w:tc>
          <w:tcPr>
            <w:tcW w:w="15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5"/>
                <w:szCs w:val="15"/>
                <w:b w:val="1"/>
                <w:bCs w:val="1"/>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4.7 %</w:t>
            </w: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r>
    </w:tbl>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Depreciation and amortization was unchanged for the thirteen weeks ended November 3, 2018 and increased by $6 million for the thirty-nine weeks ended November 3, 2018, as compared with the corresponding prior-year periods. The increase in depreciation and amortization reflected ongoing capital spending on store projects, enhancing our digital capabilities, and various other technologies and infrastructure.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29" w:right="139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2"/>
        </w:trPr>
        <w:tc>
          <w:tcPr>
            <w:tcW w:w="2420" w:type="dxa"/>
            <w:vAlign w:val="bottom"/>
            <w:gridSpan w:val="2"/>
          </w:tcPr>
          <w:p>
            <w:pPr>
              <w:spacing w:after="0"/>
              <w:rPr>
                <w:sz w:val="20"/>
                <w:szCs w:val="20"/>
                <w:color w:val="auto"/>
              </w:rPr>
            </w:pPr>
            <w:r>
              <w:rPr>
                <w:rFonts w:ascii="Arial" w:cs="Arial" w:eastAsia="Arial" w:hAnsi="Arial"/>
                <w:sz w:val="15"/>
                <w:szCs w:val="15"/>
                <w:i w:val="1"/>
                <w:iCs w:val="1"/>
                <w:color w:val="auto"/>
              </w:rPr>
              <w:t>Division Profit</w:t>
            </w: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48"/>
        </w:trPr>
        <w:tc>
          <w:tcPr>
            <w:tcW w:w="940" w:type="dxa"/>
            <w:vAlign w:val="bottom"/>
            <w:tcBorders>
              <w:top w:val="single" w:sz="8" w:color="auto"/>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3"/>
          </w:tcPr>
          <w:p>
            <w:pPr>
              <w:jc w:val="right"/>
              <w:ind w:right="663"/>
              <w:spacing w:after="0"/>
              <w:rPr>
                <w:sz w:val="20"/>
                <w:szCs w:val="20"/>
                <w:color w:val="auto"/>
              </w:rPr>
            </w:pPr>
            <w:r>
              <w:rPr>
                <w:rFonts w:ascii="Arial" w:cs="Arial" w:eastAsia="Arial" w:hAnsi="Arial"/>
                <w:sz w:val="15"/>
                <w:szCs w:val="15"/>
                <w:b w:val="1"/>
                <w:bCs w:val="1"/>
                <w:color w:val="auto"/>
              </w:rPr>
              <w:t>Thirteen weeks ended</w:t>
            </w:r>
          </w:p>
        </w:tc>
        <w:tc>
          <w:tcPr>
            <w:tcW w:w="36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3"/>
          </w:tcPr>
          <w:p>
            <w:pPr>
              <w:jc w:val="right"/>
              <w:ind w:right="523"/>
              <w:spacing w:after="0"/>
              <w:rPr>
                <w:sz w:val="20"/>
                <w:szCs w:val="20"/>
                <w:color w:val="auto"/>
              </w:rPr>
            </w:pPr>
            <w:r>
              <w:rPr>
                <w:rFonts w:ascii="Arial" w:cs="Arial" w:eastAsia="Arial" w:hAnsi="Arial"/>
                <w:sz w:val="15"/>
                <w:szCs w:val="15"/>
                <w:b w:val="1"/>
                <w:bCs w:val="1"/>
                <w:color w:val="auto"/>
              </w:rPr>
              <w:t>Thirty-nine weeks ended</w:t>
            </w:r>
          </w:p>
        </w:tc>
      </w:tr>
      <w:tr>
        <w:trPr>
          <w:trHeight w:val="151"/>
        </w:trPr>
        <w:tc>
          <w:tcPr>
            <w:tcW w:w="9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00" w:type="dxa"/>
            <w:vAlign w:val="bottom"/>
          </w:tcPr>
          <w:p>
            <w:pPr>
              <w:jc w:val="right"/>
              <w:ind w:right="263"/>
              <w:spacing w:after="0" w:line="151" w:lineRule="exact"/>
              <w:rPr>
                <w:sz w:val="20"/>
                <w:szCs w:val="20"/>
                <w:color w:val="auto"/>
              </w:rPr>
            </w:pPr>
            <w:r>
              <w:rPr>
                <w:rFonts w:ascii="Arial" w:cs="Arial" w:eastAsia="Arial" w:hAnsi="Arial"/>
                <w:sz w:val="15"/>
                <w:szCs w:val="15"/>
                <w:b w:val="1"/>
                <w:bCs w:val="1"/>
                <w:color w:val="auto"/>
              </w:rPr>
              <w:t>November 3,</w:t>
            </w:r>
          </w:p>
        </w:tc>
        <w:tc>
          <w:tcPr>
            <w:tcW w:w="180" w:type="dxa"/>
            <w:vAlign w:val="bottom"/>
          </w:tcPr>
          <w:p>
            <w:pPr>
              <w:spacing w:after="0"/>
              <w:rPr>
                <w:sz w:val="13"/>
                <w:szCs w:val="13"/>
                <w:color w:val="auto"/>
              </w:rPr>
            </w:pPr>
          </w:p>
        </w:tc>
        <w:tc>
          <w:tcPr>
            <w:tcW w:w="1300" w:type="dxa"/>
            <w:vAlign w:val="bottom"/>
          </w:tcPr>
          <w:p>
            <w:pPr>
              <w:jc w:val="right"/>
              <w:ind w:right="323"/>
              <w:spacing w:after="0" w:line="151" w:lineRule="exact"/>
              <w:rPr>
                <w:sz w:val="20"/>
                <w:szCs w:val="20"/>
                <w:color w:val="auto"/>
              </w:rPr>
            </w:pPr>
            <w:r>
              <w:rPr>
                <w:rFonts w:ascii="Arial" w:cs="Arial" w:eastAsia="Arial" w:hAnsi="Arial"/>
                <w:sz w:val="15"/>
                <w:szCs w:val="15"/>
                <w:b w:val="1"/>
                <w:bCs w:val="1"/>
                <w:color w:val="auto"/>
              </w:rPr>
              <w:t>October 28,</w:t>
            </w:r>
          </w:p>
        </w:tc>
        <w:tc>
          <w:tcPr>
            <w:tcW w:w="1420" w:type="dxa"/>
            <w:vAlign w:val="bottom"/>
            <w:gridSpan w:val="2"/>
          </w:tcPr>
          <w:p>
            <w:pPr>
              <w:jc w:val="right"/>
              <w:ind w:right="283"/>
              <w:spacing w:after="0" w:line="151" w:lineRule="exact"/>
              <w:rPr>
                <w:sz w:val="20"/>
                <w:szCs w:val="20"/>
                <w:color w:val="auto"/>
              </w:rPr>
            </w:pPr>
            <w:r>
              <w:rPr>
                <w:rFonts w:ascii="Arial" w:cs="Arial" w:eastAsia="Arial" w:hAnsi="Arial"/>
                <w:sz w:val="15"/>
                <w:szCs w:val="15"/>
                <w:b w:val="1"/>
                <w:bCs w:val="1"/>
                <w:color w:val="auto"/>
              </w:rPr>
              <w:t>November 3,</w:t>
            </w:r>
          </w:p>
        </w:tc>
        <w:tc>
          <w:tcPr>
            <w:tcW w:w="160" w:type="dxa"/>
            <w:vAlign w:val="bottom"/>
          </w:tcPr>
          <w:p>
            <w:pPr>
              <w:spacing w:after="0"/>
              <w:rPr>
                <w:sz w:val="13"/>
                <w:szCs w:val="13"/>
                <w:color w:val="auto"/>
              </w:rPr>
            </w:pPr>
          </w:p>
        </w:tc>
        <w:tc>
          <w:tcPr>
            <w:tcW w:w="1220" w:type="dxa"/>
            <w:vAlign w:val="bottom"/>
          </w:tcPr>
          <w:p>
            <w:pPr>
              <w:jc w:val="right"/>
              <w:ind w:right="283"/>
              <w:spacing w:after="0" w:line="151" w:lineRule="exact"/>
              <w:rPr>
                <w:sz w:val="20"/>
                <w:szCs w:val="20"/>
                <w:color w:val="auto"/>
              </w:rPr>
            </w:pPr>
            <w:r>
              <w:rPr>
                <w:rFonts w:ascii="Arial" w:cs="Arial" w:eastAsia="Arial" w:hAnsi="Arial"/>
                <w:sz w:val="15"/>
                <w:szCs w:val="15"/>
                <w:b w:val="1"/>
                <w:bCs w:val="1"/>
                <w:color w:val="auto"/>
              </w:rPr>
              <w:t>October 28,</w:t>
            </w:r>
          </w:p>
        </w:tc>
      </w:tr>
      <w:tr>
        <w:trPr>
          <w:trHeight w:val="194"/>
        </w:trPr>
        <w:tc>
          <w:tcPr>
            <w:tcW w:w="9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2018</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2017</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2018</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2017</w:t>
            </w:r>
          </w:p>
        </w:tc>
      </w:tr>
      <w:tr>
        <w:trPr>
          <w:trHeight w:val="187"/>
        </w:trPr>
        <w:tc>
          <w:tcPr>
            <w:tcW w:w="9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 in millions)</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7"/>
        </w:trPr>
        <w:tc>
          <w:tcPr>
            <w:tcW w:w="2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Division profit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3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165</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180</w:t>
            </w:r>
          </w:p>
        </w:tc>
        <w:tc>
          <w:tcPr>
            <w:tcW w:w="36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w:t>
            </w:r>
          </w:p>
        </w:tc>
        <w:tc>
          <w:tcPr>
            <w:tcW w:w="106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543</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592</w:t>
            </w:r>
          </w:p>
        </w:tc>
      </w:tr>
      <w:tr>
        <w:trPr>
          <w:trHeight w:val="207"/>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Division profit margin</w:t>
            </w:r>
          </w:p>
        </w:tc>
        <w:tc>
          <w:tcPr>
            <w:tcW w:w="1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8.9 %</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9.6 %</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9.6 %</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10.6 %</w:t>
            </w:r>
          </w:p>
        </w:tc>
      </w:tr>
    </w:tbl>
    <w:p>
      <w:pPr>
        <w:spacing w:after="0" w:line="165"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Division profit margin decreased by 70 and 100 basis points for the thirteen and thirty-nine weeks ended November 3, 2018, respectively, as compared with the corresponding prior-year periods. The improvement in the gross margin rate did not fully offset the higher SG&amp;A expense rate and, therefore, division profit declined for both the quarter and year-to-date periods.</w:t>
      </w:r>
    </w:p>
    <w:p>
      <w:pPr>
        <w:spacing w:after="0" w:line="153"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For both the thirteen and thirty-nine weeks ended November 3, 2018, Runners Point and Sidestep continued to underperform. Several initiatives are underway to improve the performance of these banners. Management will continue to monitor the results of these businesses during the fourth quarter and will assess, if necessary, the impact of various initiatives on the projected performance of these divisions, which may include an impairment review of their indefinite and long-lived assets.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0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Interest Income, Net</w:t>
            </w:r>
          </w:p>
        </w:tc>
        <w:tc>
          <w:tcPr>
            <w:tcW w:w="2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84"/>
        </w:trPr>
        <w:tc>
          <w:tcPr>
            <w:tcW w:w="1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20" w:type="dxa"/>
            <w:vAlign w:val="bottom"/>
            <w:gridSpan w:val="2"/>
          </w:tcPr>
          <w:p>
            <w:pPr>
              <w:jc w:val="right"/>
              <w:ind w:right="283"/>
              <w:spacing w:after="0"/>
              <w:rPr>
                <w:sz w:val="20"/>
                <w:szCs w:val="20"/>
                <w:color w:val="auto"/>
              </w:rPr>
            </w:pPr>
            <w:r>
              <w:rPr>
                <w:rFonts w:ascii="Arial" w:cs="Arial" w:eastAsia="Arial" w:hAnsi="Arial"/>
                <w:sz w:val="15"/>
                <w:szCs w:val="15"/>
                <w:b w:val="1"/>
                <w:bCs w:val="1"/>
                <w:color w:val="auto"/>
              </w:rPr>
              <w:t>Thirteen weeks ended</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4"/>
          </w:tcPr>
          <w:p>
            <w:pPr>
              <w:jc w:val="right"/>
              <w:ind w:right="460"/>
              <w:spacing w:after="0"/>
              <w:rPr>
                <w:sz w:val="20"/>
                <w:szCs w:val="20"/>
                <w:color w:val="auto"/>
              </w:rPr>
            </w:pPr>
            <w:r>
              <w:rPr>
                <w:rFonts w:ascii="Arial" w:cs="Arial" w:eastAsia="Arial" w:hAnsi="Arial"/>
                <w:sz w:val="15"/>
                <w:szCs w:val="15"/>
                <w:b w:val="1"/>
                <w:bCs w:val="1"/>
                <w:color w:val="auto"/>
              </w:rPr>
              <w:t>Thirty-nine weeks ended</w:t>
            </w:r>
          </w:p>
        </w:tc>
      </w:tr>
      <w:tr>
        <w:trPr>
          <w:trHeight w:val="151"/>
        </w:trPr>
        <w:tc>
          <w:tcPr>
            <w:tcW w:w="1400" w:type="dxa"/>
            <w:vAlign w:val="bottom"/>
            <w:tcBorders>
              <w:top w:val="single" w:sz="8" w:color="auto"/>
            </w:tcBorders>
          </w:tcPr>
          <w:p>
            <w:pPr>
              <w:spacing w:after="0"/>
              <w:rPr>
                <w:sz w:val="13"/>
                <w:szCs w:val="13"/>
                <w:color w:val="auto"/>
              </w:rPr>
            </w:pPr>
          </w:p>
        </w:tc>
        <w:tc>
          <w:tcPr>
            <w:tcW w:w="2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143"/>
              <w:spacing w:after="0" w:line="151" w:lineRule="exact"/>
              <w:rPr>
                <w:sz w:val="20"/>
                <w:szCs w:val="20"/>
                <w:color w:val="auto"/>
              </w:rPr>
            </w:pPr>
            <w:r>
              <w:rPr>
                <w:rFonts w:ascii="Arial" w:cs="Arial" w:eastAsia="Arial" w:hAnsi="Arial"/>
                <w:sz w:val="15"/>
                <w:szCs w:val="15"/>
                <w:b w:val="1"/>
                <w:bCs w:val="1"/>
                <w:color w:val="auto"/>
              </w:rPr>
              <w:t>November 3,</w:t>
            </w:r>
          </w:p>
        </w:tc>
        <w:tc>
          <w:tcPr>
            <w:tcW w:w="118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5"/>
                <w:szCs w:val="15"/>
                <w:b w:val="1"/>
                <w:bCs w:val="1"/>
                <w:color w:val="auto"/>
              </w:rPr>
              <w:t>October 28,</w:t>
            </w:r>
          </w:p>
        </w:tc>
        <w:tc>
          <w:tcPr>
            <w:tcW w:w="3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183"/>
              <w:spacing w:after="0" w:line="151" w:lineRule="exact"/>
              <w:rPr>
                <w:sz w:val="20"/>
                <w:szCs w:val="20"/>
                <w:color w:val="auto"/>
              </w:rPr>
            </w:pPr>
            <w:r>
              <w:rPr>
                <w:rFonts w:ascii="Arial" w:cs="Arial" w:eastAsia="Arial" w:hAnsi="Arial"/>
                <w:sz w:val="15"/>
                <w:szCs w:val="15"/>
                <w:b w:val="1"/>
                <w:bCs w:val="1"/>
                <w:color w:val="auto"/>
              </w:rPr>
              <w:t>November 3,</w:t>
            </w: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123"/>
              <w:spacing w:after="0" w:line="151" w:lineRule="exact"/>
              <w:rPr>
                <w:sz w:val="20"/>
                <w:szCs w:val="20"/>
                <w:color w:val="auto"/>
              </w:rPr>
            </w:pPr>
            <w:r>
              <w:rPr>
                <w:rFonts w:ascii="Arial" w:cs="Arial" w:eastAsia="Arial" w:hAnsi="Arial"/>
                <w:sz w:val="15"/>
                <w:szCs w:val="15"/>
                <w:b w:val="1"/>
                <w:bCs w:val="1"/>
                <w:color w:val="auto"/>
              </w:rPr>
              <w:t>October 28,</w:t>
            </w:r>
          </w:p>
        </w:tc>
        <w:tc>
          <w:tcPr>
            <w:tcW w:w="20" w:type="dxa"/>
            <w:vAlign w:val="bottom"/>
          </w:tcPr>
          <w:p>
            <w:pPr>
              <w:spacing w:after="0"/>
              <w:rPr>
                <w:sz w:val="13"/>
                <w:szCs w:val="13"/>
                <w:color w:val="auto"/>
              </w:rPr>
            </w:pPr>
          </w:p>
        </w:tc>
      </w:tr>
      <w:tr>
        <w:trPr>
          <w:trHeight w:val="194"/>
        </w:trPr>
        <w:tc>
          <w:tcPr>
            <w:tcW w:w="14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2018</w:t>
            </w:r>
          </w:p>
        </w:tc>
        <w:tc>
          <w:tcPr>
            <w:tcW w:w="11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2017</w:t>
            </w: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2018</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2017</w:t>
            </w:r>
          </w:p>
        </w:tc>
        <w:tc>
          <w:tcPr>
            <w:tcW w:w="20" w:type="dxa"/>
            <w:vAlign w:val="bottom"/>
          </w:tcPr>
          <w:p>
            <w:pPr>
              <w:spacing w:after="0"/>
              <w:rPr>
                <w:sz w:val="16"/>
                <w:szCs w:val="16"/>
                <w:color w:val="auto"/>
              </w:rPr>
            </w:pPr>
          </w:p>
        </w:tc>
      </w:tr>
      <w:tr>
        <w:trPr>
          <w:trHeight w:val="187"/>
        </w:trPr>
        <w:tc>
          <w:tcPr>
            <w:tcW w:w="14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920" w:type="dxa"/>
            <w:vAlign w:val="bottom"/>
            <w:gridSpan w:val="4"/>
          </w:tcPr>
          <w:p>
            <w:pPr>
              <w:jc w:val="right"/>
              <w:ind w:right="943"/>
              <w:spacing w:after="0"/>
              <w:rPr>
                <w:sz w:val="20"/>
                <w:szCs w:val="20"/>
                <w:color w:val="auto"/>
              </w:rPr>
            </w:pPr>
            <w:r>
              <w:rPr>
                <w:rFonts w:ascii="Arial" w:cs="Arial" w:eastAsia="Arial" w:hAnsi="Arial"/>
                <w:sz w:val="15"/>
                <w:szCs w:val="15"/>
                <w:color w:val="auto"/>
              </w:rPr>
              <w:t>($ in millions)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140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2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40" w:type="dxa"/>
            <w:vAlign w:val="bottom"/>
            <w:shd w:val="clear" w:color="auto" w:fill="CCEEFF"/>
          </w:tcPr>
          <w:p>
            <w:pPr>
              <w:jc w:val="center"/>
              <w:ind w:left="803"/>
              <w:spacing w:after="0"/>
              <w:rPr>
                <w:sz w:val="20"/>
                <w:szCs w:val="20"/>
                <w:color w:val="auto"/>
              </w:rPr>
            </w:pPr>
            <w:r>
              <w:rPr>
                <w:rFonts w:ascii="Arial" w:cs="Arial" w:eastAsia="Arial" w:hAnsi="Arial"/>
                <w:sz w:val="15"/>
                <w:szCs w:val="15"/>
                <w:b w:val="1"/>
                <w:bCs w:val="1"/>
                <w:color w:val="auto"/>
                <w:w w:val="95"/>
              </w:rPr>
              <w:t>3</w:t>
            </w:r>
          </w:p>
        </w:tc>
        <w:tc>
          <w:tcPr>
            <w:tcW w:w="1180" w:type="dxa"/>
            <w:vAlign w:val="bottom"/>
            <w:shd w:val="clear" w:color="auto" w:fill="CCEEFF"/>
          </w:tcPr>
          <w:p>
            <w:pPr>
              <w:jc w:val="right"/>
              <w:ind w:right="923"/>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3</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9</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20" w:type="dxa"/>
            <w:vAlign w:val="bottom"/>
          </w:tcPr>
          <w:p>
            <w:pPr>
              <w:spacing w:after="0"/>
              <w:rPr>
                <w:sz w:val="17"/>
                <w:szCs w:val="17"/>
                <w:color w:val="auto"/>
              </w:rPr>
            </w:pPr>
          </w:p>
        </w:tc>
      </w:tr>
      <w:tr>
        <w:trPr>
          <w:trHeight w:val="207"/>
        </w:trPr>
        <w:tc>
          <w:tcPr>
            <w:tcW w:w="1400" w:type="dxa"/>
            <w:vAlign w:val="bottom"/>
          </w:tcPr>
          <w:p>
            <w:pPr>
              <w:spacing w:after="0"/>
              <w:rPr>
                <w:sz w:val="20"/>
                <w:szCs w:val="20"/>
                <w:color w:val="auto"/>
              </w:rPr>
            </w:pPr>
            <w:r>
              <w:rPr>
                <w:rFonts w:ascii="Arial" w:cs="Arial" w:eastAsia="Arial" w:hAnsi="Arial"/>
                <w:sz w:val="15"/>
                <w:szCs w:val="15"/>
                <w:color w:val="auto"/>
              </w:rPr>
              <w:t>Interest income</w:t>
            </w:r>
          </w:p>
        </w:tc>
        <w:tc>
          <w:tcPr>
            <w:tcW w:w="2200" w:type="dxa"/>
            <w:vAlign w:val="bottom"/>
          </w:tcPr>
          <w:p>
            <w:pPr>
              <w:spacing w:after="0"/>
              <w:rPr>
                <w:sz w:val="17"/>
                <w:szCs w:val="17"/>
                <w:color w:val="auto"/>
              </w:rPr>
            </w:pPr>
          </w:p>
        </w:tc>
        <w:tc>
          <w:tcPr>
            <w:tcW w:w="1240" w:type="dxa"/>
            <w:vAlign w:val="bottom"/>
          </w:tcPr>
          <w:p>
            <w:pPr>
              <w:jc w:val="center"/>
              <w:ind w:left="783"/>
              <w:spacing w:after="0"/>
              <w:rPr>
                <w:sz w:val="20"/>
                <w:szCs w:val="20"/>
                <w:color w:val="auto"/>
              </w:rPr>
            </w:pPr>
            <w:r>
              <w:rPr>
                <w:rFonts w:ascii="Arial" w:cs="Arial" w:eastAsia="Arial" w:hAnsi="Arial"/>
                <w:sz w:val="15"/>
                <w:szCs w:val="15"/>
                <w:b w:val="1"/>
                <w:bCs w:val="1"/>
                <w:color w:val="auto"/>
                <w:w w:val="97"/>
              </w:rPr>
              <w:t>(5)</w:t>
            </w:r>
          </w:p>
        </w:tc>
        <w:tc>
          <w:tcPr>
            <w:tcW w:w="1180" w:type="dxa"/>
            <w:vAlign w:val="bottom"/>
          </w:tcPr>
          <w:p>
            <w:pPr>
              <w:spacing w:after="0"/>
              <w:rPr>
                <w:sz w:val="17"/>
                <w:szCs w:val="17"/>
                <w:color w:val="auto"/>
              </w:rPr>
            </w:pPr>
          </w:p>
        </w:tc>
        <w:tc>
          <w:tcPr>
            <w:tcW w:w="300" w:type="dxa"/>
            <w:vAlign w:val="bottom"/>
          </w:tcPr>
          <w:p>
            <w:pPr>
              <w:jc w:val="right"/>
              <w:ind w:right="23"/>
              <w:spacing w:after="0"/>
              <w:rPr>
                <w:sz w:val="20"/>
                <w:szCs w:val="20"/>
                <w:color w:val="auto"/>
              </w:rPr>
            </w:pPr>
            <w:r>
              <w:rPr>
                <w:rFonts w:ascii="Arial" w:cs="Arial" w:eastAsia="Arial" w:hAnsi="Arial"/>
                <w:sz w:val="15"/>
                <w:szCs w:val="15"/>
                <w:color w:val="auto"/>
                <w:w w:val="97"/>
              </w:rPr>
              <w:t>(3)</w:t>
            </w:r>
          </w:p>
        </w:tc>
        <w:tc>
          <w:tcPr>
            <w:tcW w:w="220" w:type="dxa"/>
            <w:vAlign w:val="bottom"/>
          </w:tcPr>
          <w:p>
            <w:pPr>
              <w:spacing w:after="0"/>
              <w:rPr>
                <w:sz w:val="17"/>
                <w:szCs w:val="17"/>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b w:val="1"/>
                <w:bCs w:val="1"/>
                <w:color w:val="auto"/>
              </w:rPr>
              <w:t>(14)</w:t>
            </w:r>
          </w:p>
        </w:tc>
        <w:tc>
          <w:tcPr>
            <w:tcW w:w="24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5"/>
                <w:szCs w:val="15"/>
                <w:color w:val="auto"/>
              </w:rPr>
              <w:t>(10)</w:t>
            </w:r>
          </w:p>
        </w:tc>
      </w:tr>
      <w:tr>
        <w:trPr>
          <w:trHeight w:val="179"/>
        </w:trPr>
        <w:tc>
          <w:tcPr>
            <w:tcW w:w="1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Interest income, net</w:t>
            </w:r>
          </w:p>
        </w:tc>
        <w:tc>
          <w:tcPr>
            <w:tcW w:w="2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40" w:type="dxa"/>
            <w:vAlign w:val="bottom"/>
            <w:tcBorders>
              <w:top w:val="single" w:sz="8" w:color="auto"/>
              <w:bottom w:val="single" w:sz="8" w:color="auto"/>
            </w:tcBorders>
            <w:shd w:val="clear" w:color="auto" w:fill="CCEEFF"/>
          </w:tcPr>
          <w:p>
            <w:pPr>
              <w:jc w:val="center"/>
              <w:ind w:left="783"/>
              <w:spacing w:after="0"/>
              <w:rPr>
                <w:sz w:val="20"/>
                <w:szCs w:val="20"/>
                <w:color w:val="auto"/>
              </w:rPr>
            </w:pPr>
            <w:r>
              <w:rPr>
                <w:rFonts w:ascii="Arial" w:cs="Arial" w:eastAsia="Arial" w:hAnsi="Arial"/>
                <w:sz w:val="15"/>
                <w:szCs w:val="15"/>
                <w:b w:val="1"/>
                <w:bCs w:val="1"/>
                <w:color w:val="auto"/>
                <w:w w:val="97"/>
              </w:rPr>
              <w:t>(2)</w:t>
            </w:r>
          </w:p>
        </w:tc>
        <w:tc>
          <w:tcPr>
            <w:tcW w:w="1180" w:type="dxa"/>
            <w:vAlign w:val="bottom"/>
            <w:tcBorders>
              <w:top w:val="single" w:sz="8" w:color="auto"/>
              <w:bottom w:val="single" w:sz="8" w:color="auto"/>
            </w:tcBorders>
            <w:shd w:val="clear" w:color="auto" w:fill="CCEEFF"/>
          </w:tcPr>
          <w:p>
            <w:pPr>
              <w:jc w:val="right"/>
              <w:ind w:right="923"/>
              <w:spacing w:after="0"/>
              <w:rPr>
                <w:sz w:val="20"/>
                <w:szCs w:val="20"/>
                <w:color w:val="auto"/>
              </w:rPr>
            </w:pPr>
            <w:r>
              <w:rPr>
                <w:rFonts w:ascii="Arial" w:cs="Arial" w:eastAsia="Arial" w:hAnsi="Arial"/>
                <w:sz w:val="15"/>
                <w:szCs w:val="15"/>
                <w:color w:val="auto"/>
              </w:rPr>
              <w:t>$</w:t>
            </w:r>
          </w:p>
        </w:tc>
        <w:tc>
          <w:tcPr>
            <w:tcW w:w="3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2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(5)</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5"/>
                <w:szCs w:val="15"/>
                <w:color w:val="auto"/>
              </w:rPr>
            </w:pPr>
          </w:p>
        </w:tc>
      </w:tr>
    </w:tbl>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Net interest income increased by $2 million and $4 million for the thirteen and thirty-nine weeks ended November 3, 2018, respectively, as compared with the corresponding prior-year periods. Interest expense was unchanged for both the thirteen and thirty-nine weeks ended November 3, 2018 as compared with the corresponding prior-year periods. Interest income increased primarily as a result of cash repatriation to the U.S., where we earned a higher average interest rate.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00" w:type="dxa"/>
            <w:vAlign w:val="bottom"/>
            <w:gridSpan w:val="2"/>
          </w:tcPr>
          <w:p>
            <w:pPr>
              <w:spacing w:after="0"/>
              <w:rPr>
                <w:sz w:val="20"/>
                <w:szCs w:val="20"/>
                <w:color w:val="auto"/>
              </w:rPr>
            </w:pPr>
            <w:r>
              <w:rPr>
                <w:rFonts w:ascii="Arial" w:cs="Arial" w:eastAsia="Arial" w:hAnsi="Arial"/>
                <w:sz w:val="15"/>
                <w:szCs w:val="15"/>
                <w:i w:val="1"/>
                <w:iCs w:val="1"/>
                <w:color w:val="auto"/>
              </w:rPr>
              <w:t>Income Taxes</w:t>
            </w: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60"/>
        </w:trPr>
        <w:tc>
          <w:tcPr>
            <w:tcW w:w="960" w:type="dxa"/>
            <w:vAlign w:val="bottom"/>
            <w:tcBorders>
              <w:top w:val="single" w:sz="8" w:color="auto"/>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3"/>
          </w:tcPr>
          <w:p>
            <w:pPr>
              <w:jc w:val="right"/>
              <w:ind w:right="663"/>
              <w:spacing w:after="0"/>
              <w:rPr>
                <w:sz w:val="20"/>
                <w:szCs w:val="20"/>
                <w:color w:val="auto"/>
              </w:rPr>
            </w:pPr>
            <w:r>
              <w:rPr>
                <w:rFonts w:ascii="Arial" w:cs="Arial" w:eastAsia="Arial" w:hAnsi="Arial"/>
                <w:sz w:val="15"/>
                <w:szCs w:val="15"/>
                <w:b w:val="1"/>
                <w:bCs w:val="1"/>
                <w:color w:val="auto"/>
              </w:rPr>
              <w:t>Thirteen weeks ended</w:t>
            </w:r>
          </w:p>
        </w:tc>
        <w:tc>
          <w:tcPr>
            <w:tcW w:w="36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3"/>
          </w:tcPr>
          <w:p>
            <w:pPr>
              <w:jc w:val="right"/>
              <w:ind w:right="523"/>
              <w:spacing w:after="0"/>
              <w:rPr>
                <w:sz w:val="20"/>
                <w:szCs w:val="20"/>
                <w:color w:val="auto"/>
              </w:rPr>
            </w:pPr>
            <w:r>
              <w:rPr>
                <w:rFonts w:ascii="Arial" w:cs="Arial" w:eastAsia="Arial" w:hAnsi="Arial"/>
                <w:sz w:val="15"/>
                <w:szCs w:val="15"/>
                <w:b w:val="1"/>
                <w:bCs w:val="1"/>
                <w:color w:val="auto"/>
              </w:rPr>
              <w:t>Thirty-nine weeks ended</w:t>
            </w:r>
          </w:p>
        </w:tc>
      </w:tr>
      <w:tr>
        <w:trPr>
          <w:trHeight w:val="196"/>
        </w:trPr>
        <w:tc>
          <w:tcPr>
            <w:tcW w:w="9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Pr>
          <w:p>
            <w:pPr>
              <w:jc w:val="right"/>
              <w:ind w:right="263"/>
              <w:spacing w:after="0"/>
              <w:rPr>
                <w:sz w:val="20"/>
                <w:szCs w:val="20"/>
                <w:color w:val="auto"/>
              </w:rPr>
            </w:pPr>
            <w:r>
              <w:rPr>
                <w:rFonts w:ascii="Arial" w:cs="Arial" w:eastAsia="Arial" w:hAnsi="Arial"/>
                <w:sz w:val="15"/>
                <w:szCs w:val="15"/>
                <w:b w:val="1"/>
                <w:bCs w:val="1"/>
                <w:color w:val="auto"/>
              </w:rPr>
              <w:t>November 3,</w:t>
            </w:r>
          </w:p>
        </w:tc>
        <w:tc>
          <w:tcPr>
            <w:tcW w:w="180" w:type="dxa"/>
            <w:vAlign w:val="bottom"/>
          </w:tcPr>
          <w:p>
            <w:pPr>
              <w:spacing w:after="0"/>
              <w:rPr>
                <w:sz w:val="17"/>
                <w:szCs w:val="17"/>
                <w:color w:val="auto"/>
              </w:rPr>
            </w:pPr>
          </w:p>
        </w:tc>
        <w:tc>
          <w:tcPr>
            <w:tcW w:w="1300" w:type="dxa"/>
            <w:vAlign w:val="bottom"/>
          </w:tcPr>
          <w:p>
            <w:pPr>
              <w:jc w:val="right"/>
              <w:ind w:right="323"/>
              <w:spacing w:after="0"/>
              <w:rPr>
                <w:sz w:val="20"/>
                <w:szCs w:val="20"/>
                <w:color w:val="auto"/>
              </w:rPr>
            </w:pPr>
            <w:r>
              <w:rPr>
                <w:rFonts w:ascii="Arial" w:cs="Arial" w:eastAsia="Arial" w:hAnsi="Arial"/>
                <w:sz w:val="15"/>
                <w:szCs w:val="15"/>
                <w:b w:val="1"/>
                <w:bCs w:val="1"/>
                <w:color w:val="auto"/>
              </w:rPr>
              <w:t>October 28,</w:t>
            </w:r>
          </w:p>
        </w:tc>
        <w:tc>
          <w:tcPr>
            <w:tcW w:w="1420" w:type="dxa"/>
            <w:vAlign w:val="bottom"/>
            <w:gridSpan w:val="2"/>
          </w:tcPr>
          <w:p>
            <w:pPr>
              <w:jc w:val="right"/>
              <w:ind w:right="283"/>
              <w:spacing w:after="0"/>
              <w:rPr>
                <w:sz w:val="20"/>
                <w:szCs w:val="20"/>
                <w:color w:val="auto"/>
              </w:rPr>
            </w:pPr>
            <w:r>
              <w:rPr>
                <w:rFonts w:ascii="Arial" w:cs="Arial" w:eastAsia="Arial" w:hAnsi="Arial"/>
                <w:sz w:val="15"/>
                <w:szCs w:val="15"/>
                <w:b w:val="1"/>
                <w:bCs w:val="1"/>
                <w:color w:val="auto"/>
              </w:rPr>
              <w:t>November 3,</w:t>
            </w:r>
          </w:p>
        </w:tc>
        <w:tc>
          <w:tcPr>
            <w:tcW w:w="160" w:type="dxa"/>
            <w:vAlign w:val="bottom"/>
          </w:tcPr>
          <w:p>
            <w:pPr>
              <w:spacing w:after="0"/>
              <w:rPr>
                <w:sz w:val="17"/>
                <w:szCs w:val="17"/>
                <w:color w:val="auto"/>
              </w:rPr>
            </w:pPr>
          </w:p>
        </w:tc>
        <w:tc>
          <w:tcPr>
            <w:tcW w:w="1220" w:type="dxa"/>
            <w:vAlign w:val="bottom"/>
          </w:tcPr>
          <w:p>
            <w:pPr>
              <w:jc w:val="right"/>
              <w:ind w:right="283"/>
              <w:spacing w:after="0"/>
              <w:rPr>
                <w:sz w:val="20"/>
                <w:szCs w:val="20"/>
                <w:color w:val="auto"/>
              </w:rPr>
            </w:pPr>
            <w:r>
              <w:rPr>
                <w:rFonts w:ascii="Arial" w:cs="Arial" w:eastAsia="Arial" w:hAnsi="Arial"/>
                <w:sz w:val="15"/>
                <w:szCs w:val="15"/>
                <w:b w:val="1"/>
                <w:bCs w:val="1"/>
                <w:color w:val="auto"/>
              </w:rPr>
              <w:t>October 28,</w:t>
            </w:r>
          </w:p>
        </w:tc>
      </w:tr>
      <w:tr>
        <w:trPr>
          <w:trHeight w:val="197"/>
        </w:trPr>
        <w:tc>
          <w:tcPr>
            <w:tcW w:w="9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2018</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2017</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2018</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2017</w:t>
            </w:r>
          </w:p>
        </w:tc>
      </w:tr>
      <w:tr>
        <w:trPr>
          <w:trHeight w:val="187"/>
        </w:trPr>
        <w:tc>
          <w:tcPr>
            <w:tcW w:w="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 in millions)</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7"/>
        </w:trPr>
        <w:tc>
          <w:tcPr>
            <w:tcW w:w="2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3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16</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54</w:t>
            </w:r>
          </w:p>
        </w:tc>
        <w:tc>
          <w:tcPr>
            <w:tcW w:w="36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w:t>
            </w:r>
          </w:p>
        </w:tc>
        <w:tc>
          <w:tcPr>
            <w:tcW w:w="106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107</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165</w:t>
            </w:r>
          </w:p>
        </w:tc>
      </w:tr>
      <w:tr>
        <w:trPr>
          <w:trHeight w:val="207"/>
        </w:trPr>
        <w:tc>
          <w:tcPr>
            <w:tcW w:w="26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Effective tax rate</w:t>
            </w:r>
          </w:p>
        </w:tc>
        <w:tc>
          <w:tcPr>
            <w:tcW w:w="9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10.8 %</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34.7 %</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21.8 %</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33.2 %</w:t>
            </w:r>
          </w:p>
        </w:tc>
      </w:tr>
    </w:tbl>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Company’s interim provision for income taxes is measured using an annual effective tax rate, adjusted for discrete items that occur within the periods presented.</w:t>
      </w:r>
    </w:p>
    <w:p>
      <w:pPr>
        <w:spacing w:after="0" w:line="146"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Company regularly assesses the adequacy of its provisions for income tax contingencies in accordance with applicable authoritative guidance on accounting for income taxes. As a result, the Company may adjust the reserves for unrecognized tax benefits considering new facts and developments, such as changes to interpretations of relevant tax law, assessments from taxing authorities, settlements with taxing authorities, and lapses of statutes of limitation. The effective tax rate for the thirteen and thirty-nine weeks ended November 3, 2018 included tax benefits of $2 million and $5 million, respectively, from reserve releases and expiration of statutes of limitation on foreign income taxes and settlements of international tax examinations. The changes in the tax reserves were not significant for the prior-year periods.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08" w:right="1399" w:bottom="1440" w:gutter="0" w:footer="0" w:header="0"/>
        </w:sectPr>
      </w:pPr>
    </w:p>
    <w:bookmarkStart w:id="25" w:name="page26"/>
    <w:bookmarkEnd w:id="25"/>
    <w:p>
      <w:pPr>
        <w:jc w:val="both"/>
        <w:spacing w:after="0" w:line="242" w:lineRule="auto"/>
        <w:rPr>
          <w:sz w:val="20"/>
          <w:szCs w:val="20"/>
          <w:color w:val="auto"/>
        </w:rPr>
      </w:pPr>
      <w:r>
        <w:rPr>
          <w:rFonts w:ascii="Arial" w:cs="Arial" w:eastAsia="Arial" w:hAnsi="Arial"/>
          <w:sz w:val="15"/>
          <w:szCs w:val="15"/>
          <w:color w:val="auto"/>
        </w:rPr>
        <w:t xml:space="preserve">During the third quarter of fiscal 2018, the Company reduced its provisional net expense related to the mandatory deemed repatriation of foreign sourced net earnings by $16 million due to a revised estimate of the foreign tax credits the Company expected to utilize. The Company made a revision of $1 million during the second quarter of 2018 for the same reason. Please see Item 1. “Financial Statements,” Note 9, </w:t>
      </w:r>
      <w:r>
        <w:rPr>
          <w:rFonts w:ascii="Arial" w:cs="Arial" w:eastAsia="Arial" w:hAnsi="Arial"/>
          <w:sz w:val="15"/>
          <w:szCs w:val="15"/>
          <w:i w:val="1"/>
          <w:iCs w:val="1"/>
          <w:color w:val="auto"/>
        </w:rPr>
        <w:t>Income Taxes</w:t>
      </w:r>
      <w:r>
        <w:rPr>
          <w:rFonts w:ascii="Arial" w:cs="Arial" w:eastAsia="Arial" w:hAnsi="Arial"/>
          <w:sz w:val="15"/>
          <w:szCs w:val="15"/>
          <w:color w:val="auto"/>
        </w:rPr>
        <w:t xml:space="preserve"> for further information.</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Also during the third quarter of 2018, as a result of substantially completing the 2017 federal tax return, we recorded a $7 million benefit related to IRS accounting method changes and timing difference adjustments.</w:t>
      </w:r>
    </w:p>
    <w:p>
      <w:pPr>
        <w:spacing w:after="0" w:line="146"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During the second quarter of 2018, the U.S. Treasury issued a notice that delayed the effective date of Internal Revenue Code Section 987 regulations for determining the tax effects of foreign currency translation gains and losses for our foreign businesses that are operated as branches and are reported in a currency other than the currency of their parent. As a result of the delay in the effective date, the Company updated its calculations of the effect of these regulations, which resulted in an increase to deferred tax assets and a corresponding reduction in our income tax provision in the amount of $1 million.</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During 2017, the Company adopted ASU 2016-09 requiring excess tax benefits or deficiencies from share-based compensation to be recorded as a component of the income tax provision, rather than to equity. No significant excess tax benefits were recorded during current periods. Excess tax benefits recorded during the thirteen and thirty-nine weeks ended October 28, 2017 were $2 million and $9 million, respectively.</w:t>
      </w:r>
    </w:p>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Excluding the above-mentioned discrete items, the effective tax rate for the thirteen and thirty-nine weeks ended November 3, 2018 decreased as compared with the corresponding prior-year period, primarily due to the enactment of the Tax Act which reduced the statutory U.S. federal corporate income tax rate from 35 percent to 21 percent. This was offset, in part, by foreign taxes assessed at rates in excess of the U.S. federal rate for which no U.S. foreign tax credit is available, as well as valuation allowances for certain foreign operating loss carryforwards that the Company estimates it will not be able to utilize in future periods.</w:t>
      </w:r>
    </w:p>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 xml:space="preserve">The Company currently expects its full-year tax rate to approximate 27.5 percent excluding the effect of any nonrecurring items that may occur. The actual tax rate will vary depending on the level and mix of income earned in the various jurisdictions as well as the finalization of our accounting for the Tax Act. The effective tax rate may be materially affected as additional guidance is issued by the U.S. Treasury Department and Internal Revenue Service. Please see Item 1. “Financial Statements,” Note 9, </w:t>
      </w:r>
      <w:r>
        <w:rPr>
          <w:rFonts w:ascii="Arial" w:cs="Arial" w:eastAsia="Arial" w:hAnsi="Arial"/>
          <w:sz w:val="15"/>
          <w:szCs w:val="15"/>
          <w:i w:val="1"/>
          <w:iCs w:val="1"/>
          <w:color w:val="auto"/>
        </w:rPr>
        <w:t>Income Taxes</w:t>
      </w:r>
      <w:r>
        <w:rPr>
          <w:rFonts w:ascii="Arial" w:cs="Arial" w:eastAsia="Arial" w:hAnsi="Arial"/>
          <w:sz w:val="15"/>
          <w:szCs w:val="15"/>
          <w:color w:val="auto"/>
        </w:rPr>
        <w:t xml:space="preserve"> for further information.</w:t>
      </w: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Net Income</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5"/>
          <w:szCs w:val="15"/>
          <w:color w:val="auto"/>
        </w:rPr>
        <w:t>For the thirteen and thirty-nine weeks ended November 3, 2018, net income increased by $28 million, or 27.5 percent, and by $50 million, or 15.0 percent, respectively, as compared with the corresponding prior-year periods. Diluted earnings per share increased by 40.7 percent to $1.14 per share, and increased by 28.6 percent to $3.28 per share, for the thirteen and thirty-nine weeks ended November 3, 2018, respectively. The increase in diluted earnings per share for both the quarter and year-to-date periods reflected an increase in net income coupled with a reduction in the number of shares outstanding as a result of the ongoing execution of the Company’s share repurchase program.</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Liquidity</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5"/>
          <w:szCs w:val="15"/>
          <w:color w:val="auto"/>
        </w:rPr>
        <w:t>Our primary source of liquidity has been cash flow from earnings, while the principal uses of cash have been to: fund inventory and other working capital requirements; finance capital expenditures related to store openings, store remodelings, Internet and mobile sites, information systems, and other support facilities; make retirement plan contributions, quarterly dividend payments, and interest payments; and fund other cash requirements to support the development of our short-term and long-term operating strategies. We generally finance real estate with operating leases. We believe our cash, cash equivalents, and future cash flow from operations will be adequate to fund these requirements.</w:t>
      </w:r>
    </w:p>
    <w:p>
      <w:pPr>
        <w:spacing w:after="0" w:line="133"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Company may also from time to time repurchase its common stock or seek to retire or purchase outstanding debt through open market purchases, privately negotiated transactions, or otherwise. Share repurchases and retirement of debt, if any, will depend on prevailing market conditions, liquidity requirements, contractual restrictions, and other factors. The amounts involved may be material.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29" w:right="1399" w:bottom="1440" w:gutter="0" w:footer="0" w:header="0"/>
        </w:sectPr>
      </w:pPr>
    </w:p>
    <w:bookmarkStart w:id="26" w:name="page27"/>
    <w:bookmarkEnd w:id="26"/>
    <w:p>
      <w:pPr>
        <w:jc w:val="both"/>
        <w:ind w:right="20"/>
        <w:spacing w:after="0" w:line="254" w:lineRule="auto"/>
        <w:rPr>
          <w:sz w:val="20"/>
          <w:szCs w:val="20"/>
          <w:color w:val="auto"/>
        </w:rPr>
      </w:pPr>
      <w:r>
        <w:rPr>
          <w:rFonts w:ascii="Arial" w:cs="Arial" w:eastAsia="Arial" w:hAnsi="Arial"/>
          <w:sz w:val="15"/>
          <w:szCs w:val="15"/>
          <w:color w:val="auto"/>
        </w:rPr>
        <w:t>As of November 3, 2018, approximately $445 million remained available under the Company’s current $1.2 billion share repurchase program.</w:t>
      </w:r>
    </w:p>
    <w:p>
      <w:pPr>
        <w:spacing w:after="0" w:line="85" w:lineRule="exact"/>
        <w:rPr>
          <w:sz w:val="20"/>
          <w:szCs w:val="20"/>
          <w:color w:val="auto"/>
        </w:rPr>
      </w:pPr>
    </w:p>
    <w:p>
      <w:pPr>
        <w:jc w:val="both"/>
        <w:ind w:right="20"/>
        <w:spacing w:after="0" w:line="241" w:lineRule="auto"/>
        <w:rPr>
          <w:sz w:val="20"/>
          <w:szCs w:val="20"/>
          <w:color w:val="auto"/>
        </w:rPr>
      </w:pPr>
      <w:r>
        <w:rPr>
          <w:rFonts w:ascii="Arial" w:cs="Arial" w:eastAsia="Arial" w:hAnsi="Arial"/>
          <w:sz w:val="15"/>
          <w:szCs w:val="15"/>
          <w:color w:val="auto"/>
        </w:rPr>
        <w:t>Any material adverse change in customer demand, fashion trends, competitive market forces, or customer acceptance of our merchandise mix and retail locations, uncertainties related to the effect of competitive products and pricing, our reliance on a few key vendors for a significant portion of our merchandise purchases and risks associated with global product sourcing, economic conditions worldwide, the effects of currency fluctuations, as well as other factors listed under the heading “Disclosure Regarding Forward-Looking Statements,” could affect our ability to continue to fund our needs from business operations.</w:t>
      </w:r>
    </w:p>
    <w:p>
      <w:pPr>
        <w:spacing w:after="0" w:line="79" w:lineRule="exact"/>
        <w:rPr>
          <w:sz w:val="20"/>
          <w:szCs w:val="20"/>
          <w:color w:val="auto"/>
        </w:rPr>
      </w:pPr>
    </w:p>
    <w:p>
      <w:pPr>
        <w:jc w:val="both"/>
        <w:ind w:right="20"/>
        <w:spacing w:after="0" w:line="244" w:lineRule="auto"/>
        <w:rPr>
          <w:sz w:val="20"/>
          <w:szCs w:val="20"/>
          <w:color w:val="auto"/>
        </w:rPr>
      </w:pPr>
      <w:r>
        <w:rPr>
          <w:rFonts w:ascii="Arial" w:cs="Arial" w:eastAsia="Arial" w:hAnsi="Arial"/>
          <w:sz w:val="15"/>
          <w:szCs w:val="15"/>
          <w:color w:val="auto"/>
        </w:rPr>
        <w:t xml:space="preserve">As discussed further in the </w:t>
      </w:r>
      <w:r>
        <w:rPr>
          <w:rFonts w:ascii="Arial" w:cs="Arial" w:eastAsia="Arial" w:hAnsi="Arial"/>
          <w:sz w:val="15"/>
          <w:szCs w:val="15"/>
          <w:i w:val="1"/>
          <w:iCs w:val="1"/>
          <w:color w:val="auto"/>
        </w:rPr>
        <w:t>Legal Proceedings</w:t>
      </w:r>
      <w:r>
        <w:rPr>
          <w:rFonts w:ascii="Arial" w:cs="Arial" w:eastAsia="Arial" w:hAnsi="Arial"/>
          <w:sz w:val="15"/>
          <w:szCs w:val="15"/>
          <w:color w:val="auto"/>
        </w:rPr>
        <w:t xml:space="preserve"> note under “Item 1. Financial Statements,” during the second quarter of 2018, the Company reformed its U.S. qualified pension plan, which required the remeasurement of the pension liabilities and payment to plaintiffs’ counsel of $97 million representing class counsel fees awarded in the judgment. The Company contributed a total of $128 million to its U.S. qualified pension plan during the thirty-nine weeks ended November 3, 2018 to fund a portion of this liability. Additionally, $54 million remains in the qualified settlement fund. Future contributions to the pension plan are dependent on several factors, including the performance of the plan’s assets and interest rates.</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Operating Activities</w:t>
      </w:r>
    </w:p>
    <w:p>
      <w:pPr>
        <w:spacing w:after="0" w:line="154" w:lineRule="exact"/>
        <w:rPr>
          <w:sz w:val="20"/>
          <w:szCs w:val="20"/>
          <w:color w:val="auto"/>
        </w:rPr>
      </w:pPr>
    </w:p>
    <w:p>
      <w:pPr>
        <w:ind w:left="6360"/>
        <w:spacing w:after="0"/>
        <w:rPr>
          <w:sz w:val="20"/>
          <w:szCs w:val="20"/>
          <w:color w:val="auto"/>
        </w:rPr>
      </w:pPr>
      <w:r>
        <w:rPr>
          <w:rFonts w:ascii="Arial" w:cs="Arial" w:eastAsia="Arial" w:hAnsi="Arial"/>
          <w:sz w:val="15"/>
          <w:szCs w:val="15"/>
          <w:b w:val="1"/>
          <w:bCs w:val="1"/>
          <w:color w:val="auto"/>
        </w:rPr>
        <w:t>Thirty-nine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60" w:type="dxa"/>
            <w:vAlign w:val="bottom"/>
            <w:tcBorders>
              <w:top w:val="single" w:sz="8" w:color="auto"/>
              <w:bottom w:val="single" w:sz="8" w:color="auto"/>
            </w:tcBorders>
          </w:tcPr>
          <w:p>
            <w:pPr>
              <w:spacing w:after="0"/>
              <w:rPr>
                <w:sz w:val="16"/>
                <w:szCs w:val="16"/>
                <w:color w:val="auto"/>
              </w:rPr>
            </w:pPr>
          </w:p>
        </w:tc>
        <w:tc>
          <w:tcPr>
            <w:tcW w:w="3100" w:type="dxa"/>
            <w:vAlign w:val="bottom"/>
            <w:tcBorders>
              <w:top w:val="single" w:sz="8" w:color="auto"/>
              <w:bottom w:val="single" w:sz="8" w:color="auto"/>
            </w:tcBorders>
            <w:gridSpan w:val="2"/>
          </w:tcPr>
          <w:p>
            <w:pPr>
              <w:jc w:val="right"/>
              <w:ind w:right="263"/>
              <w:spacing w:after="0"/>
              <w:rPr>
                <w:sz w:val="20"/>
                <w:szCs w:val="20"/>
                <w:color w:val="auto"/>
              </w:rPr>
            </w:pPr>
            <w:r>
              <w:rPr>
                <w:rFonts w:ascii="Arial" w:cs="Arial" w:eastAsia="Arial" w:hAnsi="Arial"/>
                <w:sz w:val="15"/>
                <w:szCs w:val="15"/>
                <w:b w:val="1"/>
                <w:bCs w:val="1"/>
                <w:color w:val="auto"/>
              </w:rPr>
              <w:t>November 3, 2018</w:t>
            </w:r>
          </w:p>
        </w:tc>
        <w:tc>
          <w:tcPr>
            <w:tcW w:w="28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October 28, 2017</w:t>
            </w:r>
          </w:p>
        </w:tc>
      </w:tr>
      <w:tr>
        <w:trPr>
          <w:trHeight w:val="187"/>
        </w:trPr>
        <w:tc>
          <w:tcPr>
            <w:tcW w:w="41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880" w:type="dxa"/>
            <w:vAlign w:val="bottom"/>
            <w:gridSpan w:val="3"/>
          </w:tcPr>
          <w:p>
            <w:pPr>
              <w:jc w:val="right"/>
              <w:ind w:right="1323"/>
              <w:spacing w:after="0"/>
              <w:rPr>
                <w:sz w:val="20"/>
                <w:szCs w:val="20"/>
                <w:color w:val="auto"/>
              </w:rPr>
            </w:pPr>
            <w:r>
              <w:rPr>
                <w:rFonts w:ascii="Arial" w:cs="Arial" w:eastAsia="Arial" w:hAnsi="Arial"/>
                <w:sz w:val="15"/>
                <w:szCs w:val="15"/>
                <w:color w:val="auto"/>
              </w:rPr>
              <w:t>($ in millions)</w:t>
            </w:r>
          </w:p>
        </w:tc>
      </w:tr>
      <w:tr>
        <w:trPr>
          <w:trHeight w:val="207"/>
        </w:trPr>
        <w:tc>
          <w:tcPr>
            <w:tcW w:w="416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operating activities</w:t>
            </w:r>
          </w:p>
        </w:tc>
        <w:tc>
          <w:tcPr>
            <w:tcW w:w="2060" w:type="dxa"/>
            <w:vAlign w:val="bottom"/>
            <w:shd w:val="clear" w:color="auto" w:fill="CCEEFF"/>
          </w:tcPr>
          <w:p>
            <w:pPr>
              <w:jc w:val="right"/>
              <w:ind w:right="503"/>
              <w:spacing w:after="0"/>
              <w:rPr>
                <w:sz w:val="20"/>
                <w:szCs w:val="20"/>
                <w:color w:val="auto"/>
              </w:rPr>
            </w:pPr>
            <w:r>
              <w:rPr>
                <w:rFonts w:ascii="Arial" w:cs="Arial" w:eastAsia="Arial" w:hAnsi="Arial"/>
                <w:sz w:val="15"/>
                <w:szCs w:val="15"/>
                <w:b w:val="1"/>
                <w:bCs w:val="1"/>
                <w:color w:val="auto"/>
              </w:rPr>
              <w:t>$</w:t>
            </w:r>
          </w:p>
        </w:tc>
        <w:tc>
          <w:tcPr>
            <w:tcW w:w="104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422</w:t>
            </w:r>
          </w:p>
        </w:tc>
        <w:tc>
          <w:tcPr>
            <w:tcW w:w="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496</w:t>
            </w:r>
          </w:p>
        </w:tc>
      </w:tr>
      <w:tr>
        <w:trPr>
          <w:trHeight w:val="207"/>
        </w:trPr>
        <w:tc>
          <w:tcPr>
            <w:tcW w:w="41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Change</w:t>
            </w:r>
          </w:p>
        </w:tc>
        <w:tc>
          <w:tcPr>
            <w:tcW w:w="206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(74)</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The amount provided by operating activities reflects net income adjusted for non-cash items and working capital changes.</w:t>
      </w:r>
    </w:p>
    <w:p>
      <w:pPr>
        <w:spacing w:after="0"/>
        <w:rPr>
          <w:sz w:val="20"/>
          <w:szCs w:val="20"/>
          <w:color w:val="auto"/>
        </w:rPr>
      </w:pPr>
      <w:r>
        <w:rPr>
          <w:rFonts w:ascii="Arial" w:cs="Arial" w:eastAsia="Arial" w:hAnsi="Arial"/>
          <w:sz w:val="15"/>
          <w:szCs w:val="15"/>
          <w:color w:val="auto"/>
        </w:rPr>
        <w:t>Adjustments to net income for non-cash items include depreciation and amortization, and share-based compensation expense.</w:t>
      </w:r>
    </w:p>
    <w:p>
      <w:pPr>
        <w:spacing w:after="0" w:line="107" w:lineRule="exact"/>
        <w:rPr>
          <w:sz w:val="20"/>
          <w:szCs w:val="20"/>
          <w:color w:val="auto"/>
        </w:rPr>
      </w:pPr>
    </w:p>
    <w:p>
      <w:pPr>
        <w:jc w:val="both"/>
        <w:ind w:right="20"/>
        <w:spacing w:after="0" w:line="241" w:lineRule="auto"/>
        <w:rPr>
          <w:sz w:val="20"/>
          <w:szCs w:val="20"/>
          <w:color w:val="auto"/>
        </w:rPr>
      </w:pPr>
      <w:r>
        <w:rPr>
          <w:rFonts w:ascii="Arial" w:cs="Arial" w:eastAsia="Arial" w:hAnsi="Arial"/>
          <w:sz w:val="15"/>
          <w:szCs w:val="15"/>
          <w:color w:val="auto"/>
        </w:rPr>
        <w:t>The decrease in cash provided by operating activities compared with the same period of last year reflected an increase in net income, net inflows associated with changes in working capital, and was offset by an increase in pension-related payments. During the thirty-nine weeks ended November 3, 2018, we contributed $128 million to our U.S. qualified pension plan as compared with $25 million in the corresponding prior-year period. Additionally, the decrease in cash provided by operating activities reflected $97 million paid during the second quarter of 2018 in class counsel fees in connection with the pension litigation.</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Investing Activities</w:t>
      </w:r>
    </w:p>
    <w:p>
      <w:pPr>
        <w:spacing w:after="0" w:line="44" w:lineRule="exact"/>
        <w:rPr>
          <w:sz w:val="20"/>
          <w:szCs w:val="20"/>
          <w:color w:val="auto"/>
        </w:rPr>
      </w:pPr>
    </w:p>
    <w:p>
      <w:pPr>
        <w:jc w:val="center"/>
        <w:ind w:left="5400"/>
        <w:spacing w:after="0"/>
        <w:rPr>
          <w:sz w:val="20"/>
          <w:szCs w:val="20"/>
          <w:color w:val="auto"/>
        </w:rPr>
      </w:pPr>
      <w:r>
        <w:rPr>
          <w:rFonts w:ascii="Arial" w:cs="Arial" w:eastAsia="Arial" w:hAnsi="Arial"/>
          <w:sz w:val="15"/>
          <w:szCs w:val="15"/>
          <w:b w:val="1"/>
          <w:bCs w:val="1"/>
          <w:color w:val="auto"/>
        </w:rPr>
        <w:t>Thirty-nine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577723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77230" cy="7620"/>
                    </a:xfrm>
                    <a:prstGeom prst="rect">
                      <a:avLst/>
                    </a:prstGeom>
                    <a:noFill/>
                  </pic:spPr>
                </pic:pic>
              </a:graphicData>
            </a:graphic>
          </wp:anchor>
        </w:drawing>
      </w:r>
    </w:p>
    <w:p>
      <w:pPr>
        <w:spacing w:after="0" w:line="14" w:lineRule="exact"/>
        <w:rPr>
          <w:sz w:val="20"/>
          <w:szCs w:val="20"/>
          <w:color w:val="auto"/>
        </w:rPr>
      </w:pPr>
    </w:p>
    <w:p>
      <w:pPr>
        <w:ind w:left="5620"/>
        <w:spacing w:after="0"/>
        <w:tabs>
          <w:tab w:leader="none" w:pos="7600" w:val="left"/>
        </w:tabs>
        <w:rPr>
          <w:sz w:val="20"/>
          <w:szCs w:val="20"/>
          <w:color w:val="auto"/>
        </w:rPr>
      </w:pPr>
      <w:r>
        <w:rPr>
          <w:rFonts w:ascii="Arial" w:cs="Arial" w:eastAsia="Arial" w:hAnsi="Arial"/>
          <w:sz w:val="15"/>
          <w:szCs w:val="15"/>
          <w:b w:val="1"/>
          <w:bCs w:val="1"/>
          <w:color w:val="auto"/>
        </w:rPr>
        <w:t>November 3, 2018</w:t>
      </w:r>
      <w:r>
        <w:rPr>
          <w:sz w:val="20"/>
          <w:szCs w:val="20"/>
          <w:color w:val="auto"/>
        </w:rPr>
        <w:tab/>
      </w:r>
      <w:r>
        <w:rPr>
          <w:rFonts w:ascii="Arial" w:cs="Arial" w:eastAsia="Arial" w:hAnsi="Arial"/>
          <w:sz w:val="15"/>
          <w:szCs w:val="15"/>
          <w:b w:val="1"/>
          <w:bCs w:val="1"/>
          <w:color w:val="auto"/>
        </w:rPr>
        <w:t>October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577723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77230" cy="7620"/>
                    </a:xfrm>
                    <a:prstGeom prst="rect">
                      <a:avLst/>
                    </a:prstGeom>
                    <a:noFill/>
                  </pic:spPr>
                </pic:pic>
              </a:graphicData>
            </a:graphic>
          </wp:anchor>
        </w:drawing>
      </w:r>
    </w:p>
    <w:p>
      <w:pPr>
        <w:spacing w:after="0" w:line="32" w:lineRule="exact"/>
        <w:rPr>
          <w:sz w:val="20"/>
          <w:szCs w:val="20"/>
          <w:color w:val="auto"/>
        </w:rPr>
      </w:pPr>
    </w:p>
    <w:p>
      <w:pPr>
        <w:ind w:left="6800"/>
        <w:spacing w:after="0"/>
        <w:rPr>
          <w:sz w:val="20"/>
          <w:szCs w:val="20"/>
          <w:color w:val="auto"/>
        </w:rPr>
      </w:pPr>
      <w:r>
        <w:rPr>
          <w:rFonts w:ascii="Arial" w:cs="Arial" w:eastAsia="Arial" w:hAnsi="Arial"/>
          <w:sz w:val="15"/>
          <w:szCs w:val="15"/>
          <w:color w:val="auto"/>
        </w:rPr>
        <w:t>($ 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0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investing activities</w:t>
            </w:r>
          </w:p>
        </w:tc>
        <w:tc>
          <w:tcPr>
            <w:tcW w:w="2240" w:type="dxa"/>
            <w:vAlign w:val="bottom"/>
            <w:shd w:val="clear" w:color="auto" w:fill="CCEEFF"/>
          </w:tcPr>
          <w:p>
            <w:pPr>
              <w:jc w:val="right"/>
              <w:ind w:right="523"/>
              <w:spacing w:after="0"/>
              <w:rPr>
                <w:sz w:val="20"/>
                <w:szCs w:val="20"/>
                <w:color w:val="auto"/>
              </w:rPr>
            </w:pPr>
            <w:r>
              <w:rPr>
                <w:rFonts w:ascii="Arial" w:cs="Arial" w:eastAsia="Arial" w:hAnsi="Arial"/>
                <w:sz w:val="15"/>
                <w:szCs w:val="15"/>
                <w:b w:val="1"/>
                <w:bCs w:val="1"/>
                <w:color w:val="auto"/>
              </w:rPr>
              <w:t>$</w:t>
            </w: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157</w:t>
            </w:r>
          </w:p>
        </w:tc>
        <w:tc>
          <w:tcPr>
            <w:tcW w:w="88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w:t>
            </w:r>
          </w:p>
        </w:tc>
      </w:tr>
      <w:tr>
        <w:trPr>
          <w:trHeight w:val="207"/>
        </w:trPr>
        <w:tc>
          <w:tcPr>
            <w:tcW w:w="40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Change</w:t>
            </w:r>
          </w:p>
        </w:tc>
        <w:tc>
          <w:tcPr>
            <w:tcW w:w="224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(47)</w:t>
            </w:r>
          </w:p>
        </w:tc>
        <w:tc>
          <w:tcPr>
            <w:tcW w:w="8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bl>
    <w:p>
      <w:pPr>
        <w:spacing w:after="0" w:line="55" w:lineRule="exact"/>
        <w:rPr>
          <w:sz w:val="20"/>
          <w:szCs w:val="20"/>
          <w:color w:val="auto"/>
        </w:rPr>
      </w:pPr>
    </w:p>
    <w:p>
      <w:pPr>
        <w:jc w:val="both"/>
        <w:ind w:right="20"/>
        <w:spacing w:after="0" w:line="239" w:lineRule="auto"/>
        <w:rPr>
          <w:sz w:val="20"/>
          <w:szCs w:val="20"/>
          <w:color w:val="auto"/>
        </w:rPr>
      </w:pPr>
      <w:r>
        <w:rPr>
          <w:rFonts w:ascii="Arial" w:cs="Arial" w:eastAsia="Arial" w:hAnsi="Arial"/>
          <w:sz w:val="15"/>
          <w:szCs w:val="15"/>
          <w:color w:val="auto"/>
        </w:rPr>
        <w:t>Capital expenditures declined for the thirty-nine weeks ended November 3, 2018 by $51 million as compared with the corresponding prior-year period. This represented a decline in spending on store projects partially offset by an increase related to technology projects. The Company’s full-year capital spending is expected to be approximately $208 million, which includes $128 million related to the remodeling or relocation of approximately 125 existing stores and the opening of approximately 45 new stores, as well as $80 million for the development of information systems, websites, and infrastructure, including supply chain initiatives. Additionally, investing activities for the thirty-nine weeks ended November 3, 2018 included a $6 million investment in equity securities partially offset by the receipt of insurance proceeds of $2 million for fixed assets from an insurance claim relating to Hurricane Maria.</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Financing Activities</w:t>
      </w:r>
    </w:p>
    <w:p>
      <w:pPr>
        <w:spacing w:after="0" w:line="44" w:lineRule="exact"/>
        <w:rPr>
          <w:sz w:val="20"/>
          <w:szCs w:val="20"/>
          <w:color w:val="auto"/>
        </w:rPr>
      </w:pPr>
    </w:p>
    <w:p>
      <w:pPr>
        <w:jc w:val="center"/>
        <w:ind w:left="5400"/>
        <w:spacing w:after="0"/>
        <w:rPr>
          <w:sz w:val="20"/>
          <w:szCs w:val="20"/>
          <w:color w:val="auto"/>
        </w:rPr>
      </w:pPr>
      <w:r>
        <w:rPr>
          <w:rFonts w:ascii="Arial" w:cs="Arial" w:eastAsia="Arial" w:hAnsi="Arial"/>
          <w:sz w:val="15"/>
          <w:szCs w:val="15"/>
          <w:b w:val="1"/>
          <w:bCs w:val="1"/>
          <w:color w:val="auto"/>
        </w:rPr>
        <w:t>Thirty-nine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577723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77230" cy="7620"/>
                    </a:xfrm>
                    <a:prstGeom prst="rect">
                      <a:avLst/>
                    </a:prstGeom>
                    <a:noFill/>
                  </pic:spPr>
                </pic:pic>
              </a:graphicData>
            </a:graphic>
          </wp:anchor>
        </w:drawing>
      </w:r>
    </w:p>
    <w:p>
      <w:pPr>
        <w:spacing w:after="0" w:line="14" w:lineRule="exact"/>
        <w:rPr>
          <w:sz w:val="20"/>
          <w:szCs w:val="20"/>
          <w:color w:val="auto"/>
        </w:rPr>
      </w:pPr>
    </w:p>
    <w:p>
      <w:pPr>
        <w:ind w:left="5620"/>
        <w:spacing w:after="0"/>
        <w:tabs>
          <w:tab w:leader="none" w:pos="7600" w:val="left"/>
        </w:tabs>
        <w:rPr>
          <w:sz w:val="20"/>
          <w:szCs w:val="20"/>
          <w:color w:val="auto"/>
        </w:rPr>
      </w:pPr>
      <w:r>
        <w:rPr>
          <w:rFonts w:ascii="Arial" w:cs="Arial" w:eastAsia="Arial" w:hAnsi="Arial"/>
          <w:sz w:val="15"/>
          <w:szCs w:val="15"/>
          <w:b w:val="1"/>
          <w:bCs w:val="1"/>
          <w:color w:val="auto"/>
        </w:rPr>
        <w:t>November 3, 2018</w:t>
      </w:r>
      <w:r>
        <w:rPr>
          <w:sz w:val="20"/>
          <w:szCs w:val="20"/>
          <w:color w:val="auto"/>
        </w:rPr>
        <w:tab/>
      </w:r>
      <w:r>
        <w:rPr>
          <w:rFonts w:ascii="Arial" w:cs="Arial" w:eastAsia="Arial" w:hAnsi="Arial"/>
          <w:sz w:val="15"/>
          <w:szCs w:val="15"/>
          <w:b w:val="1"/>
          <w:bCs w:val="1"/>
          <w:color w:val="auto"/>
        </w:rPr>
        <w:t>October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577723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77230" cy="7620"/>
                    </a:xfrm>
                    <a:prstGeom prst="rect">
                      <a:avLst/>
                    </a:prstGeom>
                    <a:noFill/>
                  </pic:spPr>
                </pic:pic>
              </a:graphicData>
            </a:graphic>
          </wp:anchor>
        </w:drawing>
      </w:r>
    </w:p>
    <w:p>
      <w:pPr>
        <w:spacing w:after="0" w:line="32" w:lineRule="exact"/>
        <w:rPr>
          <w:sz w:val="20"/>
          <w:szCs w:val="20"/>
          <w:color w:val="auto"/>
        </w:rPr>
      </w:pPr>
    </w:p>
    <w:p>
      <w:pPr>
        <w:ind w:left="6800"/>
        <w:spacing w:after="0"/>
        <w:rPr>
          <w:sz w:val="20"/>
          <w:szCs w:val="20"/>
          <w:color w:val="auto"/>
        </w:rPr>
      </w:pPr>
      <w:r>
        <w:rPr>
          <w:rFonts w:ascii="Arial" w:cs="Arial" w:eastAsia="Arial" w:hAnsi="Arial"/>
          <w:sz w:val="15"/>
          <w:szCs w:val="15"/>
          <w:color w:val="auto"/>
        </w:rPr>
        <w:t>($ 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financing activities</w:t>
            </w:r>
          </w:p>
        </w:tc>
        <w:tc>
          <w:tcPr>
            <w:tcW w:w="2780" w:type="dxa"/>
            <w:vAlign w:val="bottom"/>
            <w:shd w:val="clear" w:color="auto" w:fill="CCEEFF"/>
          </w:tcPr>
          <w:p>
            <w:pPr>
              <w:jc w:val="right"/>
              <w:ind w:right="523"/>
              <w:spacing w:after="0"/>
              <w:rPr>
                <w:sz w:val="20"/>
                <w:szCs w:val="20"/>
                <w:color w:val="auto"/>
              </w:rPr>
            </w:pPr>
            <w:r>
              <w:rPr>
                <w:rFonts w:ascii="Arial" w:cs="Arial" w:eastAsia="Arial" w:hAnsi="Arial"/>
                <w:sz w:val="15"/>
                <w:szCs w:val="15"/>
                <w:b w:val="1"/>
                <w:bCs w:val="1"/>
                <w:color w:val="auto"/>
              </w:rPr>
              <w:t>$</w:t>
            </w: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428</w:t>
            </w:r>
          </w:p>
        </w:tc>
        <w:tc>
          <w:tcPr>
            <w:tcW w:w="88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475</w:t>
            </w:r>
          </w:p>
        </w:tc>
        <w:tc>
          <w:tcPr>
            <w:tcW w:w="20" w:type="dxa"/>
            <w:vAlign w:val="bottom"/>
          </w:tcPr>
          <w:p>
            <w:pPr>
              <w:spacing w:after="0"/>
              <w:rPr>
                <w:sz w:val="16"/>
                <w:szCs w:val="16"/>
                <w:color w:val="auto"/>
              </w:rPr>
            </w:pPr>
          </w:p>
        </w:tc>
      </w:tr>
      <w:tr>
        <w:trPr>
          <w:trHeight w:val="207"/>
        </w:trPr>
        <w:tc>
          <w:tcPr>
            <w:tcW w:w="34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Change</w:t>
            </w:r>
          </w:p>
        </w:tc>
        <w:tc>
          <w:tcPr>
            <w:tcW w:w="278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(47)</w:t>
            </w:r>
          </w:p>
        </w:tc>
        <w:tc>
          <w:tcPr>
            <w:tcW w:w="8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367"/>
        </w:trPr>
        <w:tc>
          <w:tcPr>
            <w:tcW w:w="3460" w:type="dxa"/>
            <w:vAlign w:val="bottom"/>
          </w:tcPr>
          <w:p>
            <w:pPr>
              <w:spacing w:after="0"/>
              <w:rPr>
                <w:sz w:val="24"/>
                <w:szCs w:val="24"/>
                <w:color w:val="auto"/>
              </w:rPr>
            </w:pPr>
          </w:p>
        </w:tc>
        <w:tc>
          <w:tcPr>
            <w:tcW w:w="2780" w:type="dxa"/>
            <w:vAlign w:val="bottom"/>
          </w:tcPr>
          <w:p>
            <w:pPr>
              <w:jc w:val="right"/>
              <w:ind w:right="1523"/>
              <w:spacing w:after="0"/>
              <w:rPr>
                <w:sz w:val="20"/>
                <w:szCs w:val="20"/>
                <w:color w:val="auto"/>
              </w:rPr>
            </w:pPr>
            <w:r>
              <w:rPr>
                <w:rFonts w:ascii="Arial" w:cs="Arial" w:eastAsia="Arial" w:hAnsi="Arial"/>
                <w:sz w:val="15"/>
                <w:szCs w:val="15"/>
                <w:color w:val="auto"/>
              </w:rPr>
              <w:t>25</w:t>
            </w: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8"/>
        </w:trPr>
        <w:tc>
          <w:tcPr>
            <w:tcW w:w="3460" w:type="dxa"/>
            <w:vAlign w:val="bottom"/>
            <w:tcBorders>
              <w:bottom w:val="single" w:sz="8" w:color="9A9A9A"/>
            </w:tcBorders>
          </w:tcPr>
          <w:p>
            <w:pPr>
              <w:spacing w:after="0"/>
              <w:rPr>
                <w:sz w:val="7"/>
                <w:szCs w:val="7"/>
                <w:color w:val="auto"/>
              </w:rPr>
            </w:pPr>
          </w:p>
        </w:tc>
        <w:tc>
          <w:tcPr>
            <w:tcW w:w="27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3460" w:type="dxa"/>
            <w:vAlign w:val="bottom"/>
            <w:tcBorders>
              <w:bottom w:val="single" w:sz="8" w:color="EEEEEE"/>
            </w:tcBorders>
          </w:tcPr>
          <w:p>
            <w:pPr>
              <w:spacing w:after="0" w:line="20" w:lineRule="exact"/>
              <w:rPr>
                <w:sz w:val="1"/>
                <w:szCs w:val="1"/>
                <w:color w:val="auto"/>
              </w:rPr>
            </w:pPr>
          </w:p>
        </w:tc>
        <w:tc>
          <w:tcPr>
            <w:tcW w:w="278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329" w:right="1379" w:bottom="1440" w:gutter="0" w:footer="0" w:header="0"/>
        </w:sectPr>
      </w:pPr>
    </w:p>
    <w:bookmarkStart w:id="27" w:name="page28"/>
    <w:bookmarkEnd w:id="27"/>
    <w:p>
      <w:pPr>
        <w:jc w:val="both"/>
        <w:spacing w:after="0" w:line="241" w:lineRule="auto"/>
        <w:rPr>
          <w:sz w:val="20"/>
          <w:szCs w:val="20"/>
          <w:color w:val="auto"/>
        </w:rPr>
      </w:pPr>
      <w:r>
        <w:rPr>
          <w:rFonts w:ascii="Arial" w:cs="Arial" w:eastAsia="Arial" w:hAnsi="Arial"/>
          <w:sz w:val="15"/>
          <w:szCs w:val="15"/>
          <w:color w:val="auto"/>
        </w:rPr>
        <w:t>During the thirty-nine weeks ended November 3, 2018, we repurchased 6,688,705 shares of our common stock for $313 million, as compared with 9,589,660 shares repurchased for $362 million in the corresponding prior-year period. The Company also declared and paid dividends of $120 million during the first three quarters of 2018 and 2017. This represented quarterly rates of $0.345 and $0.31 per share for 2018 and 2017, respectively. Also, during the thirty-nine weeks ended November 3, 2018 and October 28, 2017, we paid $1 million and $10 million, respectively, to satisfy tax withholding obligations relating to the vesting of share-based equity awards. Offsetting the amounts above were proceeds received from the issuance of common stock and treasury stock in connection with employee stock programs of $6 million and $17 million for the thirty-nine weeks ended November 3, 2018 and October 28, 2017, respectively.</w:t>
      </w: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86"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There have been no significant changes to our critical accounting policies and estimates from the information provided in Item 7, “Management’s Discussion and Analysis of Financial Condition and Results of Operations,” included in the Annual Report on Form 10-K for the fiscal year ended February 3, 2018.</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 xml:space="preserve">Descriptions of the recently issued and adopted accounting principles are included Item 1. “Financial Statements” in Note 1, </w:t>
      </w:r>
      <w:r>
        <w:rPr>
          <w:rFonts w:ascii="Arial" w:cs="Arial" w:eastAsia="Arial" w:hAnsi="Arial"/>
          <w:sz w:val="15"/>
          <w:szCs w:val="15"/>
          <w:i w:val="1"/>
          <w:iCs w:val="1"/>
          <w:color w:val="auto"/>
        </w:rPr>
        <w:t>Summary of Significant Accounting Policies</w:t>
      </w:r>
      <w:r>
        <w:rPr>
          <w:rFonts w:ascii="Arial" w:cs="Arial" w:eastAsia="Arial" w:hAnsi="Arial"/>
          <w:sz w:val="15"/>
          <w:szCs w:val="15"/>
          <w:color w:val="auto"/>
        </w:rPr>
        <w:t>, to the Condensed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Obligations and Commitments</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The Company’s contractual cash obligations and commercial commitments at November 3, 2018 and the effects such obligations and commitments are expected to have on the Company’s liquidity and cash flows in future periods have not changed significantly since February 3, 2018 other than amounts related to tax reform. The Company had previously disclosed its plans to elect to pay the tax related to the mandatory deemed repatriation in annual installments over an eight year period. However, during the first quarter of 2018, the IRS issued guidance which indicated that a taxpayer may not receive a refund or credit any portion of properly applied 2017 tax payments unless the amount of payments exceeds the entire unpaid repatriation tax liability. Due to the Company’s prepayments with the IRS, the entire amount of the deemed repatriation tax has been satisfied. Of the approximately $12 million remaining payable related to tax reform, approximately, $6 million will be paid during the fourth quarter of 2018. The timing of the remaining amounts is not determinable at this time.</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4. Controls and Procedures</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During the quarter, the Company’s management performed an evaluation, under the supervision and with the participation of the Company’s Chief Executive Officer (“CEO”) and Chief Financial Officer (“CFO”), of the effectiveness of the design and operation of the Company’s disclosure controls and procedures (as that term is defined in Rules 13a-15(e) and 15d-15(e) under the Securities Exchange Act of 1934, as amended (the “Exchange Act”)).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We are currently migrating our point-of-sale software to a new platform. Approximately 1,900 stores have been converted to the new software platform as of November 3, 2018, and we currently expect to complete the implementation during the second half of 2019. In connection with this implementation and resulting business process changes, we may make changes to the design and operation of our internal control over financial reporting.</w:t>
      </w:r>
    </w:p>
    <w:p>
      <w:pPr>
        <w:spacing w:after="0" w:line="156"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During the quarter ended November 3, 2018, there were no changes in the Company’s internal control over financial reporting, other than the implementation of new point-of-sale software noted above, (as defined in Rules 13a-15(f) of the Exchange Act) that materially affected or are reasonably likely to affect the Company’s internal control over financial reporting.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29" w:right="1399" w:bottom="1440" w:gutter="0" w:footer="0" w:header="0"/>
        </w:sectPr>
      </w:pPr>
    </w:p>
    <w:bookmarkStart w:id="28" w:name="page29"/>
    <w:bookmarkEnd w:id="28"/>
    <w:p>
      <w:pPr>
        <w:spacing w:after="0"/>
        <w:rPr>
          <w:sz w:val="20"/>
          <w:szCs w:val="20"/>
          <w:color w:val="auto"/>
        </w:rPr>
      </w:pPr>
      <w:r>
        <w:rPr>
          <w:rFonts w:ascii="Arial" w:cs="Arial" w:eastAsia="Arial" w:hAnsi="Arial"/>
          <w:sz w:val="15"/>
          <w:szCs w:val="15"/>
          <w:b w:val="1"/>
          <w:bCs w:val="1"/>
          <w:color w:val="auto"/>
        </w:rPr>
        <w:t>PART II - OTHER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1. Legal Proceedings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 xml:space="preserve">Information regarding the Company’s legal proceedings is contained in the </w:t>
      </w:r>
      <w:r>
        <w:rPr>
          <w:rFonts w:ascii="Arial" w:cs="Arial" w:eastAsia="Arial" w:hAnsi="Arial"/>
          <w:sz w:val="15"/>
          <w:szCs w:val="15"/>
          <w:i w:val="1"/>
          <w:iCs w:val="1"/>
          <w:color w:val="auto"/>
        </w:rPr>
        <w:t>Legal Proceedings</w:t>
      </w:r>
      <w:r>
        <w:rPr>
          <w:rFonts w:ascii="Arial" w:cs="Arial" w:eastAsia="Arial" w:hAnsi="Arial"/>
          <w:sz w:val="15"/>
          <w:szCs w:val="15"/>
          <w:color w:val="auto"/>
        </w:rPr>
        <w:t xml:space="preserve"> note under Item 1. “Financial Statements” in Part I.</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1A. Risk Factors</w:t>
      </w:r>
    </w:p>
    <w:p>
      <w:pPr>
        <w:spacing w:after="0" w:line="186"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 addition to the other information discussed in this report, the factors described in Part I, Item 1A. “Risk Factors” in our 2017 Annual Report on Form 10-K filed with the SEC on March 29, 2018 should be considered as they could materially affect our business, financial condition or future results.</w:t>
      </w:r>
    </w:p>
    <w:p>
      <w:pPr>
        <w:spacing w:after="0" w:line="153"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There have not been any significant changes with respect to the risks described in our 2017 Form 10-K, except as described below, but these are not the only risks facing our Company. Additional risks and uncertainties not currently known to us or that we currently deem to be immaterial also may adversely affect our business, financial condition or operating results.</w:t>
      </w:r>
    </w:p>
    <w:p>
      <w:pPr>
        <w:spacing w:after="0" w:line="135" w:lineRule="exact"/>
        <w:rPr>
          <w:sz w:val="20"/>
          <w:szCs w:val="20"/>
          <w:color w:val="auto"/>
        </w:rPr>
      </w:pPr>
    </w:p>
    <w:p>
      <w:pPr>
        <w:jc w:val="both"/>
        <w:spacing w:after="0" w:line="279" w:lineRule="auto"/>
        <w:rPr>
          <w:sz w:val="20"/>
          <w:szCs w:val="20"/>
          <w:color w:val="auto"/>
        </w:rPr>
      </w:pPr>
      <w:r>
        <w:rPr>
          <w:rFonts w:ascii="Arial" w:cs="Arial" w:eastAsia="Arial" w:hAnsi="Arial"/>
          <w:sz w:val="15"/>
          <w:szCs w:val="15"/>
          <w:b w:val="1"/>
          <w:bCs w:val="1"/>
          <w:color w:val="auto"/>
        </w:rPr>
        <w:t>The implementation of tariffs and export controls on the products that we buy may have a material adverse effect on our business.</w:t>
      </w:r>
    </w:p>
    <w:p>
      <w:pPr>
        <w:spacing w:after="0" w:line="128"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A significant portion of the products that we purchase, including those purchased from domestic suppliers, as well as most of our private brand merchandise, is manufactured abroad. We may be affected by potential changes in international trade agreements or tariffs, such as new tariffs imposed on certain Chinese-made goods imported into the U.S. Furthermore, China or other countries may institute retaliatory trade measures in response to existing or future tariffs imposed by the U.S. that could have a negative effect on our business. If any of these events occur as described, we may be obligated to seek alternative suppliers for our private brand merchandise, raise prices, or make changes to our operations, any of which could have a material adverse effect on our sales and profitability, results of operations and financial condition.</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2. Unregistered Sales of Equity Securities and Use of Proceeds</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following table provides information with respect to shares of the Company’s common stock that the Company repurchased during the thirteen weeks ended November 3, 2018:</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1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center"/>
              <w:ind w:right="143"/>
              <w:spacing w:after="0"/>
              <w:rPr>
                <w:sz w:val="20"/>
                <w:szCs w:val="20"/>
                <w:color w:val="auto"/>
              </w:rPr>
            </w:pPr>
            <w:r>
              <w:rPr>
                <w:rFonts w:ascii="Arial" w:cs="Arial" w:eastAsia="Arial" w:hAnsi="Arial"/>
                <w:sz w:val="15"/>
                <w:szCs w:val="15"/>
                <w:b w:val="1"/>
                <w:bCs w:val="1"/>
                <w:color w:val="auto"/>
              </w:rPr>
              <w:t>Approximate</w:t>
            </w:r>
          </w:p>
        </w:tc>
      </w:tr>
      <w:tr>
        <w:trPr>
          <w:trHeight w:val="182"/>
        </w:trPr>
        <w:tc>
          <w:tcPr>
            <w:tcW w:w="21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60" w:type="dxa"/>
            <w:vAlign w:val="bottom"/>
          </w:tcPr>
          <w:p>
            <w:pPr>
              <w:jc w:val="center"/>
              <w:ind w:right="3"/>
              <w:spacing w:after="0"/>
              <w:rPr>
                <w:sz w:val="20"/>
                <w:szCs w:val="20"/>
                <w:color w:val="auto"/>
              </w:rPr>
            </w:pPr>
            <w:r>
              <w:rPr>
                <w:rFonts w:ascii="Arial" w:cs="Arial" w:eastAsia="Arial" w:hAnsi="Arial"/>
                <w:sz w:val="15"/>
                <w:szCs w:val="15"/>
                <w:b w:val="1"/>
                <w:bCs w:val="1"/>
                <w:color w:val="auto"/>
              </w:rPr>
              <w:t>Total Number of</w:t>
            </w:r>
          </w:p>
        </w:tc>
        <w:tc>
          <w:tcPr>
            <w:tcW w:w="280" w:type="dxa"/>
            <w:vAlign w:val="bottom"/>
          </w:tcPr>
          <w:p>
            <w:pPr>
              <w:spacing w:after="0"/>
              <w:rPr>
                <w:sz w:val="15"/>
                <w:szCs w:val="15"/>
                <w:color w:val="auto"/>
              </w:rPr>
            </w:pPr>
          </w:p>
        </w:tc>
        <w:tc>
          <w:tcPr>
            <w:tcW w:w="1320" w:type="dxa"/>
            <w:vAlign w:val="bottom"/>
          </w:tcPr>
          <w:p>
            <w:pPr>
              <w:jc w:val="center"/>
              <w:ind w:right="123"/>
              <w:spacing w:after="0"/>
              <w:rPr>
                <w:sz w:val="20"/>
                <w:szCs w:val="20"/>
                <w:color w:val="auto"/>
              </w:rPr>
            </w:pPr>
            <w:r>
              <w:rPr>
                <w:rFonts w:ascii="Arial" w:cs="Arial" w:eastAsia="Arial" w:hAnsi="Arial"/>
                <w:sz w:val="15"/>
                <w:szCs w:val="15"/>
                <w:b w:val="1"/>
                <w:bCs w:val="1"/>
                <w:color w:val="auto"/>
              </w:rPr>
              <w:t>Dollar Value of</w:t>
            </w:r>
          </w:p>
        </w:tc>
      </w:tr>
      <w:tr>
        <w:trPr>
          <w:trHeight w:val="182"/>
        </w:trPr>
        <w:tc>
          <w:tcPr>
            <w:tcW w:w="2140" w:type="dxa"/>
            <w:vAlign w:val="bottom"/>
          </w:tcPr>
          <w:p>
            <w:pPr>
              <w:spacing w:after="0"/>
              <w:rPr>
                <w:sz w:val="15"/>
                <w:szCs w:val="15"/>
                <w:color w:val="auto"/>
              </w:rPr>
            </w:pPr>
          </w:p>
        </w:tc>
        <w:tc>
          <w:tcPr>
            <w:tcW w:w="1820" w:type="dxa"/>
            <w:vAlign w:val="bottom"/>
          </w:tcPr>
          <w:p>
            <w:pPr>
              <w:jc w:val="center"/>
              <w:ind w:left="303"/>
              <w:spacing w:after="0"/>
              <w:rPr>
                <w:sz w:val="20"/>
                <w:szCs w:val="20"/>
                <w:color w:val="auto"/>
              </w:rPr>
            </w:pPr>
            <w:r>
              <w:rPr>
                <w:rFonts w:ascii="Arial" w:cs="Arial" w:eastAsia="Arial" w:hAnsi="Arial"/>
                <w:sz w:val="15"/>
                <w:szCs w:val="15"/>
                <w:b w:val="1"/>
                <w:bCs w:val="1"/>
                <w:color w:val="auto"/>
              </w:rPr>
              <w:t>Total</w:t>
            </w:r>
          </w:p>
        </w:tc>
        <w:tc>
          <w:tcPr>
            <w:tcW w:w="340" w:type="dxa"/>
            <w:vAlign w:val="bottom"/>
          </w:tcPr>
          <w:p>
            <w:pPr>
              <w:spacing w:after="0"/>
              <w:rPr>
                <w:sz w:val="15"/>
                <w:szCs w:val="15"/>
                <w:color w:val="auto"/>
              </w:rPr>
            </w:pPr>
          </w:p>
        </w:tc>
        <w:tc>
          <w:tcPr>
            <w:tcW w:w="1140" w:type="dxa"/>
            <w:vAlign w:val="bottom"/>
          </w:tcPr>
          <w:p>
            <w:pPr>
              <w:jc w:val="center"/>
              <w:ind w:right="343"/>
              <w:spacing w:after="0"/>
              <w:rPr>
                <w:sz w:val="20"/>
                <w:szCs w:val="20"/>
                <w:color w:val="auto"/>
              </w:rPr>
            </w:pPr>
            <w:r>
              <w:rPr>
                <w:rFonts w:ascii="Arial" w:cs="Arial" w:eastAsia="Arial" w:hAnsi="Arial"/>
                <w:sz w:val="15"/>
                <w:szCs w:val="15"/>
                <w:b w:val="1"/>
                <w:bCs w:val="1"/>
                <w:color w:val="auto"/>
              </w:rPr>
              <w:t>Average</w:t>
            </w:r>
          </w:p>
        </w:tc>
        <w:tc>
          <w:tcPr>
            <w:tcW w:w="2060" w:type="dxa"/>
            <w:vAlign w:val="bottom"/>
          </w:tcPr>
          <w:p>
            <w:pPr>
              <w:jc w:val="center"/>
              <w:ind w:right="23"/>
              <w:spacing w:after="0"/>
              <w:rPr>
                <w:sz w:val="20"/>
                <w:szCs w:val="20"/>
                <w:color w:val="auto"/>
              </w:rPr>
            </w:pPr>
            <w:r>
              <w:rPr>
                <w:rFonts w:ascii="Arial" w:cs="Arial" w:eastAsia="Arial" w:hAnsi="Arial"/>
                <w:sz w:val="15"/>
                <w:szCs w:val="15"/>
                <w:b w:val="1"/>
                <w:bCs w:val="1"/>
                <w:color w:val="auto"/>
              </w:rPr>
              <w:t>Shares Purchased as</w:t>
            </w:r>
          </w:p>
        </w:tc>
        <w:tc>
          <w:tcPr>
            <w:tcW w:w="1600" w:type="dxa"/>
            <w:vAlign w:val="bottom"/>
            <w:gridSpan w:val="2"/>
          </w:tcPr>
          <w:p>
            <w:pPr>
              <w:jc w:val="center"/>
              <w:ind w:left="3"/>
              <w:spacing w:after="0"/>
              <w:rPr>
                <w:sz w:val="20"/>
                <w:szCs w:val="20"/>
                <w:color w:val="auto"/>
              </w:rPr>
            </w:pPr>
            <w:r>
              <w:rPr>
                <w:rFonts w:ascii="Arial" w:cs="Arial" w:eastAsia="Arial" w:hAnsi="Arial"/>
                <w:sz w:val="15"/>
                <w:szCs w:val="15"/>
                <w:b w:val="1"/>
                <w:bCs w:val="1"/>
                <w:color w:val="auto"/>
              </w:rPr>
              <w:t>Shares that may</w:t>
            </w:r>
          </w:p>
        </w:tc>
      </w:tr>
      <w:tr>
        <w:trPr>
          <w:trHeight w:val="182"/>
        </w:trPr>
        <w:tc>
          <w:tcPr>
            <w:tcW w:w="2140" w:type="dxa"/>
            <w:vAlign w:val="bottom"/>
          </w:tcPr>
          <w:p>
            <w:pPr>
              <w:spacing w:after="0"/>
              <w:rPr>
                <w:sz w:val="15"/>
                <w:szCs w:val="15"/>
                <w:color w:val="auto"/>
              </w:rPr>
            </w:pPr>
          </w:p>
        </w:tc>
        <w:tc>
          <w:tcPr>
            <w:tcW w:w="1820" w:type="dxa"/>
            <w:vAlign w:val="bottom"/>
          </w:tcPr>
          <w:p>
            <w:pPr>
              <w:jc w:val="center"/>
              <w:ind w:left="283"/>
              <w:spacing w:after="0"/>
              <w:rPr>
                <w:sz w:val="20"/>
                <w:szCs w:val="20"/>
                <w:color w:val="auto"/>
              </w:rPr>
            </w:pPr>
            <w:r>
              <w:rPr>
                <w:rFonts w:ascii="Arial" w:cs="Arial" w:eastAsia="Arial" w:hAnsi="Arial"/>
                <w:sz w:val="15"/>
                <w:szCs w:val="15"/>
                <w:b w:val="1"/>
                <w:bCs w:val="1"/>
                <w:color w:val="auto"/>
              </w:rPr>
              <w:t>Number</w:t>
            </w:r>
          </w:p>
        </w:tc>
        <w:tc>
          <w:tcPr>
            <w:tcW w:w="340" w:type="dxa"/>
            <w:vAlign w:val="bottom"/>
          </w:tcPr>
          <w:p>
            <w:pPr>
              <w:spacing w:after="0"/>
              <w:rPr>
                <w:sz w:val="15"/>
                <w:szCs w:val="15"/>
                <w:color w:val="auto"/>
              </w:rPr>
            </w:pPr>
          </w:p>
        </w:tc>
        <w:tc>
          <w:tcPr>
            <w:tcW w:w="1140" w:type="dxa"/>
            <w:vAlign w:val="bottom"/>
          </w:tcPr>
          <w:p>
            <w:pPr>
              <w:jc w:val="center"/>
              <w:ind w:right="363"/>
              <w:spacing w:after="0"/>
              <w:rPr>
                <w:sz w:val="20"/>
                <w:szCs w:val="20"/>
                <w:color w:val="auto"/>
              </w:rPr>
            </w:pPr>
            <w:r>
              <w:rPr>
                <w:rFonts w:ascii="Arial" w:cs="Arial" w:eastAsia="Arial" w:hAnsi="Arial"/>
                <w:sz w:val="15"/>
                <w:szCs w:val="15"/>
                <w:b w:val="1"/>
                <w:bCs w:val="1"/>
                <w:color w:val="auto"/>
              </w:rPr>
              <w:t>Price</w:t>
            </w:r>
          </w:p>
        </w:tc>
        <w:tc>
          <w:tcPr>
            <w:tcW w:w="2060" w:type="dxa"/>
            <w:vAlign w:val="bottom"/>
          </w:tcPr>
          <w:p>
            <w:pPr>
              <w:jc w:val="center"/>
              <w:ind w:right="23"/>
              <w:spacing w:after="0"/>
              <w:rPr>
                <w:sz w:val="20"/>
                <w:szCs w:val="20"/>
                <w:color w:val="auto"/>
              </w:rPr>
            </w:pPr>
            <w:r>
              <w:rPr>
                <w:rFonts w:ascii="Arial" w:cs="Arial" w:eastAsia="Arial" w:hAnsi="Arial"/>
                <w:sz w:val="15"/>
                <w:szCs w:val="15"/>
                <w:b w:val="1"/>
                <w:bCs w:val="1"/>
                <w:color w:val="auto"/>
              </w:rPr>
              <w:t>Part of Publicly</w:t>
            </w:r>
          </w:p>
        </w:tc>
        <w:tc>
          <w:tcPr>
            <w:tcW w:w="1600" w:type="dxa"/>
            <w:vAlign w:val="bottom"/>
            <w:gridSpan w:val="2"/>
          </w:tcPr>
          <w:p>
            <w:pPr>
              <w:jc w:val="center"/>
              <w:ind w:left="3"/>
              <w:spacing w:after="0"/>
              <w:rPr>
                <w:sz w:val="20"/>
                <w:szCs w:val="20"/>
                <w:color w:val="auto"/>
              </w:rPr>
            </w:pPr>
            <w:r>
              <w:rPr>
                <w:rFonts w:ascii="Arial" w:cs="Arial" w:eastAsia="Arial" w:hAnsi="Arial"/>
                <w:sz w:val="15"/>
                <w:szCs w:val="15"/>
                <w:b w:val="1"/>
                <w:bCs w:val="1"/>
                <w:color w:val="auto"/>
              </w:rPr>
              <w:t>yet be Purchased</w:t>
            </w:r>
          </w:p>
        </w:tc>
      </w:tr>
      <w:tr>
        <w:trPr>
          <w:trHeight w:val="195"/>
        </w:trPr>
        <w:tc>
          <w:tcPr>
            <w:tcW w:w="2140" w:type="dxa"/>
            <w:vAlign w:val="bottom"/>
          </w:tcPr>
          <w:p>
            <w:pPr>
              <w:spacing w:after="0"/>
              <w:rPr>
                <w:sz w:val="16"/>
                <w:szCs w:val="16"/>
                <w:color w:val="auto"/>
              </w:rPr>
            </w:pPr>
          </w:p>
        </w:tc>
        <w:tc>
          <w:tcPr>
            <w:tcW w:w="1820" w:type="dxa"/>
            <w:vAlign w:val="bottom"/>
          </w:tcPr>
          <w:p>
            <w:pPr>
              <w:jc w:val="center"/>
              <w:ind w:left="283"/>
              <w:spacing w:after="0"/>
              <w:rPr>
                <w:sz w:val="20"/>
                <w:szCs w:val="20"/>
                <w:color w:val="auto"/>
              </w:rPr>
            </w:pPr>
            <w:r>
              <w:rPr>
                <w:rFonts w:ascii="Arial" w:cs="Arial" w:eastAsia="Arial" w:hAnsi="Arial"/>
                <w:sz w:val="15"/>
                <w:szCs w:val="15"/>
                <w:b w:val="1"/>
                <w:bCs w:val="1"/>
                <w:color w:val="auto"/>
              </w:rPr>
              <w:t>of Shares</w:t>
            </w:r>
          </w:p>
        </w:tc>
        <w:tc>
          <w:tcPr>
            <w:tcW w:w="340" w:type="dxa"/>
            <w:vAlign w:val="bottom"/>
          </w:tcPr>
          <w:p>
            <w:pPr>
              <w:spacing w:after="0"/>
              <w:rPr>
                <w:sz w:val="16"/>
                <w:szCs w:val="16"/>
                <w:color w:val="auto"/>
              </w:rPr>
            </w:pPr>
          </w:p>
        </w:tc>
        <w:tc>
          <w:tcPr>
            <w:tcW w:w="1140" w:type="dxa"/>
            <w:vAlign w:val="bottom"/>
          </w:tcPr>
          <w:p>
            <w:pPr>
              <w:jc w:val="center"/>
              <w:ind w:right="363"/>
              <w:spacing w:after="0"/>
              <w:rPr>
                <w:sz w:val="20"/>
                <w:szCs w:val="20"/>
                <w:color w:val="auto"/>
              </w:rPr>
            </w:pPr>
            <w:r>
              <w:rPr>
                <w:rFonts w:ascii="Arial" w:cs="Arial" w:eastAsia="Arial" w:hAnsi="Arial"/>
                <w:sz w:val="15"/>
                <w:szCs w:val="15"/>
                <w:b w:val="1"/>
                <w:bCs w:val="1"/>
                <w:color w:val="auto"/>
              </w:rPr>
              <w:t>Paid Per</w:t>
            </w:r>
          </w:p>
        </w:tc>
        <w:tc>
          <w:tcPr>
            <w:tcW w:w="2060" w:type="dxa"/>
            <w:vAlign w:val="bottom"/>
          </w:tcPr>
          <w:p>
            <w:pPr>
              <w:jc w:val="center"/>
              <w:ind w:right="3"/>
              <w:spacing w:after="0"/>
              <w:rPr>
                <w:sz w:val="20"/>
                <w:szCs w:val="20"/>
                <w:color w:val="auto"/>
              </w:rPr>
            </w:pPr>
            <w:r>
              <w:rPr>
                <w:rFonts w:ascii="Arial" w:cs="Arial" w:eastAsia="Arial" w:hAnsi="Arial"/>
                <w:sz w:val="15"/>
                <w:szCs w:val="15"/>
                <w:b w:val="1"/>
                <w:bCs w:val="1"/>
                <w:color w:val="auto"/>
              </w:rPr>
              <w:t>Announced</w:t>
            </w:r>
          </w:p>
        </w:tc>
        <w:tc>
          <w:tcPr>
            <w:tcW w:w="280" w:type="dxa"/>
            <w:vAlign w:val="bottom"/>
          </w:tcPr>
          <w:p>
            <w:pPr>
              <w:spacing w:after="0"/>
              <w:rPr>
                <w:sz w:val="16"/>
                <w:szCs w:val="16"/>
                <w:color w:val="auto"/>
              </w:rPr>
            </w:pPr>
          </w:p>
        </w:tc>
        <w:tc>
          <w:tcPr>
            <w:tcW w:w="1320" w:type="dxa"/>
            <w:vAlign w:val="bottom"/>
          </w:tcPr>
          <w:p>
            <w:pPr>
              <w:jc w:val="center"/>
              <w:ind w:right="123"/>
              <w:spacing w:after="0"/>
              <w:rPr>
                <w:sz w:val="20"/>
                <w:szCs w:val="20"/>
                <w:color w:val="auto"/>
              </w:rPr>
            </w:pPr>
            <w:r>
              <w:rPr>
                <w:rFonts w:ascii="Arial" w:cs="Arial" w:eastAsia="Arial" w:hAnsi="Arial"/>
                <w:sz w:val="15"/>
                <w:szCs w:val="15"/>
                <w:b w:val="1"/>
                <w:bCs w:val="1"/>
                <w:color w:val="auto"/>
              </w:rPr>
              <w:t>Under the</w:t>
            </w:r>
          </w:p>
        </w:tc>
      </w:tr>
      <w:tr>
        <w:trPr>
          <w:trHeight w:val="194"/>
        </w:trPr>
        <w:tc>
          <w:tcPr>
            <w:tcW w:w="21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Date Purchased</w:t>
            </w:r>
          </w:p>
        </w:tc>
        <w:tc>
          <w:tcPr>
            <w:tcW w:w="1820" w:type="dxa"/>
            <w:vAlign w:val="bottom"/>
            <w:tcBorders>
              <w:bottom w:val="single" w:sz="8" w:color="auto"/>
            </w:tcBorders>
          </w:tcPr>
          <w:p>
            <w:pPr>
              <w:jc w:val="center"/>
              <w:ind w:left="303"/>
              <w:spacing w:after="0"/>
              <w:rPr>
                <w:sz w:val="20"/>
                <w:szCs w:val="20"/>
                <w:color w:val="auto"/>
              </w:rPr>
            </w:pPr>
            <w:r>
              <w:rPr>
                <w:rFonts w:ascii="Arial" w:cs="Arial" w:eastAsia="Arial" w:hAnsi="Arial"/>
                <w:sz w:val="15"/>
                <w:szCs w:val="15"/>
                <w:b w:val="1"/>
                <w:bCs w:val="1"/>
                <w:color w:val="auto"/>
              </w:rPr>
              <w:t xml:space="preserve">Purchased </w:t>
            </w:r>
            <w:r>
              <w:rPr>
                <w:rFonts w:ascii="Arial" w:cs="Arial" w:eastAsia="Arial" w:hAnsi="Arial"/>
                <w:sz w:val="8"/>
                <w:szCs w:val="8"/>
                <w:color w:val="auto"/>
              </w:rPr>
              <w:t>(1)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83"/>
              <w:spacing w:after="0"/>
              <w:rPr>
                <w:sz w:val="20"/>
                <w:szCs w:val="20"/>
                <w:color w:val="auto"/>
              </w:rPr>
            </w:pPr>
            <w:r>
              <w:rPr>
                <w:rFonts w:ascii="Arial" w:cs="Arial" w:eastAsia="Arial" w:hAnsi="Arial"/>
                <w:sz w:val="15"/>
                <w:szCs w:val="15"/>
                <w:b w:val="1"/>
                <w:bCs w:val="1"/>
                <w:color w:val="auto"/>
              </w:rPr>
              <w:t xml:space="preserve">Share </w:t>
            </w:r>
            <w:r>
              <w:rPr>
                <w:rFonts w:ascii="Arial" w:cs="Arial" w:eastAsia="Arial" w:hAnsi="Arial"/>
                <w:sz w:val="8"/>
                <w:szCs w:val="8"/>
                <w:color w:val="auto"/>
              </w:rPr>
              <w:t>(1)</w:t>
            </w:r>
          </w:p>
        </w:tc>
        <w:tc>
          <w:tcPr>
            <w:tcW w:w="2060" w:type="dxa"/>
            <w:vAlign w:val="bottom"/>
            <w:tcBorders>
              <w:bottom w:val="single" w:sz="8" w:color="auto"/>
            </w:tcBorders>
          </w:tcPr>
          <w:p>
            <w:pPr>
              <w:jc w:val="center"/>
              <w:ind w:right="3"/>
              <w:spacing w:after="0"/>
              <w:rPr>
                <w:sz w:val="20"/>
                <w:szCs w:val="20"/>
                <w:color w:val="auto"/>
              </w:rPr>
            </w:pPr>
            <w:r>
              <w:rPr>
                <w:rFonts w:ascii="Arial" w:cs="Arial" w:eastAsia="Arial" w:hAnsi="Arial"/>
                <w:sz w:val="15"/>
                <w:szCs w:val="15"/>
                <w:b w:val="1"/>
                <w:bCs w:val="1"/>
                <w:color w:val="auto"/>
              </w:rPr>
              <w:t xml:space="preserve">Program </w:t>
            </w:r>
            <w:r>
              <w:rPr>
                <w:rFonts w:ascii="Arial" w:cs="Arial" w:eastAsia="Arial" w:hAnsi="Arial"/>
                <w:sz w:val="8"/>
                <w:szCs w:val="8"/>
                <w:color w:val="auto"/>
              </w:rPr>
              <w:t>(2)</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43"/>
              <w:spacing w:after="0"/>
              <w:rPr>
                <w:sz w:val="20"/>
                <w:szCs w:val="20"/>
                <w:color w:val="auto"/>
              </w:rPr>
            </w:pPr>
            <w:r>
              <w:rPr>
                <w:rFonts w:ascii="Arial" w:cs="Arial" w:eastAsia="Arial" w:hAnsi="Arial"/>
                <w:sz w:val="15"/>
                <w:szCs w:val="15"/>
                <w:b w:val="1"/>
                <w:bCs w:val="1"/>
                <w:color w:val="auto"/>
              </w:rPr>
              <w:t xml:space="preserve">Program </w:t>
            </w:r>
            <w:r>
              <w:rPr>
                <w:rFonts w:ascii="Arial" w:cs="Arial" w:eastAsia="Arial" w:hAnsi="Arial"/>
                <w:sz w:val="8"/>
                <w:szCs w:val="8"/>
                <w:color w:val="auto"/>
              </w:rPr>
              <w:t>(2)</w:t>
            </w:r>
          </w:p>
        </w:tc>
      </w:tr>
      <w:tr>
        <w:trPr>
          <w:trHeight w:val="187"/>
        </w:trPr>
        <w:tc>
          <w:tcPr>
            <w:tcW w:w="2140" w:type="dxa"/>
            <w:vAlign w:val="bottom"/>
            <w:shd w:val="clear" w:color="auto" w:fill="CCEEFF"/>
          </w:tcPr>
          <w:p>
            <w:pPr>
              <w:spacing w:after="0"/>
              <w:rPr>
                <w:sz w:val="20"/>
                <w:szCs w:val="20"/>
                <w:color w:val="auto"/>
              </w:rPr>
            </w:pPr>
            <w:r>
              <w:rPr>
                <w:rFonts w:ascii="Arial" w:cs="Arial" w:eastAsia="Arial" w:hAnsi="Arial"/>
                <w:sz w:val="15"/>
                <w:szCs w:val="15"/>
                <w:color w:val="auto"/>
              </w:rPr>
              <w:t>Aug. 5 - Sept. 1, 2018</w:t>
            </w:r>
          </w:p>
        </w:tc>
        <w:tc>
          <w:tcPr>
            <w:tcW w:w="18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792,321</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48.81</w:t>
            </w:r>
          </w:p>
        </w:tc>
        <w:tc>
          <w:tcPr>
            <w:tcW w:w="20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790,000</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514,940,693</w:t>
            </w:r>
          </w:p>
        </w:tc>
      </w:tr>
      <w:tr>
        <w:trPr>
          <w:trHeight w:val="207"/>
        </w:trPr>
        <w:tc>
          <w:tcPr>
            <w:tcW w:w="2140" w:type="dxa"/>
            <w:vAlign w:val="bottom"/>
          </w:tcPr>
          <w:p>
            <w:pPr>
              <w:spacing w:after="0"/>
              <w:rPr>
                <w:sz w:val="20"/>
                <w:szCs w:val="20"/>
                <w:color w:val="auto"/>
              </w:rPr>
            </w:pPr>
            <w:r>
              <w:rPr>
                <w:rFonts w:ascii="Arial" w:cs="Arial" w:eastAsia="Arial" w:hAnsi="Arial"/>
                <w:sz w:val="15"/>
                <w:szCs w:val="15"/>
                <w:color w:val="auto"/>
              </w:rPr>
              <w:t>Sept. 2 - Oct. 6, 2018</w:t>
            </w:r>
          </w:p>
        </w:tc>
        <w:tc>
          <w:tcPr>
            <w:tcW w:w="1820" w:type="dxa"/>
            <w:vAlign w:val="bottom"/>
          </w:tcPr>
          <w:p>
            <w:pPr>
              <w:jc w:val="right"/>
              <w:ind w:right="123"/>
              <w:spacing w:after="0"/>
              <w:rPr>
                <w:sz w:val="20"/>
                <w:szCs w:val="20"/>
                <w:color w:val="auto"/>
              </w:rPr>
            </w:pPr>
            <w:r>
              <w:rPr>
                <w:rFonts w:ascii="Arial" w:cs="Arial" w:eastAsia="Arial" w:hAnsi="Arial"/>
                <w:sz w:val="15"/>
                <w:szCs w:val="15"/>
                <w:color w:val="auto"/>
              </w:rPr>
              <w:t>847,398</w:t>
            </w:r>
          </w:p>
        </w:tc>
        <w:tc>
          <w:tcPr>
            <w:tcW w:w="340" w:type="dxa"/>
            <w:vAlign w:val="bottom"/>
          </w:tcPr>
          <w:p>
            <w:pPr>
              <w:spacing w:after="0"/>
              <w:rPr>
                <w:sz w:val="17"/>
                <w:szCs w:val="17"/>
                <w:color w:val="auto"/>
              </w:rPr>
            </w:pPr>
          </w:p>
        </w:tc>
        <w:tc>
          <w:tcPr>
            <w:tcW w:w="1140" w:type="dxa"/>
            <w:vAlign w:val="bottom"/>
          </w:tcPr>
          <w:p>
            <w:pPr>
              <w:jc w:val="right"/>
              <w:ind w:right="123"/>
              <w:spacing w:after="0"/>
              <w:rPr>
                <w:sz w:val="20"/>
                <w:szCs w:val="20"/>
                <w:color w:val="auto"/>
              </w:rPr>
            </w:pPr>
            <w:r>
              <w:rPr>
                <w:rFonts w:ascii="Arial" w:cs="Arial" w:eastAsia="Arial" w:hAnsi="Arial"/>
                <w:sz w:val="15"/>
                <w:szCs w:val="15"/>
                <w:color w:val="auto"/>
              </w:rPr>
              <w:t>48.11</w:t>
            </w:r>
          </w:p>
        </w:tc>
        <w:tc>
          <w:tcPr>
            <w:tcW w:w="2060" w:type="dxa"/>
            <w:vAlign w:val="bottom"/>
          </w:tcPr>
          <w:p>
            <w:pPr>
              <w:jc w:val="right"/>
              <w:ind w:right="103"/>
              <w:spacing w:after="0"/>
              <w:rPr>
                <w:sz w:val="20"/>
                <w:szCs w:val="20"/>
                <w:color w:val="auto"/>
              </w:rPr>
            </w:pPr>
            <w:r>
              <w:rPr>
                <w:rFonts w:ascii="Arial" w:cs="Arial" w:eastAsia="Arial" w:hAnsi="Arial"/>
                <w:sz w:val="15"/>
                <w:szCs w:val="15"/>
                <w:color w:val="auto"/>
              </w:rPr>
              <w:t>845,500</w:t>
            </w:r>
          </w:p>
        </w:tc>
        <w:tc>
          <w:tcPr>
            <w:tcW w:w="2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474,264,720</w:t>
            </w:r>
          </w:p>
        </w:tc>
      </w:tr>
      <w:tr>
        <w:trPr>
          <w:trHeight w:val="207"/>
        </w:trPr>
        <w:tc>
          <w:tcPr>
            <w:tcW w:w="2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Oct. 7 - Nov. 3, 2018</w:t>
            </w:r>
          </w:p>
        </w:tc>
        <w:tc>
          <w:tcPr>
            <w:tcW w:w="18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600,800</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48.36</w:t>
            </w:r>
          </w:p>
        </w:tc>
        <w:tc>
          <w:tcPr>
            <w:tcW w:w="20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600,800</w:t>
            </w:r>
          </w:p>
        </w:tc>
        <w:tc>
          <w:tcPr>
            <w:tcW w:w="2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445,207,583</w:t>
            </w:r>
          </w:p>
        </w:tc>
      </w:tr>
      <w:tr>
        <w:trPr>
          <w:trHeight w:val="187"/>
        </w:trPr>
        <w:tc>
          <w:tcPr>
            <w:tcW w:w="2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2,240,519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48.43</w:t>
            </w:r>
          </w:p>
        </w:tc>
        <w:tc>
          <w:tcPr>
            <w:tcW w:w="20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2,236,300</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bl>
    <w:p>
      <w:pPr>
        <w:spacing w:after="0" w:line="85" w:lineRule="exact"/>
        <w:rPr>
          <w:sz w:val="20"/>
          <w:szCs w:val="20"/>
          <w:color w:val="auto"/>
        </w:rPr>
      </w:pPr>
    </w:p>
    <w:p>
      <w:pPr>
        <w:jc w:val="both"/>
        <w:ind w:left="760" w:right="20" w:hanging="562"/>
        <w:spacing w:after="0" w:line="239" w:lineRule="auto"/>
        <w:tabs>
          <w:tab w:leader="none" w:pos="760" w:val="left"/>
        </w:tabs>
        <w:numPr>
          <w:ilvl w:val="0"/>
          <w:numId w:val="11"/>
        </w:numPr>
        <w:rPr>
          <w:rFonts w:ascii="Arial" w:cs="Arial" w:eastAsia="Arial" w:hAnsi="Arial"/>
          <w:sz w:val="11"/>
          <w:szCs w:val="11"/>
          <w:color w:val="auto"/>
        </w:rPr>
      </w:pPr>
      <w:r>
        <w:rPr>
          <w:rFonts w:ascii="Arial" w:cs="Arial" w:eastAsia="Arial" w:hAnsi="Arial"/>
          <w:sz w:val="12"/>
          <w:szCs w:val="12"/>
          <w:color w:val="auto"/>
        </w:rPr>
        <w:t>These columns also reflect shares acquired in satisfaction of the tax withholding obligations of holders of restricted stock awards and restricted stock units which vested during the quarter, and shares repurchased pursuant to Rule 10b5-1 under the Securities Exchange Act of 1934. The calculation of the average price paid per share includes all fees, commissions, and other costs associated with the repurchase of such shares.</w:t>
      </w:r>
    </w:p>
    <w:p>
      <w:pPr>
        <w:spacing w:after="0" w:line="232" w:lineRule="exact"/>
        <w:rPr>
          <w:rFonts w:ascii="Arial" w:cs="Arial" w:eastAsia="Arial" w:hAnsi="Arial"/>
          <w:sz w:val="11"/>
          <w:szCs w:val="11"/>
          <w:color w:val="auto"/>
        </w:rPr>
      </w:pPr>
    </w:p>
    <w:p>
      <w:pPr>
        <w:ind w:left="760" w:hanging="562"/>
        <w:spacing w:after="0"/>
        <w:tabs>
          <w:tab w:leader="none" w:pos="760" w:val="left"/>
        </w:tabs>
        <w:numPr>
          <w:ilvl w:val="0"/>
          <w:numId w:val="11"/>
        </w:numPr>
        <w:rPr>
          <w:rFonts w:ascii="Arial" w:cs="Arial" w:eastAsia="Arial" w:hAnsi="Arial"/>
          <w:sz w:val="11"/>
          <w:szCs w:val="11"/>
          <w:color w:val="auto"/>
        </w:rPr>
      </w:pPr>
      <w:r>
        <w:rPr>
          <w:rFonts w:ascii="Arial" w:cs="Arial" w:eastAsia="Arial" w:hAnsi="Arial"/>
          <w:sz w:val="12"/>
          <w:szCs w:val="12"/>
          <w:color w:val="auto"/>
        </w:rPr>
        <w:t>On February 14, 2017, the Board of Directors approved a 3-year, $1.2 billion share repurchase program extending through January 2020.</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6. Exhibits</w:t>
      </w:r>
    </w:p>
    <w:p>
      <w:pPr>
        <w:spacing w:after="0" w:line="220" w:lineRule="exact"/>
        <w:rPr>
          <w:sz w:val="20"/>
          <w:szCs w:val="20"/>
          <w:color w:val="auto"/>
        </w:rPr>
      </w:pPr>
    </w:p>
    <w:p>
      <w:pPr>
        <w:ind w:left="540" w:hanging="430"/>
        <w:spacing w:after="0"/>
        <w:tabs>
          <w:tab w:leader="none" w:pos="540" w:val="left"/>
        </w:tabs>
        <w:numPr>
          <w:ilvl w:val="0"/>
          <w:numId w:val="12"/>
        </w:numPr>
        <w:rPr>
          <w:rFonts w:ascii="Arial" w:cs="Arial" w:eastAsia="Arial" w:hAnsi="Arial"/>
          <w:sz w:val="15"/>
          <w:szCs w:val="15"/>
          <w:color w:val="auto"/>
        </w:rPr>
      </w:pPr>
      <w:r>
        <w:rPr>
          <w:rFonts w:ascii="Arial" w:cs="Arial" w:eastAsia="Arial" w:hAnsi="Arial"/>
          <w:sz w:val="15"/>
          <w:szCs w:val="15"/>
          <w:u w:val="single" w:color="auto"/>
          <w:color w:val="auto"/>
        </w:rPr>
        <w:t>Exhibits</w:t>
      </w:r>
    </w:p>
    <w:p>
      <w:pPr>
        <w:ind w:left="540"/>
        <w:spacing w:after="0"/>
        <w:rPr>
          <w:rFonts w:ascii="Arial" w:cs="Arial" w:eastAsia="Arial" w:hAnsi="Arial"/>
          <w:sz w:val="15"/>
          <w:szCs w:val="15"/>
          <w:color w:val="auto"/>
        </w:rPr>
      </w:pPr>
      <w:r>
        <w:rPr>
          <w:rFonts w:ascii="Arial" w:cs="Arial" w:eastAsia="Arial" w:hAnsi="Arial"/>
          <w:sz w:val="15"/>
          <w:szCs w:val="15"/>
          <w:color w:val="auto"/>
        </w:rPr>
        <w:t>The exhibits that are in this report immediately follow the index.</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11" w:right="139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5"/>
          <w:szCs w:val="15"/>
          <w:b w:val="1"/>
          <w:bCs w:val="1"/>
          <w:color w:val="auto"/>
        </w:rPr>
        <w:t>SIGNATURE</w:t>
      </w:r>
    </w:p>
    <w:p>
      <w:pPr>
        <w:spacing w:after="0" w:line="186"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Pursuant to the requirements of the Securities Exchange Act of 1934, the Company has duly caused this report to be signed on its behalf by the undersigned thereunto duly authorized.</w:t>
      </w:r>
    </w:p>
    <w:p>
      <w:pPr>
        <w:spacing w:after="0" w:line="389" w:lineRule="exact"/>
        <w:rPr>
          <w:sz w:val="20"/>
          <w:szCs w:val="20"/>
          <w:color w:val="auto"/>
        </w:rPr>
      </w:pPr>
    </w:p>
    <w:p>
      <w:pPr>
        <w:spacing w:after="0"/>
        <w:tabs>
          <w:tab w:leader="none" w:pos="4540" w:val="left"/>
        </w:tabs>
        <w:rPr>
          <w:sz w:val="20"/>
          <w:szCs w:val="20"/>
          <w:color w:val="auto"/>
        </w:rPr>
      </w:pPr>
      <w:r>
        <w:rPr>
          <w:rFonts w:ascii="Arial" w:cs="Arial" w:eastAsia="Arial" w:hAnsi="Arial"/>
          <w:sz w:val="15"/>
          <w:szCs w:val="15"/>
          <w:color w:val="auto"/>
        </w:rPr>
        <w:t>Date: December 11, 2018</w:t>
      </w:r>
      <w:r>
        <w:rPr>
          <w:sz w:val="20"/>
          <w:szCs w:val="20"/>
          <w:color w:val="auto"/>
        </w:rPr>
        <w:tab/>
      </w:r>
      <w:r>
        <w:rPr>
          <w:rFonts w:ascii="Arial" w:cs="Arial" w:eastAsia="Arial" w:hAnsi="Arial"/>
          <w:sz w:val="15"/>
          <w:szCs w:val="15"/>
          <w:color w:val="auto"/>
        </w:rPr>
        <w:t>FOOT LOCKER, INC.</w:t>
      </w:r>
    </w:p>
    <w:p>
      <w:pPr>
        <w:spacing w:after="0" w:line="200" w:lineRule="exact"/>
        <w:rPr>
          <w:sz w:val="20"/>
          <w:szCs w:val="20"/>
          <w:color w:val="auto"/>
        </w:rPr>
      </w:pPr>
    </w:p>
    <w:p>
      <w:pPr>
        <w:spacing w:after="0" w:line="321" w:lineRule="exact"/>
        <w:rPr>
          <w:sz w:val="20"/>
          <w:szCs w:val="20"/>
          <w:color w:val="auto"/>
        </w:rPr>
      </w:pPr>
    </w:p>
    <w:p>
      <w:pPr>
        <w:ind w:left="4560"/>
        <w:spacing w:after="0"/>
        <w:rPr>
          <w:sz w:val="20"/>
          <w:szCs w:val="20"/>
          <w:color w:val="auto"/>
        </w:rPr>
      </w:pPr>
      <w:r>
        <w:rPr>
          <w:rFonts w:ascii="Arial" w:cs="Arial" w:eastAsia="Arial" w:hAnsi="Arial"/>
          <w:sz w:val="15"/>
          <w:szCs w:val="15"/>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1905</wp:posOffset>
            </wp:positionV>
            <wp:extent cx="288861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88615" cy="7620"/>
                    </a:xfrm>
                    <a:prstGeom prst="rect">
                      <a:avLst/>
                    </a:prstGeom>
                    <a:noFill/>
                  </pic:spPr>
                </pic:pic>
              </a:graphicData>
            </a:graphic>
          </wp:anchor>
        </w:drawing>
      </w:r>
    </w:p>
    <w:p>
      <w:pPr>
        <w:spacing w:after="0" w:line="39" w:lineRule="exact"/>
        <w:rPr>
          <w:sz w:val="20"/>
          <w:szCs w:val="20"/>
          <w:color w:val="auto"/>
        </w:rPr>
      </w:pPr>
    </w:p>
    <w:p>
      <w:pPr>
        <w:ind w:left="4560"/>
        <w:spacing w:after="0"/>
        <w:rPr>
          <w:sz w:val="20"/>
          <w:szCs w:val="20"/>
          <w:color w:val="auto"/>
        </w:rPr>
      </w:pPr>
      <w:r>
        <w:rPr>
          <w:rFonts w:ascii="Arial" w:cs="Arial" w:eastAsia="Arial" w:hAnsi="Arial"/>
          <w:sz w:val="15"/>
          <w:szCs w:val="15"/>
          <w:color w:val="auto"/>
        </w:rPr>
        <w:t>LAUREN B. PETERS</w:t>
      </w:r>
    </w:p>
    <w:p>
      <w:pPr>
        <w:spacing w:after="0" w:line="22" w:lineRule="exact"/>
        <w:rPr>
          <w:sz w:val="20"/>
          <w:szCs w:val="20"/>
          <w:color w:val="auto"/>
        </w:rPr>
      </w:pPr>
    </w:p>
    <w:p>
      <w:pPr>
        <w:ind w:left="4560"/>
        <w:spacing w:after="0"/>
        <w:rPr>
          <w:sz w:val="20"/>
          <w:szCs w:val="20"/>
          <w:color w:val="auto"/>
        </w:rPr>
      </w:pPr>
      <w:r>
        <w:rPr>
          <w:rFonts w:ascii="Arial" w:cs="Arial" w:eastAsia="Arial" w:hAnsi="Arial"/>
          <w:sz w:val="15"/>
          <w:szCs w:val="15"/>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11" w:right="1399"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40"/>
        <w:spacing w:after="0"/>
        <w:rPr>
          <w:sz w:val="20"/>
          <w:szCs w:val="20"/>
          <w:color w:val="auto"/>
        </w:rPr>
      </w:pPr>
      <w:r>
        <w:rPr>
          <w:rFonts w:ascii="Arial" w:cs="Arial" w:eastAsia="Arial" w:hAnsi="Arial"/>
          <w:sz w:val="15"/>
          <w:szCs w:val="15"/>
          <w:b w:val="1"/>
          <w:bCs w:val="1"/>
          <w:u w:val="single" w:color="auto"/>
          <w:color w:val="auto"/>
        </w:rPr>
        <w:t>Exhibit No.</w:t>
      </w:r>
    </w:p>
    <w:p>
      <w:pPr>
        <w:spacing w:after="0" w:line="52" w:lineRule="exact"/>
        <w:rPr>
          <w:sz w:val="20"/>
          <w:szCs w:val="20"/>
          <w:color w:val="auto"/>
        </w:rPr>
      </w:pPr>
    </w:p>
    <w:p>
      <w:pPr>
        <w:ind w:left="420"/>
        <w:spacing w:after="0"/>
        <w:rPr>
          <w:sz w:val="20"/>
          <w:szCs w:val="20"/>
          <w:color w:val="auto"/>
        </w:rPr>
      </w:pPr>
      <w:r>
        <w:rPr>
          <w:rFonts w:ascii="Arial" w:cs="Arial" w:eastAsia="Arial" w:hAnsi="Arial"/>
          <w:sz w:val="15"/>
          <w:szCs w:val="15"/>
          <w:color w:val="auto"/>
        </w:rPr>
        <w:t>12*</w:t>
      </w:r>
    </w:p>
    <w:p>
      <w:pPr>
        <w:spacing w:after="0" w:line="10" w:lineRule="exact"/>
        <w:rPr>
          <w:sz w:val="20"/>
          <w:szCs w:val="20"/>
          <w:color w:val="auto"/>
        </w:rPr>
      </w:pPr>
    </w:p>
    <w:p>
      <w:pPr>
        <w:jc w:val="center"/>
        <w:ind w:left="140"/>
        <w:spacing w:after="0"/>
        <w:rPr>
          <w:sz w:val="20"/>
          <w:szCs w:val="20"/>
          <w:color w:val="auto"/>
        </w:rPr>
      </w:pPr>
      <w:r>
        <w:rPr>
          <w:rFonts w:ascii="Arial" w:cs="Arial" w:eastAsia="Arial" w:hAnsi="Arial"/>
          <w:sz w:val="15"/>
          <w:szCs w:val="15"/>
          <w:color w:val="auto"/>
        </w:rPr>
        <w:t>15*</w:t>
      </w:r>
    </w:p>
    <w:p>
      <w:pPr>
        <w:spacing w:after="0" w:line="95" w:lineRule="exact"/>
        <w:rPr>
          <w:sz w:val="20"/>
          <w:szCs w:val="20"/>
          <w:color w:val="auto"/>
        </w:rPr>
      </w:pPr>
    </w:p>
    <w:p>
      <w:pPr>
        <w:jc w:val="center"/>
        <w:ind w:left="140"/>
        <w:spacing w:after="0"/>
        <w:rPr>
          <w:sz w:val="20"/>
          <w:szCs w:val="20"/>
          <w:color w:val="auto"/>
        </w:rPr>
      </w:pPr>
      <w:r>
        <w:rPr>
          <w:rFonts w:ascii="Arial" w:cs="Arial" w:eastAsia="Arial" w:hAnsi="Arial"/>
          <w:sz w:val="15"/>
          <w:szCs w:val="15"/>
          <w:color w:val="auto"/>
        </w:rPr>
        <w:t>31.1*</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31.2*</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br w:type="column"/>
      </w:r>
    </w:p>
    <w:p>
      <w:pPr>
        <w:ind w:left="266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ind w:left="2660"/>
        <w:spacing w:after="0"/>
        <w:rPr>
          <w:sz w:val="20"/>
          <w:szCs w:val="20"/>
          <w:color w:val="auto"/>
        </w:rPr>
      </w:pPr>
      <w:r>
        <w:rPr>
          <w:rFonts w:ascii="Arial" w:cs="Arial" w:eastAsia="Arial" w:hAnsi="Arial"/>
          <w:sz w:val="15"/>
          <w:szCs w:val="15"/>
          <w:b w:val="1"/>
          <w:bCs w:val="1"/>
          <w:color w:val="auto"/>
        </w:rPr>
        <w:t>INDEX OF EXHIBITS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Description</w:t>
      </w:r>
    </w:p>
    <w:p>
      <w:pPr>
        <w:spacing w:after="0" w:line="77" w:lineRule="exact"/>
        <w:rPr>
          <w:sz w:val="20"/>
          <w:szCs w:val="20"/>
          <w:color w:val="auto"/>
        </w:rPr>
      </w:pPr>
    </w:p>
    <w:p>
      <w:pPr>
        <w:spacing w:after="0"/>
        <w:rPr>
          <w:rFonts w:ascii="Arial" w:cs="Arial" w:eastAsia="Arial" w:hAnsi="Arial"/>
          <w:sz w:val="15"/>
          <w:szCs w:val="15"/>
          <w:u w:val="single" w:color="auto"/>
          <w:color w:val="0000EE"/>
        </w:rPr>
      </w:pPr>
      <w:hyperlink w:anchor="page32">
        <w:r>
          <w:rPr>
            <w:rFonts w:ascii="Arial" w:cs="Arial" w:eastAsia="Arial" w:hAnsi="Arial"/>
            <w:sz w:val="15"/>
            <w:szCs w:val="15"/>
            <w:u w:val="single" w:color="auto"/>
            <w:color w:val="0000EE"/>
          </w:rPr>
          <w:t>Computation of Ratio of Earnings to Fixed Charges.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-105410</wp:posOffset>
            </wp:positionV>
            <wp:extent cx="5777230" cy="1155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77230" cy="115570"/>
                    </a:xfrm>
                    <a:prstGeom prst="rect">
                      <a:avLst/>
                    </a:prstGeom>
                    <a:noFill/>
                  </pic:spPr>
                </pic:pic>
              </a:graphicData>
            </a:graphic>
          </wp:anchor>
        </w:drawing>
      </w:r>
    </w:p>
    <w:p>
      <w:pPr>
        <w:spacing w:after="0"/>
        <w:rPr>
          <w:rFonts w:ascii="Arial" w:cs="Arial" w:eastAsia="Arial" w:hAnsi="Arial"/>
          <w:sz w:val="15"/>
          <w:szCs w:val="15"/>
          <w:u w:val="single" w:color="auto"/>
          <w:color w:val="0000EE"/>
        </w:rPr>
      </w:pPr>
      <w:hyperlink w:anchor="page33">
        <w:r>
          <w:rPr>
            <w:rFonts w:ascii="Arial" w:cs="Arial" w:eastAsia="Arial" w:hAnsi="Arial"/>
            <w:sz w:val="15"/>
            <w:szCs w:val="15"/>
            <w:u w:val="single" w:color="auto"/>
            <w:color w:val="0000EE"/>
          </w:rPr>
          <w:t>Accountants’ Acknowledgement.</w:t>
        </w:r>
      </w:hyperlink>
    </w:p>
    <w:p>
      <w:pPr>
        <w:spacing w:after="0" w:line="10" w:lineRule="exact"/>
        <w:rPr>
          <w:sz w:val="20"/>
          <w:szCs w:val="20"/>
          <w:color w:val="auto"/>
        </w:rPr>
      </w:pPr>
    </w:p>
    <w:p>
      <w:pPr>
        <w:ind w:right="60"/>
        <w:spacing w:after="0" w:line="245" w:lineRule="auto"/>
        <w:rPr>
          <w:rFonts w:ascii="Arial" w:cs="Arial" w:eastAsia="Arial" w:hAnsi="Arial"/>
          <w:sz w:val="15"/>
          <w:szCs w:val="15"/>
          <w:u w:val="single" w:color="auto"/>
          <w:color w:val="0000EE"/>
        </w:rPr>
      </w:pPr>
      <w:hyperlink w:anchor="page34">
        <w:r>
          <w:rPr>
            <w:rFonts w:ascii="Arial" w:cs="Arial" w:eastAsia="Arial" w:hAnsi="Arial"/>
            <w:sz w:val="15"/>
            <w:szCs w:val="15"/>
            <w:u w:val="single" w:color="auto"/>
            <w:color w:val="0000EE"/>
          </w:rPr>
          <w:t>Certification of Chief Executive Officer Pursuant to Rule 13a-14(a) or 15d-14(a), as adopted pursuant to Section 302</w:t>
        </w:r>
      </w:hyperlink>
      <w:r>
        <w:rPr>
          <w:rFonts w:ascii="Arial" w:cs="Arial" w:eastAsia="Arial" w:hAnsi="Arial"/>
          <w:sz w:val="15"/>
          <w:szCs w:val="15"/>
          <w:u w:val="single" w:color="auto"/>
          <w:color w:val="0000EE"/>
        </w:rPr>
        <w:t xml:space="preserve"> </w:t>
      </w:r>
      <w:hyperlink w:anchor="page34">
        <w:r>
          <w:rPr>
            <w:rFonts w:ascii="Arial" w:cs="Arial" w:eastAsia="Arial" w:hAnsi="Arial"/>
            <w:sz w:val="15"/>
            <w:szCs w:val="15"/>
            <w:u w:val="single" w:color="auto"/>
            <w:color w:val="0000EE"/>
          </w:rPr>
          <w:t>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-219710</wp:posOffset>
            </wp:positionV>
            <wp:extent cx="5777230" cy="2241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77230" cy="224155"/>
                    </a:xfrm>
                    <a:prstGeom prst="rect">
                      <a:avLst/>
                    </a:prstGeom>
                    <a:noFill/>
                  </pic:spPr>
                </pic:pic>
              </a:graphicData>
            </a:graphic>
          </wp:anchor>
        </w:drawing>
      </w:r>
    </w:p>
    <w:p>
      <w:pPr>
        <w:ind w:right="120"/>
        <w:spacing w:after="0" w:line="245" w:lineRule="auto"/>
        <w:rPr>
          <w:rFonts w:ascii="Arial" w:cs="Arial" w:eastAsia="Arial" w:hAnsi="Arial"/>
          <w:sz w:val="15"/>
          <w:szCs w:val="15"/>
          <w:u w:val="single" w:color="auto"/>
          <w:color w:val="0000EE"/>
        </w:rPr>
      </w:pPr>
      <w:hyperlink w:anchor="page35">
        <w:r>
          <w:rPr>
            <w:rFonts w:ascii="Arial" w:cs="Arial" w:eastAsia="Arial" w:hAnsi="Arial"/>
            <w:sz w:val="15"/>
            <w:szCs w:val="15"/>
            <w:u w:val="single" w:color="auto"/>
            <w:color w:val="0000EE"/>
          </w:rPr>
          <w:t>Certification of Chief Financial Officer Pursuant to Rule 13a-14(a) or 15d-14(a), as adopted pursuant to Section 302</w:t>
        </w:r>
      </w:hyperlink>
      <w:r>
        <w:rPr>
          <w:rFonts w:ascii="Arial" w:cs="Arial" w:eastAsia="Arial" w:hAnsi="Arial"/>
          <w:sz w:val="15"/>
          <w:szCs w:val="15"/>
          <w:u w:val="single" w:color="auto"/>
          <w:color w:val="0000EE"/>
        </w:rPr>
        <w:t xml:space="preserve"> </w:t>
      </w:r>
      <w:hyperlink w:anchor="page35">
        <w:r>
          <w:rPr>
            <w:rFonts w:ascii="Arial" w:cs="Arial" w:eastAsia="Arial" w:hAnsi="Arial"/>
            <w:sz w:val="15"/>
            <w:szCs w:val="15"/>
            <w:u w:val="single" w:color="auto"/>
            <w:color w:val="0000EE"/>
          </w:rPr>
          <w:t>of the Sarbanes-Oxley Act of 2002.</w:t>
        </w:r>
      </w:hyperlink>
    </w:p>
    <w:p>
      <w:pPr>
        <w:spacing w:after="0" w:line="1" w:lineRule="exact"/>
        <w:rPr>
          <w:sz w:val="20"/>
          <w:szCs w:val="20"/>
          <w:color w:val="auto"/>
        </w:rPr>
      </w:pPr>
    </w:p>
    <w:p>
      <w:pPr>
        <w:ind w:right="200"/>
        <w:spacing w:after="0" w:line="223" w:lineRule="auto"/>
        <w:rPr>
          <w:rFonts w:ascii="Arial" w:cs="Arial" w:eastAsia="Arial" w:hAnsi="Arial"/>
          <w:sz w:val="15"/>
          <w:szCs w:val="15"/>
          <w:color w:val="0000EE"/>
        </w:rPr>
      </w:pPr>
      <w:hyperlink w:anchor="page36">
        <w:r>
          <w:rPr>
            <w:rFonts w:ascii="Arial" w:cs="Arial" w:eastAsia="Arial" w:hAnsi="Arial"/>
            <w:sz w:val="15"/>
            <w:szCs w:val="15"/>
            <w:u w:val="single" w:color="auto"/>
            <w:color w:val="0000EE"/>
          </w:rPr>
          <w:t>Certification of Chief Executive Officer and Chief Financial Officer Pursuant to 18 U.S.C. Section 1350, as adopted</w:t>
        </w:r>
      </w:hyperlink>
      <w:r>
        <w:rPr>
          <w:rFonts w:ascii="Arial" w:cs="Arial" w:eastAsia="Arial" w:hAnsi="Arial"/>
          <w:sz w:val="15"/>
          <w:szCs w:val="15"/>
          <w:u w:val="single" w:color="auto"/>
          <w:color w:val="0000EE"/>
        </w:rPr>
        <w:t xml:space="preserve"> </w:t>
      </w:r>
      <w:hyperlink w:anchor="page36">
        <w:r>
          <w:rPr>
            <w:rFonts w:ascii="Arial" w:cs="Arial" w:eastAsia="Arial" w:hAnsi="Arial"/>
            <w:sz w:val="15"/>
            <w:szCs w:val="15"/>
            <w:color w:val="0000EE"/>
          </w:rPr>
          <w:t>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-199390</wp:posOffset>
            </wp:positionV>
            <wp:extent cx="5777230" cy="2241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77230" cy="2241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940" w:space="200"/>
            <w:col w:w="7960"/>
          </w:cols>
          <w:pgMar w:left="1400" w:top="311" w:right="1399" w:bottom="1440" w:gutter="0" w:footer="0" w:header="0"/>
        </w:sectPr>
      </w:pPr>
    </w:p>
    <w:tbl>
      <w:tblPr>
        <w:tblLayout w:type="fixed"/>
        <w:tblInd w:w="0" w:type="dxa"/>
        <w:tblCellMar>
          <w:top w:w="0" w:type="dxa"/>
          <w:left w:w="0" w:type="dxa"/>
          <w:bottom w:w="0" w:type="dxa"/>
          <w:right w:w="0" w:type="dxa"/>
        </w:tblCellMar>
      </w:tblPr>
      <w:tr>
        <w:trPr>
          <w:trHeight w:val="171"/>
        </w:trPr>
        <w:tc>
          <w:tcPr>
            <w:tcW w:w="1140" w:type="dxa"/>
            <w:vAlign w:val="bottom"/>
          </w:tcPr>
          <w:p>
            <w:pPr>
              <w:jc w:val="center"/>
              <w:ind w:right="3"/>
              <w:spacing w:after="0" w:line="163" w:lineRule="exact"/>
              <w:rPr>
                <w:sz w:val="20"/>
                <w:szCs w:val="20"/>
                <w:color w:val="auto"/>
              </w:rPr>
            </w:pPr>
            <w:r>
              <w:rPr>
                <w:rFonts w:ascii="Arial" w:cs="Arial" w:eastAsia="Arial" w:hAnsi="Arial"/>
                <w:sz w:val="15"/>
                <w:szCs w:val="15"/>
                <w:color w:val="auto"/>
                <w:w w:val="97"/>
              </w:rPr>
              <w:t>99*</w:t>
            </w:r>
          </w:p>
        </w:tc>
        <w:tc>
          <w:tcPr>
            <w:tcW w:w="3980" w:type="dxa"/>
            <w:vAlign w:val="bottom"/>
            <w:tcBorders>
              <w:top w:val="single" w:sz="8" w:color="0000EE"/>
              <w:bottom w:val="single" w:sz="8" w:color="0000EE"/>
            </w:tcBorders>
          </w:tcPr>
          <w:p>
            <w:pPr>
              <w:spacing w:after="0" w:line="163" w:lineRule="exact"/>
              <w:rPr>
                <w:rFonts w:ascii="Arial" w:cs="Arial" w:eastAsia="Arial" w:hAnsi="Arial"/>
                <w:sz w:val="15"/>
                <w:szCs w:val="15"/>
                <w:color w:val="0000EE"/>
              </w:rPr>
            </w:pPr>
            <w:hyperlink w:anchor="page37">
              <w:r>
                <w:rPr>
                  <w:rFonts w:ascii="Arial" w:cs="Arial" w:eastAsia="Arial" w:hAnsi="Arial"/>
                  <w:sz w:val="15"/>
                  <w:szCs w:val="15"/>
                  <w:color w:val="0000EE"/>
                </w:rPr>
                <w:t>Report of Independent Registered Public Accounting Firm.</w:t>
              </w:r>
            </w:hyperlink>
          </w:p>
        </w:tc>
        <w:tc>
          <w:tcPr>
            <w:tcW w:w="80" w:type="dxa"/>
            <w:vAlign w:val="bottom"/>
            <w:tcBorders>
              <w:top w:val="single" w:sz="8" w:color="0000EE"/>
            </w:tcBorders>
          </w:tcPr>
          <w:p>
            <w:pPr>
              <w:spacing w:after="0"/>
              <w:rPr>
                <w:sz w:val="14"/>
                <w:szCs w:val="14"/>
                <w:color w:val="auto"/>
              </w:rPr>
            </w:pPr>
          </w:p>
        </w:tc>
        <w:tc>
          <w:tcPr>
            <w:tcW w:w="3900" w:type="dxa"/>
            <w:vAlign w:val="bottom"/>
          </w:tcPr>
          <w:p>
            <w:pPr>
              <w:spacing w:after="0"/>
              <w:rPr>
                <w:sz w:val="14"/>
                <w:szCs w:val="14"/>
                <w:color w:val="auto"/>
              </w:rPr>
            </w:pPr>
          </w:p>
        </w:tc>
      </w:tr>
      <w:tr>
        <w:trPr>
          <w:trHeight w:val="191"/>
        </w:trPr>
        <w:tc>
          <w:tcPr>
            <w:tcW w:w="1140" w:type="dxa"/>
            <w:vAlign w:val="bottom"/>
            <w:shd w:val="clear" w:color="auto" w:fill="CCEEFF"/>
          </w:tcPr>
          <w:p>
            <w:pPr>
              <w:jc w:val="center"/>
              <w:ind w:right="3"/>
              <w:spacing w:after="0"/>
              <w:rPr>
                <w:sz w:val="20"/>
                <w:szCs w:val="20"/>
                <w:color w:val="auto"/>
              </w:rPr>
            </w:pPr>
            <w:r>
              <w:rPr>
                <w:rFonts w:ascii="Arial" w:cs="Arial" w:eastAsia="Arial" w:hAnsi="Arial"/>
                <w:sz w:val="15"/>
                <w:szCs w:val="15"/>
                <w:color w:val="auto"/>
              </w:rPr>
              <w:t>101.INS*</w:t>
            </w:r>
          </w:p>
        </w:tc>
        <w:tc>
          <w:tcPr>
            <w:tcW w:w="79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XBRL Instance Document.</w:t>
            </w:r>
          </w:p>
        </w:tc>
      </w:tr>
      <w:tr>
        <w:trPr>
          <w:trHeight w:val="182"/>
        </w:trPr>
        <w:tc>
          <w:tcPr>
            <w:tcW w:w="1140" w:type="dxa"/>
            <w:vAlign w:val="bottom"/>
          </w:tcPr>
          <w:p>
            <w:pPr>
              <w:jc w:val="center"/>
              <w:spacing w:after="0"/>
              <w:rPr>
                <w:sz w:val="20"/>
                <w:szCs w:val="20"/>
                <w:color w:val="auto"/>
              </w:rPr>
            </w:pPr>
            <w:r>
              <w:rPr>
                <w:rFonts w:ascii="Arial" w:cs="Arial" w:eastAsia="Arial" w:hAnsi="Arial"/>
                <w:sz w:val="15"/>
                <w:szCs w:val="15"/>
                <w:color w:val="auto"/>
              </w:rPr>
              <w:t>101.SCH*</w:t>
            </w:r>
          </w:p>
        </w:tc>
        <w:tc>
          <w:tcPr>
            <w:tcW w:w="7960" w:type="dxa"/>
            <w:vAlign w:val="bottom"/>
            <w:gridSpan w:val="3"/>
          </w:tcPr>
          <w:p>
            <w:pPr>
              <w:spacing w:after="0"/>
              <w:rPr>
                <w:sz w:val="20"/>
                <w:szCs w:val="20"/>
                <w:color w:val="auto"/>
              </w:rPr>
            </w:pPr>
            <w:r>
              <w:rPr>
                <w:rFonts w:ascii="Arial" w:cs="Arial" w:eastAsia="Arial" w:hAnsi="Arial"/>
                <w:sz w:val="15"/>
                <w:szCs w:val="15"/>
                <w:color w:val="auto"/>
              </w:rPr>
              <w:t>XBRL Taxonomy Extension Schema.</w:t>
            </w:r>
          </w:p>
        </w:tc>
      </w:tr>
      <w:tr>
        <w:trPr>
          <w:trHeight w:val="182"/>
        </w:trPr>
        <w:tc>
          <w:tcPr>
            <w:tcW w:w="1140" w:type="dxa"/>
            <w:vAlign w:val="bottom"/>
            <w:shd w:val="clear" w:color="auto" w:fill="CCEEFF"/>
          </w:tcPr>
          <w:p>
            <w:pPr>
              <w:jc w:val="center"/>
              <w:ind w:right="3"/>
              <w:spacing w:after="0"/>
              <w:rPr>
                <w:sz w:val="20"/>
                <w:szCs w:val="20"/>
                <w:color w:val="auto"/>
              </w:rPr>
            </w:pPr>
            <w:r>
              <w:rPr>
                <w:rFonts w:ascii="Arial" w:cs="Arial" w:eastAsia="Arial" w:hAnsi="Arial"/>
                <w:sz w:val="15"/>
                <w:szCs w:val="15"/>
                <w:color w:val="auto"/>
              </w:rPr>
              <w:t>101.CAL*</w:t>
            </w:r>
          </w:p>
        </w:tc>
        <w:tc>
          <w:tcPr>
            <w:tcW w:w="79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XBRL Taxonomy Extension Calculation Linkbase.</w:t>
            </w:r>
          </w:p>
        </w:tc>
      </w:tr>
      <w:tr>
        <w:trPr>
          <w:trHeight w:val="182"/>
        </w:trPr>
        <w:tc>
          <w:tcPr>
            <w:tcW w:w="1140" w:type="dxa"/>
            <w:vAlign w:val="bottom"/>
          </w:tcPr>
          <w:p>
            <w:pPr>
              <w:jc w:val="center"/>
              <w:ind w:right="3"/>
              <w:spacing w:after="0"/>
              <w:rPr>
                <w:sz w:val="20"/>
                <w:szCs w:val="20"/>
                <w:color w:val="auto"/>
              </w:rPr>
            </w:pPr>
            <w:r>
              <w:rPr>
                <w:rFonts w:ascii="Arial" w:cs="Arial" w:eastAsia="Arial" w:hAnsi="Arial"/>
                <w:sz w:val="15"/>
                <w:szCs w:val="15"/>
                <w:color w:val="auto"/>
              </w:rPr>
              <w:t>101.DEF*</w:t>
            </w:r>
          </w:p>
        </w:tc>
        <w:tc>
          <w:tcPr>
            <w:tcW w:w="7960" w:type="dxa"/>
            <w:vAlign w:val="bottom"/>
            <w:gridSpan w:val="3"/>
          </w:tcPr>
          <w:p>
            <w:pPr>
              <w:spacing w:after="0"/>
              <w:rPr>
                <w:sz w:val="20"/>
                <w:szCs w:val="20"/>
                <w:color w:val="auto"/>
              </w:rPr>
            </w:pPr>
            <w:r>
              <w:rPr>
                <w:rFonts w:ascii="Arial" w:cs="Arial" w:eastAsia="Arial" w:hAnsi="Arial"/>
                <w:sz w:val="15"/>
                <w:szCs w:val="15"/>
                <w:color w:val="auto"/>
              </w:rPr>
              <w:t>XBRL Taxonomy Extension Definition Linkbase.</w:t>
            </w:r>
          </w:p>
        </w:tc>
      </w:tr>
      <w:tr>
        <w:trPr>
          <w:trHeight w:val="182"/>
        </w:trPr>
        <w:tc>
          <w:tcPr>
            <w:tcW w:w="1140" w:type="dxa"/>
            <w:vAlign w:val="bottom"/>
            <w:shd w:val="clear" w:color="auto" w:fill="CCEEFF"/>
          </w:tcPr>
          <w:p>
            <w:pPr>
              <w:jc w:val="center"/>
              <w:ind w:right="3"/>
              <w:spacing w:after="0"/>
              <w:rPr>
                <w:sz w:val="20"/>
                <w:szCs w:val="20"/>
                <w:color w:val="auto"/>
              </w:rPr>
            </w:pPr>
            <w:r>
              <w:rPr>
                <w:rFonts w:ascii="Arial" w:cs="Arial" w:eastAsia="Arial" w:hAnsi="Arial"/>
                <w:sz w:val="15"/>
                <w:szCs w:val="15"/>
                <w:color w:val="auto"/>
              </w:rPr>
              <w:t>101.LAB*</w:t>
            </w:r>
          </w:p>
        </w:tc>
        <w:tc>
          <w:tcPr>
            <w:tcW w:w="79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XBRL Taxonomy Extension Label Linkbase.</w:t>
            </w:r>
          </w:p>
        </w:tc>
      </w:tr>
      <w:tr>
        <w:trPr>
          <w:trHeight w:val="182"/>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101.PRE*</w:t>
            </w:r>
          </w:p>
        </w:tc>
        <w:tc>
          <w:tcPr>
            <w:tcW w:w="796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XBRL Taxonomy Extension Presentation Linkbase.</w:t>
            </w:r>
          </w:p>
        </w:tc>
      </w:tr>
    </w:tbl>
    <w:p>
      <w:pPr>
        <w:spacing w:after="0" w:line="201" w:lineRule="exact"/>
        <w:rPr>
          <w:sz w:val="20"/>
          <w:szCs w:val="20"/>
          <w:color w:val="auto"/>
        </w:rPr>
      </w:pPr>
    </w:p>
    <w:p>
      <w:pPr>
        <w:ind w:left="1140" w:hanging="636"/>
        <w:spacing w:after="0"/>
        <w:tabs>
          <w:tab w:leader="none" w:pos="11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Filed herewith.</w:t>
      </w:r>
    </w:p>
    <w:p>
      <w:pPr>
        <w:spacing w:after="0" w:line="34" w:lineRule="exact"/>
        <w:rPr>
          <w:sz w:val="20"/>
          <w:szCs w:val="20"/>
          <w:color w:val="auto"/>
        </w:rPr>
      </w:pPr>
    </w:p>
    <w:p>
      <w:pPr>
        <w:ind w:left="1140" w:hanging="666"/>
        <w:spacing w:after="0"/>
        <w:tabs>
          <w:tab w:leader="none" w:pos="11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11" w:right="1399" w:bottom="1440" w:gutter="0" w:footer="0" w:header="0"/>
          <w:type w:val="continuous"/>
        </w:sectPr>
      </w:pPr>
    </w:p>
    <w:bookmarkStart w:id="31" w:name="page32"/>
    <w:bookmarkEnd w:id="31"/>
    <w:p>
      <w:pPr>
        <w:ind w:left="8600"/>
        <w:spacing w:after="0"/>
        <w:rPr>
          <w:sz w:val="20"/>
          <w:szCs w:val="20"/>
          <w:color w:val="auto"/>
        </w:rPr>
      </w:pPr>
      <w:r>
        <w:rPr>
          <w:rFonts w:ascii="Arial" w:cs="Arial" w:eastAsia="Arial" w:hAnsi="Arial"/>
          <w:sz w:val="15"/>
          <w:szCs w:val="15"/>
          <w:b w:val="1"/>
          <w:bCs w:val="1"/>
          <w:color w:val="auto"/>
        </w:rPr>
        <w:t>Exhibit 12</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COMPUTATION OF RATIO OF EARNINGS TO FIXED CHARGES</w:t>
      </w:r>
    </w:p>
    <w:p>
      <w:pPr>
        <w:jc w:val="center"/>
        <w:ind w:right="20"/>
        <w:spacing w:after="0" w:line="236" w:lineRule="auto"/>
        <w:rPr>
          <w:sz w:val="20"/>
          <w:szCs w:val="20"/>
          <w:color w:val="auto"/>
        </w:rPr>
      </w:pPr>
      <w:r>
        <w:rPr>
          <w:rFonts w:ascii="Arial" w:cs="Arial" w:eastAsia="Arial" w:hAnsi="Arial"/>
          <w:sz w:val="15"/>
          <w:szCs w:val="15"/>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 in millions)</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0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15"/>
                <w:szCs w:val="15"/>
                <w:b w:val="1"/>
                <w:bCs w:val="1"/>
                <w:color w:val="auto"/>
              </w:rPr>
              <w:t>Thirty-nine weeks ended</w:t>
            </w: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jc w:val="center"/>
              <w:ind w:right="3"/>
              <w:spacing w:after="0"/>
              <w:rPr>
                <w:sz w:val="20"/>
                <w:szCs w:val="20"/>
                <w:color w:val="auto"/>
              </w:rPr>
            </w:pPr>
            <w:r>
              <w:rPr>
                <w:rFonts w:ascii="Arial" w:cs="Arial" w:eastAsia="Arial" w:hAnsi="Arial"/>
                <w:sz w:val="15"/>
                <w:szCs w:val="15"/>
                <w:b w:val="1"/>
                <w:bCs w:val="1"/>
                <w:color w:val="auto"/>
              </w:rPr>
              <w:t>Fiscal Year Ended</w:t>
            </w: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ind w:right="63"/>
              <w:spacing w:after="0" w:line="151" w:lineRule="exact"/>
              <w:rPr>
                <w:sz w:val="20"/>
                <w:szCs w:val="20"/>
                <w:color w:val="auto"/>
              </w:rPr>
            </w:pPr>
            <w:r>
              <w:rPr>
                <w:rFonts w:ascii="Arial" w:cs="Arial" w:eastAsia="Arial" w:hAnsi="Arial"/>
                <w:sz w:val="15"/>
                <w:szCs w:val="15"/>
                <w:b w:val="1"/>
                <w:bCs w:val="1"/>
                <w:color w:val="auto"/>
              </w:rPr>
              <w:t>Nov. 3,</w:t>
            </w:r>
          </w:p>
        </w:tc>
        <w:tc>
          <w:tcPr>
            <w:tcW w:w="180" w:type="dxa"/>
            <w:vAlign w:val="bottom"/>
          </w:tcPr>
          <w:p>
            <w:pPr>
              <w:spacing w:after="0"/>
              <w:rPr>
                <w:sz w:val="13"/>
                <w:szCs w:val="13"/>
                <w:color w:val="auto"/>
              </w:rPr>
            </w:pPr>
          </w:p>
        </w:tc>
        <w:tc>
          <w:tcPr>
            <w:tcW w:w="800" w:type="dxa"/>
            <w:vAlign w:val="bottom"/>
          </w:tcPr>
          <w:p>
            <w:pPr>
              <w:jc w:val="right"/>
              <w:ind w:right="123"/>
              <w:spacing w:after="0" w:line="151" w:lineRule="exact"/>
              <w:rPr>
                <w:sz w:val="20"/>
                <w:szCs w:val="20"/>
                <w:color w:val="auto"/>
              </w:rPr>
            </w:pPr>
            <w:r>
              <w:rPr>
                <w:rFonts w:ascii="Arial" w:cs="Arial" w:eastAsia="Arial" w:hAnsi="Arial"/>
                <w:sz w:val="15"/>
                <w:szCs w:val="15"/>
                <w:b w:val="1"/>
                <w:bCs w:val="1"/>
                <w:color w:val="auto"/>
              </w:rPr>
              <w:t>Oct. 28,</w:t>
            </w:r>
          </w:p>
        </w:tc>
        <w:tc>
          <w:tcPr>
            <w:tcW w:w="240" w:type="dxa"/>
            <w:vAlign w:val="bottom"/>
          </w:tcPr>
          <w:p>
            <w:pPr>
              <w:spacing w:after="0"/>
              <w:rPr>
                <w:sz w:val="13"/>
                <w:szCs w:val="13"/>
                <w:color w:val="auto"/>
              </w:rPr>
            </w:pPr>
          </w:p>
        </w:tc>
        <w:tc>
          <w:tcPr>
            <w:tcW w:w="640" w:type="dxa"/>
            <w:vAlign w:val="bottom"/>
          </w:tcPr>
          <w:p>
            <w:pPr>
              <w:jc w:val="right"/>
              <w:ind w:right="23"/>
              <w:spacing w:after="0" w:line="151" w:lineRule="exact"/>
              <w:rPr>
                <w:sz w:val="20"/>
                <w:szCs w:val="20"/>
                <w:color w:val="auto"/>
              </w:rPr>
            </w:pPr>
            <w:r>
              <w:rPr>
                <w:rFonts w:ascii="Arial" w:cs="Arial" w:eastAsia="Arial" w:hAnsi="Arial"/>
                <w:sz w:val="15"/>
                <w:szCs w:val="15"/>
                <w:b w:val="1"/>
                <w:bCs w:val="1"/>
                <w:color w:val="auto"/>
              </w:rPr>
              <w:t>Feb. 3,</w:t>
            </w:r>
          </w:p>
        </w:tc>
        <w:tc>
          <w:tcPr>
            <w:tcW w:w="180" w:type="dxa"/>
            <w:vAlign w:val="bottom"/>
          </w:tcPr>
          <w:p>
            <w:pPr>
              <w:spacing w:after="0"/>
              <w:rPr>
                <w:sz w:val="13"/>
                <w:szCs w:val="13"/>
                <w:color w:val="auto"/>
              </w:rPr>
            </w:pPr>
          </w:p>
        </w:tc>
        <w:tc>
          <w:tcPr>
            <w:tcW w:w="680" w:type="dxa"/>
            <w:vAlign w:val="bottom"/>
          </w:tcPr>
          <w:p>
            <w:pPr>
              <w:jc w:val="right"/>
              <w:ind w:right="3"/>
              <w:spacing w:after="0" w:line="151" w:lineRule="exact"/>
              <w:rPr>
                <w:sz w:val="20"/>
                <w:szCs w:val="20"/>
                <w:color w:val="auto"/>
              </w:rPr>
            </w:pPr>
            <w:r>
              <w:rPr>
                <w:rFonts w:ascii="Arial" w:cs="Arial" w:eastAsia="Arial" w:hAnsi="Arial"/>
                <w:sz w:val="15"/>
                <w:szCs w:val="15"/>
                <w:b w:val="1"/>
                <w:bCs w:val="1"/>
                <w:color w:val="auto"/>
              </w:rPr>
              <w:t>Jan. 28,</w:t>
            </w:r>
          </w:p>
        </w:tc>
        <w:tc>
          <w:tcPr>
            <w:tcW w:w="180" w:type="dxa"/>
            <w:vAlign w:val="bottom"/>
          </w:tcPr>
          <w:p>
            <w:pPr>
              <w:spacing w:after="0"/>
              <w:rPr>
                <w:sz w:val="13"/>
                <w:szCs w:val="13"/>
                <w:color w:val="auto"/>
              </w:rPr>
            </w:pPr>
          </w:p>
        </w:tc>
        <w:tc>
          <w:tcPr>
            <w:tcW w:w="680" w:type="dxa"/>
            <w:vAlign w:val="bottom"/>
          </w:tcPr>
          <w:p>
            <w:pPr>
              <w:jc w:val="center"/>
              <w:spacing w:after="0" w:line="151" w:lineRule="exact"/>
              <w:rPr>
                <w:sz w:val="20"/>
                <w:szCs w:val="20"/>
                <w:color w:val="auto"/>
              </w:rPr>
            </w:pPr>
            <w:r>
              <w:rPr>
                <w:rFonts w:ascii="Arial" w:cs="Arial" w:eastAsia="Arial" w:hAnsi="Arial"/>
                <w:sz w:val="15"/>
                <w:szCs w:val="15"/>
                <w:b w:val="1"/>
                <w:bCs w:val="1"/>
                <w:color w:val="auto"/>
              </w:rPr>
              <w:t>Jan. 30,</w:t>
            </w:r>
          </w:p>
        </w:tc>
        <w:tc>
          <w:tcPr>
            <w:tcW w:w="180" w:type="dxa"/>
            <w:vAlign w:val="bottom"/>
          </w:tcPr>
          <w:p>
            <w:pPr>
              <w:spacing w:after="0"/>
              <w:rPr>
                <w:sz w:val="13"/>
                <w:szCs w:val="13"/>
                <w:color w:val="auto"/>
              </w:rPr>
            </w:pPr>
          </w:p>
        </w:tc>
        <w:tc>
          <w:tcPr>
            <w:tcW w:w="720" w:type="dxa"/>
            <w:vAlign w:val="bottom"/>
          </w:tcPr>
          <w:p>
            <w:pPr>
              <w:jc w:val="right"/>
              <w:ind w:right="23"/>
              <w:spacing w:after="0" w:line="151" w:lineRule="exact"/>
              <w:rPr>
                <w:sz w:val="20"/>
                <w:szCs w:val="20"/>
                <w:color w:val="auto"/>
              </w:rPr>
            </w:pPr>
            <w:r>
              <w:rPr>
                <w:rFonts w:ascii="Arial" w:cs="Arial" w:eastAsia="Arial" w:hAnsi="Arial"/>
                <w:sz w:val="15"/>
                <w:szCs w:val="15"/>
                <w:b w:val="1"/>
                <w:bCs w:val="1"/>
                <w:color w:val="auto"/>
              </w:rPr>
              <w:t>Jan. 31,</w:t>
            </w:r>
          </w:p>
        </w:tc>
        <w:tc>
          <w:tcPr>
            <w:tcW w:w="200" w:type="dxa"/>
            <w:vAlign w:val="bottom"/>
          </w:tcPr>
          <w:p>
            <w:pPr>
              <w:spacing w:after="0"/>
              <w:rPr>
                <w:sz w:val="13"/>
                <w:szCs w:val="13"/>
                <w:color w:val="auto"/>
              </w:rPr>
            </w:pPr>
          </w:p>
        </w:tc>
        <w:tc>
          <w:tcPr>
            <w:tcW w:w="620" w:type="dxa"/>
            <w:vAlign w:val="bottom"/>
          </w:tcPr>
          <w:p>
            <w:pPr>
              <w:jc w:val="right"/>
              <w:ind w:right="23"/>
              <w:spacing w:after="0" w:line="151" w:lineRule="exact"/>
              <w:rPr>
                <w:sz w:val="20"/>
                <w:szCs w:val="20"/>
                <w:color w:val="auto"/>
              </w:rPr>
            </w:pPr>
            <w:r>
              <w:rPr>
                <w:rFonts w:ascii="Arial" w:cs="Arial" w:eastAsia="Arial" w:hAnsi="Arial"/>
                <w:sz w:val="15"/>
                <w:szCs w:val="15"/>
                <w:b w:val="1"/>
                <w:bCs w:val="1"/>
                <w:color w:val="auto"/>
              </w:rPr>
              <w:t>Feb. 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0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2018</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2017</w:t>
            </w: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2018</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2017</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2016</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2015</w:t>
            </w: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2014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080" w:type="dxa"/>
            <w:vAlign w:val="bottom"/>
            <w:shd w:val="clear" w:color="auto" w:fill="CCEEFF"/>
          </w:tcPr>
          <w:p>
            <w:pPr>
              <w:spacing w:after="0"/>
              <w:rPr>
                <w:sz w:val="20"/>
                <w:szCs w:val="20"/>
                <w:color w:val="auto"/>
              </w:rPr>
            </w:pPr>
            <w:r>
              <w:rPr>
                <w:rFonts w:ascii="Arial" w:cs="Arial" w:eastAsia="Arial" w:hAnsi="Arial"/>
                <w:sz w:val="15"/>
                <w:szCs w:val="15"/>
                <w:color w:val="auto"/>
              </w:rPr>
              <w:t>NET EARNINGS</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080" w:type="dxa"/>
            <w:vAlign w:val="bottom"/>
          </w:tcPr>
          <w:p>
            <w:pPr>
              <w:spacing w:after="0"/>
              <w:rPr>
                <w:sz w:val="20"/>
                <w:szCs w:val="20"/>
                <w:color w:val="auto"/>
              </w:rPr>
            </w:pPr>
            <w:r>
              <w:rPr>
                <w:rFonts w:ascii="Arial" w:cs="Arial" w:eastAsia="Arial" w:hAnsi="Arial"/>
                <w:sz w:val="15"/>
                <w:szCs w:val="15"/>
                <w:color w:val="auto"/>
              </w:rPr>
              <w:t>Net income</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383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333</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284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664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541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520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429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8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107</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165</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296</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080" w:type="dxa"/>
            <w:vAlign w:val="bottom"/>
          </w:tcPr>
          <w:p>
            <w:pPr>
              <w:spacing w:after="0"/>
              <w:rPr>
                <w:sz w:val="20"/>
                <w:szCs w:val="20"/>
                <w:color w:val="auto"/>
              </w:rPr>
            </w:pPr>
            <w:r>
              <w:rPr>
                <w:rFonts w:ascii="Arial" w:cs="Arial" w:eastAsia="Arial" w:hAnsi="Arial"/>
                <w:sz w:val="15"/>
                <w:szCs w:val="15"/>
                <w:color w:val="auto"/>
              </w:rPr>
              <w:t>Interest expense, excluding capitalized</w:t>
            </w:r>
          </w:p>
        </w:tc>
        <w:tc>
          <w:tcPr>
            <w:tcW w:w="2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9</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60"/>
              <w:spacing w:after="0"/>
              <w:rPr>
                <w:sz w:val="20"/>
                <w:szCs w:val="20"/>
                <w:color w:val="auto"/>
              </w:rPr>
            </w:pPr>
            <w:r>
              <w:rPr>
                <w:rFonts w:ascii="Arial" w:cs="Arial" w:eastAsia="Arial" w:hAnsi="Arial"/>
                <w:sz w:val="15"/>
                <w:szCs w:val="15"/>
                <w:color w:val="auto"/>
              </w:rPr>
              <w:t>interest</w:t>
            </w:r>
          </w:p>
        </w:tc>
        <w:tc>
          <w:tcPr>
            <w:tcW w:w="2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9</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12</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spacing w:after="0"/>
              <w:rPr>
                <w:sz w:val="15"/>
                <w:szCs w:val="15"/>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11</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6"/>
        </w:trPr>
        <w:tc>
          <w:tcPr>
            <w:tcW w:w="3080" w:type="dxa"/>
            <w:vAlign w:val="bottom"/>
            <w:shd w:val="clear" w:color="auto" w:fill="CCEEFF"/>
          </w:tcPr>
          <w:p>
            <w:pPr>
              <w:spacing w:after="0"/>
              <w:rPr>
                <w:sz w:val="20"/>
                <w:szCs w:val="20"/>
                <w:color w:val="auto"/>
              </w:rPr>
            </w:pPr>
            <w:r>
              <w:rPr>
                <w:rFonts w:ascii="Arial" w:cs="Arial" w:eastAsia="Arial" w:hAnsi="Arial"/>
                <w:sz w:val="15"/>
                <w:szCs w:val="15"/>
                <w:color w:val="auto"/>
              </w:rPr>
              <w:t>Portion of rents deemed representative of the</w:t>
            </w:r>
          </w:p>
        </w:tc>
        <w:tc>
          <w:tcPr>
            <w:tcW w:w="240" w:type="dxa"/>
            <w:vAlign w:val="bottom"/>
            <w:shd w:val="clear" w:color="auto" w:fill="CCEEFF"/>
          </w:tcPr>
          <w:p>
            <w:pPr>
              <w:spacing w:after="0"/>
              <w:rPr>
                <w:sz w:val="24"/>
                <w:szCs w:val="2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215</w:t>
            </w: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0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rPr>
              <w:t>interest factor (1/3)</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202</w:t>
            </w:r>
          </w:p>
        </w:tc>
        <w:tc>
          <w:tcPr>
            <w:tcW w:w="2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287</w:t>
            </w: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269</w:t>
            </w: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252</w:t>
            </w: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w:t>
            </w:r>
          </w:p>
        </w:tc>
        <w:tc>
          <w:tcPr>
            <w:tcW w:w="2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0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714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709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1,100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080" w:type="dxa"/>
            <w:vAlign w:val="bottom"/>
            <w:shd w:val="clear" w:color="auto" w:fill="CCEEFF"/>
          </w:tcPr>
          <w:p>
            <w:pPr>
              <w:spacing w:after="0"/>
              <w:rPr>
                <w:sz w:val="20"/>
                <w:szCs w:val="20"/>
                <w:color w:val="auto"/>
              </w:rPr>
            </w:pPr>
            <w:r>
              <w:rPr>
                <w:rFonts w:ascii="Arial" w:cs="Arial" w:eastAsia="Arial" w:hAnsi="Arial"/>
                <w:sz w:val="15"/>
                <w:szCs w:val="15"/>
                <w:color w:val="auto"/>
              </w:rPr>
              <w:t>FIXED CHARGES</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080" w:type="dxa"/>
            <w:vAlign w:val="bottom"/>
          </w:tcPr>
          <w:p>
            <w:pPr>
              <w:spacing w:after="0"/>
              <w:rPr>
                <w:sz w:val="20"/>
                <w:szCs w:val="20"/>
                <w:color w:val="auto"/>
              </w:rPr>
            </w:pPr>
            <w:r>
              <w:rPr>
                <w:rFonts w:ascii="Arial" w:cs="Arial" w:eastAsia="Arial" w:hAnsi="Arial"/>
                <w:sz w:val="15"/>
                <w:szCs w:val="15"/>
                <w:color w:val="auto"/>
              </w:rPr>
              <w:t>Gross interest expense</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9</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11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11</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3080" w:type="dxa"/>
            <w:vAlign w:val="bottom"/>
            <w:shd w:val="clear" w:color="auto" w:fill="CCEEFF"/>
          </w:tcPr>
          <w:p>
            <w:pPr>
              <w:spacing w:after="0"/>
              <w:rPr>
                <w:sz w:val="20"/>
                <w:szCs w:val="20"/>
                <w:color w:val="auto"/>
              </w:rPr>
            </w:pPr>
            <w:r>
              <w:rPr>
                <w:rFonts w:ascii="Arial" w:cs="Arial" w:eastAsia="Arial" w:hAnsi="Arial"/>
                <w:sz w:val="15"/>
                <w:szCs w:val="15"/>
                <w:color w:val="auto"/>
              </w:rPr>
              <w:t>Portion of rents deemed representative of the</w:t>
            </w:r>
          </w:p>
        </w:tc>
        <w:tc>
          <w:tcPr>
            <w:tcW w:w="240" w:type="dxa"/>
            <w:vAlign w:val="bottom"/>
            <w:shd w:val="clear" w:color="auto" w:fill="CCEEFF"/>
          </w:tcPr>
          <w:p>
            <w:pPr>
              <w:spacing w:after="0"/>
              <w:rPr>
                <w:sz w:val="24"/>
                <w:szCs w:val="2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215</w:t>
            </w: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0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rPr>
              <w:t>interest factor (1/3)</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202</w:t>
            </w:r>
          </w:p>
        </w:tc>
        <w:tc>
          <w:tcPr>
            <w:tcW w:w="2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287</w:t>
            </w: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269</w:t>
            </w: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252</w:t>
            </w: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w:t>
            </w:r>
          </w:p>
        </w:tc>
        <w:tc>
          <w:tcPr>
            <w:tcW w:w="2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0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211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20"/>
                <w:szCs w:val="20"/>
                <w:color w:val="auto"/>
              </w:rPr>
            </w:pPr>
            <w:r>
              <w:rPr>
                <w:rFonts w:ascii="Arial" w:cs="Arial" w:eastAsia="Arial" w:hAnsi="Arial"/>
                <w:sz w:val="15"/>
                <w:szCs w:val="15"/>
                <w:color w:val="auto"/>
              </w:rPr>
              <w:t>RATIO OF EARNINGS TO FIXED</w:t>
            </w:r>
          </w:p>
        </w:tc>
        <w:tc>
          <w:tcPr>
            <w:tcW w:w="24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3.2</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08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CHARGES</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3.4</w:t>
            </w: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4.2</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w:t>
            </w: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3"/>
        </w:trPr>
        <w:tc>
          <w:tcPr>
            <w:tcW w:w="3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5914390</wp:posOffset>
            </wp:positionH>
            <wp:positionV relativeFrom="paragraph">
              <wp:posOffset>-34925</wp:posOffset>
            </wp:positionV>
            <wp:extent cx="33020" cy="48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-34925</wp:posOffset>
            </wp:positionV>
            <wp:extent cx="33020" cy="482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340"/>
          </w:cols>
          <w:pgMar w:left="1120" w:top="115" w:right="1439" w:bottom="1440" w:gutter="0" w:footer="0" w:header="0"/>
        </w:sectPr>
      </w:pPr>
    </w:p>
    <w:bookmarkStart w:id="32" w:name="page33"/>
    <w:bookmarkEnd w:id="32"/>
    <w:p>
      <w:pPr>
        <w:jc w:val="right"/>
        <w:ind w:right="19"/>
        <w:spacing w:after="0"/>
        <w:rPr>
          <w:sz w:val="20"/>
          <w:szCs w:val="20"/>
          <w:color w:val="auto"/>
        </w:rPr>
      </w:pPr>
      <w:r>
        <w:rPr>
          <w:rFonts w:ascii="Arial" w:cs="Arial" w:eastAsia="Arial" w:hAnsi="Arial"/>
          <w:sz w:val="15"/>
          <w:szCs w:val="15"/>
          <w:b w:val="1"/>
          <w:bCs w:val="1"/>
          <w:color w:val="auto"/>
        </w:rPr>
        <w:t>Exhibit 15</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ACCOUNTANTS’ ACKNOWLEDGEMENT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Foot Locker, Inc.:</w:t>
      </w:r>
    </w:p>
    <w:p>
      <w:pPr>
        <w:spacing w:after="0" w:line="241" w:lineRule="exact"/>
        <w:rPr>
          <w:sz w:val="20"/>
          <w:szCs w:val="20"/>
          <w:color w:val="auto"/>
        </w:rPr>
      </w:pPr>
    </w:p>
    <w:p>
      <w:pPr>
        <w:ind w:right="19"/>
        <w:spacing w:after="0" w:line="305" w:lineRule="auto"/>
        <w:rPr>
          <w:sz w:val="20"/>
          <w:szCs w:val="20"/>
          <w:color w:val="auto"/>
        </w:rPr>
      </w:pPr>
      <w:r>
        <w:rPr>
          <w:rFonts w:ascii="Arial" w:cs="Arial" w:eastAsia="Arial" w:hAnsi="Arial"/>
          <w:sz w:val="15"/>
          <w:szCs w:val="15"/>
          <w:color w:val="auto"/>
        </w:rPr>
        <w:t>We hereby acknowledge our awareness of the use of our report dated December 11, 2018 related to our review of interim financial information in the following Registration Statements:</w:t>
      </w:r>
    </w:p>
    <w:p>
      <w:pPr>
        <w:spacing w:after="0" w:line="182" w:lineRule="exact"/>
        <w:rPr>
          <w:sz w:val="20"/>
          <w:szCs w:val="20"/>
          <w:color w:val="auto"/>
        </w:rPr>
      </w:pPr>
    </w:p>
    <w:p>
      <w:pPr>
        <w:ind w:left="320" w:hanging="213"/>
        <w:spacing w:after="0"/>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Form S-8 No. 33-10783</w:t>
      </w:r>
    </w:p>
    <w:p>
      <w:pPr>
        <w:spacing w:after="0" w:line="9" w:lineRule="exact"/>
        <w:rPr>
          <w:rFonts w:ascii="Arial" w:cs="Arial" w:eastAsia="Arial" w:hAnsi="Arial"/>
          <w:sz w:val="15"/>
          <w:szCs w:val="15"/>
          <w:color w:val="auto"/>
        </w:rPr>
      </w:pPr>
    </w:p>
    <w:p>
      <w:pPr>
        <w:ind w:left="320" w:hanging="213"/>
        <w:spacing w:after="0"/>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Form S-8 No. 33-91888</w:t>
      </w:r>
    </w:p>
    <w:p>
      <w:pPr>
        <w:spacing w:after="0" w:line="9" w:lineRule="exact"/>
        <w:rPr>
          <w:rFonts w:ascii="Arial" w:cs="Arial" w:eastAsia="Arial" w:hAnsi="Arial"/>
          <w:sz w:val="15"/>
          <w:szCs w:val="15"/>
          <w:color w:val="auto"/>
        </w:rPr>
      </w:pPr>
    </w:p>
    <w:p>
      <w:pPr>
        <w:ind w:left="320" w:hanging="213"/>
        <w:spacing w:after="0"/>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Form S-8 No. 33-91886</w:t>
      </w:r>
    </w:p>
    <w:p>
      <w:pPr>
        <w:spacing w:after="0" w:line="9" w:lineRule="exact"/>
        <w:rPr>
          <w:rFonts w:ascii="Arial" w:cs="Arial" w:eastAsia="Arial" w:hAnsi="Arial"/>
          <w:sz w:val="15"/>
          <w:szCs w:val="15"/>
          <w:color w:val="auto"/>
        </w:rPr>
      </w:pPr>
    </w:p>
    <w:p>
      <w:pPr>
        <w:ind w:left="320" w:hanging="213"/>
        <w:spacing w:after="0"/>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Form S-8 No. 33-97832</w:t>
      </w:r>
    </w:p>
    <w:p>
      <w:pPr>
        <w:spacing w:after="0" w:line="9" w:lineRule="exact"/>
        <w:rPr>
          <w:rFonts w:ascii="Arial" w:cs="Arial" w:eastAsia="Arial" w:hAnsi="Arial"/>
          <w:sz w:val="15"/>
          <w:szCs w:val="15"/>
          <w:color w:val="auto"/>
        </w:rPr>
      </w:pPr>
    </w:p>
    <w:p>
      <w:pPr>
        <w:ind w:left="320" w:hanging="213"/>
        <w:spacing w:after="0"/>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Form S-8 No. 333-07215</w:t>
      </w:r>
    </w:p>
    <w:p>
      <w:pPr>
        <w:spacing w:after="0" w:line="9" w:lineRule="exact"/>
        <w:rPr>
          <w:rFonts w:ascii="Arial" w:cs="Arial" w:eastAsia="Arial" w:hAnsi="Arial"/>
          <w:sz w:val="15"/>
          <w:szCs w:val="15"/>
          <w:color w:val="auto"/>
        </w:rPr>
      </w:pPr>
    </w:p>
    <w:p>
      <w:pPr>
        <w:ind w:left="320" w:hanging="213"/>
        <w:spacing w:after="0"/>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Form S-8 No. 333-21131</w:t>
      </w:r>
    </w:p>
    <w:p>
      <w:pPr>
        <w:spacing w:after="0" w:line="9" w:lineRule="exact"/>
        <w:rPr>
          <w:rFonts w:ascii="Arial" w:cs="Arial" w:eastAsia="Arial" w:hAnsi="Arial"/>
          <w:sz w:val="15"/>
          <w:szCs w:val="15"/>
          <w:color w:val="auto"/>
        </w:rPr>
      </w:pPr>
    </w:p>
    <w:p>
      <w:pPr>
        <w:ind w:left="320" w:hanging="213"/>
        <w:spacing w:after="0"/>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Form S-8 No. 333-62425</w:t>
      </w:r>
    </w:p>
    <w:p>
      <w:pPr>
        <w:spacing w:after="0" w:line="9" w:lineRule="exact"/>
        <w:rPr>
          <w:rFonts w:ascii="Arial" w:cs="Arial" w:eastAsia="Arial" w:hAnsi="Arial"/>
          <w:sz w:val="15"/>
          <w:szCs w:val="15"/>
          <w:color w:val="auto"/>
        </w:rPr>
      </w:pPr>
    </w:p>
    <w:p>
      <w:pPr>
        <w:ind w:left="320" w:hanging="213"/>
        <w:spacing w:after="0"/>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Form S-8 No. 333-33120</w:t>
      </w:r>
    </w:p>
    <w:p>
      <w:pPr>
        <w:spacing w:after="0" w:line="9" w:lineRule="exact"/>
        <w:rPr>
          <w:rFonts w:ascii="Arial" w:cs="Arial" w:eastAsia="Arial" w:hAnsi="Arial"/>
          <w:sz w:val="15"/>
          <w:szCs w:val="15"/>
          <w:color w:val="auto"/>
        </w:rPr>
      </w:pPr>
    </w:p>
    <w:p>
      <w:pPr>
        <w:ind w:left="320" w:hanging="213"/>
        <w:spacing w:after="0"/>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Form S-8 No. 333-41056</w:t>
      </w:r>
    </w:p>
    <w:p>
      <w:pPr>
        <w:spacing w:after="0" w:line="9" w:lineRule="exact"/>
        <w:rPr>
          <w:rFonts w:ascii="Arial" w:cs="Arial" w:eastAsia="Arial" w:hAnsi="Arial"/>
          <w:sz w:val="15"/>
          <w:szCs w:val="15"/>
          <w:color w:val="auto"/>
        </w:rPr>
      </w:pPr>
    </w:p>
    <w:p>
      <w:pPr>
        <w:ind w:left="320" w:hanging="213"/>
        <w:spacing w:after="0"/>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Form S-8 No. 333-41058</w:t>
      </w:r>
    </w:p>
    <w:p>
      <w:pPr>
        <w:spacing w:after="0" w:line="9" w:lineRule="exact"/>
        <w:rPr>
          <w:rFonts w:ascii="Arial" w:cs="Arial" w:eastAsia="Arial" w:hAnsi="Arial"/>
          <w:sz w:val="15"/>
          <w:szCs w:val="15"/>
          <w:color w:val="auto"/>
        </w:rPr>
      </w:pPr>
    </w:p>
    <w:p>
      <w:pPr>
        <w:ind w:left="320" w:hanging="213"/>
        <w:spacing w:after="0"/>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Form S-8 No. 333-74688</w:t>
      </w:r>
    </w:p>
    <w:p>
      <w:pPr>
        <w:spacing w:after="0" w:line="9" w:lineRule="exact"/>
        <w:rPr>
          <w:rFonts w:ascii="Arial" w:cs="Arial" w:eastAsia="Arial" w:hAnsi="Arial"/>
          <w:sz w:val="15"/>
          <w:szCs w:val="15"/>
          <w:color w:val="auto"/>
        </w:rPr>
      </w:pPr>
    </w:p>
    <w:p>
      <w:pPr>
        <w:ind w:left="320" w:hanging="213"/>
        <w:spacing w:after="0"/>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Form S-8 No. 333-99829</w:t>
      </w:r>
    </w:p>
    <w:p>
      <w:pPr>
        <w:spacing w:after="0" w:line="9" w:lineRule="exact"/>
        <w:rPr>
          <w:rFonts w:ascii="Arial" w:cs="Arial" w:eastAsia="Arial" w:hAnsi="Arial"/>
          <w:sz w:val="15"/>
          <w:szCs w:val="15"/>
          <w:color w:val="auto"/>
        </w:rPr>
      </w:pPr>
    </w:p>
    <w:p>
      <w:pPr>
        <w:ind w:left="320" w:hanging="213"/>
        <w:spacing w:after="0"/>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Form S-8 No. 333-111222</w:t>
      </w:r>
    </w:p>
    <w:p>
      <w:pPr>
        <w:spacing w:after="0" w:line="9" w:lineRule="exact"/>
        <w:rPr>
          <w:rFonts w:ascii="Arial" w:cs="Arial" w:eastAsia="Arial" w:hAnsi="Arial"/>
          <w:sz w:val="15"/>
          <w:szCs w:val="15"/>
          <w:color w:val="auto"/>
        </w:rPr>
      </w:pPr>
    </w:p>
    <w:p>
      <w:pPr>
        <w:ind w:left="320" w:hanging="213"/>
        <w:spacing w:after="0"/>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Form S-8 No. 333-121515</w:t>
      </w:r>
    </w:p>
    <w:p>
      <w:pPr>
        <w:spacing w:after="0" w:line="9" w:lineRule="exact"/>
        <w:rPr>
          <w:rFonts w:ascii="Arial" w:cs="Arial" w:eastAsia="Arial" w:hAnsi="Arial"/>
          <w:sz w:val="15"/>
          <w:szCs w:val="15"/>
          <w:color w:val="auto"/>
        </w:rPr>
      </w:pPr>
    </w:p>
    <w:p>
      <w:pPr>
        <w:ind w:left="320" w:hanging="213"/>
        <w:spacing w:after="0"/>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Form S-8 No. 333-144044</w:t>
      </w:r>
    </w:p>
    <w:p>
      <w:pPr>
        <w:spacing w:after="0" w:line="9" w:lineRule="exact"/>
        <w:rPr>
          <w:rFonts w:ascii="Arial" w:cs="Arial" w:eastAsia="Arial" w:hAnsi="Arial"/>
          <w:sz w:val="15"/>
          <w:szCs w:val="15"/>
          <w:color w:val="auto"/>
        </w:rPr>
      </w:pPr>
    </w:p>
    <w:p>
      <w:pPr>
        <w:ind w:left="320" w:hanging="213"/>
        <w:spacing w:after="0"/>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Form S-8 No. 333-149803</w:t>
      </w:r>
    </w:p>
    <w:p>
      <w:pPr>
        <w:spacing w:after="0" w:line="9" w:lineRule="exact"/>
        <w:rPr>
          <w:rFonts w:ascii="Arial" w:cs="Arial" w:eastAsia="Arial" w:hAnsi="Arial"/>
          <w:sz w:val="15"/>
          <w:szCs w:val="15"/>
          <w:color w:val="auto"/>
        </w:rPr>
      </w:pPr>
    </w:p>
    <w:p>
      <w:pPr>
        <w:ind w:left="320" w:hanging="213"/>
        <w:spacing w:after="0"/>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Form S-3 No. 33-43334</w:t>
      </w:r>
    </w:p>
    <w:p>
      <w:pPr>
        <w:spacing w:after="0" w:line="9" w:lineRule="exact"/>
        <w:rPr>
          <w:rFonts w:ascii="Arial" w:cs="Arial" w:eastAsia="Arial" w:hAnsi="Arial"/>
          <w:sz w:val="15"/>
          <w:szCs w:val="15"/>
          <w:color w:val="auto"/>
        </w:rPr>
      </w:pPr>
    </w:p>
    <w:p>
      <w:pPr>
        <w:ind w:left="320" w:hanging="213"/>
        <w:spacing w:after="0"/>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Form S-3 No. 33-86300</w:t>
      </w:r>
    </w:p>
    <w:p>
      <w:pPr>
        <w:spacing w:after="0" w:line="9" w:lineRule="exact"/>
        <w:rPr>
          <w:rFonts w:ascii="Arial" w:cs="Arial" w:eastAsia="Arial" w:hAnsi="Arial"/>
          <w:sz w:val="15"/>
          <w:szCs w:val="15"/>
          <w:color w:val="auto"/>
        </w:rPr>
      </w:pPr>
    </w:p>
    <w:p>
      <w:pPr>
        <w:ind w:left="320" w:hanging="213"/>
        <w:spacing w:after="0"/>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Form S-3 No. 333-64930</w:t>
      </w:r>
    </w:p>
    <w:p>
      <w:pPr>
        <w:spacing w:after="0" w:line="9" w:lineRule="exact"/>
        <w:rPr>
          <w:rFonts w:ascii="Arial" w:cs="Arial" w:eastAsia="Arial" w:hAnsi="Arial"/>
          <w:sz w:val="15"/>
          <w:szCs w:val="15"/>
          <w:color w:val="auto"/>
        </w:rPr>
      </w:pPr>
    </w:p>
    <w:p>
      <w:pPr>
        <w:ind w:left="320" w:hanging="213"/>
        <w:spacing w:after="0"/>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Form S-8 No. 333-167066</w:t>
      </w:r>
    </w:p>
    <w:p>
      <w:pPr>
        <w:spacing w:after="0" w:line="9" w:lineRule="exact"/>
        <w:rPr>
          <w:rFonts w:ascii="Arial" w:cs="Arial" w:eastAsia="Arial" w:hAnsi="Arial"/>
          <w:sz w:val="15"/>
          <w:szCs w:val="15"/>
          <w:color w:val="auto"/>
        </w:rPr>
      </w:pPr>
    </w:p>
    <w:p>
      <w:pPr>
        <w:ind w:left="320" w:hanging="213"/>
        <w:spacing w:after="0"/>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Form S-8 No. 333-171523</w:t>
      </w:r>
    </w:p>
    <w:p>
      <w:pPr>
        <w:spacing w:after="0" w:line="9" w:lineRule="exact"/>
        <w:rPr>
          <w:rFonts w:ascii="Arial" w:cs="Arial" w:eastAsia="Arial" w:hAnsi="Arial"/>
          <w:sz w:val="15"/>
          <w:szCs w:val="15"/>
          <w:color w:val="auto"/>
        </w:rPr>
      </w:pPr>
    </w:p>
    <w:p>
      <w:pPr>
        <w:ind w:left="320" w:hanging="213"/>
        <w:spacing w:after="0"/>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Form S-8 No. 333-190680</w:t>
      </w:r>
    </w:p>
    <w:p>
      <w:pPr>
        <w:spacing w:after="0" w:line="9" w:lineRule="exact"/>
        <w:rPr>
          <w:rFonts w:ascii="Arial" w:cs="Arial" w:eastAsia="Arial" w:hAnsi="Arial"/>
          <w:sz w:val="15"/>
          <w:szCs w:val="15"/>
          <w:color w:val="auto"/>
        </w:rPr>
      </w:pPr>
    </w:p>
    <w:p>
      <w:pPr>
        <w:ind w:left="320" w:hanging="213"/>
        <w:spacing w:after="0"/>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Form S-8 No. 333-196899</w:t>
      </w:r>
    </w:p>
    <w:p>
      <w:pPr>
        <w:spacing w:after="0" w:line="180" w:lineRule="exact"/>
        <w:rPr>
          <w:sz w:val="20"/>
          <w:szCs w:val="20"/>
          <w:color w:val="auto"/>
        </w:rPr>
      </w:pPr>
    </w:p>
    <w:p>
      <w:pPr>
        <w:jc w:val="both"/>
        <w:ind w:right="19"/>
        <w:spacing w:after="0" w:line="245" w:lineRule="auto"/>
        <w:rPr>
          <w:sz w:val="20"/>
          <w:szCs w:val="20"/>
          <w:color w:val="auto"/>
        </w:rPr>
      </w:pPr>
      <w:r>
        <w:rPr>
          <w:rFonts w:ascii="Arial" w:cs="Arial" w:eastAsia="Arial" w:hAnsi="Arial"/>
          <w:sz w:val="15"/>
          <w:szCs w:val="15"/>
          <w:color w:val="auto"/>
        </w:rPr>
        <w:t>Pursuant to Rule 436(c) under the Securities Act of 1933 (the Act), such report is not considered a part of the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color w:val="auto"/>
        </w:rPr>
        <w:t>/s/ KPMG LLP</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December 11,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568960</wp:posOffset>
            </wp:positionV>
            <wp:extent cx="5964555" cy="482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4555" cy="48260"/>
                    </a:xfrm>
                    <a:prstGeom prst="rect">
                      <a:avLst/>
                    </a:prstGeom>
                    <a:noFill/>
                  </pic:spPr>
                </pic:pic>
              </a:graphicData>
            </a:graphic>
          </wp:anchor>
        </w:drawing>
      </w:r>
    </w:p>
    <w:p>
      <w:pPr>
        <w:sectPr>
          <w:pgSz w:w="11900" w:h="16838" w:orient="portrait"/>
          <w:cols w:equalWidth="0" w:num="1">
            <w:col w:w="9339"/>
          </w:cols>
          <w:pgMar w:left="1120" w:top="115" w:right="1440" w:bottom="1440" w:gutter="0" w:footer="0" w:header="0"/>
        </w:sectPr>
      </w:pPr>
    </w:p>
    <w:bookmarkStart w:id="33" w:name="page34"/>
    <w:bookmarkEnd w:id="33"/>
    <w:p>
      <w:pPr>
        <w:ind w:left="8248"/>
        <w:spacing w:after="0"/>
        <w:rPr>
          <w:sz w:val="20"/>
          <w:szCs w:val="20"/>
          <w:color w:val="auto"/>
        </w:rPr>
      </w:pPr>
      <w:r>
        <w:rPr>
          <w:rFonts w:ascii="Arial" w:cs="Arial" w:eastAsia="Arial" w:hAnsi="Arial"/>
          <w:sz w:val="15"/>
          <w:szCs w:val="15"/>
          <w:b w:val="1"/>
          <w:bCs w:val="1"/>
          <w:color w:val="auto"/>
        </w:rPr>
        <w:t>Exhibit 31.1</w:t>
      </w:r>
    </w:p>
    <w:p>
      <w:pPr>
        <w:spacing w:after="0" w:line="16" w:lineRule="exact"/>
        <w:rPr>
          <w:sz w:val="20"/>
          <w:szCs w:val="20"/>
          <w:color w:val="auto"/>
        </w:rPr>
      </w:pPr>
    </w:p>
    <w:p>
      <w:pPr>
        <w:ind w:left="3848"/>
        <w:spacing w:after="0"/>
        <w:rPr>
          <w:sz w:val="20"/>
          <w:szCs w:val="20"/>
          <w:color w:val="auto"/>
        </w:rPr>
      </w:pPr>
      <w:r>
        <w:rPr>
          <w:rFonts w:ascii="Arial" w:cs="Arial" w:eastAsia="Arial" w:hAnsi="Arial"/>
          <w:sz w:val="15"/>
          <w:szCs w:val="15"/>
          <w:b w:val="1"/>
          <w:bCs w:val="1"/>
          <w:color w:val="auto"/>
        </w:rPr>
        <w:t>CERTIFICATION</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5"/>
          <w:szCs w:val="15"/>
          <w:color w:val="auto"/>
        </w:rPr>
        <w:t>I, Richard A. Johnson, certify that:</w:t>
      </w:r>
    </w:p>
    <w:p>
      <w:pPr>
        <w:spacing w:after="0" w:line="180" w:lineRule="exact"/>
        <w:rPr>
          <w:sz w:val="20"/>
          <w:szCs w:val="20"/>
          <w:color w:val="auto"/>
        </w:rPr>
      </w:pPr>
    </w:p>
    <w:p>
      <w:pPr>
        <w:ind w:left="708" w:hanging="708"/>
        <w:spacing w:after="0"/>
        <w:tabs>
          <w:tab w:leader="none" w:pos="708" w:val="left"/>
        </w:tabs>
        <w:numPr>
          <w:ilvl w:val="0"/>
          <w:numId w:val="16"/>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Foot Locker, Inc. (the “Registrant”);</w:t>
      </w:r>
    </w:p>
    <w:p>
      <w:pPr>
        <w:spacing w:after="0" w:line="289" w:lineRule="exact"/>
        <w:rPr>
          <w:rFonts w:ascii="Arial" w:cs="Arial" w:eastAsia="Arial" w:hAnsi="Arial"/>
          <w:sz w:val="15"/>
          <w:szCs w:val="15"/>
          <w:color w:val="auto"/>
        </w:rPr>
      </w:pPr>
    </w:p>
    <w:p>
      <w:pPr>
        <w:jc w:val="both"/>
        <w:ind w:left="708" w:hanging="708"/>
        <w:spacing w:after="0" w:line="245" w:lineRule="auto"/>
        <w:tabs>
          <w:tab w:leader="none" w:pos="708"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9" w:lineRule="exact"/>
        <w:rPr>
          <w:rFonts w:ascii="Arial" w:cs="Arial" w:eastAsia="Arial" w:hAnsi="Arial"/>
          <w:sz w:val="15"/>
          <w:szCs w:val="15"/>
          <w:color w:val="auto"/>
        </w:rPr>
      </w:pPr>
    </w:p>
    <w:p>
      <w:pPr>
        <w:jc w:val="both"/>
        <w:ind w:left="708" w:hanging="708"/>
        <w:spacing w:after="0" w:line="245" w:lineRule="auto"/>
        <w:tabs>
          <w:tab w:leader="none" w:pos="708"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4" w:lineRule="exact"/>
        <w:rPr>
          <w:rFonts w:ascii="Arial" w:cs="Arial" w:eastAsia="Arial" w:hAnsi="Arial"/>
          <w:sz w:val="15"/>
          <w:szCs w:val="15"/>
          <w:color w:val="auto"/>
        </w:rPr>
      </w:pPr>
    </w:p>
    <w:p>
      <w:pPr>
        <w:jc w:val="both"/>
        <w:ind w:left="708" w:hanging="708"/>
        <w:spacing w:after="0" w:line="245" w:lineRule="auto"/>
        <w:tabs>
          <w:tab w:leader="none" w:pos="708"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5"/>
          <w:szCs w:val="15"/>
          <w:color w:val="auto"/>
        </w:rPr>
      </w:pPr>
    </w:p>
    <w:p>
      <w:pPr>
        <w:spacing w:after="0" w:line="208" w:lineRule="exact"/>
        <w:rPr>
          <w:rFonts w:ascii="Arial" w:cs="Arial" w:eastAsia="Arial" w:hAnsi="Arial"/>
          <w:sz w:val="15"/>
          <w:szCs w:val="15"/>
          <w:color w:val="auto"/>
        </w:rPr>
      </w:pPr>
    </w:p>
    <w:p>
      <w:pPr>
        <w:jc w:val="both"/>
        <w:ind w:left="1408" w:hanging="690"/>
        <w:spacing w:after="0" w:line="242" w:lineRule="auto"/>
        <w:tabs>
          <w:tab w:leader="none" w:pos="1408" w:val="left"/>
        </w:tabs>
        <w:numPr>
          <w:ilvl w:val="1"/>
          <w:numId w:val="16"/>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0" w:lineRule="exact"/>
        <w:rPr>
          <w:rFonts w:ascii="Arial" w:cs="Arial" w:eastAsia="Arial" w:hAnsi="Arial"/>
          <w:sz w:val="15"/>
          <w:szCs w:val="15"/>
          <w:color w:val="auto"/>
        </w:rPr>
      </w:pPr>
    </w:p>
    <w:p>
      <w:pPr>
        <w:jc w:val="both"/>
        <w:ind w:left="1408" w:hanging="690"/>
        <w:spacing w:after="0" w:line="243" w:lineRule="auto"/>
        <w:tabs>
          <w:tab w:leader="none" w:pos="1408" w:val="left"/>
        </w:tabs>
        <w:numPr>
          <w:ilvl w:val="1"/>
          <w:numId w:val="16"/>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5"/>
          <w:szCs w:val="15"/>
          <w:color w:val="auto"/>
        </w:rPr>
      </w:pPr>
    </w:p>
    <w:p>
      <w:pPr>
        <w:spacing w:after="0" w:line="273" w:lineRule="exact"/>
        <w:rPr>
          <w:rFonts w:ascii="Arial" w:cs="Arial" w:eastAsia="Arial" w:hAnsi="Arial"/>
          <w:sz w:val="15"/>
          <w:szCs w:val="15"/>
          <w:color w:val="auto"/>
        </w:rPr>
      </w:pPr>
    </w:p>
    <w:p>
      <w:pPr>
        <w:jc w:val="both"/>
        <w:ind w:left="1408" w:hanging="690"/>
        <w:spacing w:after="0" w:line="245" w:lineRule="auto"/>
        <w:tabs>
          <w:tab w:leader="none" w:pos="1408"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2" w:lineRule="exact"/>
        <w:rPr>
          <w:rFonts w:ascii="Arial" w:cs="Arial" w:eastAsia="Arial" w:hAnsi="Arial"/>
          <w:sz w:val="15"/>
          <w:szCs w:val="15"/>
          <w:color w:val="auto"/>
        </w:rPr>
      </w:pPr>
    </w:p>
    <w:p>
      <w:pPr>
        <w:jc w:val="both"/>
        <w:ind w:left="1408" w:hanging="690"/>
        <w:spacing w:after="0" w:line="242" w:lineRule="auto"/>
        <w:tabs>
          <w:tab w:leader="none" w:pos="1408" w:val="left"/>
        </w:tabs>
        <w:numPr>
          <w:ilvl w:val="1"/>
          <w:numId w:val="16"/>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0" w:lineRule="exact"/>
        <w:rPr>
          <w:rFonts w:ascii="Arial" w:cs="Arial" w:eastAsia="Arial" w:hAnsi="Arial"/>
          <w:sz w:val="15"/>
          <w:szCs w:val="15"/>
          <w:color w:val="auto"/>
        </w:rPr>
      </w:pPr>
    </w:p>
    <w:p>
      <w:pPr>
        <w:jc w:val="both"/>
        <w:ind w:left="708" w:hanging="708"/>
        <w:spacing w:after="0" w:line="245" w:lineRule="auto"/>
        <w:tabs>
          <w:tab w:leader="none" w:pos="708"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8" w:lineRule="exact"/>
        <w:rPr>
          <w:rFonts w:ascii="Arial" w:cs="Arial" w:eastAsia="Arial" w:hAnsi="Arial"/>
          <w:sz w:val="15"/>
          <w:szCs w:val="15"/>
          <w:color w:val="auto"/>
        </w:rPr>
      </w:pPr>
    </w:p>
    <w:p>
      <w:pPr>
        <w:jc w:val="both"/>
        <w:ind w:left="1408" w:hanging="690"/>
        <w:spacing w:after="0" w:line="245" w:lineRule="auto"/>
        <w:tabs>
          <w:tab w:leader="none" w:pos="1408" w:val="left"/>
        </w:tabs>
        <w:numPr>
          <w:ilvl w:val="1"/>
          <w:numId w:val="16"/>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5" w:lineRule="exact"/>
        <w:rPr>
          <w:rFonts w:ascii="Arial" w:cs="Arial" w:eastAsia="Arial" w:hAnsi="Arial"/>
          <w:sz w:val="15"/>
          <w:szCs w:val="15"/>
          <w:color w:val="auto"/>
        </w:rPr>
      </w:pPr>
    </w:p>
    <w:p>
      <w:pPr>
        <w:ind w:left="1408" w:hanging="690"/>
        <w:spacing w:after="0" w:line="254" w:lineRule="auto"/>
        <w:tabs>
          <w:tab w:leader="none" w:pos="1408" w:val="left"/>
        </w:tabs>
        <w:numPr>
          <w:ilvl w:val="1"/>
          <w:numId w:val="16"/>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0" w:lineRule="exact"/>
        <w:rPr>
          <w:sz w:val="20"/>
          <w:szCs w:val="20"/>
          <w:color w:val="auto"/>
        </w:rPr>
      </w:pPr>
    </w:p>
    <w:p>
      <w:pPr>
        <w:ind w:left="8"/>
        <w:spacing w:after="0"/>
        <w:rPr>
          <w:sz w:val="20"/>
          <w:szCs w:val="20"/>
          <w:color w:val="auto"/>
        </w:rPr>
      </w:pPr>
      <w:r>
        <w:rPr>
          <w:rFonts w:ascii="Arial" w:cs="Arial" w:eastAsia="Arial" w:hAnsi="Arial"/>
          <w:sz w:val="15"/>
          <w:szCs w:val="15"/>
          <w:color w:val="auto"/>
        </w:rPr>
        <w:t>December 11, 2018</w:t>
      </w:r>
    </w:p>
    <w:p>
      <w:pPr>
        <w:spacing w:after="0" w:line="107" w:lineRule="exact"/>
        <w:rPr>
          <w:sz w:val="20"/>
          <w:szCs w:val="20"/>
          <w:color w:val="auto"/>
        </w:rPr>
      </w:pPr>
    </w:p>
    <w:p>
      <w:pPr>
        <w:ind w:left="6848"/>
        <w:spacing w:after="0"/>
        <w:rPr>
          <w:sz w:val="20"/>
          <w:szCs w:val="20"/>
          <w:color w:val="auto"/>
        </w:rPr>
      </w:pPr>
      <w:r>
        <w:rPr>
          <w:rFonts w:ascii="Arial" w:cs="Arial" w:eastAsia="Arial" w:hAnsi="Arial"/>
          <w:sz w:val="15"/>
          <w:szCs w:val="15"/>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1905</wp:posOffset>
            </wp:positionV>
            <wp:extent cx="160655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06550" cy="7620"/>
                    </a:xfrm>
                    <a:prstGeom prst="rect">
                      <a:avLst/>
                    </a:prstGeom>
                    <a:noFill/>
                  </pic:spPr>
                </pic:pic>
              </a:graphicData>
            </a:graphic>
          </wp:anchor>
        </w:drawing>
      </w:r>
    </w:p>
    <w:p>
      <w:pPr>
        <w:spacing w:after="0" w:line="87" w:lineRule="exact"/>
        <w:rPr>
          <w:sz w:val="20"/>
          <w:szCs w:val="20"/>
          <w:color w:val="auto"/>
        </w:rPr>
      </w:pPr>
    </w:p>
    <w:p>
      <w:pPr>
        <w:ind w:left="6848"/>
        <w:spacing w:after="0"/>
        <w:rPr>
          <w:sz w:val="20"/>
          <w:szCs w:val="20"/>
          <w:color w:val="auto"/>
        </w:rPr>
      </w:pPr>
      <w:r>
        <w:rPr>
          <w:rFonts w:ascii="Arial" w:cs="Arial" w:eastAsia="Arial" w:hAnsi="Arial"/>
          <w:sz w:val="15"/>
          <w:szCs w:val="15"/>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576580</wp:posOffset>
            </wp:positionV>
            <wp:extent cx="5964555" cy="482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4555" cy="48260"/>
                    </a:xfrm>
                    <a:prstGeom prst="rect">
                      <a:avLst/>
                    </a:prstGeom>
                    <a:noFill/>
                  </pic:spPr>
                </pic:pic>
              </a:graphicData>
            </a:graphic>
          </wp:anchor>
        </w:drawing>
      </w:r>
    </w:p>
    <w:p>
      <w:pPr>
        <w:sectPr>
          <w:pgSz w:w="11900" w:h="16838" w:orient="portrait"/>
          <w:cols w:equalWidth="0" w:num="1">
            <w:col w:w="9308"/>
          </w:cols>
          <w:pgMar w:left="1332" w:top="116" w:right="1259" w:bottom="1440" w:gutter="0" w:footer="0" w:header="0"/>
        </w:sectPr>
      </w:pPr>
    </w:p>
    <w:bookmarkStart w:id="34" w:name="page35"/>
    <w:bookmarkEnd w:id="34"/>
    <w:p>
      <w:pPr>
        <w:jc w:val="right"/>
        <w:spacing w:after="0"/>
        <w:rPr>
          <w:sz w:val="20"/>
          <w:szCs w:val="20"/>
          <w:color w:val="auto"/>
        </w:rPr>
      </w:pPr>
      <w:r>
        <w:rPr>
          <w:rFonts w:ascii="Arial" w:cs="Arial" w:eastAsia="Arial" w:hAnsi="Arial"/>
          <w:sz w:val="15"/>
          <w:szCs w:val="15"/>
          <w:b w:val="1"/>
          <w:bCs w:val="1"/>
          <w:color w:val="auto"/>
        </w:rPr>
        <w:t>Exhibit 31.2</w:t>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CERTIFICATION</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I, Lauren B. Peters, certify that:</w:t>
      </w:r>
    </w:p>
    <w:p>
      <w:pPr>
        <w:spacing w:after="0" w:line="180" w:lineRule="exact"/>
        <w:rPr>
          <w:sz w:val="20"/>
          <w:szCs w:val="20"/>
          <w:color w:val="auto"/>
        </w:rPr>
      </w:pPr>
    </w:p>
    <w:p>
      <w:pPr>
        <w:ind w:left="880" w:hanging="696"/>
        <w:spacing w:after="0"/>
        <w:tabs>
          <w:tab w:leader="none" w:pos="8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Foot Locker, Inc. (the “Registrant”);</w:t>
      </w:r>
    </w:p>
    <w:p>
      <w:pPr>
        <w:spacing w:after="0" w:line="204"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23" w:lineRule="exact"/>
        <w:rPr>
          <w:rFonts w:ascii="Arial" w:cs="Arial" w:eastAsia="Arial" w:hAnsi="Arial"/>
          <w:sz w:val="15"/>
          <w:szCs w:val="15"/>
          <w:color w:val="auto"/>
        </w:rPr>
      </w:pPr>
    </w:p>
    <w:p>
      <w:pPr>
        <w:jc w:val="both"/>
        <w:ind w:left="1580" w:hanging="691"/>
        <w:spacing w:after="0" w:line="242" w:lineRule="auto"/>
        <w:tabs>
          <w:tab w:leader="none" w:pos="1580" w:val="left"/>
        </w:tabs>
        <w:numPr>
          <w:ilvl w:val="1"/>
          <w:numId w:val="17"/>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5"/>
          <w:szCs w:val="15"/>
          <w:color w:val="auto"/>
        </w:rPr>
      </w:pPr>
    </w:p>
    <w:p>
      <w:pPr>
        <w:jc w:val="both"/>
        <w:ind w:left="1580" w:hanging="691"/>
        <w:spacing w:after="0" w:line="242" w:lineRule="auto"/>
        <w:tabs>
          <w:tab w:leader="none" w:pos="1580" w:val="left"/>
        </w:tabs>
        <w:numPr>
          <w:ilvl w:val="1"/>
          <w:numId w:val="17"/>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5"/>
          <w:szCs w:val="15"/>
          <w:color w:val="auto"/>
        </w:rPr>
      </w:pPr>
    </w:p>
    <w:p>
      <w:pPr>
        <w:jc w:val="both"/>
        <w:ind w:left="1580" w:hanging="691"/>
        <w:spacing w:after="0" w:line="245" w:lineRule="auto"/>
        <w:tabs>
          <w:tab w:leader="none" w:pos="1580" w:val="left"/>
        </w:tabs>
        <w:numPr>
          <w:ilvl w:val="1"/>
          <w:numId w:val="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5"/>
          <w:szCs w:val="15"/>
          <w:color w:val="auto"/>
        </w:rPr>
      </w:pPr>
    </w:p>
    <w:p>
      <w:pPr>
        <w:jc w:val="both"/>
        <w:ind w:left="1580" w:hanging="691"/>
        <w:spacing w:after="0" w:line="242" w:lineRule="auto"/>
        <w:tabs>
          <w:tab w:leader="none" w:pos="1580" w:val="left"/>
        </w:tabs>
        <w:numPr>
          <w:ilvl w:val="1"/>
          <w:numId w:val="17"/>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5"/>
          <w:szCs w:val="15"/>
          <w:color w:val="auto"/>
        </w:rPr>
      </w:pPr>
    </w:p>
    <w:p>
      <w:pPr>
        <w:jc w:val="both"/>
        <w:ind w:left="1580" w:hanging="691"/>
        <w:spacing w:after="0" w:line="245" w:lineRule="auto"/>
        <w:tabs>
          <w:tab w:leader="none" w:pos="1580" w:val="left"/>
        </w:tabs>
        <w:numPr>
          <w:ilvl w:val="1"/>
          <w:numId w:val="17"/>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5"/>
          <w:szCs w:val="15"/>
          <w:color w:val="auto"/>
        </w:rPr>
      </w:pPr>
    </w:p>
    <w:p>
      <w:pPr>
        <w:ind w:left="1580" w:hanging="691"/>
        <w:spacing w:after="0" w:line="254" w:lineRule="auto"/>
        <w:tabs>
          <w:tab w:leader="none" w:pos="1580" w:val="left"/>
        </w:tabs>
        <w:numPr>
          <w:ilvl w:val="1"/>
          <w:numId w:val="17"/>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December 11, 2018</w:t>
      </w:r>
    </w:p>
    <w:p>
      <w:pPr>
        <w:spacing w:after="0" w:line="59" w:lineRule="exact"/>
        <w:rPr>
          <w:sz w:val="20"/>
          <w:szCs w:val="20"/>
          <w:color w:val="auto"/>
        </w:rPr>
      </w:pPr>
    </w:p>
    <w:p>
      <w:pPr>
        <w:ind w:left="6920"/>
        <w:spacing w:after="0"/>
        <w:rPr>
          <w:sz w:val="20"/>
          <w:szCs w:val="20"/>
          <w:color w:val="auto"/>
        </w:rPr>
      </w:pPr>
      <w:r>
        <w:rPr>
          <w:rFonts w:ascii="Arial" w:cs="Arial" w:eastAsia="Arial" w:hAnsi="Arial"/>
          <w:sz w:val="15"/>
          <w:szCs w:val="15"/>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1905</wp:posOffset>
            </wp:positionV>
            <wp:extent cx="149860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98600" cy="7620"/>
                    </a:xfrm>
                    <a:prstGeom prst="rect">
                      <a:avLst/>
                    </a:prstGeom>
                    <a:noFill/>
                  </pic:spPr>
                </pic:pic>
              </a:graphicData>
            </a:graphic>
          </wp:anchor>
        </w:drawing>
      </w:r>
    </w:p>
    <w:p>
      <w:pPr>
        <w:spacing w:after="0" w:line="39" w:lineRule="exact"/>
        <w:rPr>
          <w:sz w:val="20"/>
          <w:szCs w:val="20"/>
          <w:color w:val="auto"/>
        </w:rPr>
      </w:pPr>
    </w:p>
    <w:p>
      <w:pPr>
        <w:ind w:left="6920"/>
        <w:spacing w:after="0"/>
        <w:rPr>
          <w:sz w:val="20"/>
          <w:szCs w:val="20"/>
          <w:color w:val="auto"/>
        </w:rPr>
      </w:pPr>
      <w:r>
        <w:rPr>
          <w:rFonts w:ascii="Arial" w:cs="Arial" w:eastAsia="Arial" w:hAnsi="Arial"/>
          <w:sz w:val="15"/>
          <w:szCs w:val="15"/>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205740</wp:posOffset>
            </wp:positionV>
            <wp:extent cx="5817870" cy="482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060"/>
          </w:cols>
          <w:pgMar w:left="1440" w:top="116" w:right="1399" w:bottom="1440" w:gutter="0" w:footer="0" w:header="0"/>
        </w:sectPr>
      </w:pPr>
    </w:p>
    <w:bookmarkStart w:id="35" w:name="page36"/>
    <w:bookmarkEnd w:id="35"/>
    <w:p>
      <w:pPr>
        <w:jc w:val="right"/>
        <w:spacing w:after="0"/>
        <w:rPr>
          <w:sz w:val="20"/>
          <w:szCs w:val="20"/>
          <w:color w:val="auto"/>
        </w:rPr>
      </w:pPr>
      <w:r>
        <w:rPr>
          <w:rFonts w:ascii="Arial" w:cs="Arial" w:eastAsia="Arial" w:hAnsi="Arial"/>
          <w:sz w:val="15"/>
          <w:szCs w:val="15"/>
          <w:b w:val="1"/>
          <w:bCs w:val="1"/>
          <w:color w:val="auto"/>
        </w:rPr>
        <w:t>Exhibit 32</w:t>
      </w:r>
    </w:p>
    <w:p>
      <w:pPr>
        <w:spacing w:after="0" w:line="169" w:lineRule="exact"/>
        <w:rPr>
          <w:sz w:val="20"/>
          <w:szCs w:val="20"/>
          <w:color w:val="auto"/>
        </w:rPr>
      </w:pPr>
    </w:p>
    <w:p>
      <w:pPr>
        <w:ind w:left="3800"/>
        <w:spacing w:after="0"/>
        <w:rPr>
          <w:sz w:val="20"/>
          <w:szCs w:val="20"/>
          <w:color w:val="auto"/>
        </w:rPr>
      </w:pPr>
      <w:r>
        <w:rPr>
          <w:rFonts w:ascii="Arial" w:cs="Arial" w:eastAsia="Arial" w:hAnsi="Arial"/>
          <w:sz w:val="15"/>
          <w:szCs w:val="15"/>
          <w:b w:val="1"/>
          <w:bCs w:val="1"/>
          <w:color w:val="auto"/>
        </w:rPr>
        <w:t>FOOT LOCKER, INC.</w:t>
      </w:r>
    </w:p>
    <w:p>
      <w:pPr>
        <w:spacing w:after="0" w:line="168" w:lineRule="exact"/>
        <w:rPr>
          <w:sz w:val="20"/>
          <w:szCs w:val="20"/>
          <w:color w:val="auto"/>
        </w:rPr>
      </w:pPr>
    </w:p>
    <w:p>
      <w:pPr>
        <w:ind w:left="3380"/>
        <w:spacing w:after="0"/>
        <w:rPr>
          <w:sz w:val="20"/>
          <w:szCs w:val="20"/>
          <w:color w:val="auto"/>
        </w:rPr>
      </w:pPr>
      <w:r>
        <w:rPr>
          <w:rFonts w:ascii="Arial" w:cs="Arial" w:eastAsia="Arial" w:hAnsi="Arial"/>
          <w:sz w:val="15"/>
          <w:szCs w:val="15"/>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jc w:val="center"/>
        <w:spacing w:after="0" w:line="236" w:lineRule="auto"/>
        <w:rPr>
          <w:sz w:val="20"/>
          <w:szCs w:val="20"/>
          <w:color w:val="auto"/>
        </w:rPr>
      </w:pPr>
      <w:r>
        <w:rPr>
          <w:rFonts w:ascii="Arial" w:cs="Arial" w:eastAsia="Arial" w:hAnsi="Arial"/>
          <w:sz w:val="15"/>
          <w:szCs w:val="15"/>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6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In connection with the Quarterly Report on Form 10-Q of Foot Locker, Inc. (the “Registrant”) for the quarterly period ended November 3, 2018, as filed with the Securities and Exchange Commission on the date hereof (the “Report”), Richard A. Johnson, as Chief Executive Officer of the Registrant and Lauren B. Peters, as Chief Financial Officer of the Registrant, each hereby certifies, pursuant to 18 U.S.C. Section 1350, as adopted pursuant to Section 906 of the Sarbanes-Oxley Act of 2002, that:</w:t>
      </w:r>
    </w:p>
    <w:p>
      <w:pPr>
        <w:spacing w:after="0" w:line="168" w:lineRule="exact"/>
        <w:rPr>
          <w:sz w:val="20"/>
          <w:szCs w:val="20"/>
          <w:color w:val="auto"/>
        </w:rPr>
      </w:pPr>
    </w:p>
    <w:p>
      <w:pPr>
        <w:ind w:left="600" w:hanging="363"/>
        <w:spacing w:after="0"/>
        <w:tabs>
          <w:tab w:leader="none" w:pos="6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387" w:lineRule="exact"/>
        <w:rPr>
          <w:rFonts w:ascii="Arial" w:cs="Arial" w:eastAsia="Arial" w:hAnsi="Arial"/>
          <w:sz w:val="15"/>
          <w:szCs w:val="15"/>
          <w:color w:val="auto"/>
        </w:rPr>
      </w:pPr>
    </w:p>
    <w:p>
      <w:pPr>
        <w:ind w:left="600" w:hanging="363"/>
        <w:spacing w:after="0" w:line="254" w:lineRule="auto"/>
        <w:tabs>
          <w:tab w:leader="none" w:pos="6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Dated: December 11, 2018</w:t>
      </w:r>
    </w:p>
    <w:p>
      <w:pPr>
        <w:spacing w:after="0" w:line="46"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1905</wp:posOffset>
            </wp:positionV>
            <wp:extent cx="152146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Richard A. Johnson</w:t>
      </w:r>
    </w:p>
    <w:p>
      <w:pPr>
        <w:spacing w:after="0" w:line="46"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Chief Executive Officer</w:t>
      </w:r>
    </w:p>
    <w:p>
      <w:pPr>
        <w:spacing w:after="0" w:line="265"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1905</wp:posOffset>
            </wp:positionV>
            <wp:extent cx="152146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Lauren B. Peters</w:t>
      </w:r>
    </w:p>
    <w:p>
      <w:pPr>
        <w:spacing w:after="0" w:line="46"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Chief Financial Officer</w:t>
      </w:r>
    </w:p>
    <w:p>
      <w:pPr>
        <w:spacing w:after="0" w:line="16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445135</wp:posOffset>
            </wp:positionV>
            <wp:extent cx="5817870" cy="482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5" w:right="1399" w:bottom="1440" w:gutter="0" w:footer="0" w:header="0"/>
        </w:sectPr>
      </w:pPr>
    </w:p>
    <w:bookmarkStart w:id="36" w:name="page37"/>
    <w:bookmarkEnd w:id="36"/>
    <w:p>
      <w:pPr>
        <w:jc w:val="right"/>
        <w:spacing w:after="0"/>
        <w:rPr>
          <w:sz w:val="20"/>
          <w:szCs w:val="20"/>
          <w:color w:val="auto"/>
        </w:rPr>
      </w:pPr>
      <w:r>
        <w:rPr>
          <w:rFonts w:ascii="Arial" w:cs="Arial" w:eastAsia="Arial" w:hAnsi="Arial"/>
          <w:sz w:val="15"/>
          <w:szCs w:val="15"/>
          <w:b w:val="1"/>
          <w:bCs w:val="1"/>
          <w:color w:val="auto"/>
        </w:rPr>
        <w:t>Exhibit 99</w:t>
      </w: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 and Shareholders</w:t>
      </w:r>
    </w:p>
    <w:p>
      <w:pPr>
        <w:spacing w:after="0"/>
        <w:rPr>
          <w:sz w:val="20"/>
          <w:szCs w:val="20"/>
          <w:color w:val="auto"/>
        </w:rPr>
      </w:pPr>
      <w:r>
        <w:rPr>
          <w:rFonts w:ascii="Arial" w:cs="Arial" w:eastAsia="Arial" w:hAnsi="Arial"/>
          <w:sz w:val="15"/>
          <w:szCs w:val="15"/>
          <w:color w:val="auto"/>
        </w:rPr>
        <w:t>Foot Locker, Inc.:</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color w:val="auto"/>
        </w:rPr>
        <w:t>Results of Review of Interim Financial Information</w:t>
      </w:r>
    </w:p>
    <w:p>
      <w:pPr>
        <w:spacing w:after="0" w:line="59" w:lineRule="exact"/>
        <w:rPr>
          <w:sz w:val="20"/>
          <w:szCs w:val="20"/>
          <w:color w:val="auto"/>
        </w:rPr>
      </w:pPr>
    </w:p>
    <w:p>
      <w:pPr>
        <w:jc w:val="both"/>
        <w:spacing w:after="0"/>
        <w:rPr>
          <w:sz w:val="20"/>
          <w:szCs w:val="20"/>
          <w:color w:val="auto"/>
        </w:rPr>
      </w:pPr>
      <w:r>
        <w:rPr>
          <w:rFonts w:ascii="Arial" w:cs="Arial" w:eastAsia="Arial" w:hAnsi="Arial"/>
          <w:sz w:val="15"/>
          <w:szCs w:val="15"/>
          <w:color w:val="auto"/>
        </w:rPr>
        <w:t>We have reviewed the condensed consolidated balance sheets of Foot Locker, Inc. and subsidiaries (the Company) as of November 3, 2018 and October 28, 2017, the related condensed consolidated statements of operations and comprehensive income for the thirteen and thirty-nine week periods ended November 3, 2018 and October 28, 2017, the related condensed consolidated statements of cash flows for the thirty-nine week periods ended November 3, 2018 and October 28, 2017,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45" w:lineRule="exact"/>
        <w:rPr>
          <w:sz w:val="20"/>
          <w:szCs w:val="20"/>
          <w:color w:val="auto"/>
        </w:rPr>
      </w:pPr>
    </w:p>
    <w:p>
      <w:pPr>
        <w:jc w:val="both"/>
        <w:spacing w:after="0" w:line="212" w:lineRule="auto"/>
        <w:rPr>
          <w:sz w:val="20"/>
          <w:szCs w:val="20"/>
          <w:color w:val="auto"/>
        </w:rPr>
      </w:pPr>
      <w:r>
        <w:rPr>
          <w:rFonts w:ascii="Arial" w:cs="Arial" w:eastAsia="Arial" w:hAnsi="Arial"/>
          <w:sz w:val="15"/>
          <w:szCs w:val="15"/>
          <w:color w:val="auto"/>
        </w:rPr>
        <w:t>We have previously audited, in accordance with the standards of the Public Company Accounting Oversight Board (United States) (PCAOB), the consolidated balance sheet of the Company as of February 3, 2018, and the related consolidated statements of operations, comprehensive income, shareholders’ equity, and cash flows for the year then ended (not presented herein); and in our report dated March 29, 2018, we expressed an unqualified opinion on those consolidated financial statements. In our opinion, the information set forth in the accompanying condensed consolidated balance sheet as of February 3, 2018, is fairly stated, in all material respects, in relation to the consolidated balance sheet from which it has been derived.</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Basis for Review Results</w:t>
      </w:r>
    </w:p>
    <w:p>
      <w:pPr>
        <w:spacing w:after="0" w:line="59" w:lineRule="exact"/>
        <w:rPr>
          <w:sz w:val="20"/>
          <w:szCs w:val="20"/>
          <w:color w:val="auto"/>
        </w:rPr>
      </w:pPr>
    </w:p>
    <w:p>
      <w:pPr>
        <w:jc w:val="both"/>
        <w:spacing w:after="0" w:line="221" w:lineRule="auto"/>
        <w:rPr>
          <w:sz w:val="20"/>
          <w:szCs w:val="20"/>
          <w:color w:val="auto"/>
        </w:rPr>
      </w:pPr>
      <w:r>
        <w:rPr>
          <w:rFonts w:ascii="Arial" w:cs="Arial" w:eastAsia="Arial" w:hAnsi="Arial"/>
          <w:sz w:val="15"/>
          <w:szCs w:val="15"/>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2"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color w:val="auto"/>
        </w:rPr>
        <w:t>/s/ KPMG LLP</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December 11,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460375</wp:posOffset>
            </wp:positionV>
            <wp:extent cx="5817870" cy="482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sectPr>
      <w:pgSz w:w="11900" w:h="16838" w:orient="portrait"/>
      <w:cols w:equalWidth="0" w:num="1">
        <w:col w:w="9100"/>
      </w:cols>
      <w:pgMar w:left="1400" w:top="116"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lvl w:ilvl="1">
      <w:lvlJc w:val="left"/>
      <w:lvlText w:val="(%2)"/>
      <w:numFmt w:val="decimal"/>
      <w:start w:val="1"/>
    </w:lvl>
  </w:abstractNum>
  <w:abstractNum w:abstractNumId="5">
    <w:nsid w:val="66EF438D"/>
    <w:multiLevelType w:val="hybridMultilevel"/>
    <w:lvl w:ilvl="0">
      <w:lvlJc w:val="left"/>
      <w:lvlText w:val="%1."/>
      <w:numFmt w:val="decimal"/>
      <w:start w:val="4"/>
    </w:lvl>
    <w:lvl w:ilvl="1">
      <w:lvlJc w:val="left"/>
      <w:lvlText w:val="%2"/>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3"/>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2019-12-28T17:31:53Z</dcterms:created>
  <dcterms:modified xsi:type="dcterms:W3CDTF">2019-12-28T17:31:53Z</dcterms:modified>
</cp:coreProperties>
</file>